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3920"/>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3920"/>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480" w:right="240" w:hanging="454"/>
        <w:spacing w:after="0" w:line="256" w:lineRule="auto"/>
        <w:tabs>
          <w:tab w:leader="none" w:pos="4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80" w:right="220" w:hanging="454"/>
        <w:spacing w:after="0" w:line="256" w:lineRule="auto"/>
        <w:tabs>
          <w:tab w:leader="none" w:pos="4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4"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001-36708</w:t>
      </w:r>
    </w:p>
    <w:p>
      <w:pPr>
        <w:spacing w:after="0" w:line="26" w:lineRule="exact"/>
        <w:rPr>
          <w:sz w:val="24"/>
          <w:szCs w:val="24"/>
          <w:color w:val="auto"/>
        </w:rPr>
      </w:pPr>
    </w:p>
    <w:p>
      <w:pPr>
        <w:ind w:left="3920"/>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Uniti Group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 w:lineRule="exact"/>
        <w:rPr>
          <w:sz w:val="24"/>
          <w:szCs w:val="24"/>
          <w:color w:val="auto"/>
        </w:rPr>
      </w:pPr>
    </w:p>
    <w:p>
      <w:pPr>
        <w:ind w:left="3920"/>
        <w:spacing w:after="0"/>
        <w:rPr>
          <w:sz w:val="20"/>
          <w:szCs w:val="20"/>
          <w:color w:val="auto"/>
        </w:rPr>
      </w:pPr>
      <w:r>
        <w:rPr>
          <w:rFonts w:ascii="Arial" w:cs="Arial" w:eastAsia="Arial" w:hAnsi="Arial"/>
          <w:sz w:val="11"/>
          <w:szCs w:val="11"/>
          <w:color w:val="auto"/>
        </w:rPr>
        <w:t>_______________________________________________________________</w:t>
      </w:r>
    </w:p>
    <w:p>
      <w:pPr>
        <w:sectPr>
          <w:pgSz w:w="11900" w:h="16838" w:orient="portrait"/>
          <w:cols w:equalWidth="0" w:num="1">
            <w:col w:w="11220"/>
          </w:cols>
          <w:pgMar w:left="320" w:top="233" w:right="359" w:bottom="1440" w:gutter="0" w:footer="0" w:header="0"/>
        </w:sectPr>
      </w:pPr>
    </w:p>
    <w:p>
      <w:pPr>
        <w:spacing w:after="0" w:line="32" w:lineRule="exact"/>
        <w:rPr>
          <w:sz w:val="24"/>
          <w:szCs w:val="24"/>
          <w:color w:val="auto"/>
        </w:rPr>
      </w:pPr>
    </w:p>
    <w:p>
      <w:pPr>
        <w:ind w:left="24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46-5230630</w:t>
      </w:r>
    </w:p>
    <w:p>
      <w:pPr>
        <w:spacing w:after="0" w:line="68" w:lineRule="exact"/>
        <w:rPr>
          <w:sz w:val="24"/>
          <w:szCs w:val="24"/>
          <w:color w:val="auto"/>
        </w:rPr>
      </w:pPr>
    </w:p>
    <w:p>
      <w:pPr>
        <w:sectPr>
          <w:pgSz w:w="11900" w:h="16838" w:orient="portrait"/>
          <w:cols w:equalWidth="0" w:num="2">
            <w:col w:w="7280" w:space="720"/>
            <w:col w:w="3220"/>
          </w:cols>
          <w:pgMar w:left="320" w:top="233" w:right="35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29"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140" w:space="720"/>
            <w:col w:w="3360"/>
          </w:cols>
          <w:pgMar w:left="320" w:top="233" w:right="359" w:bottom="1440" w:gutter="0" w:footer="0" w:header="0"/>
          <w:type w:val="continuous"/>
        </w:sectPr>
      </w:pPr>
    </w:p>
    <w:p>
      <w:pPr>
        <w:jc w:val="center"/>
        <w:ind w:right="1840"/>
        <w:spacing w:after="0"/>
        <w:rPr>
          <w:sz w:val="20"/>
          <w:szCs w:val="20"/>
          <w:color w:val="auto"/>
        </w:rPr>
      </w:pPr>
      <w:r>
        <w:rPr>
          <w:rFonts w:ascii="Arial" w:cs="Arial" w:eastAsia="Arial" w:hAnsi="Arial"/>
          <w:sz w:val="16"/>
          <w:szCs w:val="16"/>
          <w:b w:val="1"/>
          <w:bCs w:val="1"/>
          <w:color w:val="auto"/>
        </w:rPr>
        <w:t>2101 Riverfront Drive, Suite A</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Little Rock, Arkansas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72202</w:t>
      </w:r>
    </w:p>
    <w:p>
      <w:pPr>
        <w:spacing w:after="0" w:line="67" w:lineRule="exact"/>
        <w:rPr>
          <w:sz w:val="24"/>
          <w:szCs w:val="24"/>
          <w:color w:val="auto"/>
        </w:rPr>
      </w:pPr>
    </w:p>
    <w:p>
      <w:pPr>
        <w:sectPr>
          <w:pgSz w:w="11900" w:h="16838" w:orient="portrait"/>
          <w:cols w:equalWidth="0" w:num="2">
            <w:col w:w="7480" w:space="720"/>
            <w:col w:w="3020"/>
          </w:cols>
          <w:pgMar w:left="320" w:top="233" w:right="35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380" w:space="720"/>
            <w:col w:w="3120"/>
          </w:cols>
          <w:pgMar w:left="320" w:top="233" w:right="359" w:bottom="1440" w:gutter="0" w:footer="0" w:header="0"/>
          <w:type w:val="continuous"/>
        </w:sectPr>
      </w:pP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 (501) 850-0820</w:t>
      </w:r>
    </w:p>
    <w:p>
      <w:pPr>
        <w:spacing w:after="0" w:line="45" w:lineRule="exact"/>
        <w:rPr>
          <w:sz w:val="24"/>
          <w:szCs w:val="24"/>
          <w:color w:val="auto"/>
        </w:rPr>
      </w:pPr>
    </w:p>
    <w:p>
      <w:pPr>
        <w:ind w:left="3920"/>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line="36"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20"/>
          </w:cols>
          <w:pgMar w:left="320" w:top="233" w:right="359" w:bottom="1440" w:gutter="0" w:footer="0" w:header="0"/>
          <w:type w:val="continuous"/>
        </w:sectPr>
      </w:pPr>
    </w:p>
    <w:p>
      <w:pPr>
        <w:spacing w:after="0" w:line="86" w:lineRule="exact"/>
        <w:rPr>
          <w:sz w:val="24"/>
          <w:szCs w:val="24"/>
          <w:color w:val="auto"/>
        </w:rPr>
      </w:pPr>
    </w:p>
    <w:p>
      <w:pPr>
        <w:ind w:left="122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73" w:lineRule="exact"/>
        <w:rPr>
          <w:sz w:val="24"/>
          <w:szCs w:val="24"/>
          <w:color w:val="auto"/>
        </w:rPr>
      </w:pPr>
    </w:p>
    <w:p>
      <w:pPr>
        <w:sectPr>
          <w:pgSz w:w="11900" w:h="16838" w:orient="portrait"/>
          <w:cols w:equalWidth="0" w:num="3">
            <w:col w:w="4220" w:space="720"/>
            <w:col w:w="2100" w:space="720"/>
            <w:col w:w="3460"/>
          </w:cols>
          <w:pgMar w:left="320" w:top="233" w:right="35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UNIT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Global Select Market</w:t>
      </w:r>
    </w:p>
    <w:p>
      <w:pPr>
        <w:spacing w:after="0" w:line="207" w:lineRule="exact"/>
        <w:rPr>
          <w:sz w:val="24"/>
          <w:szCs w:val="24"/>
          <w:color w:val="auto"/>
        </w:rPr>
      </w:pPr>
    </w:p>
    <w:p>
      <w:pPr>
        <w:sectPr>
          <w:pgSz w:w="11900" w:h="16838" w:orient="portrait"/>
          <w:cols w:equalWidth="0" w:num="3">
            <w:col w:w="4680" w:space="720"/>
            <w:col w:w="1920" w:space="720"/>
            <w:col w:w="3180"/>
          </w:cols>
          <w:pgMar w:left="320" w:top="233" w:right="359" w:bottom="1440" w:gutter="0" w:footer="0" w:header="0"/>
          <w:type w:val="continuous"/>
        </w:sectPr>
      </w:pPr>
    </w:p>
    <w:p>
      <w:pPr>
        <w:ind w:right="40" w:firstLine="486"/>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5" w:lineRule="exact"/>
        <w:rPr>
          <w:sz w:val="24"/>
          <w:szCs w:val="24"/>
          <w:color w:val="auto"/>
        </w:rPr>
      </w:pPr>
    </w:p>
    <w:p>
      <w:pPr>
        <w:ind w:right="40" w:firstLine="486"/>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49" w:lineRule="exact"/>
        <w:rPr>
          <w:sz w:val="24"/>
          <w:szCs w:val="24"/>
          <w:color w:val="auto"/>
        </w:rPr>
      </w:pPr>
    </w:p>
    <w:p>
      <w:pPr>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560"/>
              <w:spacing w:after="0"/>
              <w:rPr>
                <w:sz w:val="20"/>
                <w:szCs w:val="20"/>
                <w:color w:val="auto"/>
              </w:rPr>
            </w:pPr>
            <w:r>
              <w:rPr>
                <w:rFonts w:ascii="Arial" w:cs="Arial" w:eastAsia="Arial" w:hAnsi="Arial"/>
                <w:sz w:val="18"/>
                <w:szCs w:val="18"/>
                <w:color w:val="auto"/>
              </w:rPr>
              <w:t>x</w:t>
            </w:r>
          </w:p>
        </w:tc>
        <w:tc>
          <w:tcPr>
            <w:tcW w:w="4820" w:type="dxa"/>
            <w:vAlign w:val="bottom"/>
          </w:tcPr>
          <w:p>
            <w:pPr>
              <w:ind w:left="224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o</w:t>
            </w:r>
          </w:p>
        </w:tc>
      </w:tr>
      <w:tr>
        <w:trPr>
          <w:trHeight w:val="311"/>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560"/>
              <w:spacing w:after="0"/>
              <w:rPr>
                <w:sz w:val="20"/>
                <w:szCs w:val="20"/>
                <w:color w:val="auto"/>
              </w:rPr>
            </w:pPr>
            <w:r>
              <w:rPr>
                <w:rFonts w:ascii="Arial" w:cs="Arial" w:eastAsia="Arial" w:hAnsi="Arial"/>
                <w:sz w:val="18"/>
                <w:szCs w:val="18"/>
                <w:color w:val="auto"/>
              </w:rPr>
              <w:t>o</w:t>
            </w:r>
          </w:p>
        </w:tc>
        <w:tc>
          <w:tcPr>
            <w:tcW w:w="4820" w:type="dxa"/>
            <w:vAlign w:val="bottom"/>
          </w:tcPr>
          <w:p>
            <w:pPr>
              <w:ind w:left="224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o</w:t>
            </w:r>
          </w:p>
        </w:tc>
      </w:tr>
      <w:tr>
        <w:trPr>
          <w:trHeight w:val="256"/>
        </w:trPr>
        <w:tc>
          <w:tcPr>
            <w:tcW w:w="22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820" w:type="dxa"/>
            <w:vAlign w:val="bottom"/>
          </w:tcPr>
          <w:p>
            <w:pPr>
              <w:ind w:left="224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o</w:t>
            </w:r>
          </w:p>
        </w:tc>
      </w:tr>
    </w:tbl>
    <w:p>
      <w:pPr>
        <w:spacing w:after="0" w:line="161" w:lineRule="exact"/>
        <w:rPr>
          <w:sz w:val="24"/>
          <w:szCs w:val="24"/>
          <w:color w:val="auto"/>
        </w:rPr>
      </w:pPr>
    </w:p>
    <w:p>
      <w:pPr>
        <w:ind w:firstLine="486"/>
        <w:spacing w:after="0" w:line="27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right="1500" w:firstLine="486"/>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o No x As of July 28, 2022, the registrant had 237,251,277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751205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its subsidiaries, “Windstream”); the future prospects and financial health of Windstream; our expectations about our ability to maintain our status as a real estate investment trust (a “REIT”); our expectations regarding the effect of the COVID-19 pandemic on our results of operations and financial condition, including the potential need to perform an interim goodwill analysis and report an impairment charge related thereto; our expectations regarding the effect of the Coronavirus Aid, Relief and Economic Security Act (the “CARES Act”), the Consolidated Appropriations Act of 2021 (the “2021 Appropriations Act”) and other tax related legislation on our tax position; our expectations regarding the future growth and demand of the telecommunication industry, future financing plans, business strategies, growth prospects, operating and financial performance, and our future liquidity needs and access to capital;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and expectations regarding the payment of dividends.</w:t>
      </w:r>
    </w:p>
    <w:p>
      <w:pPr>
        <w:spacing w:after="0" w:line="17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70"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prospects of our largest customer, Windstream, following its emergence from bankruptcy;</w:t>
      </w:r>
    </w:p>
    <w:p>
      <w:pPr>
        <w:spacing w:after="0" w:line="117" w:lineRule="exact"/>
        <w:rPr>
          <w:rFonts w:ascii="Arial" w:cs="Arial" w:eastAsia="Arial" w:hAnsi="Arial"/>
          <w:sz w:val="18"/>
          <w:szCs w:val="18"/>
          <w:color w:val="auto"/>
        </w:rPr>
      </w:pPr>
    </w:p>
    <w:p>
      <w:pPr>
        <w:ind w:left="1300" w:right="56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the COVID-19 pandemic, inflation and rising interest rates on our employees, our business, the business of our customers and other business partners and the global financial markets;</w:t>
      </w:r>
    </w:p>
    <w:p>
      <w:pPr>
        <w:spacing w:after="0" w:line="62" w:lineRule="exact"/>
        <w:rPr>
          <w:rFonts w:ascii="Arial" w:cs="Arial" w:eastAsia="Arial" w:hAnsi="Arial"/>
          <w:sz w:val="18"/>
          <w:szCs w:val="18"/>
          <w:color w:val="auto"/>
        </w:rPr>
      </w:pPr>
    </w:p>
    <w:p>
      <w:pPr>
        <w:ind w:left="1300" w:right="34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117" w:lineRule="exact"/>
        <w:rPr>
          <w:rFonts w:ascii="Arial" w:cs="Arial" w:eastAsia="Arial" w:hAnsi="Arial"/>
          <w:sz w:val="18"/>
          <w:szCs w:val="18"/>
          <w:color w:val="auto"/>
        </w:rPr>
      </w:pPr>
    </w:p>
    <w:p>
      <w:pPr>
        <w:ind w:left="1300" w:hanging="644"/>
        <w:spacing w:after="0" w:line="286"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customers to renew their leases with us upon their expiration, our ability to reach agreement on the price of such renewal or ability to obtain a satisfactory renewal rent from an independent appraisal, and the ability to reposition our properties on the same or better terms in the event of nonrenewal or in the event we replace an existing tenant;</w:t>
      </w:r>
    </w:p>
    <w:p>
      <w:pPr>
        <w:spacing w:after="0" w:line="57" w:lineRule="exact"/>
        <w:rPr>
          <w:rFonts w:ascii="Arial" w:cs="Arial" w:eastAsia="Arial" w:hAnsi="Arial"/>
          <w:sz w:val="17"/>
          <w:szCs w:val="17"/>
          <w:color w:val="auto"/>
        </w:rPr>
      </w:pPr>
    </w:p>
    <w:p>
      <w:pPr>
        <w:ind w:left="1300" w:right="46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62" w:lineRule="exact"/>
        <w:rPr>
          <w:rFonts w:ascii="Arial" w:cs="Arial" w:eastAsia="Arial" w:hAnsi="Arial"/>
          <w:sz w:val="18"/>
          <w:szCs w:val="18"/>
          <w:color w:val="auto"/>
        </w:rPr>
      </w:pPr>
    </w:p>
    <w:p>
      <w:pPr>
        <w:ind w:left="1300" w:right="76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generate sufficient cash flows to service our outstanding indebtedness and fund our capital funding commitments;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litigation or disputes involving us or our customers;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right="220" w:hanging="644"/>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U.S. tax law and other federal, state or local laws, whether or not specific to REITs, including the impact of the CARES Act, the Families First Coronavirus Response Act and the 2021 Appropriations Act;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117" w:lineRule="exact"/>
        <w:rPr>
          <w:rFonts w:ascii="Arial" w:cs="Arial" w:eastAsia="Arial" w:hAnsi="Arial"/>
          <w:sz w:val="18"/>
          <w:szCs w:val="18"/>
          <w:color w:val="auto"/>
        </w:rPr>
      </w:pPr>
    </w:p>
    <w:p>
      <w:pPr>
        <w:ind w:left="1300" w:right="300" w:hanging="644"/>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62" w:lineRule="exact"/>
        <w:rPr>
          <w:rFonts w:ascii="Arial" w:cs="Arial" w:eastAsia="Arial" w:hAnsi="Arial"/>
          <w:sz w:val="18"/>
          <w:szCs w:val="18"/>
          <w:color w:val="auto"/>
        </w:rPr>
      </w:pPr>
    </w:p>
    <w:p>
      <w:pPr>
        <w:ind w:left="1300" w:hanging="644"/>
        <w:spacing w:after="0" w:line="259"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factors discussed in Part I, Item 2 “Management’s Discussion and Analysis of Financial Condition and Results of Operations” and Part II, Item 1A “Risk Factors” of this Quarterly Report on Form 10-Q and in Part I, Item 1A "Risk Factors" of our Annual Report on Form 10-K, as well as those described from time to time in our future reports filed with the U.S. Securities and Exchange Commission (the “SEC”).</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80" w:type="dxa"/>
            <w:vAlign w:val="bottom"/>
            <w:gridSpan w:val="9"/>
          </w:tcPr>
          <w:p>
            <w:pPr>
              <w:jc w:val="center"/>
              <w:ind w:right="3720"/>
              <w:spacing w:after="0"/>
              <w:rPr>
                <w:sz w:val="20"/>
                <w:szCs w:val="20"/>
                <w:color w:val="auto"/>
              </w:rPr>
            </w:pPr>
            <w:r>
              <w:rPr>
                <w:rFonts w:ascii="Arial" w:cs="Arial" w:eastAsia="Arial" w:hAnsi="Arial"/>
                <w:sz w:val="18"/>
                <w:szCs w:val="18"/>
                <w:b w:val="1"/>
                <w:bCs w:val="1"/>
                <w:color w:val="auto"/>
                <w:w w:val="94"/>
              </w:rPr>
              <w:t>Uniti Group Inc.</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80" w:type="dxa"/>
            <w:vAlign w:val="bottom"/>
            <w:gridSpan w:val="9"/>
          </w:tcPr>
          <w:p>
            <w:pPr>
              <w:jc w:val="center"/>
              <w:ind w:right="3720"/>
              <w:spacing w:after="0"/>
              <w:rPr>
                <w:sz w:val="20"/>
                <w:szCs w:val="20"/>
                <w:color w:val="auto"/>
              </w:rPr>
            </w:pPr>
            <w:r>
              <w:rPr>
                <w:rFonts w:ascii="Arial" w:cs="Arial" w:eastAsia="Arial" w:hAnsi="Arial"/>
                <w:sz w:val="18"/>
                <w:szCs w:val="18"/>
                <w:b w:val="1"/>
                <w:bCs w:val="1"/>
                <w:color w:val="auto"/>
                <w:w w:val="89"/>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jc w:val="right"/>
              <w:ind w:right="27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360" w:type="dxa"/>
            <w:vAlign w:val="bottom"/>
            <w:gridSpan w:val="2"/>
            <w:vMerge w:val="restart"/>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w:t>
              </w:r>
            </w:hyperlink>
          </w:p>
        </w:tc>
        <w:tc>
          <w:tcPr>
            <w:tcW w:w="8840" w:type="dxa"/>
            <w:vAlign w:val="bottom"/>
            <w:gridSpan w:val="32"/>
            <w:vMerge w:val="restart"/>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FINANCIAL INFORMATION</w:t>
              </w:r>
            </w:hyperlink>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360" w:type="dxa"/>
            <w:vAlign w:val="bottom"/>
            <w:gridSpan w:val="2"/>
            <w:vMerge w:val="continue"/>
          </w:tcPr>
          <w:p>
            <w:pPr>
              <w:spacing w:after="0"/>
              <w:rPr>
                <w:sz w:val="15"/>
                <w:szCs w:val="15"/>
                <w:color w:val="auto"/>
              </w:rPr>
            </w:pPr>
          </w:p>
        </w:tc>
        <w:tc>
          <w:tcPr>
            <w:tcW w:w="8840" w:type="dxa"/>
            <w:vAlign w:val="bottom"/>
            <w:gridSpan w:val="32"/>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360" w:type="dxa"/>
            <w:vAlign w:val="bottom"/>
            <w:gridSpan w:val="2"/>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242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Financial Statements (Unaudited)</w:t>
              </w:r>
            </w:hyperlink>
          </w:p>
        </w:tc>
        <w:tc>
          <w:tcPr>
            <w:tcW w:w="6420" w:type="dxa"/>
            <w:vAlign w:val="bottom"/>
            <w:gridSpan w:val="16"/>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77"/>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40" w:type="dxa"/>
            <w:vAlign w:val="bottom"/>
            <w:gridSpan w:val="32"/>
          </w:tcPr>
          <w:p>
            <w:pPr>
              <w:spacing w:after="0"/>
              <w:rPr>
                <w:sz w:val="20"/>
                <w:szCs w:val="20"/>
                <w:color w:val="auto"/>
              </w:rPr>
            </w:pPr>
            <w:r>
              <w:rPr>
                <w:rFonts w:ascii="Arial" w:cs="Arial" w:eastAsia="Arial" w:hAnsi="Arial"/>
                <w:sz w:val="18"/>
                <w:szCs w:val="18"/>
                <w:b w:val="1"/>
                <w:bCs w:val="1"/>
                <w:color w:val="auto"/>
              </w:rPr>
              <w:t>Uniti Group Inc.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40" w:type="dxa"/>
            <w:vAlign w:val="bottom"/>
            <w:gridSpan w:val="3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Income</w:t>
              </w:r>
            </w:hyperlink>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80" w:type="dxa"/>
            <w:vAlign w:val="bottom"/>
            <w:tcBorders>
              <w:bottom w:val="single" w:sz="8" w:color="0000FF"/>
            </w:tcBorders>
            <w:gridSpan w:val="29"/>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Comprehensive Income</w:t>
              </w:r>
            </w:hyperlink>
          </w:p>
        </w:tc>
        <w:tc>
          <w:tcPr>
            <w:tcW w:w="4260" w:type="dxa"/>
            <w:vAlign w:val="bottom"/>
            <w:gridSpan w:val="3"/>
          </w:tcPr>
          <w:p>
            <w:pPr>
              <w:spacing w:after="0"/>
              <w:rPr>
                <w:sz w:val="20"/>
                <w:szCs w:val="20"/>
                <w:color w:val="auto"/>
              </w:rPr>
            </w:pPr>
          </w:p>
        </w:tc>
        <w:tc>
          <w:tcPr>
            <w:tcW w:w="10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Shareholders’ Deficit</w:t>
              </w:r>
            </w:hyperlink>
          </w:p>
        </w:tc>
        <w:tc>
          <w:tcPr>
            <w:tcW w:w="10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00" w:type="dxa"/>
            <w:vAlign w:val="bottom"/>
            <w:tcBorders>
              <w:top w:val="single" w:sz="8" w:color="0000FF"/>
              <w:bottom w:val="single" w:sz="8" w:color="0000FF"/>
            </w:tcBorders>
            <w:gridSpan w:val="24"/>
          </w:tcPr>
          <w:p>
            <w:pPr>
              <w:spacing w:after="0"/>
              <w:rPr>
                <w:rFonts w:ascii="Arial" w:cs="Arial" w:eastAsia="Arial" w:hAnsi="Arial"/>
                <w:sz w:val="18"/>
                <w:szCs w:val="18"/>
                <w:color w:val="0000FF"/>
                <w:w w:val="87"/>
              </w:rPr>
            </w:pPr>
            <w:hyperlink w:anchor="page9">
              <w:r>
                <w:rPr>
                  <w:rFonts w:ascii="Arial" w:cs="Arial" w:eastAsia="Arial" w:hAnsi="Arial"/>
                  <w:sz w:val="18"/>
                  <w:szCs w:val="18"/>
                  <w:color w:val="0000FF"/>
                  <w:w w:val="87"/>
                </w:rPr>
                <w:t>Condensed Consolidated Statements of Cash Flows</w:t>
              </w:r>
            </w:hyperlink>
          </w:p>
        </w:tc>
        <w:tc>
          <w:tcPr>
            <w:tcW w:w="700" w:type="dxa"/>
            <w:vAlign w:val="bottom"/>
            <w:tcBorders>
              <w:top w:val="single" w:sz="8" w:color="0000FF"/>
            </w:tcBorders>
            <w:gridSpan w:val="4"/>
          </w:tcPr>
          <w:p>
            <w:pPr>
              <w:spacing w:after="0"/>
              <w:rPr>
                <w:sz w:val="20"/>
                <w:szCs w:val="20"/>
                <w:color w:val="auto"/>
              </w:rPr>
            </w:pPr>
          </w:p>
        </w:tc>
        <w:tc>
          <w:tcPr>
            <w:tcW w:w="4440" w:type="dxa"/>
            <w:vAlign w:val="bottom"/>
            <w:gridSpan w:val="4"/>
          </w:tcPr>
          <w:p>
            <w:pPr>
              <w:spacing w:after="0"/>
              <w:rPr>
                <w:sz w:val="20"/>
                <w:szCs w:val="20"/>
                <w:color w:val="auto"/>
              </w:rPr>
            </w:pPr>
          </w:p>
        </w:tc>
        <w:tc>
          <w:tcPr>
            <w:tcW w:w="102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40" w:type="dxa"/>
            <w:vAlign w:val="bottom"/>
            <w:gridSpan w:val="32"/>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102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80" w:type="dxa"/>
            <w:vAlign w:val="bottom"/>
            <w:tcBorders>
              <w:top w:val="single" w:sz="8" w:color="0000FF"/>
            </w:tcBorders>
            <w:gridSpan w:val="25"/>
          </w:tcPr>
          <w:p>
            <w:pPr>
              <w:ind w:left="220"/>
              <w:spacing w:after="0"/>
              <w:rPr>
                <w:rFonts w:ascii="Arial" w:cs="Arial" w:eastAsia="Arial" w:hAnsi="Arial"/>
                <w:sz w:val="18"/>
                <w:szCs w:val="18"/>
                <w:color w:val="0000FF"/>
              </w:rPr>
            </w:pPr>
            <w:hyperlink w:anchor="page11">
              <w:r>
                <w:rPr>
                  <w:rFonts w:ascii="Arial" w:cs="Arial" w:eastAsia="Arial" w:hAnsi="Arial"/>
                  <w:sz w:val="18"/>
                  <w:szCs w:val="18"/>
                  <w:color w:val="0000FF"/>
                </w:rPr>
                <w:t>1.Organization and Description of Business</w:t>
              </w:r>
            </w:hyperlink>
          </w:p>
        </w:tc>
        <w:tc>
          <w:tcPr>
            <w:tcW w:w="4860" w:type="dxa"/>
            <w:vAlign w:val="bottom"/>
            <w:gridSpan w:val="7"/>
          </w:tcPr>
          <w:p>
            <w:pPr>
              <w:spacing w:after="0"/>
              <w:rPr>
                <w:sz w:val="20"/>
                <w:szCs w:val="20"/>
                <w:color w:val="auto"/>
              </w:rPr>
            </w:pPr>
          </w:p>
        </w:tc>
        <w:tc>
          <w:tcPr>
            <w:tcW w:w="102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rFonts w:ascii="Arial" w:cs="Arial" w:eastAsia="Arial" w:hAnsi="Arial"/>
                <w:sz w:val="18"/>
                <w:szCs w:val="18"/>
                <w:color w:val="0000FF"/>
              </w:rPr>
            </w:pPr>
            <w:hyperlink w:anchor="page11">
              <w:r>
                <w:rPr>
                  <w:rFonts w:ascii="Arial" w:cs="Arial" w:eastAsia="Arial" w:hAnsi="Arial"/>
                  <w:sz w:val="18"/>
                  <w:szCs w:val="18"/>
                  <w:color w:val="0000FF"/>
                </w:rPr>
                <w:t>2.Basis of Presentation and Summary of Significant Accounting Policies</w:t>
              </w:r>
            </w:hyperlink>
          </w:p>
        </w:tc>
        <w:tc>
          <w:tcPr>
            <w:tcW w:w="102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rFonts w:ascii="Arial" w:cs="Arial" w:eastAsia="Arial" w:hAnsi="Arial"/>
                <w:sz w:val="18"/>
                <w:szCs w:val="18"/>
                <w:color w:val="0000FF"/>
              </w:rPr>
            </w:pPr>
            <w:hyperlink w:anchor="page12">
              <w:r>
                <w:rPr>
                  <w:rFonts w:ascii="Arial" w:cs="Arial" w:eastAsia="Arial" w:hAnsi="Arial"/>
                  <w:sz w:val="18"/>
                  <w:szCs w:val="18"/>
                  <w:color w:val="0000FF"/>
                </w:rPr>
                <w:t>3.Revenues</w:t>
              </w:r>
            </w:hyperlink>
          </w:p>
        </w:tc>
        <w:tc>
          <w:tcPr>
            <w:tcW w:w="102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rFonts w:ascii="Arial" w:cs="Arial" w:eastAsia="Arial" w:hAnsi="Arial"/>
                <w:sz w:val="18"/>
                <w:szCs w:val="18"/>
                <w:color w:val="0000FF"/>
              </w:rPr>
            </w:pPr>
            <w:hyperlink w:anchor="page14">
              <w:r>
                <w:rPr>
                  <w:rFonts w:ascii="Arial" w:cs="Arial" w:eastAsia="Arial" w:hAnsi="Arial"/>
                  <w:sz w:val="18"/>
                  <w:szCs w:val="18"/>
                  <w:color w:val="0000FF"/>
                </w:rPr>
                <w:t>4.Leases</w:t>
              </w:r>
            </w:hyperlink>
          </w:p>
        </w:tc>
        <w:tc>
          <w:tcPr>
            <w:tcW w:w="102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rFonts w:ascii="Arial" w:cs="Arial" w:eastAsia="Arial" w:hAnsi="Arial"/>
                <w:sz w:val="18"/>
                <w:szCs w:val="18"/>
                <w:color w:val="0000FF"/>
              </w:rPr>
            </w:pPr>
            <w:hyperlink w:anchor="page15">
              <w:r>
                <w:rPr>
                  <w:rFonts w:ascii="Arial" w:cs="Arial" w:eastAsia="Arial" w:hAnsi="Arial"/>
                  <w:sz w:val="18"/>
                  <w:szCs w:val="18"/>
                  <w:color w:val="0000FF"/>
                </w:rPr>
                <w:t>5.Investments in Unconsolidated Entities</w:t>
              </w:r>
            </w:hyperlink>
          </w:p>
        </w:tc>
        <w:tc>
          <w:tcPr>
            <w:tcW w:w="1020" w:type="dxa"/>
            <w:vAlign w:val="bottom"/>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rFonts w:ascii="Arial" w:cs="Arial" w:eastAsia="Arial" w:hAnsi="Arial"/>
                <w:sz w:val="18"/>
                <w:szCs w:val="18"/>
                <w:color w:val="0000FF"/>
              </w:rPr>
            </w:pPr>
            <w:hyperlink w:anchor="page16">
              <w:r>
                <w:rPr>
                  <w:rFonts w:ascii="Arial" w:cs="Arial" w:eastAsia="Arial" w:hAnsi="Arial"/>
                  <w:sz w:val="18"/>
                  <w:szCs w:val="18"/>
                  <w:color w:val="0000FF"/>
                </w:rPr>
                <w:t>6.Fair Value of Financial Instruments</w:t>
              </w:r>
            </w:hyperlink>
          </w:p>
        </w:tc>
        <w:tc>
          <w:tcPr>
            <w:tcW w:w="102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rFonts w:ascii="Arial" w:cs="Arial" w:eastAsia="Arial" w:hAnsi="Arial"/>
                <w:sz w:val="18"/>
                <w:szCs w:val="18"/>
                <w:color w:val="0000FF"/>
              </w:rPr>
            </w:pPr>
            <w:hyperlink w:anchor="page18">
              <w:r>
                <w:rPr>
                  <w:rFonts w:ascii="Arial" w:cs="Arial" w:eastAsia="Arial" w:hAnsi="Arial"/>
                  <w:sz w:val="18"/>
                  <w:szCs w:val="18"/>
                  <w:color w:val="0000FF"/>
                </w:rPr>
                <w:t>7.Property Plant and Equipment</w:t>
              </w:r>
            </w:hyperlink>
          </w:p>
        </w:tc>
        <w:tc>
          <w:tcPr>
            <w:tcW w:w="102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rFonts w:ascii="Arial" w:cs="Arial" w:eastAsia="Arial" w:hAnsi="Arial"/>
                <w:sz w:val="18"/>
                <w:szCs w:val="18"/>
                <w:color w:val="0000FF"/>
              </w:rPr>
            </w:pPr>
            <w:hyperlink w:anchor="page18">
              <w:r>
                <w:rPr>
                  <w:rFonts w:ascii="Arial" w:cs="Arial" w:eastAsia="Arial" w:hAnsi="Arial"/>
                  <w:sz w:val="18"/>
                  <w:szCs w:val="18"/>
                  <w:color w:val="0000FF"/>
                </w:rPr>
                <w:t>8.Derivative Instruments and Hedging Activities</w:t>
              </w:r>
            </w:hyperlink>
          </w:p>
        </w:tc>
        <w:tc>
          <w:tcPr>
            <w:tcW w:w="102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rFonts w:ascii="Arial" w:cs="Arial" w:eastAsia="Arial" w:hAnsi="Arial"/>
                <w:sz w:val="18"/>
                <w:szCs w:val="18"/>
                <w:color w:val="0000FF"/>
              </w:rPr>
            </w:pPr>
            <w:hyperlink w:anchor="page20">
              <w:r>
                <w:rPr>
                  <w:rFonts w:ascii="Arial" w:cs="Arial" w:eastAsia="Arial" w:hAnsi="Arial"/>
                  <w:sz w:val="18"/>
                  <w:szCs w:val="18"/>
                  <w:color w:val="0000FF"/>
                </w:rPr>
                <w:t>9.Goodwill and Intangible Assets and Liabilities</w:t>
              </w:r>
            </w:hyperlink>
          </w:p>
        </w:tc>
        <w:tc>
          <w:tcPr>
            <w:tcW w:w="102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rFonts w:ascii="Arial" w:cs="Arial" w:eastAsia="Arial" w:hAnsi="Arial"/>
                <w:sz w:val="18"/>
                <w:szCs w:val="18"/>
                <w:color w:val="0000FF"/>
              </w:rPr>
            </w:pPr>
            <w:hyperlink w:anchor="page21">
              <w:r>
                <w:rPr>
                  <w:rFonts w:ascii="Arial" w:cs="Arial" w:eastAsia="Arial" w:hAnsi="Arial"/>
                  <w:sz w:val="18"/>
                  <w:szCs w:val="18"/>
                  <w:color w:val="0000FF"/>
                </w:rPr>
                <w:t>10.Notes and Other Debt</w:t>
              </w:r>
            </w:hyperlink>
          </w:p>
        </w:tc>
        <w:tc>
          <w:tcPr>
            <w:tcW w:w="102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rFonts w:ascii="Arial" w:cs="Arial" w:eastAsia="Arial" w:hAnsi="Arial"/>
                <w:sz w:val="18"/>
                <w:szCs w:val="18"/>
                <w:color w:val="0000FF"/>
              </w:rPr>
            </w:pPr>
            <w:hyperlink w:anchor="page23">
              <w:r>
                <w:rPr>
                  <w:rFonts w:ascii="Arial" w:cs="Arial" w:eastAsia="Arial" w:hAnsi="Arial"/>
                  <w:sz w:val="18"/>
                  <w:szCs w:val="18"/>
                  <w:color w:val="0000FF"/>
                </w:rPr>
                <w:t>11.Earnings Per Share</w:t>
              </w:r>
            </w:hyperlink>
          </w:p>
        </w:tc>
        <w:tc>
          <w:tcPr>
            <w:tcW w:w="102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rFonts w:ascii="Arial" w:cs="Arial" w:eastAsia="Arial" w:hAnsi="Arial"/>
                <w:sz w:val="18"/>
                <w:szCs w:val="18"/>
                <w:color w:val="0000FF"/>
              </w:rPr>
            </w:pPr>
            <w:hyperlink w:anchor="page24">
              <w:r>
                <w:rPr>
                  <w:rFonts w:ascii="Arial" w:cs="Arial" w:eastAsia="Arial" w:hAnsi="Arial"/>
                  <w:sz w:val="18"/>
                  <w:szCs w:val="18"/>
                  <w:color w:val="0000FF"/>
                </w:rPr>
                <w:t>12.Segment Information</w:t>
              </w:r>
            </w:hyperlink>
          </w:p>
        </w:tc>
        <w:tc>
          <w:tcPr>
            <w:tcW w:w="10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rFonts w:ascii="Arial" w:cs="Arial" w:eastAsia="Arial" w:hAnsi="Arial"/>
                <w:sz w:val="18"/>
                <w:szCs w:val="18"/>
                <w:color w:val="0000FF"/>
              </w:rPr>
            </w:pPr>
            <w:hyperlink w:anchor="page27">
              <w:r>
                <w:rPr>
                  <w:rFonts w:ascii="Arial" w:cs="Arial" w:eastAsia="Arial" w:hAnsi="Arial"/>
                  <w:sz w:val="18"/>
                  <w:szCs w:val="18"/>
                  <w:color w:val="0000FF"/>
                </w:rPr>
                <w:t>13.Commitments and Contingencies</w:t>
              </w:r>
            </w:hyperlink>
          </w:p>
        </w:tc>
        <w:tc>
          <w:tcPr>
            <w:tcW w:w="102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rFonts w:ascii="Arial" w:cs="Arial" w:eastAsia="Arial" w:hAnsi="Arial"/>
                <w:sz w:val="18"/>
                <w:szCs w:val="18"/>
                <w:color w:val="0000FF"/>
              </w:rPr>
            </w:pPr>
            <w:hyperlink w:anchor="page30">
              <w:r>
                <w:rPr>
                  <w:rFonts w:ascii="Arial" w:cs="Arial" w:eastAsia="Arial" w:hAnsi="Arial"/>
                  <w:sz w:val="18"/>
                  <w:szCs w:val="18"/>
                  <w:color w:val="0000FF"/>
                </w:rPr>
                <w:t>14.Accumulated Other Comprehensive Loss</w:t>
              </w:r>
            </w:hyperlink>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98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220"/>
              <w:spacing w:after="0"/>
              <w:rPr>
                <w:rFonts w:ascii="Arial" w:cs="Arial" w:eastAsia="Arial" w:hAnsi="Arial"/>
                <w:sz w:val="18"/>
                <w:szCs w:val="18"/>
                <w:color w:val="0000FF"/>
              </w:rPr>
            </w:pPr>
            <w:hyperlink w:anchor="page30">
              <w:r>
                <w:rPr>
                  <w:rFonts w:ascii="Arial" w:cs="Arial" w:eastAsia="Arial" w:hAnsi="Arial"/>
                  <w:sz w:val="18"/>
                  <w:szCs w:val="18"/>
                  <w:color w:val="0000FF"/>
                </w:rPr>
                <w:t>15.Capital Stock</w:t>
              </w:r>
            </w:hyperlink>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360" w:type="dxa"/>
            <w:vAlign w:val="bottom"/>
            <w:gridSpan w:val="2"/>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2.</w:t>
              </w:r>
            </w:hyperlink>
          </w:p>
        </w:tc>
        <w:tc>
          <w:tcPr>
            <w:tcW w:w="6460" w:type="dxa"/>
            <w:vAlign w:val="bottom"/>
            <w:tcBorders>
              <w:bottom w:val="single" w:sz="8" w:color="0000FF"/>
            </w:tcBorders>
            <w:gridSpan w:val="31"/>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Management’s Discussion and Analysis of Financial Condition and Results of Operations</w:t>
              </w:r>
            </w:hyperlink>
          </w:p>
        </w:tc>
        <w:tc>
          <w:tcPr>
            <w:tcW w:w="2380" w:type="dxa"/>
            <w:vAlign w:val="bottom"/>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160"/>
              <w:spacing w:after="0"/>
              <w:rPr>
                <w:rFonts w:ascii="Arial" w:cs="Arial" w:eastAsia="Arial" w:hAnsi="Arial"/>
                <w:sz w:val="18"/>
                <w:szCs w:val="18"/>
                <w:color w:val="0000FF"/>
              </w:rPr>
            </w:pPr>
            <w:hyperlink w:anchor="page31">
              <w:r>
                <w:rPr>
                  <w:rFonts w:ascii="Arial" w:cs="Arial" w:eastAsia="Arial" w:hAnsi="Arial"/>
                  <w:sz w:val="18"/>
                  <w:szCs w:val="18"/>
                  <w:color w:val="0000FF"/>
                </w:rPr>
                <w:t>1.Overview</w:t>
              </w:r>
            </w:hyperlink>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160"/>
              <w:spacing w:after="0"/>
              <w:rPr>
                <w:rFonts w:ascii="Arial" w:cs="Arial" w:eastAsia="Arial" w:hAnsi="Arial"/>
                <w:sz w:val="18"/>
                <w:szCs w:val="18"/>
                <w:color w:val="0000FF"/>
              </w:rPr>
            </w:pPr>
            <w:hyperlink w:anchor="page32">
              <w:r>
                <w:rPr>
                  <w:rFonts w:ascii="Arial" w:cs="Arial" w:eastAsia="Arial" w:hAnsi="Arial"/>
                  <w:sz w:val="18"/>
                  <w:szCs w:val="18"/>
                  <w:color w:val="0000FF"/>
                </w:rPr>
                <w:t>2.Results of Operations</w:t>
              </w:r>
            </w:hyperlink>
          </w:p>
        </w:tc>
        <w:tc>
          <w:tcPr>
            <w:tcW w:w="102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160"/>
              <w:spacing w:after="0"/>
              <w:rPr>
                <w:rFonts w:ascii="Arial" w:cs="Arial" w:eastAsia="Arial" w:hAnsi="Arial"/>
                <w:sz w:val="18"/>
                <w:szCs w:val="18"/>
                <w:color w:val="0000FF"/>
              </w:rPr>
            </w:pPr>
            <w:hyperlink w:anchor="page47">
              <w:r>
                <w:rPr>
                  <w:rFonts w:ascii="Arial" w:cs="Arial" w:eastAsia="Arial" w:hAnsi="Arial"/>
                  <w:sz w:val="18"/>
                  <w:szCs w:val="18"/>
                  <w:color w:val="0000FF"/>
                </w:rPr>
                <w:t>3.Non-GAAP Financial Measures</w:t>
              </w:r>
            </w:hyperlink>
          </w:p>
        </w:tc>
        <w:tc>
          <w:tcPr>
            <w:tcW w:w="102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2"/>
          </w:tcPr>
          <w:p>
            <w:pPr>
              <w:ind w:left="160"/>
              <w:spacing w:after="0"/>
              <w:rPr>
                <w:rFonts w:ascii="Arial" w:cs="Arial" w:eastAsia="Arial" w:hAnsi="Arial"/>
                <w:sz w:val="18"/>
                <w:szCs w:val="18"/>
                <w:color w:val="0000FF"/>
              </w:rPr>
            </w:pPr>
            <w:hyperlink w:anchor="page49">
              <w:r>
                <w:rPr>
                  <w:rFonts w:ascii="Arial" w:cs="Arial" w:eastAsia="Arial" w:hAnsi="Arial"/>
                  <w:sz w:val="18"/>
                  <w:szCs w:val="18"/>
                  <w:color w:val="0000FF"/>
                </w:rPr>
                <w:t>4.Liquidity and Capital Resources</w:t>
              </w:r>
            </w:hyperlink>
          </w:p>
        </w:tc>
        <w:tc>
          <w:tcPr>
            <w:tcW w:w="102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gridSpan w:val="2"/>
          </w:tcPr>
          <w:p>
            <w:pPr>
              <w:spacing w:after="0"/>
              <w:rPr>
                <w:rFonts w:ascii="Arial" w:cs="Arial" w:eastAsia="Arial" w:hAnsi="Arial"/>
                <w:sz w:val="18"/>
                <w:szCs w:val="18"/>
                <w:color w:val="auto"/>
              </w:rPr>
            </w:pPr>
            <w:hyperlink w:anchor="page54">
              <w:r>
                <w:rPr>
                  <w:rFonts w:ascii="Arial" w:cs="Arial" w:eastAsia="Arial" w:hAnsi="Arial"/>
                  <w:sz w:val="18"/>
                  <w:szCs w:val="18"/>
                  <w:color w:val="auto"/>
                </w:rPr>
                <w:t>Item 3.</w:t>
              </w:r>
            </w:hyperlink>
          </w:p>
        </w:tc>
        <w:tc>
          <w:tcPr>
            <w:tcW w:w="4360" w:type="dxa"/>
            <w:vAlign w:val="bottom"/>
            <w:tcBorders>
              <w:bottom w:val="single" w:sz="8" w:color="0000FF"/>
            </w:tcBorders>
            <w:gridSpan w:val="27"/>
          </w:tcPr>
          <w:p>
            <w:pPr>
              <w:spacing w:after="0"/>
              <w:rPr>
                <w:rFonts w:ascii="Arial" w:cs="Arial" w:eastAsia="Arial" w:hAnsi="Arial"/>
                <w:sz w:val="18"/>
                <w:szCs w:val="18"/>
                <w:color w:val="0000FF"/>
                <w:w w:val="92"/>
              </w:rPr>
            </w:pPr>
            <w:hyperlink w:anchor="page54">
              <w:r>
                <w:rPr>
                  <w:rFonts w:ascii="Arial" w:cs="Arial" w:eastAsia="Arial" w:hAnsi="Arial"/>
                  <w:sz w:val="18"/>
                  <w:szCs w:val="18"/>
                  <w:color w:val="0000FF"/>
                  <w:w w:val="92"/>
                </w:rPr>
                <w:t>Quantitative and Qualitative Disclosures About Market Risk</w:t>
              </w:r>
            </w:hyperlink>
          </w:p>
        </w:tc>
        <w:tc>
          <w:tcPr>
            <w:tcW w:w="4480" w:type="dxa"/>
            <w:vAlign w:val="bottom"/>
            <w:gridSpan w:val="5"/>
          </w:tcPr>
          <w:p>
            <w:pPr>
              <w:spacing w:after="0"/>
              <w:rPr>
                <w:sz w:val="20"/>
                <w:szCs w:val="20"/>
                <w:color w:val="auto"/>
              </w:rPr>
            </w:pPr>
          </w:p>
        </w:tc>
        <w:tc>
          <w:tcPr>
            <w:tcW w:w="102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53</w:t>
              </w:r>
            </w:hyperlink>
          </w:p>
        </w:tc>
        <w:tc>
          <w:tcPr>
            <w:tcW w:w="0" w:type="dxa"/>
            <w:vAlign w:val="bottom"/>
          </w:tcPr>
          <w:p>
            <w:pPr>
              <w:spacing w:after="0"/>
              <w:rPr>
                <w:sz w:val="1"/>
                <w:szCs w:val="1"/>
                <w:color w:val="auto"/>
              </w:rPr>
            </w:pPr>
          </w:p>
        </w:tc>
      </w:tr>
      <w:tr>
        <w:trPr>
          <w:trHeight w:val="236"/>
        </w:trPr>
        <w:tc>
          <w:tcPr>
            <w:tcW w:w="1360" w:type="dxa"/>
            <w:vAlign w:val="bottom"/>
            <w:gridSpan w:val="2"/>
          </w:tcPr>
          <w:p>
            <w:pPr>
              <w:spacing w:after="0"/>
              <w:rPr>
                <w:rFonts w:ascii="Arial" w:cs="Arial" w:eastAsia="Arial" w:hAnsi="Arial"/>
                <w:sz w:val="18"/>
                <w:szCs w:val="18"/>
                <w:color w:val="auto"/>
              </w:rPr>
            </w:pPr>
            <w:hyperlink w:anchor="page54">
              <w:r>
                <w:rPr>
                  <w:rFonts w:ascii="Arial" w:cs="Arial" w:eastAsia="Arial" w:hAnsi="Arial"/>
                  <w:sz w:val="18"/>
                  <w:szCs w:val="18"/>
                  <w:color w:val="auto"/>
                </w:rPr>
                <w:t>Item 4.</w:t>
              </w:r>
            </w:hyperlink>
          </w:p>
        </w:tc>
        <w:tc>
          <w:tcPr>
            <w:tcW w:w="8840" w:type="dxa"/>
            <w:vAlign w:val="bottom"/>
            <w:gridSpan w:val="32"/>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Controls and Procedures</w:t>
              </w:r>
            </w:hyperlink>
          </w:p>
        </w:tc>
        <w:tc>
          <w:tcPr>
            <w:tcW w:w="102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11"/>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360" w:type="dxa"/>
            <w:vAlign w:val="bottom"/>
            <w:gridSpan w:val="2"/>
          </w:tcPr>
          <w:p>
            <w:pPr>
              <w:spacing w:after="0"/>
              <w:rPr>
                <w:rFonts w:ascii="Arial" w:cs="Arial" w:eastAsia="Arial" w:hAnsi="Arial"/>
                <w:sz w:val="18"/>
                <w:szCs w:val="18"/>
                <w:b w:val="1"/>
                <w:bCs w:val="1"/>
                <w:color w:val="auto"/>
              </w:rPr>
            </w:pPr>
            <w:hyperlink w:anchor="page55">
              <w:r>
                <w:rPr>
                  <w:rFonts w:ascii="Arial" w:cs="Arial" w:eastAsia="Arial" w:hAnsi="Arial"/>
                  <w:sz w:val="18"/>
                  <w:szCs w:val="18"/>
                  <w:b w:val="1"/>
                  <w:bCs w:val="1"/>
                  <w:color w:val="auto"/>
                </w:rPr>
                <w:t>PART II.</w:t>
              </w:r>
            </w:hyperlink>
          </w:p>
        </w:tc>
        <w:tc>
          <w:tcPr>
            <w:tcW w:w="1980" w:type="dxa"/>
            <w:vAlign w:val="bottom"/>
            <w:tcBorders>
              <w:bottom w:val="single" w:sz="8" w:color="0000FF"/>
            </w:tcBorders>
            <w:gridSpan w:val="14"/>
          </w:tcPr>
          <w:p>
            <w:pPr>
              <w:spacing w:after="0"/>
              <w:rPr>
                <w:rFonts w:ascii="Arial" w:cs="Arial" w:eastAsia="Arial" w:hAnsi="Arial"/>
                <w:sz w:val="18"/>
                <w:szCs w:val="18"/>
                <w:b w:val="1"/>
                <w:bCs w:val="1"/>
                <w:color w:val="0000FF"/>
                <w:w w:val="99"/>
              </w:rPr>
            </w:pPr>
            <w:hyperlink w:anchor="page55">
              <w:r>
                <w:rPr>
                  <w:rFonts w:ascii="Arial" w:cs="Arial" w:eastAsia="Arial" w:hAnsi="Arial"/>
                  <w:sz w:val="18"/>
                  <w:szCs w:val="18"/>
                  <w:b w:val="1"/>
                  <w:bCs w:val="1"/>
                  <w:color w:val="0000FF"/>
                  <w:w w:val="99"/>
                </w:rPr>
                <w:t>OTHER INFORMATION</w:t>
              </w:r>
            </w:hyperlink>
          </w:p>
        </w:tc>
        <w:tc>
          <w:tcPr>
            <w:tcW w:w="6860" w:type="dxa"/>
            <w:vAlign w:val="bottom"/>
            <w:gridSpan w:val="18"/>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360" w:type="dxa"/>
            <w:vAlign w:val="bottom"/>
            <w:gridSpan w:val="2"/>
          </w:tcPr>
          <w:p>
            <w:pPr>
              <w:spacing w:after="0"/>
              <w:rPr>
                <w:rFonts w:ascii="Arial" w:cs="Arial" w:eastAsia="Arial" w:hAnsi="Arial"/>
                <w:sz w:val="18"/>
                <w:szCs w:val="18"/>
                <w:color w:val="auto"/>
              </w:rPr>
            </w:pPr>
            <w:hyperlink w:anchor="page56">
              <w:r>
                <w:rPr>
                  <w:rFonts w:ascii="Arial" w:cs="Arial" w:eastAsia="Arial" w:hAnsi="Arial"/>
                  <w:sz w:val="18"/>
                  <w:szCs w:val="18"/>
                  <w:color w:val="auto"/>
                </w:rPr>
                <w:t>Item 1.</w:t>
              </w:r>
            </w:hyperlink>
          </w:p>
        </w:tc>
        <w:tc>
          <w:tcPr>
            <w:tcW w:w="8840" w:type="dxa"/>
            <w:vAlign w:val="bottom"/>
            <w:gridSpan w:val="32"/>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Legal Proceedings</w:t>
              </w:r>
            </w:hyperlink>
          </w:p>
        </w:tc>
        <w:tc>
          <w:tcPr>
            <w:tcW w:w="10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55</w:t>
              </w:r>
            </w:hyperlink>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rFonts w:ascii="Arial" w:cs="Arial" w:eastAsia="Arial" w:hAnsi="Arial"/>
                <w:sz w:val="18"/>
                <w:szCs w:val="18"/>
                <w:color w:val="auto"/>
              </w:rPr>
            </w:pPr>
            <w:hyperlink w:anchor="page56">
              <w:r>
                <w:rPr>
                  <w:rFonts w:ascii="Arial" w:cs="Arial" w:eastAsia="Arial" w:hAnsi="Arial"/>
                  <w:sz w:val="18"/>
                  <w:szCs w:val="18"/>
                  <w:color w:val="auto"/>
                </w:rPr>
                <w:t>Item 1A.</w:t>
              </w:r>
            </w:hyperlink>
          </w:p>
        </w:tc>
        <w:tc>
          <w:tcPr>
            <w:tcW w:w="1320" w:type="dxa"/>
            <w:vAlign w:val="bottom"/>
            <w:tcBorders>
              <w:top w:val="single" w:sz="8" w:color="0000FF"/>
            </w:tcBorders>
            <w:gridSpan w:val="10"/>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Risk Factors</w:t>
              </w:r>
            </w:hyperlink>
          </w:p>
        </w:tc>
        <w:tc>
          <w:tcPr>
            <w:tcW w:w="7520" w:type="dxa"/>
            <w:vAlign w:val="bottom"/>
            <w:gridSpan w:val="22"/>
          </w:tcPr>
          <w:p>
            <w:pPr>
              <w:spacing w:after="0"/>
              <w:rPr>
                <w:sz w:val="20"/>
                <w:szCs w:val="20"/>
                <w:color w:val="auto"/>
              </w:rPr>
            </w:pPr>
          </w:p>
        </w:tc>
        <w:tc>
          <w:tcPr>
            <w:tcW w:w="10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960" w:type="dxa"/>
            <w:vAlign w:val="bottom"/>
            <w:gridSpan w:val="11"/>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gridSpan w:val="2"/>
          </w:tcPr>
          <w:p>
            <w:pPr>
              <w:spacing w:after="0"/>
              <w:rPr>
                <w:rFonts w:ascii="Arial" w:cs="Arial" w:eastAsia="Arial" w:hAnsi="Arial"/>
                <w:sz w:val="18"/>
                <w:szCs w:val="18"/>
                <w:color w:val="auto"/>
              </w:rPr>
            </w:pPr>
            <w:hyperlink w:anchor="page56">
              <w:r>
                <w:rPr>
                  <w:rFonts w:ascii="Arial" w:cs="Arial" w:eastAsia="Arial" w:hAnsi="Arial"/>
                  <w:sz w:val="18"/>
                  <w:szCs w:val="18"/>
                  <w:color w:val="auto"/>
                </w:rPr>
                <w:t>Item 2.</w:t>
              </w:r>
            </w:hyperlink>
          </w:p>
        </w:tc>
        <w:tc>
          <w:tcPr>
            <w:tcW w:w="8840" w:type="dxa"/>
            <w:vAlign w:val="bottom"/>
            <w:gridSpan w:val="32"/>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55</w:t>
              </w:r>
            </w:hyperlink>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rFonts w:ascii="Arial" w:cs="Arial" w:eastAsia="Arial" w:hAnsi="Arial"/>
                <w:sz w:val="18"/>
                <w:szCs w:val="18"/>
                <w:color w:val="auto"/>
              </w:rPr>
            </w:pPr>
            <w:hyperlink w:anchor="page56">
              <w:r>
                <w:rPr>
                  <w:rFonts w:ascii="Arial" w:cs="Arial" w:eastAsia="Arial" w:hAnsi="Arial"/>
                  <w:sz w:val="18"/>
                  <w:szCs w:val="18"/>
                  <w:color w:val="auto"/>
                </w:rPr>
                <w:t>Item 3.</w:t>
              </w:r>
            </w:hyperlink>
          </w:p>
        </w:tc>
        <w:tc>
          <w:tcPr>
            <w:tcW w:w="238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Defaults Upon Senior Securities</w:t>
              </w:r>
            </w:hyperlink>
          </w:p>
        </w:tc>
        <w:tc>
          <w:tcPr>
            <w:tcW w:w="1960" w:type="dxa"/>
            <w:vAlign w:val="bottom"/>
            <w:tcBorders>
              <w:top w:val="single" w:sz="8" w:color="0000FF"/>
            </w:tcBorders>
            <w:gridSpan w:val="11"/>
          </w:tcPr>
          <w:p>
            <w:pPr>
              <w:spacing w:after="0"/>
              <w:rPr>
                <w:sz w:val="20"/>
                <w:szCs w:val="20"/>
                <w:color w:val="auto"/>
              </w:rPr>
            </w:pPr>
          </w:p>
        </w:tc>
        <w:tc>
          <w:tcPr>
            <w:tcW w:w="4500" w:type="dxa"/>
            <w:vAlign w:val="bottom"/>
            <w:gridSpan w:val="6"/>
          </w:tcPr>
          <w:p>
            <w:pPr>
              <w:spacing w:after="0"/>
              <w:rPr>
                <w:sz w:val="20"/>
                <w:szCs w:val="20"/>
                <w:color w:val="auto"/>
              </w:rPr>
            </w:pPr>
          </w:p>
        </w:tc>
        <w:tc>
          <w:tcPr>
            <w:tcW w:w="10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55</w:t>
              </w:r>
            </w:hyperlink>
          </w:p>
        </w:tc>
        <w:tc>
          <w:tcPr>
            <w:tcW w:w="0" w:type="dxa"/>
            <w:vAlign w:val="bottom"/>
          </w:tcPr>
          <w:p>
            <w:pPr>
              <w:spacing w:after="0"/>
              <w:rPr>
                <w:sz w:val="1"/>
                <w:szCs w:val="1"/>
                <w:color w:val="auto"/>
              </w:rPr>
            </w:pPr>
          </w:p>
        </w:tc>
      </w:tr>
      <w:tr>
        <w:trPr>
          <w:trHeight w:val="236"/>
        </w:trPr>
        <w:tc>
          <w:tcPr>
            <w:tcW w:w="1360" w:type="dxa"/>
            <w:vAlign w:val="bottom"/>
            <w:gridSpan w:val="2"/>
          </w:tcPr>
          <w:p>
            <w:pPr>
              <w:spacing w:after="0"/>
              <w:rPr>
                <w:rFonts w:ascii="Arial" w:cs="Arial" w:eastAsia="Arial" w:hAnsi="Arial"/>
                <w:sz w:val="18"/>
                <w:szCs w:val="18"/>
                <w:color w:val="auto"/>
              </w:rPr>
            </w:pPr>
            <w:hyperlink w:anchor="page56">
              <w:r>
                <w:rPr>
                  <w:rFonts w:ascii="Arial" w:cs="Arial" w:eastAsia="Arial" w:hAnsi="Arial"/>
                  <w:sz w:val="18"/>
                  <w:szCs w:val="18"/>
                  <w:color w:val="auto"/>
                </w:rPr>
                <w:t>Item 4.</w:t>
              </w:r>
            </w:hyperlink>
          </w:p>
        </w:tc>
        <w:tc>
          <w:tcPr>
            <w:tcW w:w="8840" w:type="dxa"/>
            <w:vAlign w:val="bottom"/>
            <w:gridSpan w:val="32"/>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Mine Safety Disclosures</w:t>
              </w:r>
            </w:hyperlink>
          </w:p>
        </w:tc>
        <w:tc>
          <w:tcPr>
            <w:tcW w:w="10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55</w:t>
              </w:r>
            </w:hyperlink>
          </w:p>
        </w:tc>
        <w:tc>
          <w:tcPr>
            <w:tcW w:w="0" w:type="dxa"/>
            <w:vAlign w:val="bottom"/>
          </w:tcPr>
          <w:p>
            <w:pPr>
              <w:spacing w:after="0"/>
              <w:rPr>
                <w:sz w:val="1"/>
                <w:szCs w:val="1"/>
                <w:color w:val="auto"/>
              </w:rPr>
            </w:pPr>
          </w:p>
        </w:tc>
      </w:tr>
      <w:tr>
        <w:trPr>
          <w:trHeight w:val="236"/>
        </w:trPr>
        <w:tc>
          <w:tcPr>
            <w:tcW w:w="1360" w:type="dxa"/>
            <w:vAlign w:val="bottom"/>
            <w:gridSpan w:val="2"/>
          </w:tcPr>
          <w:p>
            <w:pPr>
              <w:spacing w:after="0"/>
              <w:rPr>
                <w:rFonts w:ascii="Arial" w:cs="Arial" w:eastAsia="Arial" w:hAnsi="Arial"/>
                <w:sz w:val="18"/>
                <w:szCs w:val="18"/>
                <w:color w:val="auto"/>
              </w:rPr>
            </w:pPr>
            <w:hyperlink w:anchor="page56">
              <w:r>
                <w:rPr>
                  <w:rFonts w:ascii="Arial" w:cs="Arial" w:eastAsia="Arial" w:hAnsi="Arial"/>
                  <w:sz w:val="18"/>
                  <w:szCs w:val="18"/>
                  <w:color w:val="auto"/>
                </w:rPr>
                <w:t>Item 5.</w:t>
              </w:r>
            </w:hyperlink>
          </w:p>
        </w:tc>
        <w:tc>
          <w:tcPr>
            <w:tcW w:w="1760" w:type="dxa"/>
            <w:vAlign w:val="bottom"/>
            <w:tcBorders>
              <w:top w:val="single" w:sz="8" w:color="0000FF"/>
            </w:tcBorders>
            <w:gridSpan w:val="12"/>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Other Information</w:t>
              </w:r>
            </w:hyperlink>
          </w:p>
        </w:tc>
        <w:tc>
          <w:tcPr>
            <w:tcW w:w="7080" w:type="dxa"/>
            <w:vAlign w:val="bottom"/>
            <w:gridSpan w:val="20"/>
          </w:tcPr>
          <w:p>
            <w:pPr>
              <w:spacing w:after="0"/>
              <w:rPr>
                <w:sz w:val="20"/>
                <w:szCs w:val="20"/>
                <w:color w:val="auto"/>
              </w:rPr>
            </w:pPr>
          </w:p>
        </w:tc>
        <w:tc>
          <w:tcPr>
            <w:tcW w:w="10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55</w:t>
              </w:r>
            </w:hyperlink>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rFonts w:ascii="Arial" w:cs="Arial" w:eastAsia="Arial" w:hAnsi="Arial"/>
                <w:sz w:val="18"/>
                <w:szCs w:val="18"/>
                <w:color w:val="auto"/>
              </w:rPr>
            </w:pPr>
            <w:hyperlink w:anchor="page56">
              <w:r>
                <w:rPr>
                  <w:rFonts w:ascii="Arial" w:cs="Arial" w:eastAsia="Arial" w:hAnsi="Arial"/>
                  <w:sz w:val="18"/>
                  <w:szCs w:val="18"/>
                  <w:color w:val="auto"/>
                </w:rPr>
                <w:t>Item 6.</w:t>
              </w:r>
            </w:hyperlink>
          </w:p>
        </w:tc>
        <w:tc>
          <w:tcPr>
            <w:tcW w:w="1300" w:type="dxa"/>
            <w:vAlign w:val="bottom"/>
            <w:tcBorders>
              <w:top w:val="single" w:sz="8" w:color="0000FF"/>
            </w:tcBorders>
            <w:gridSpan w:val="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Exhibits</w:t>
              </w:r>
            </w:hyperlink>
          </w:p>
        </w:tc>
        <w:tc>
          <w:tcPr>
            <w:tcW w:w="7540" w:type="dxa"/>
            <w:vAlign w:val="bottom"/>
            <w:gridSpan w:val="23"/>
          </w:tcPr>
          <w:p>
            <w:pPr>
              <w:spacing w:after="0"/>
              <w:rPr>
                <w:sz w:val="20"/>
                <w:szCs w:val="20"/>
                <w:color w:val="auto"/>
              </w:rPr>
            </w:pPr>
          </w:p>
        </w:tc>
        <w:tc>
          <w:tcPr>
            <w:tcW w:w="10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56</w:t>
              </w:r>
            </w:hyperlink>
          </w:p>
        </w:tc>
        <w:tc>
          <w:tcPr>
            <w:tcW w:w="0" w:type="dxa"/>
            <w:vAlign w:val="bottom"/>
          </w:tcPr>
          <w:p>
            <w:pPr>
              <w:spacing w:after="0"/>
              <w:rPr>
                <w:sz w:val="1"/>
                <w:szCs w:val="1"/>
                <w:color w:val="auto"/>
              </w:rPr>
            </w:pPr>
          </w:p>
        </w:tc>
      </w:tr>
      <w:tr>
        <w:trPr>
          <w:trHeight w:val="399"/>
        </w:trPr>
        <w:tc>
          <w:tcPr>
            <w:tcW w:w="1360" w:type="dxa"/>
            <w:vAlign w:val="bottom"/>
            <w:gridSpan w:val="2"/>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Signatures</w:t>
              </w:r>
            </w:hyperlink>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6"/>
        </w:trPr>
        <w:tc>
          <w:tcPr>
            <w:tcW w:w="7740" w:type="dxa"/>
            <w:vAlign w:val="bottom"/>
            <w:gridSpan w:val="2"/>
          </w:tcPr>
          <w:p>
            <w:pPr>
              <w:ind w:left="20"/>
              <w:spacing w:after="0"/>
              <w:rPr>
                <w:sz w:val="20"/>
                <w:szCs w:val="20"/>
                <w:color w:val="auto"/>
              </w:rPr>
            </w:pPr>
            <w:r>
              <w:rPr>
                <w:rFonts w:ascii="Arial" w:cs="Arial" w:eastAsia="Arial" w:hAnsi="Arial"/>
                <w:sz w:val="14"/>
                <w:szCs w:val="14"/>
                <w:color w:val="auto"/>
              </w:rPr>
              <w:t>(Thousands, except par value)</w:t>
            </w:r>
          </w:p>
        </w:tc>
        <w:tc>
          <w:tcPr>
            <w:tcW w:w="26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2022</w:t>
            </w:r>
          </w:p>
        </w:tc>
        <w:tc>
          <w:tcPr>
            <w:tcW w:w="180" w:type="dxa"/>
            <w:vAlign w:val="bottom"/>
          </w:tcPr>
          <w:p>
            <w:pPr>
              <w:spacing w:after="0"/>
              <w:rPr>
                <w:sz w:val="18"/>
                <w:szCs w:val="18"/>
                <w:color w:val="auto"/>
              </w:rPr>
            </w:pPr>
          </w:p>
        </w:tc>
        <w:tc>
          <w:tcPr>
            <w:tcW w:w="152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December 31, 2021</w:t>
            </w:r>
          </w:p>
        </w:tc>
      </w:tr>
      <w:tr>
        <w:trPr>
          <w:trHeight w:val="26"/>
        </w:trPr>
        <w:tc>
          <w:tcPr>
            <w:tcW w:w="7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3,615,532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3,508,939</w:t>
            </w:r>
          </w:p>
        </w:tc>
      </w:tr>
      <w:tr>
        <w:trPr>
          <w:trHeight w:val="239"/>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58,903</w:t>
            </w:r>
          </w:p>
        </w:tc>
      </w:tr>
      <w:tr>
        <w:trPr>
          <w:trHeight w:val="22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45,679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38,455</w:t>
            </w:r>
          </w:p>
        </w:tc>
      </w:tr>
      <w:tr>
        <w:trPr>
          <w:trHeight w:val="239"/>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601,878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601,878</w:t>
            </w:r>
          </w:p>
        </w:tc>
      </w:tr>
      <w:tr>
        <w:trPr>
          <w:trHeight w:val="22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349,737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364,630</w:t>
            </w:r>
          </w:p>
        </w:tc>
      </w:tr>
      <w:tr>
        <w:trPr>
          <w:trHeight w:val="239"/>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Straight-line revenue receivable</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41,323</w:t>
            </w:r>
          </w:p>
        </w:tc>
      </w:tr>
      <w:tr>
        <w:trPr>
          <w:trHeight w:val="22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Operating lease right-of-use assets, net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82,162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80,271</w:t>
            </w:r>
          </w:p>
        </w:tc>
      </w:tr>
      <w:tr>
        <w:trPr>
          <w:trHeight w:val="239"/>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38,900</w:t>
            </w:r>
          </w:p>
        </w:tc>
      </w:tr>
      <w:tr>
        <w:trPr>
          <w:trHeight w:val="22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Investment in unconsolidated entities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39,309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64,223</w:t>
            </w:r>
          </w:p>
        </w:tc>
      </w:tr>
      <w:tr>
        <w:trPr>
          <w:trHeight w:val="239"/>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 assets, net</w:t>
            </w:r>
          </w:p>
        </w:tc>
        <w:tc>
          <w:tcPr>
            <w:tcW w:w="2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11,721</w:t>
            </w:r>
          </w:p>
        </w:tc>
      </w:tr>
      <w:tr>
        <w:trPr>
          <w:trHeight w:val="217"/>
        </w:trPr>
        <w:tc>
          <w:tcPr>
            <w:tcW w:w="77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4,955,206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4,809,243</w:t>
            </w:r>
          </w:p>
        </w:tc>
      </w:tr>
      <w:tr>
        <w:trPr>
          <w:trHeight w:val="21"/>
        </w:trPr>
        <w:tc>
          <w:tcPr>
            <w:tcW w:w="7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09"/>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Deficit:</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220"/>
        </w:trPr>
        <w:tc>
          <w:tcPr>
            <w:tcW w:w="774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9"/>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Accounts payable, accrued expenses and other liabilities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131,073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86,868</w:t>
            </w:r>
          </w:p>
        </w:tc>
      </w:tr>
      <w:tr>
        <w:trPr>
          <w:trHeight w:val="22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Settlement payable (Note 13)</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245,171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239,384</w:t>
            </w:r>
          </w:p>
        </w:tc>
      </w:tr>
      <w:tr>
        <w:trPr>
          <w:trHeight w:val="239"/>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Intangible liabilities, net</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177,786</w:t>
            </w:r>
          </w:p>
        </w:tc>
      </w:tr>
      <w:tr>
        <w:trPr>
          <w:trHeight w:val="22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Accrued interest payable</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131,080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109,826</w:t>
            </w:r>
          </w:p>
        </w:tc>
      </w:tr>
      <w:tr>
        <w:trPr>
          <w:trHeight w:val="239"/>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1,170,004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1,134,236</w:t>
            </w:r>
          </w:p>
        </w:tc>
      </w:tr>
      <w:tr>
        <w:trPr>
          <w:trHeight w:val="22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Derivative liability, net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10,413</w:t>
            </w:r>
          </w:p>
        </w:tc>
      </w:tr>
      <w:tr>
        <w:trPr>
          <w:trHeight w:val="239"/>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Dividends payable</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r>
      <w:tr>
        <w:trPr>
          <w:trHeight w:val="22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Operating lease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60,829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57,355</w:t>
            </w:r>
          </w:p>
        </w:tc>
      </w:tr>
      <w:tr>
        <w:trPr>
          <w:trHeight w:val="239"/>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Finance lease obligations</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15,348</w:t>
            </w:r>
          </w:p>
        </w:tc>
      </w:tr>
      <w:tr>
        <w:trPr>
          <w:trHeight w:val="223"/>
        </w:trPr>
        <w:tc>
          <w:tcPr>
            <w:tcW w:w="7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Notes and other debt, net</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5,099,782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5,090,537</w:t>
            </w:r>
          </w:p>
        </w:tc>
      </w:tr>
      <w:tr>
        <w:trPr>
          <w:trHeight w:val="223"/>
        </w:trPr>
        <w:tc>
          <w:tcPr>
            <w:tcW w:w="77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7,030,404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6,923,017</w:t>
            </w:r>
          </w:p>
        </w:tc>
      </w:tr>
      <w:tr>
        <w:trPr>
          <w:trHeight w:val="149"/>
        </w:trPr>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13)</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162"/>
        </w:trPr>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30"/>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 Deficit: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Preferred stock, $0.0001 par value, 50,000 shares authorized, no shares issued and outstanding</w:t>
            </w: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2"/>
              </w:rPr>
              <w:t>Common stock, $0.0001 par value, 500,000 shares authorized, issued and outstanding: 235,700 shares at June 30,</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26"/>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2022 and 234,779 at December 31, 2021</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2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1,224,427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1,214,830</w:t>
            </w:r>
          </w:p>
        </w:tc>
      </w:tr>
      <w:tr>
        <w:trPr>
          <w:trHeight w:val="239"/>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w:t>
            </w:r>
          </w:p>
        </w:tc>
      </w:tr>
      <w:tr>
        <w:trPr>
          <w:trHeight w:val="223"/>
        </w:trPr>
        <w:tc>
          <w:tcPr>
            <w:tcW w:w="7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Distributions in excess of accumulated earnings</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(3,298,455)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(3,333,481)</w:t>
            </w:r>
          </w:p>
        </w:tc>
      </w:tr>
      <w:tr>
        <w:trPr>
          <w:trHeight w:val="230"/>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Uniti shareholders' deficit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(2,127,792)</w:t>
            </w:r>
          </w:p>
        </w:tc>
      </w:tr>
      <w:tr>
        <w:trPr>
          <w:trHeight w:val="22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Noncontrolling interests: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9"/>
        </w:trPr>
        <w:tc>
          <w:tcPr>
            <w:tcW w:w="77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Operating partnership units</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13,893</w:t>
            </w:r>
          </w:p>
        </w:tc>
      </w:tr>
      <w:tr>
        <w:trPr>
          <w:trHeight w:val="179"/>
        </w:trPr>
        <w:tc>
          <w:tcPr>
            <w:tcW w:w="7740" w:type="dxa"/>
            <w:vAlign w:val="bottom"/>
            <w:gridSpan w:val="2"/>
          </w:tcPr>
          <w:p>
            <w:pPr>
              <w:ind w:left="360"/>
              <w:spacing w:after="0" w:line="179" w:lineRule="exact"/>
              <w:rPr>
                <w:sz w:val="20"/>
                <w:szCs w:val="20"/>
                <w:color w:val="auto"/>
              </w:rPr>
            </w:pPr>
            <w:r>
              <w:rPr>
                <w:rFonts w:ascii="Arial" w:cs="Arial" w:eastAsia="Arial" w:hAnsi="Arial"/>
                <w:sz w:val="16"/>
                <w:szCs w:val="16"/>
                <w:color w:val="auto"/>
              </w:rPr>
              <w:t>Cumulative non-voting convertible preferred stock, $0.01 par value, 6 shares authorized, 3 issued and</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19"/>
        </w:trPr>
        <w:tc>
          <w:tcPr>
            <w:tcW w:w="774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outstanding</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r>
      <w:tr>
        <w:trPr>
          <w:trHeight w:val="229"/>
        </w:trPr>
        <w:tc>
          <w:tcPr>
            <w:tcW w:w="77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shareholders' deficit</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(2,075,198)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(2,113,774)</w:t>
            </w:r>
          </w:p>
        </w:tc>
      </w:tr>
      <w:tr>
        <w:trPr>
          <w:trHeight w:val="216"/>
        </w:trPr>
        <w:tc>
          <w:tcPr>
            <w:tcW w:w="77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Liabilities and Shareholders' Deficit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4,955,206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4,809,243</w:t>
            </w:r>
          </w:p>
        </w:tc>
      </w:tr>
      <w:tr>
        <w:trPr>
          <w:trHeight w:val="27"/>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0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 except per share data)</w:t>
            </w: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Leasing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205,614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196,057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410,255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390,993</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Fiber Infrastructure</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72,123</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151,754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149,773</w:t>
            </w:r>
          </w:p>
        </w:tc>
        <w:tc>
          <w:tcPr>
            <w:tcW w:w="0" w:type="dxa"/>
            <w:vAlign w:val="bottom"/>
          </w:tcPr>
          <w:p>
            <w:pPr>
              <w:spacing w:after="0"/>
              <w:rPr>
                <w:sz w:val="1"/>
                <w:szCs w:val="1"/>
                <w:color w:val="auto"/>
              </w:rPr>
            </w:pPr>
          </w:p>
        </w:tc>
      </w:tr>
      <w:tr>
        <w:trPr>
          <w:trHeight w:val="243"/>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283,975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268,180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540,766</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106,388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192,549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246,969</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140,635</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50,723</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Operating expense (exclusive of depreciation and amortization)</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71,269</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Transaction related and other costs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real estate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Gain on sale of operations</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(28,143)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(28,143)</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225,737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214,004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494,047</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0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before income taxes and equity in earnings from</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60" w:type="dxa"/>
            <w:vAlign w:val="bottom"/>
            <w:gridSpan w:val="2"/>
          </w:tcPr>
          <w:p>
            <w:pPr>
              <w:ind w:left="20"/>
              <w:spacing w:after="0"/>
              <w:rPr>
                <w:sz w:val="20"/>
                <w:szCs w:val="20"/>
                <w:color w:val="auto"/>
              </w:rPr>
            </w:pPr>
            <w:r>
              <w:rPr>
                <w:rFonts w:ascii="Arial" w:cs="Arial" w:eastAsia="Arial" w:hAnsi="Arial"/>
                <w:sz w:val="18"/>
                <w:szCs w:val="18"/>
                <w:b w:val="1"/>
                <w:bCs w:val="1"/>
                <w:color w:val="auto"/>
              </w:rPr>
              <w:t>unconsolidated entities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54,176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108,481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46,719</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Equity in earnings from unconsolidated entities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45,137</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shareholders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44,469</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Participating securities' share in earnings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Dividends declared on convertible preferred stock</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48,572</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105,746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43,883</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per common share: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gridSpan w:val="2"/>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Weighted-average number of common shares outstanding:</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235,656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231,801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235,352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231,636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gridSpan w:val="2"/>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267,361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262,268</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267,045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231,862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0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6"/>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45,137</w:t>
            </w: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 termination</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w:t>
            </w:r>
          </w:p>
        </w:tc>
      </w:tr>
      <w:tr>
        <w:trPr>
          <w:trHeight w:val="243"/>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w:t>
            </w:r>
          </w:p>
        </w:tc>
      </w:tr>
      <w:tr>
        <w:trPr>
          <w:trHeight w:val="25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112,291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50,795</w:t>
            </w:r>
          </w:p>
        </w:tc>
      </w:tr>
      <w:tr>
        <w:trPr>
          <w:trHeight w:val="250"/>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Comprehensive income attributable to noncontrolling interest</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r>
      <w:tr>
        <w:trPr>
          <w:trHeight w:val="27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shareholders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112,075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line="53" w:lineRule="exact"/>
        <w:rPr>
          <w:sz w:val="20"/>
          <w:szCs w:val="20"/>
          <w:color w:val="auto"/>
        </w:rPr>
      </w:pPr>
    </w:p>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7"/>
          </w:tcPr>
          <w:p>
            <w:pPr>
              <w:ind w:left="60"/>
              <w:spacing w:after="0"/>
              <w:rPr>
                <w:sz w:val="20"/>
                <w:szCs w:val="20"/>
                <w:color w:val="auto"/>
              </w:rPr>
            </w:pPr>
            <w:r>
              <w:rPr>
                <w:rFonts w:ascii="Arial" w:cs="Arial" w:eastAsia="Arial" w:hAnsi="Arial"/>
                <w:sz w:val="14"/>
                <w:szCs w:val="14"/>
                <w:b w:val="1"/>
                <w:bCs w:val="1"/>
                <w:color w:val="auto"/>
              </w:rPr>
              <w:t>For the Three Months Ended June 30,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4"/>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Distributions</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color w:val="auto"/>
                <w:w w:val="98"/>
              </w:rPr>
              <w:t>Noncontrolling</w:t>
            </w:r>
          </w:p>
        </w:tc>
        <w:tc>
          <w:tcPr>
            <w:tcW w:w="820" w:type="dxa"/>
            <w:vAlign w:val="bottom"/>
          </w:tcPr>
          <w:p>
            <w:pPr>
              <w:spacing w:after="0"/>
              <w:rPr>
                <w:sz w:val="14"/>
                <w:szCs w:val="14"/>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Accumulated</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rPr>
              <w:t>in</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Interest - Non-</w:t>
            </w:r>
          </w:p>
        </w:tc>
        <w:tc>
          <w:tcPr>
            <w:tcW w:w="820" w:type="dxa"/>
            <w:vAlign w:val="bottom"/>
          </w:tcPr>
          <w:p>
            <w:pPr>
              <w:spacing w:after="0"/>
              <w:rPr>
                <w:sz w:val="14"/>
                <w:szCs w:val="14"/>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Additional</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Other</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Excess of</w:t>
            </w:r>
          </w:p>
        </w:tc>
        <w:tc>
          <w:tcPr>
            <w:tcW w:w="1000" w:type="dxa"/>
            <w:vAlign w:val="bottom"/>
            <w:gridSpan w:val="3"/>
          </w:tcPr>
          <w:p>
            <w:pPr>
              <w:ind w:left="20"/>
              <w:spacing w:after="0"/>
              <w:rPr>
                <w:sz w:val="20"/>
                <w:szCs w:val="20"/>
                <w:color w:val="auto"/>
              </w:rPr>
            </w:pPr>
            <w:r>
              <w:rPr>
                <w:rFonts w:ascii="Arial" w:cs="Arial" w:eastAsia="Arial" w:hAnsi="Arial"/>
                <w:sz w:val="14"/>
                <w:szCs w:val="14"/>
                <w:color w:val="auto"/>
              </w:rPr>
              <w:t>Noncontrolling</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voting</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Total</w:t>
            </w: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Paid-in</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Comprehensive</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Interest - OP</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Preferred</w:t>
            </w: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Shareholders'</w:t>
            </w: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(Thousands, except share data)</w:t>
            </w:r>
          </w:p>
        </w:tc>
        <w:tc>
          <w:tcPr>
            <w:tcW w:w="1440" w:type="dxa"/>
            <w:vAlign w:val="bottom"/>
            <w:gridSpan w:val="5"/>
          </w:tcPr>
          <w:p>
            <w:pPr>
              <w:ind w:left="220"/>
              <w:spacing w:after="0"/>
              <w:rPr>
                <w:sz w:val="20"/>
                <w:szCs w:val="20"/>
                <w:color w:val="auto"/>
              </w:rPr>
            </w:pPr>
            <w:r>
              <w:rPr>
                <w:rFonts w:ascii="Arial" w:cs="Arial" w:eastAsia="Arial" w:hAnsi="Arial"/>
                <w:sz w:val="14"/>
                <w:szCs w:val="14"/>
                <w:color w:val="auto"/>
              </w:rPr>
              <w:t>Preferred Stock</w:t>
            </w:r>
          </w:p>
        </w:tc>
        <w:tc>
          <w:tcPr>
            <w:tcW w:w="1620" w:type="dxa"/>
            <w:vAlign w:val="bottom"/>
            <w:gridSpan w:val="5"/>
          </w:tcPr>
          <w:p>
            <w:pPr>
              <w:ind w:left="32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Capital</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Loss</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Earnings</w:t>
            </w:r>
          </w:p>
        </w:tc>
        <w:tc>
          <w:tcPr>
            <w:tcW w:w="8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color w:val="auto"/>
              </w:rPr>
              <w:t>Units</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Shares</w:t>
            </w:r>
          </w:p>
        </w:tc>
        <w:tc>
          <w:tcPr>
            <w:tcW w:w="820" w:type="dxa"/>
            <w:vAlign w:val="bottom"/>
          </w:tcPr>
          <w:p>
            <w:pPr>
              <w:jc w:val="center"/>
              <w:spacing w:after="0"/>
              <w:rPr>
                <w:sz w:val="20"/>
                <w:szCs w:val="20"/>
                <w:color w:val="auto"/>
              </w:rPr>
            </w:pPr>
            <w:r>
              <w:rPr>
                <w:rFonts w:ascii="Arial" w:cs="Arial" w:eastAsia="Arial" w:hAnsi="Arial"/>
                <w:sz w:val="14"/>
                <w:szCs w:val="14"/>
                <w:color w:val="auto"/>
              </w:rPr>
              <w:t>Deficit</w:t>
            </w:r>
          </w:p>
        </w:tc>
      </w:tr>
      <w:tr>
        <w:trPr>
          <w:trHeight w:val="26"/>
        </w:trPr>
        <w:tc>
          <w:tcPr>
            <w:tcW w:w="2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4"/>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Amount</w:t>
            </w:r>
          </w:p>
        </w:tc>
        <w:tc>
          <w:tcPr>
            <w:tcW w:w="900" w:type="dxa"/>
            <w:vAlign w:val="bottom"/>
            <w:gridSpan w:val="2"/>
          </w:tcPr>
          <w:p>
            <w:pPr>
              <w:ind w:left="2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1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March 31, 2021</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231,694,203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1,150,550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 (3,355,423)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 (2,153,690)</w:t>
            </w:r>
          </w:p>
        </w:tc>
      </w:tr>
      <w:tr>
        <w:trPr>
          <w:trHeight w:val="19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48,907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49,639</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2,788</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2,829</w:t>
            </w: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Common stock dividends declared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($0.15 per share)</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(34,855)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(34,855)</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declared</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w:t>
            </w: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Payments related to tax withholding for</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(336)</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110,718</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3,462</w:t>
            </w: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Issuance of common stock - employee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stock purchase plan</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6"/>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231,804,921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1,153,707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(3,341,371)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(2,133,440)</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March 31, 2022</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235,297,990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1,220,039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 (3,316,781)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 (2,092,022)</w:t>
            </w:r>
          </w:p>
        </w:tc>
      </w:tr>
      <w:tr>
        <w:trPr>
          <w:trHeight w:val="19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53,697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53,774</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2,825</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2,829</w:t>
            </w: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Common stock dividends declared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($0.15 per share)</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(35,371)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(35,371)</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declared</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19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Exchange of noncontrolling interest</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86,949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4,099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(4,620)</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Payments related to tax withholding for</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(2,911)</w:t>
            </w:r>
          </w:p>
        </w:tc>
      </w:tr>
      <w:tr>
        <w:trPr>
          <w:trHeight w:val="19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314,574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3,201</w:t>
            </w:r>
          </w:p>
        </w:tc>
      </w:tr>
      <w:tr>
        <w:trPr>
          <w:trHeight w:val="25"/>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235,699,513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1,224,427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(3,298,455)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(2,075,198)</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7"/>
          </w:tcPr>
          <w:p>
            <w:pPr>
              <w:ind w:left="140"/>
              <w:spacing w:after="0"/>
              <w:rPr>
                <w:sz w:val="20"/>
                <w:szCs w:val="20"/>
                <w:color w:val="auto"/>
              </w:rPr>
            </w:pPr>
            <w:r>
              <w:rPr>
                <w:rFonts w:ascii="Arial" w:cs="Arial" w:eastAsia="Arial" w:hAnsi="Arial"/>
                <w:sz w:val="14"/>
                <w:szCs w:val="14"/>
                <w:b w:val="1"/>
                <w:bCs w:val="1"/>
                <w:color w:val="auto"/>
              </w:rPr>
              <w:t>For the Six Months Ended June 30,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4"/>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Distributions</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color w:val="auto"/>
                <w:w w:val="98"/>
              </w:rPr>
              <w:t>Noncontrolling</w:t>
            </w:r>
          </w:p>
        </w:tc>
        <w:tc>
          <w:tcPr>
            <w:tcW w:w="820" w:type="dxa"/>
            <w:vAlign w:val="bottom"/>
          </w:tcPr>
          <w:p>
            <w:pPr>
              <w:spacing w:after="0"/>
              <w:rPr>
                <w:sz w:val="14"/>
                <w:szCs w:val="14"/>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Accumulated</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rPr>
              <w:t>in</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Interest - Non-</w:t>
            </w:r>
          </w:p>
        </w:tc>
        <w:tc>
          <w:tcPr>
            <w:tcW w:w="820" w:type="dxa"/>
            <w:vAlign w:val="bottom"/>
          </w:tcPr>
          <w:p>
            <w:pPr>
              <w:spacing w:after="0"/>
              <w:rPr>
                <w:sz w:val="14"/>
                <w:szCs w:val="14"/>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Additional</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Other</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Excess of</w:t>
            </w:r>
          </w:p>
        </w:tc>
        <w:tc>
          <w:tcPr>
            <w:tcW w:w="1000" w:type="dxa"/>
            <w:vAlign w:val="bottom"/>
            <w:gridSpan w:val="3"/>
          </w:tcPr>
          <w:p>
            <w:pPr>
              <w:ind w:left="20"/>
              <w:spacing w:after="0"/>
              <w:rPr>
                <w:sz w:val="20"/>
                <w:szCs w:val="20"/>
                <w:color w:val="auto"/>
              </w:rPr>
            </w:pPr>
            <w:r>
              <w:rPr>
                <w:rFonts w:ascii="Arial" w:cs="Arial" w:eastAsia="Arial" w:hAnsi="Arial"/>
                <w:sz w:val="14"/>
                <w:szCs w:val="14"/>
                <w:color w:val="auto"/>
              </w:rPr>
              <w:t>Noncontrolling</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voting</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Total</w:t>
            </w: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Paid-in</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Comprehensive</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Interest - OP</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Preferred</w:t>
            </w: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Shareholders'</w:t>
            </w: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(Thousands, except share data)</w:t>
            </w:r>
          </w:p>
        </w:tc>
        <w:tc>
          <w:tcPr>
            <w:tcW w:w="1440" w:type="dxa"/>
            <w:vAlign w:val="bottom"/>
            <w:gridSpan w:val="5"/>
          </w:tcPr>
          <w:p>
            <w:pPr>
              <w:ind w:left="220"/>
              <w:spacing w:after="0"/>
              <w:rPr>
                <w:sz w:val="20"/>
                <w:szCs w:val="20"/>
                <w:color w:val="auto"/>
              </w:rPr>
            </w:pPr>
            <w:r>
              <w:rPr>
                <w:rFonts w:ascii="Arial" w:cs="Arial" w:eastAsia="Arial" w:hAnsi="Arial"/>
                <w:sz w:val="14"/>
                <w:szCs w:val="14"/>
                <w:color w:val="auto"/>
              </w:rPr>
              <w:t>Preferred Stock</w:t>
            </w:r>
          </w:p>
        </w:tc>
        <w:tc>
          <w:tcPr>
            <w:tcW w:w="1620" w:type="dxa"/>
            <w:vAlign w:val="bottom"/>
            <w:gridSpan w:val="5"/>
          </w:tcPr>
          <w:p>
            <w:pPr>
              <w:ind w:left="32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Capital</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Loss</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Earnings</w:t>
            </w:r>
          </w:p>
        </w:tc>
        <w:tc>
          <w:tcPr>
            <w:tcW w:w="8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color w:val="auto"/>
              </w:rPr>
              <w:t>Units</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Shares</w:t>
            </w:r>
          </w:p>
        </w:tc>
        <w:tc>
          <w:tcPr>
            <w:tcW w:w="820" w:type="dxa"/>
            <w:vAlign w:val="bottom"/>
          </w:tcPr>
          <w:p>
            <w:pPr>
              <w:jc w:val="center"/>
              <w:spacing w:after="0"/>
              <w:rPr>
                <w:sz w:val="20"/>
                <w:szCs w:val="20"/>
                <w:color w:val="auto"/>
              </w:rPr>
            </w:pPr>
            <w:r>
              <w:rPr>
                <w:rFonts w:ascii="Arial" w:cs="Arial" w:eastAsia="Arial" w:hAnsi="Arial"/>
                <w:sz w:val="14"/>
                <w:szCs w:val="14"/>
                <w:color w:val="auto"/>
              </w:rPr>
              <w:t>Deficit</w:t>
            </w:r>
          </w:p>
        </w:tc>
      </w:tr>
      <w:tr>
        <w:trPr>
          <w:trHeight w:val="25"/>
        </w:trPr>
        <w:tc>
          <w:tcPr>
            <w:tcW w:w="2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4"/>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Amount</w:t>
            </w:r>
          </w:p>
        </w:tc>
        <w:tc>
          <w:tcPr>
            <w:tcW w:w="900" w:type="dxa"/>
            <w:vAlign w:val="bottom"/>
            <w:gridSpan w:val="2"/>
          </w:tcPr>
          <w:p>
            <w:pPr>
              <w:ind w:left="2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1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231,261,958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1,209,141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(20,367)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 (3,330,455)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 (2,072,376)</w:t>
            </w: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Cumulative effect adjustment for</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adoption of new accounting standard</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(59,908)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14,598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(45,310)</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44,469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45,137</w:t>
            </w:r>
          </w:p>
        </w:tc>
      </w:tr>
      <w:tr>
        <w:trPr>
          <w:trHeight w:val="191"/>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5,575</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5,658</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dividends declared</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($0.30 per share)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(69,983)</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(69,983)</w:t>
            </w: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declared</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(1,040)</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Payments related to tax withholding for</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(2,642)</w:t>
            </w:r>
          </w:p>
        </w:tc>
      </w:tr>
      <w:tr>
        <w:trPr>
          <w:trHeight w:val="191"/>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507,199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6,797</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 employee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0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 purchase plan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35,764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w:t>
            </w: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Balance at June 30 2021</w:t>
            </w:r>
          </w:p>
        </w:tc>
        <w:tc>
          <w:tcPr>
            <w:tcW w:w="6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231,804,921</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1,153,707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(14,792)</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(3,341,371)</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68,868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(2,133,440)</w:t>
            </w: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2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Balance at December 31, 2021</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w w:val="95"/>
              </w:rPr>
              <w:t>234,779,247</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1,214,830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(9,164)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93"/>
              </w:rPr>
              <w:t>$ (3,333,481)</w:t>
            </w:r>
          </w:p>
        </w:tc>
        <w:tc>
          <w:tcPr>
            <w:tcW w:w="8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13,893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93"/>
              </w:rPr>
              <w:t>$ (2,113,774)</w:t>
            </w:r>
          </w:p>
        </w:tc>
      </w:tr>
      <w:tr>
        <w:trPr>
          <w:trHeight w:val="20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106,427</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106,632</w:t>
            </w:r>
          </w:p>
        </w:tc>
      </w:tr>
      <w:tr>
        <w:trPr>
          <w:trHeight w:val="19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5,648</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5,659</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dividends declared</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($0.30 per share)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(71,276)</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(71,276)</w:t>
            </w: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declared</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Cumulative non-voting convertible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preferred stock</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Exchange of noncontrolling interest</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244,682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(4,620)</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Payments related to tax withholding for</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(4,436)</w:t>
            </w:r>
          </w:p>
        </w:tc>
      </w:tr>
      <w:tr>
        <w:trPr>
          <w:trHeight w:val="19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646,260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6,513</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 employee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0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 purchase plan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29,324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w:t>
            </w:r>
          </w:p>
        </w:tc>
      </w:tr>
      <w:tr>
        <w:trPr>
          <w:trHeight w:val="209"/>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Balance at June 30, 2022</w:t>
            </w:r>
          </w:p>
        </w:tc>
        <w:tc>
          <w:tcPr>
            <w:tcW w:w="6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235,699,513</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1,224,427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(3,516)</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(3,298,455)</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(2,075,198)</w:t>
            </w:r>
          </w:p>
        </w:tc>
      </w:tr>
      <w:tr>
        <w:trPr>
          <w:trHeight w:val="20"/>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91" w:orient="portrait"/>
          <w:cols w:equalWidth="0" w:num="1">
            <w:col w:w="11240"/>
          </w:cols>
          <w:pgMar w:left="320" w:top="125" w:right="33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98425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3"/>
                <w:szCs w:val="13"/>
                <w:b w:val="1"/>
                <w:bCs w:val="1"/>
                <w:color w:val="auto"/>
              </w:rPr>
              <w:t>Six Months Ended June 30,</w:t>
            </w:r>
          </w:p>
        </w:tc>
      </w:tr>
      <w:tr>
        <w:trPr>
          <w:trHeight w:val="183"/>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(Thousands)</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2021</w:t>
            </w:r>
          </w:p>
        </w:tc>
      </w:tr>
      <w:tr>
        <w:trPr>
          <w:trHeight w:val="18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Cash flow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1"/>
        </w:trPr>
        <w:tc>
          <w:tcPr>
            <w:tcW w:w="818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106,632</w:t>
            </w:r>
          </w:p>
        </w:tc>
        <w:tc>
          <w:tcPr>
            <w:tcW w:w="100" w:type="dxa"/>
            <w:vAlign w:val="bottom"/>
          </w:tcPr>
          <w:p>
            <w:pPr>
              <w:spacing w:after="0"/>
              <w:rPr>
                <w:sz w:val="15"/>
                <w:szCs w:val="15"/>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45,137</w:t>
            </w:r>
          </w:p>
        </w:tc>
      </w:tr>
      <w:tr>
        <w:trPr>
          <w:trHeight w:val="19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143,760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140,635</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Amortization of deferred financing costs and debt discount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9,371</w:t>
            </w: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Loss on debt extinguishment</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43,369</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Interest rate swap termination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5,658</w:t>
            </w: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Deferred income taxes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(7,185)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605</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Equity in earnings of unconsolidated entities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w:t>
            </w: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Distributions of cumulative earnings from unconsolidated entities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1,969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1,950</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Cash paid for interest rate swap settlement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(6,110)</w:t>
            </w: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Straight-line revenues and amortization of below-market lease intangibles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(21,148)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(14,215)</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Stock-based compensation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6,797</w:t>
            </w: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Change in fair value of contingent consideration</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Gain on sale of unconsolidated entity (see Note 5)</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Gain on sale of real estate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(442)</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Gain on sale of operations</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(28,143)</w:t>
            </w: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Loss (gain) on asset disposals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(218)</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Accretion of settlement obligation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8,889</w:t>
            </w: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Other</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143</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Changes in assets and liabilities, net of acquisitions: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1"/>
        </w:trPr>
        <w:tc>
          <w:tcPr>
            <w:tcW w:w="8180" w:type="dxa"/>
            <w:vAlign w:val="bottom"/>
            <w:gridSpan w:val="2"/>
          </w:tcPr>
          <w:p>
            <w:pPr>
              <w:ind w:left="360"/>
              <w:spacing w:after="0"/>
              <w:rPr>
                <w:sz w:val="20"/>
                <w:szCs w:val="20"/>
                <w:color w:val="auto"/>
              </w:rPr>
            </w:pPr>
            <w:r>
              <w:rPr>
                <w:rFonts w:ascii="Arial" w:cs="Arial" w:eastAsia="Arial" w:hAnsi="Arial"/>
                <w:sz w:val="13"/>
                <w:szCs w:val="13"/>
                <w:color w:val="auto"/>
              </w:rPr>
              <w:t>Accounts receivable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(7,224)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19,965</w:t>
            </w:r>
          </w:p>
        </w:tc>
      </w:tr>
      <w:tr>
        <w:trPr>
          <w:trHeight w:val="197"/>
        </w:trPr>
        <w:tc>
          <w:tcPr>
            <w:tcW w:w="81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Other assets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39,019</w:t>
            </w:r>
          </w:p>
        </w:tc>
      </w:tr>
      <w:tr>
        <w:trPr>
          <w:trHeight w:val="183"/>
        </w:trPr>
        <w:tc>
          <w:tcPr>
            <w:tcW w:w="8180" w:type="dxa"/>
            <w:vAlign w:val="bottom"/>
            <w:tcBorders>
              <w:bottom w:val="single" w:sz="8" w:color="CCEEFF"/>
            </w:tcBorders>
            <w:gridSpan w:val="2"/>
          </w:tcPr>
          <w:p>
            <w:pPr>
              <w:ind w:left="360"/>
              <w:spacing w:after="0"/>
              <w:rPr>
                <w:sz w:val="20"/>
                <w:szCs w:val="20"/>
                <w:color w:val="auto"/>
              </w:rPr>
            </w:pPr>
            <w:r>
              <w:rPr>
                <w:rFonts w:ascii="Arial" w:cs="Arial" w:eastAsia="Arial" w:hAnsi="Arial"/>
                <w:sz w:val="13"/>
                <w:szCs w:val="13"/>
                <w:color w:val="auto"/>
              </w:rPr>
              <w:t>Accounts payable, accrued expenses and other liabilities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46,991</w:t>
            </w:r>
          </w:p>
        </w:tc>
      </w:tr>
      <w:tr>
        <w:trPr>
          <w:trHeight w:val="18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234,608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318,477</w:t>
            </w:r>
          </w:p>
        </w:tc>
      </w:tr>
      <w:tr>
        <w:trPr>
          <w:trHeight w:val="181"/>
        </w:trPr>
        <w:tc>
          <w:tcPr>
            <w:tcW w:w="8180" w:type="dxa"/>
            <w:vAlign w:val="bottom"/>
            <w:gridSpan w:val="2"/>
          </w:tcPr>
          <w:p>
            <w:pPr>
              <w:ind w:left="20"/>
              <w:spacing w:after="0"/>
              <w:rPr>
                <w:sz w:val="20"/>
                <w:szCs w:val="20"/>
                <w:color w:val="auto"/>
              </w:rPr>
            </w:pPr>
            <w:r>
              <w:rPr>
                <w:rFonts w:ascii="Arial" w:cs="Arial" w:eastAsia="Arial" w:hAnsi="Arial"/>
                <w:sz w:val="13"/>
                <w:szCs w:val="13"/>
                <w:b w:val="1"/>
                <w:bCs w:val="1"/>
                <w:color w:val="auto"/>
              </w:rPr>
              <w:t>Cash flow from investing activities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Capital expenditures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(184,039)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(177,934)</w:t>
            </w: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Proceeds from sale of unconsolidated entity (see Note 5)</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32,527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Proceeds from sale of real estate, net of cash</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w:t>
            </w: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Proceeds from sale of operations</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62,113</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Proceeds from sale of other equipment</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w:t>
            </w:r>
          </w:p>
        </w:tc>
      </w:tr>
      <w:tr>
        <w:trPr>
          <w:trHeight w:val="175"/>
        </w:trPr>
        <w:tc>
          <w:tcPr>
            <w:tcW w:w="8180" w:type="dxa"/>
            <w:vAlign w:val="bottom"/>
            <w:gridSpan w:val="2"/>
          </w:tcPr>
          <w:p>
            <w:pPr>
              <w:ind w:left="20"/>
              <w:spacing w:after="0"/>
              <w:rPr>
                <w:sz w:val="20"/>
                <w:szCs w:val="20"/>
                <w:color w:val="auto"/>
              </w:rPr>
            </w:pPr>
            <w:r>
              <w:rPr>
                <w:rFonts w:ascii="Arial" w:cs="Arial" w:eastAsia="Arial" w:hAnsi="Arial"/>
                <w:sz w:val="13"/>
                <w:szCs w:val="13"/>
                <w:color w:val="auto"/>
              </w:rPr>
              <w:t>Net cash used in investing activities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(150,756)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(114,388)</w:t>
            </w:r>
          </w:p>
        </w:tc>
      </w:tr>
      <w:tr>
        <w:trPr>
          <w:trHeight w:val="19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Cash flow from financing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Repayment of debt</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(1,660,000)</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Proceeds from issuance of notes</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1,680,000</w:t>
            </w: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Dividends paid</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(71,771)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(70,386)</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Payments of settlement payable</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(49,011)</w:t>
            </w: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Payments of contingent consideration</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(2,979)</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Distributions paid to noncontrolling interest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w:t>
            </w: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Payment for exchange of noncontrolling interest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(4,620)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Borrowings under revolving credit facility</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205,000</w:t>
            </w: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Payments under revolving credit facility</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(105,000)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(220,000)</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Finance lease payments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(1,393)</w:t>
            </w: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Payments for financing costs</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(25,156)</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Payment of tender premium</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(25,800)</w:t>
            </w:r>
          </w:p>
        </w:tc>
      </w:tr>
      <w:tr>
        <w:trPr>
          <w:trHeight w:val="181"/>
        </w:trPr>
        <w:tc>
          <w:tcPr>
            <w:tcW w:w="8180" w:type="dxa"/>
            <w:vAlign w:val="bottom"/>
            <w:gridSpan w:val="2"/>
          </w:tcPr>
          <w:p>
            <w:pPr>
              <w:ind w:left="180"/>
              <w:spacing w:after="0"/>
              <w:rPr>
                <w:sz w:val="20"/>
                <w:szCs w:val="20"/>
                <w:color w:val="auto"/>
              </w:rPr>
            </w:pPr>
            <w:r>
              <w:rPr>
                <w:rFonts w:ascii="Arial" w:cs="Arial" w:eastAsia="Arial" w:hAnsi="Arial"/>
                <w:sz w:val="13"/>
                <w:szCs w:val="13"/>
                <w:color w:val="auto"/>
              </w:rPr>
              <w:t>Employee stock purchase program</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319</w:t>
            </w:r>
          </w:p>
        </w:tc>
      </w:tr>
      <w:tr>
        <w:trPr>
          <w:trHeight w:val="197"/>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Payments related to tax withholding for stock-based compensation</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(4,436)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(2,642)</w:t>
            </w:r>
          </w:p>
        </w:tc>
      </w:tr>
      <w:tr>
        <w:trPr>
          <w:trHeight w:val="175"/>
        </w:trPr>
        <w:tc>
          <w:tcPr>
            <w:tcW w:w="8180" w:type="dxa"/>
            <w:vAlign w:val="bottom"/>
            <w:gridSpan w:val="2"/>
          </w:tcPr>
          <w:p>
            <w:pPr>
              <w:ind w:left="20"/>
              <w:spacing w:after="0"/>
              <w:rPr>
                <w:sz w:val="20"/>
                <w:szCs w:val="20"/>
                <w:color w:val="auto"/>
              </w:rPr>
            </w:pPr>
            <w:r>
              <w:rPr>
                <w:rFonts w:ascii="Arial" w:cs="Arial" w:eastAsia="Arial" w:hAnsi="Arial"/>
                <w:sz w:val="13"/>
                <w:szCs w:val="13"/>
                <w:color w:val="auto"/>
              </w:rPr>
              <w:t>Net cash used in financing activities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(81,350)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(173,087)</w:t>
            </w:r>
          </w:p>
        </w:tc>
      </w:tr>
      <w:tr>
        <w:trPr>
          <w:trHeight w:val="197"/>
        </w:trPr>
        <w:tc>
          <w:tcPr>
            <w:tcW w:w="8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3"/>
          <w:szCs w:val="13"/>
          <w:color w:val="auto"/>
        </w:rPr>
        <w:t>Net increase in cash and cash equivalents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0"/>
          <w:szCs w:val="10"/>
          <w:color w:val="auto"/>
        </w:rPr>
        <w:t>Cash and cash equivalents at beginning of period</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5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2,502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31,002</w:t>
            </w:r>
          </w:p>
        </w:tc>
      </w:tr>
      <w:tr>
        <w:trPr>
          <w:trHeight w:val="199"/>
        </w:trPr>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58,903</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77,534</w:t>
            </w:r>
          </w:p>
        </w:tc>
      </w:tr>
      <w:tr>
        <w:trPr>
          <w:trHeight w:val="183"/>
        </w:trPr>
        <w:tc>
          <w:tcPr>
            <w:tcW w:w="58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61,405</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108,536</w:t>
            </w:r>
          </w:p>
        </w:tc>
      </w:tr>
      <w:tr>
        <w:trPr>
          <w:trHeight w:val="27"/>
        </w:trPr>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-281940</wp:posOffset>
            </wp:positionV>
            <wp:extent cx="713232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-16510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60" w:space="720"/>
            <w:col w:w="3060"/>
          </w:cols>
          <w:pgMar w:left="320" w:top="125" w:right="3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40" w:type="dxa"/>
            <w:vAlign w:val="bottom"/>
          </w:tcPr>
          <w:p>
            <w:pPr>
              <w:ind w:left="20"/>
              <w:spacing w:after="0"/>
              <w:rPr>
                <w:sz w:val="20"/>
                <w:szCs w:val="20"/>
                <w:color w:val="auto"/>
              </w:rPr>
            </w:pPr>
            <w:r>
              <w:rPr>
                <w:rFonts w:ascii="Arial" w:cs="Arial" w:eastAsia="Arial" w:hAnsi="Arial"/>
                <w:sz w:val="13"/>
                <w:szCs w:val="13"/>
                <w:color w:val="auto"/>
              </w:rPr>
              <w:t>Non-cash investing and financing activities:</w:t>
            </w:r>
          </w:p>
        </w:tc>
        <w:tc>
          <w:tcPr>
            <w:tcW w:w="3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7"/>
        </w:trPr>
        <w:tc>
          <w:tcPr>
            <w:tcW w:w="5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Property and equipment acquired but not yet paid</w:t>
            </w:r>
          </w:p>
        </w:tc>
        <w:tc>
          <w:tcPr>
            <w:tcW w:w="332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10,739</w:t>
            </w:r>
          </w:p>
        </w:tc>
        <w:tc>
          <w:tcPr>
            <w:tcW w:w="62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17,764</w:t>
            </w:r>
          </w:p>
        </w:tc>
      </w:tr>
      <w:tr>
        <w:trPr>
          <w:trHeight w:val="173"/>
        </w:trPr>
        <w:tc>
          <w:tcPr>
            <w:tcW w:w="5440" w:type="dxa"/>
            <w:vAlign w:val="bottom"/>
          </w:tcPr>
          <w:p>
            <w:pPr>
              <w:ind w:left="180"/>
              <w:spacing w:after="0"/>
              <w:rPr>
                <w:sz w:val="20"/>
                <w:szCs w:val="20"/>
                <w:color w:val="auto"/>
              </w:rPr>
            </w:pPr>
            <w:r>
              <w:rPr>
                <w:rFonts w:ascii="Arial" w:cs="Arial" w:eastAsia="Arial" w:hAnsi="Arial"/>
                <w:sz w:val="13"/>
                <w:szCs w:val="13"/>
                <w:color w:val="auto"/>
              </w:rPr>
              <w:t>Tenant capital improvements</w:t>
            </w:r>
          </w:p>
        </w:tc>
        <w:tc>
          <w:tcPr>
            <w:tcW w:w="3320" w:type="dxa"/>
            <w:vAlign w:val="bottom"/>
          </w:tcPr>
          <w:p>
            <w:pPr>
              <w:spacing w:after="0"/>
              <w:rPr>
                <w:sz w:val="15"/>
                <w:szCs w:val="15"/>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85,389</w:t>
            </w: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106,789</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Uniti Group Inc. (the “Company,” “Uniti,” “we,” “us,” or “our”) was incorporated in the state of Maryland on September 4, 2014. We are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 We manage our operations focused on our two primary lines of business: Uniti Fiber and Uniti Leasing.</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The up-REIT structure is intended to facilitate future acquisition opportunities by providing the Company with the ability to use common units of the Operating Partnership as a tax-efficient acquisition currency. As of June 30, 2022, we are the sole general partner of the Operating Partnership and own approximately 99.96% of the partnership interests in the Operating Partnership.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accompanying Condensed Consolidated Financial Statements include all accounts of the Company and its wholly-owned and/or controlled subsidiaries, including the Operating Partnership. Under the Accounting Standards Codification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9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filed with the SEC on February 25, 2022, as amended by Amendment No. 1 thereto filed on Form 10-K/A with the SEC on March 22, 2022 (the “Annual Report”). Accordingly, significant accounting policies and other disclosures normally provided have been omitted from the accompanying Condensed Consolidated Financial Statements and related notes since such items are disclosed in our Annual Report.</w:t>
      </w:r>
    </w:p>
    <w:p>
      <w:pPr>
        <w:spacing w:after="0" w:line="1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Concentration of Credit Risks</w:t>
      </w:r>
      <w:r>
        <w:rPr>
          <w:rFonts w:ascii="Arial" w:cs="Arial" w:eastAsia="Arial" w:hAnsi="Arial"/>
          <w:sz w:val="18"/>
          <w:szCs w:val="18"/>
          <w:color w:val="auto"/>
        </w:rPr>
        <w:t>—Prior to September 2020, we were party to a long-term exclusive triple-net lease (the “Master Lease”) with Windstream Holdings, Inc. (together with Windstream Holdings II, LLC, its successor in interest, and its subsidiaries, “Windstream”) pursuant to which a substantial portion of our real property was leased to Windstream and from which a substantial portion of our leasing revenues were derived. On September 18, 2020, Uniti and Windstream</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bifurcated the Master Lease and entered into two structurally similar master leases (collectively, the “Windstream Leases”), which amended and restated the Master Lease in its entirety. Revenue under the Windstream Leases provided 66.3% and 67.1% of our revenue for the six months ended June 30, 2022 and 2021, respectively. Because a substantial portion of our revenue and cash flows are derived from lease payments by Windstream pursuant to the Windstream Leases, there could be a material adverse impact on our consolidated results of operations, liquidity, financial condition and/or ability to pay dividends and service debt if Windstream were to default under the Windstream Leases or otherwise experiences operating or liquidity difficulties and becomes unable to generate sufficient cash to make payments to us.</w:t>
      </w:r>
    </w:p>
    <w:p>
      <w:pPr>
        <w:spacing w:after="0" w:line="17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Prior to its emergence from bankruptcy on September 21, 2020, Windstream was a publicly traded company subject to the periodic filing requirements of the Securities Exchange Act of 1934, as amended (the “Exchange Act”). Windstream’s historic filings through their quarter ended June 30, 2020 can be found at www.sec.gov. Additionally, the Windstream audited financial statements as of December 31, 2021, and for the year ended December 31, 2021, as of December 31, 2020 and for the period from September 22, 2020 to December 31, 2020 and for the period from January 1, 2020 to September 21, 2020 and for the year ended December 31, 2019 are included as an exhibit to our Annual Report. On September 22, 2020, Windstream filed a Form 15 to terminate all filing obligations under Sections 12(g) and 15(d) under the Exchange Act. Windstream filings are not incorporated by reference in this Quarterly Report on Form 10-Q.</w:t>
      </w:r>
    </w:p>
    <w:p>
      <w:pPr>
        <w:spacing w:after="0" w:line="19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order to assist us in our continuing assessment of Windstream’s creditworthiness, we periodically receive certain confidential financial information and metrics from Windstream.</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Reclassifications</w:t>
      </w:r>
      <w:r>
        <w:rPr>
          <w:rFonts w:ascii="Arial" w:cs="Arial" w:eastAsia="Arial" w:hAnsi="Arial"/>
          <w:sz w:val="16"/>
          <w:szCs w:val="16"/>
          <w:color w:val="auto"/>
          <w:highlight w:val="white"/>
        </w:rPr>
        <w:t>—Certain prior year asset and liability categories and related amounts have been reclassified to conform with current year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22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 xml:space="preserve">In May 2021, the FASB issued ASU 2021-04, </w:t>
      </w:r>
      <w:r>
        <w:rPr>
          <w:rFonts w:ascii="Arial" w:cs="Arial" w:eastAsia="Arial" w:hAnsi="Arial"/>
          <w:sz w:val="18"/>
          <w:szCs w:val="18"/>
          <w:i w:val="1"/>
          <w:iCs w:val="1"/>
          <w:color w:val="auto"/>
        </w:rPr>
        <w:t>Earnings Per Share (Topic 260), Debt—Modifications and Extinguishments (Subtopic 470-50),</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Stock Compensation (Topic 718), and Derivatives and Hedging—Contracts in Entity’s Own Equity (Subtopic 815- 40)</w:t>
      </w:r>
      <w:r>
        <w:rPr>
          <w:rFonts w:ascii="Arial" w:cs="Arial" w:eastAsia="Arial" w:hAnsi="Arial"/>
          <w:sz w:val="18"/>
          <w:szCs w:val="18"/>
          <w:color w:val="auto"/>
        </w:rPr>
        <w:t>:</w:t>
      </w:r>
      <w:r>
        <w:rPr>
          <w:rFonts w:ascii="Arial" w:cs="Arial" w:eastAsia="Arial" w:hAnsi="Arial"/>
          <w:sz w:val="18"/>
          <w:szCs w:val="18"/>
          <w:i w:val="1"/>
          <w:iCs w:val="1"/>
          <w:color w:val="auto"/>
        </w:rPr>
        <w:t xml:space="preserve"> Issuer’s Accounting for Certain Modifications or Exchanges of Freestanding Equity-Classified Written Call Options</w:t>
      </w:r>
      <w:r>
        <w:rPr>
          <w:rFonts w:ascii="Arial" w:cs="Arial" w:eastAsia="Arial" w:hAnsi="Arial"/>
          <w:sz w:val="18"/>
          <w:szCs w:val="18"/>
          <w:color w:val="auto"/>
        </w:rPr>
        <w:t>, which clarifies and reduces diversity in an</w:t>
      </w:r>
      <w:r>
        <w:rPr>
          <w:rFonts w:ascii="Arial" w:cs="Arial" w:eastAsia="Arial" w:hAnsi="Arial"/>
          <w:sz w:val="18"/>
          <w:szCs w:val="18"/>
          <w:i w:val="1"/>
          <w:iCs w:val="1"/>
          <w:color w:val="auto"/>
        </w:rPr>
        <w:t xml:space="preserve"> </w:t>
      </w:r>
      <w:r>
        <w:rPr>
          <w:rFonts w:ascii="Arial" w:cs="Arial" w:eastAsia="Arial" w:hAnsi="Arial"/>
          <w:sz w:val="18"/>
          <w:szCs w:val="18"/>
          <w:color w:val="auto"/>
        </w:rPr>
        <w:t>issuer’s accounting for modifications or exchanges of freestanding equity-classified written call options (for example, warrants) that remain equity classified after modification or exchange (“ASU 2021-04”). ASU 2021-04 is effective for all entities for fiscal years beginning after December 15, 2021, including interim periods within those fiscal years. The Company adopted ASU 2021-04 effective January 1, 2022, and there was no impact on our consolidated financial statements.</w:t>
      </w:r>
    </w:p>
    <w:p>
      <w:pPr>
        <w:spacing w:after="0" w:line="19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In July 2021, the FASB issued ASU 2021-05, </w:t>
      </w:r>
      <w:r>
        <w:rPr>
          <w:rFonts w:ascii="Arial" w:cs="Arial" w:eastAsia="Arial" w:hAnsi="Arial"/>
          <w:sz w:val="16"/>
          <w:szCs w:val="16"/>
          <w:i w:val="1"/>
          <w:iCs w:val="1"/>
          <w:color w:val="auto"/>
        </w:rPr>
        <w:t>Leases (Topic 842): Lessors—Certain Leases with Variable Lease Payments</w:t>
      </w:r>
      <w:r>
        <w:rPr>
          <w:rFonts w:ascii="Arial" w:cs="Arial" w:eastAsia="Arial" w:hAnsi="Arial"/>
          <w:sz w:val="16"/>
          <w:szCs w:val="16"/>
          <w:color w:val="auto"/>
        </w:rPr>
        <w:t xml:space="preserve"> (“ASU 2021-05”), which requires lessors to classify leases as operating leases if they (1) have variable lease payments that do not depend on a reference index or rate, and (2) would have resulted in the recognition of a selling loss at lease commencement if classified as sales-type or direct financing. ASU 2021-05 is effective for all entities which have previously adopted Topic 842 for fiscal years beginning after December 15, 2021, including interim periods within those fiscal years. The Company adopted ASU 2021-05 effective January 1, 2022, and there was no impact on our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revenue stream.</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r>
      <w:tr>
        <w:trPr>
          <w:trHeight w:val="26"/>
        </w:trPr>
        <w:tc>
          <w:tcPr>
            <w:tcW w:w="50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Arial" w:cs="Arial" w:eastAsia="Arial" w:hAnsi="Arial"/>
                <w:sz w:val="14"/>
                <w:szCs w:val="14"/>
                <w:b w:val="1"/>
                <w:bCs w:val="1"/>
                <w:color w:val="auto"/>
                <w:w w:val="96"/>
              </w:rPr>
              <w:t>2021</w:t>
            </w:r>
          </w:p>
        </w:tc>
      </w:tr>
      <w:tr>
        <w:trPr>
          <w:trHeight w:val="26"/>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Revenue disaggregated by revenue stream</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Revenue from contracts with customers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Fiber Infrastructure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Lit backhaul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19,937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22,979</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39,375</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48,023</w:t>
            </w:r>
          </w:p>
        </w:tc>
      </w:tr>
      <w:tr>
        <w:trPr>
          <w:trHeight w:val="263"/>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Enterprise and wholesale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42,327</w:t>
            </w:r>
          </w:p>
        </w:tc>
      </w:tr>
      <w:tr>
        <w:trPr>
          <w:trHeight w:val="250"/>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E-Rate and government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32,782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35,290</w:t>
            </w:r>
          </w:p>
        </w:tc>
      </w:tr>
      <w:tr>
        <w:trPr>
          <w:trHeight w:val="263"/>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r>
      <w:tr>
        <w:trPr>
          <w:trHeight w:val="243"/>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Fiber Infrastructure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60,155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61,056</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115,466</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127,280</w:t>
            </w: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Leasing</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61,349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62,056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117,818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129,447</w:t>
            </w:r>
          </w:p>
        </w:tc>
      </w:tr>
      <w:tr>
        <w:trPr>
          <w:trHeight w:val="26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accounted for under leasing guidance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Leasing</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204,420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195,057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407,903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388,826</w:t>
            </w: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Fiber Infrastructure</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18,206</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11,067</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36,288</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22,493</w:t>
            </w:r>
          </w:p>
        </w:tc>
      </w:tr>
      <w:tr>
        <w:trPr>
          <w:trHeight w:val="243"/>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revenue accounted for under leasing guidance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222,626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206,124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444,191</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411,319</w:t>
            </w:r>
          </w:p>
        </w:tc>
      </w:tr>
      <w:tr>
        <w:trPr>
          <w:trHeight w:val="27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283,975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268,180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562,009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540,766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At June 30, 2022 and December 31, 2021, lease receivables were $19.5 million and $19.4 million, respectively, and receivables from contracts with customers were $22.7 million and $14.7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(Unbilled Revenue) and Liabilities (Deferred Revenue)</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Contract assets primarily consist of unbilled construction revenue where we are utilizing our costs incurred as the measure of progress of satisfying our performance obligation. Contract assets are reported within accounts receivable, net on our Condensed Consolidated Balance Sheets.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and six months ended June 30, 2022, we recognized revenues of $1.2 million and $3.0 million, respectively, which was included in the December 31, 2021 contract liabilities balance.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accounted for under ASC 606.</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ind w:left="20"/>
              <w:spacing w:after="0"/>
              <w:rPr>
                <w:sz w:val="20"/>
                <w:szCs w:val="20"/>
                <w:color w:val="auto"/>
              </w:rPr>
            </w:pPr>
            <w:r>
              <w:rPr>
                <w:rFonts w:ascii="Arial" w:cs="Arial" w:eastAsia="Arial" w:hAnsi="Arial"/>
                <w:sz w:val="14"/>
                <w:szCs w:val="14"/>
                <w:color w:val="auto"/>
              </w:rPr>
              <w:t>(Thousands)</w:t>
            </w:r>
          </w:p>
        </w:tc>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Contract Assets</w:t>
            </w:r>
          </w:p>
        </w:tc>
        <w:tc>
          <w:tcPr>
            <w:tcW w:w="120" w:type="dxa"/>
            <w:vAlign w:val="bottom"/>
          </w:tcPr>
          <w:p>
            <w:pPr>
              <w:spacing w:after="0"/>
              <w:rPr>
                <w:sz w:val="16"/>
                <w:szCs w:val="16"/>
                <w:color w:val="auto"/>
              </w:rPr>
            </w:pPr>
          </w:p>
        </w:tc>
        <w:tc>
          <w:tcPr>
            <w:tcW w:w="1360" w:type="dxa"/>
            <w:vAlign w:val="bottom"/>
          </w:tcPr>
          <w:p>
            <w:pPr>
              <w:jc w:val="right"/>
              <w:ind w:right="56"/>
              <w:spacing w:after="0"/>
              <w:rPr>
                <w:sz w:val="20"/>
                <w:szCs w:val="20"/>
                <w:color w:val="auto"/>
              </w:rPr>
            </w:pPr>
            <w:r>
              <w:rPr>
                <w:rFonts w:ascii="Arial" w:cs="Arial" w:eastAsia="Arial" w:hAnsi="Arial"/>
                <w:sz w:val="14"/>
                <w:szCs w:val="14"/>
                <w:b w:val="1"/>
                <w:bCs w:val="1"/>
                <w:color w:val="auto"/>
                <w:w w:val="95"/>
              </w:rPr>
              <w:t>Contract Liabilities</w:t>
            </w:r>
          </w:p>
        </w:tc>
        <w:tc>
          <w:tcPr>
            <w:tcW w:w="0" w:type="dxa"/>
            <w:vAlign w:val="bottom"/>
          </w:tcPr>
          <w:p>
            <w:pPr>
              <w:spacing w:after="0"/>
              <w:rPr>
                <w:sz w:val="1"/>
                <w:szCs w:val="1"/>
                <w:color w:val="auto"/>
              </w:rPr>
            </w:pPr>
          </w:p>
        </w:tc>
      </w:tr>
      <w:tr>
        <w:trPr>
          <w:trHeight w:val="25"/>
        </w:trPr>
        <w:tc>
          <w:tcPr>
            <w:tcW w:w="38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4300" w:type="dxa"/>
            <w:vAlign w:val="bottom"/>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0" w:type="dxa"/>
            <w:vAlign w:val="bottom"/>
          </w:tcPr>
          <w:p>
            <w:pPr>
              <w:spacing w:after="0"/>
              <w:rPr>
                <w:sz w:val="1"/>
                <w:szCs w:val="1"/>
                <w:color w:val="auto"/>
              </w:rPr>
            </w:pPr>
          </w:p>
        </w:tc>
      </w:tr>
      <w:tr>
        <w:trPr>
          <w:trHeight w:val="244"/>
        </w:trPr>
        <w:tc>
          <w:tcPr>
            <w:tcW w:w="388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4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8,853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200" w:type="dxa"/>
            <w:vAlign w:val="bottom"/>
            <w:vMerge w:val="restart"/>
          </w:tcPr>
          <w:p>
            <w:pPr>
              <w:jc w:val="right"/>
              <w:ind w:right="227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8"/>
        </w:trPr>
        <w:tc>
          <w:tcPr>
            <w:tcW w:w="388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880" w:type="dxa"/>
            <w:vAlign w:val="bottom"/>
            <w:tcBorders>
              <w:bottom w:val="single" w:sz="8" w:color="9A9A9A"/>
            </w:tcBorders>
          </w:tcPr>
          <w:p>
            <w:pPr>
              <w:spacing w:after="0"/>
              <w:rPr>
                <w:sz w:val="8"/>
                <w:szCs w:val="8"/>
                <w:color w:val="auto"/>
              </w:rPr>
            </w:pPr>
          </w:p>
        </w:tc>
        <w:tc>
          <w:tcPr>
            <w:tcW w:w="4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Remaining Performance Obligations</w:t>
      </w:r>
    </w:p>
    <w:p>
      <w:pPr>
        <w:spacing w:after="0" w:line="225"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June 30, 2022, our future revenues (i.e., transaction price related to remaining performance obligations) under contract accounted for under ASC 606 totaled $438.1 million, of which $341.2 million is related to contracts that are currently being invoiced and have an average remaining contract term of 1.7 years, while $96.9 million represents our backlog for sales bookings which</w:t>
      </w:r>
    </w:p>
    <w:p>
      <w:pPr>
        <w:spacing w:after="0" w:line="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have yet to be installed and have an average contract term of 5.5 years. We do not disclose the value of unsatisfied performance obligations for contracts that have an original expected duration of one year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lease communications towers, ground, colocation, and dark fiber to tenants under operating leases. Our leases have initial lease terms ranging from less than one year to 35 years, most of which include options to extend or renew the leases for less than one year to 20 years (based on the satisfaction of certain</w:t>
      </w:r>
    </w:p>
    <w:p>
      <w:pPr>
        <w:spacing w:after="0" w:line="1"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conditions as defined in the lease agreements), and some of which may include options to terminate the leases within one to six months</w:t>
      </w:r>
      <w:r>
        <w:rPr>
          <w:rFonts w:ascii="Arial" w:cs="Arial" w:eastAsia="Arial" w:hAnsi="Arial"/>
          <w:sz w:val="21"/>
          <w:szCs w:val="21"/>
          <w:color w:val="auto"/>
        </w:rPr>
        <w:t>.</w:t>
      </w:r>
      <w:r>
        <w:rPr>
          <w:rFonts w:ascii="Arial" w:cs="Arial" w:eastAsia="Arial" w:hAnsi="Arial"/>
          <w:sz w:val="18"/>
          <w:szCs w:val="18"/>
          <w:color w:val="auto"/>
        </w:rPr>
        <w:t xml:space="preserve"> Certain lease agreements contain provisions for future rent increases. Payments due under the lease contracts include fixed payments plus, for some of our leases, variable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for the three and six months ended June 30, 2022 and 2021, respectively,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0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26"/>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income - operating leases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206,124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444,191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411,319</w:t>
            </w:r>
          </w:p>
        </w:tc>
      </w:tr>
    </w:tbl>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Lease payments to be received under non-cancellable operating leases where we are the lessor for the remainder of the lease terms as of June 30, 2022 are as follows:</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94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20"/>
                <w:szCs w:val="20"/>
                <w:color w:val="auto"/>
              </w:rPr>
            </w:pPr>
          </w:p>
        </w:tc>
        <w:tc>
          <w:tcPr>
            <w:tcW w:w="1300" w:type="dxa"/>
            <w:vAlign w:val="bottom"/>
          </w:tcPr>
          <w:p>
            <w:pPr>
              <w:jc w:val="right"/>
              <w:ind w:right="172"/>
              <w:spacing w:after="0" w:line="161" w:lineRule="exact"/>
              <w:rPr>
                <w:sz w:val="20"/>
                <w:szCs w:val="20"/>
                <w:color w:val="auto"/>
              </w:rPr>
            </w:pPr>
            <w:r>
              <w:rPr>
                <w:rFonts w:ascii="Arial" w:cs="Arial" w:eastAsia="Arial" w:hAnsi="Arial"/>
                <w:sz w:val="14"/>
                <w:szCs w:val="14"/>
                <w:b w:val="1"/>
                <w:bCs w:val="1"/>
                <w:color w:val="auto"/>
              </w:rPr>
              <w:t>June 30, 2022</w:t>
            </w:r>
            <w:r>
              <w:rPr>
                <w:rFonts w:ascii="MS PGothic" w:cs="MS PGothic" w:eastAsia="MS PGothic" w:hAnsi="MS PGothic"/>
                <w:sz w:val="14"/>
                <w:szCs w:val="14"/>
                <w:color w:val="auto"/>
              </w:rPr>
              <w:t>⁽</w:t>
            </w:r>
            <w:r>
              <w:rPr>
                <w:rFonts w:ascii="Arial" w:cs="Arial" w:eastAsia="Arial" w:hAnsi="Arial"/>
                <w:sz w:val="14"/>
                <w:szCs w:val="14"/>
                <w:b w:val="1"/>
                <w:bCs w:val="1"/>
                <w:color w:val="auto"/>
              </w:rPr>
              <w:t>¹</w:t>
            </w:r>
            <w:r>
              <w:rPr>
                <w:rFonts w:ascii="MS PGothic" w:cs="MS PGothic" w:eastAsia="MS PGothic" w:hAnsi="MS PGothic"/>
                <w:sz w:val="14"/>
                <w:szCs w:val="14"/>
                <w:color w:val="auto"/>
              </w:rPr>
              <w:t>⁾</w:t>
            </w:r>
          </w:p>
        </w:tc>
      </w:tr>
      <w:tr>
        <w:trPr>
          <w:trHeight w:val="255"/>
        </w:trPr>
        <w:tc>
          <w:tcPr>
            <w:tcW w:w="9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379,415</w:t>
            </w:r>
          </w:p>
        </w:tc>
      </w:tr>
      <w:tr>
        <w:trPr>
          <w:trHeight w:val="250"/>
        </w:trPr>
        <w:tc>
          <w:tcPr>
            <w:tcW w:w="930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775,007</w:t>
            </w:r>
          </w:p>
        </w:tc>
      </w:tr>
      <w:tr>
        <w:trPr>
          <w:trHeight w:val="26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778,548</w:t>
            </w:r>
          </w:p>
        </w:tc>
      </w:tr>
      <w:tr>
        <w:trPr>
          <w:trHeight w:val="250"/>
        </w:trPr>
        <w:tc>
          <w:tcPr>
            <w:tcW w:w="930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779,719</w:t>
            </w:r>
          </w:p>
        </w:tc>
      </w:tr>
      <w:tr>
        <w:trPr>
          <w:trHeight w:val="26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781,321</w:t>
            </w:r>
          </w:p>
        </w:tc>
      </w:tr>
      <w:tr>
        <w:trPr>
          <w:trHeight w:val="250"/>
        </w:trPr>
        <w:tc>
          <w:tcPr>
            <w:tcW w:w="9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3,043,381</w:t>
            </w:r>
          </w:p>
        </w:tc>
      </w:tr>
      <w:tr>
        <w:trPr>
          <w:trHeight w:val="275"/>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receivables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6,537,391</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6772275</wp:posOffset>
            </wp:positionH>
            <wp:positionV relativeFrom="paragraph">
              <wp:posOffset>-1318895</wp:posOffset>
            </wp:positionV>
            <wp:extent cx="94615" cy="74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ind w:left="380" w:hanging="179"/>
        <w:spacing w:after="0" w:line="228" w:lineRule="auto"/>
        <w:tabs>
          <w:tab w:leader="none" w:pos="3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Total future minimum lease payments to be received include $5.6 billion relating to the Windstream Leases.</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87"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underlying assets under operating leases where we are the lessor are summarized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December 31, 2021</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26,593</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Building and improvements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343,988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343,624</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281,130</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Fiber</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3,382,487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3,278,276</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Copper</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3,952,978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3,918,281</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Conduit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89,859</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Tower assets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28,126</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10,649</w:t>
            </w:r>
          </w:p>
        </w:tc>
      </w:tr>
      <w:tr>
        <w:trPr>
          <w:trHeight w:val="256"/>
        </w:trPr>
        <w:tc>
          <w:tcPr>
            <w:tcW w:w="8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8,127,119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7,978,363</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(5,477,554)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(5,391,479)</w:t>
            </w:r>
          </w:p>
        </w:tc>
      </w:tr>
      <w:tr>
        <w:trPr>
          <w:trHeight w:val="27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Underlying assets under operating leases,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2,649,565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2,586,884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Depreciation expense for the underlying assets under operating leases where we are the lessor for the three and six months ended June 30, 2022 and 2021, respectively, is summarized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gridSpan w:val="3"/>
          </w:tcPr>
          <w:p>
            <w:pPr>
              <w:ind w:left="240"/>
              <w:spacing w:after="0"/>
              <w:rPr>
                <w:sz w:val="20"/>
                <w:szCs w:val="20"/>
                <w:color w:val="auto"/>
              </w:rPr>
            </w:pPr>
            <w:r>
              <w:rPr>
                <w:rFonts w:ascii="Arial" w:cs="Arial" w:eastAsia="Arial" w:hAnsi="Arial"/>
                <w:sz w:val="14"/>
                <w:szCs w:val="14"/>
                <w:b w:val="1"/>
                <w:bCs w:val="1"/>
                <w:color w:val="auto"/>
                <w:w w:val="93"/>
              </w:rPr>
              <w:t>Three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0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25"/>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Depreciation expense for underlying assets under operating leases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44,107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86,731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We have commitments under operating leases for communications towers, ground, colocation, dark fiber lease arrangements and buildings. We also have finance leases for dark fiber lease arrangements. Our leases have initial lease terms ranging from less than one year to 30 years, most of which include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options to extend or renew the leases for less than one year to 20 years</w:t>
      </w:r>
      <w:r>
        <w:rPr>
          <w:rFonts w:ascii="Arial" w:cs="Arial" w:eastAsia="Arial" w:hAnsi="Arial"/>
          <w:sz w:val="19"/>
          <w:szCs w:val="19"/>
          <w:color w:val="auto"/>
        </w:rPr>
        <w:t>,</w:t>
      </w:r>
      <w:r>
        <w:rPr>
          <w:rFonts w:ascii="Arial" w:cs="Arial" w:eastAsia="Arial" w:hAnsi="Arial"/>
          <w:sz w:val="16"/>
          <w:szCs w:val="16"/>
          <w:color w:val="auto"/>
        </w:rPr>
        <w:t xml:space="preserve"> and some of which may include options to terminate the leases within one to six</w:t>
      </w:r>
    </w:p>
    <w:p>
      <w:pPr>
        <w:spacing w:after="0" w:line="4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months</w:t>
      </w:r>
      <w:r>
        <w:rPr>
          <w:rFonts w:ascii="Arial" w:cs="Arial" w:eastAsia="Arial" w:hAnsi="Arial"/>
          <w:sz w:val="21"/>
          <w:szCs w:val="21"/>
          <w:color w:val="auto"/>
        </w:rPr>
        <w:t>.</w:t>
      </w:r>
      <w:r>
        <w:rPr>
          <w:rFonts w:ascii="Arial" w:cs="Arial" w:eastAsia="Arial" w:hAnsi="Arial"/>
          <w:sz w:val="18"/>
          <w:szCs w:val="18"/>
          <w:color w:val="auto"/>
        </w:rPr>
        <w:t xml:space="preserve"> Certain lease agreements contain provisions for future rent increases. Payments due under the lease contracts include fixed payments plus, for some of our leases, variable payments.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we have short term lease commitments amounting to approximately $2.6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non-cancellable leases as of June 30, 2022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(Thousands)</w:t>
            </w:r>
          </w:p>
        </w:tc>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 Leases</w:t>
            </w:r>
          </w:p>
        </w:tc>
        <w:tc>
          <w:tcPr>
            <w:tcW w:w="18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Finance Leases</w:t>
            </w:r>
          </w:p>
        </w:tc>
        <w:tc>
          <w:tcPr>
            <w:tcW w:w="0" w:type="dxa"/>
            <w:vAlign w:val="bottom"/>
          </w:tcPr>
          <w:p>
            <w:pPr>
              <w:spacing w:after="0"/>
              <w:rPr>
                <w:sz w:val="1"/>
                <w:szCs w:val="1"/>
                <w:color w:val="auto"/>
              </w:rPr>
            </w:pPr>
          </w:p>
        </w:tc>
      </w:tr>
      <w:tr>
        <w:trPr>
          <w:trHeight w:val="25"/>
        </w:trPr>
        <w:tc>
          <w:tcPr>
            <w:tcW w:w="40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2023</w:t>
            </w: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2025</w:t>
            </w: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14,683</w:t>
            </w:r>
          </w:p>
        </w:tc>
        <w:tc>
          <w:tcPr>
            <w:tcW w:w="0" w:type="dxa"/>
            <w:vAlign w:val="bottom"/>
          </w:tcPr>
          <w:p>
            <w:pPr>
              <w:spacing w:after="0"/>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4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24,656</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4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40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4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 in Unconsolidated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Fiber Holdings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212529"/>
        </w:rPr>
        <w:t>BB Fiber Holdings LLC (</w:t>
      </w:r>
      <w:r>
        <w:rPr>
          <w:rFonts w:ascii="Arial" w:cs="Arial" w:eastAsia="Arial" w:hAnsi="Arial"/>
          <w:sz w:val="17"/>
          <w:szCs w:val="17"/>
          <w:color w:val="000000"/>
        </w:rPr>
        <w:t>“Fiber Holdings”</w:t>
      </w:r>
      <w:r>
        <w:rPr>
          <w:rFonts w:ascii="Arial" w:cs="Arial" w:eastAsia="Arial" w:hAnsi="Arial"/>
          <w:sz w:val="17"/>
          <w:szCs w:val="17"/>
          <w:color w:val="212529"/>
        </w:rPr>
        <w:t xml:space="preserve">) </w:t>
      </w:r>
      <w:r>
        <w:rPr>
          <w:rFonts w:ascii="Arial" w:cs="Arial" w:eastAsia="Arial" w:hAnsi="Arial"/>
          <w:sz w:val="17"/>
          <w:szCs w:val="17"/>
          <w:color w:val="000000"/>
        </w:rPr>
        <w:t>was primarily established to develop fiber networks as real estate property for long-term investment. On</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July 1, 2020, the Company completed the sale of an ownership stake in the entity that controls the Company’s Midwest fiber network assets (the “Propco”). Fiber Holdings has a 47.5% ownership in the Propco that is under a long-term, triple net lease with our joint venture partner. Our ownership interest in Fiber Holdings represents approximately a 20% economic interest in the Propco. The Company’s current investment and maximum exposure to loss as a result of its involvement with </w:t>
      </w:r>
      <w:r>
        <w:rPr>
          <w:rFonts w:ascii="Arial" w:cs="Arial" w:eastAsia="Arial" w:hAnsi="Arial"/>
          <w:sz w:val="18"/>
          <w:szCs w:val="18"/>
          <w:color w:val="212529"/>
        </w:rPr>
        <w:t>Fiber Holdings, an equity method unconsolidated entity,</w:t>
      </w:r>
      <w:r>
        <w:rPr>
          <w:rFonts w:ascii="Arial" w:cs="Arial" w:eastAsia="Arial" w:hAnsi="Arial"/>
          <w:sz w:val="18"/>
          <w:szCs w:val="18"/>
          <w:color w:val="auto"/>
        </w:rPr>
        <w:t xml:space="preserve"> was approximately $39.3 million as of June 30, 2022. The Company has not provided financial support to </w:t>
      </w:r>
      <w:r>
        <w:rPr>
          <w:rFonts w:ascii="Arial" w:cs="Arial" w:eastAsia="Arial" w:hAnsi="Arial"/>
          <w:sz w:val="18"/>
          <w:szCs w:val="18"/>
          <w:color w:val="212529"/>
        </w:rPr>
        <w:t>Fiber Holdings.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Harmoni</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June 21, 2022, the Company completed the sale of its investment in Harmoni Towers LP (“Harmoni”) to Palistar Communications Infrastructure GP LLC, our partner in the investment, for total cash consideration of $32.5 million. As a result of the transaction, during the second quarter of 2022 we recorded a pre-tax gain of $7.9 million within other income (expense), net and $6.7 million of tax expense within income tax expense within our Condensed Consolidated Statements of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57" w:lineRule="exact"/>
        <w:rPr>
          <w:sz w:val="20"/>
          <w:szCs w:val="20"/>
          <w:color w:val="auto"/>
        </w:rPr>
      </w:pPr>
    </w:p>
    <w:p>
      <w:pPr>
        <w:ind w:right="760"/>
        <w:spacing w:after="0" w:line="389" w:lineRule="auto"/>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(unadjusted) in active markets for identical assets or liabilities that the reporting entity can access at the assessment date;</w:t>
      </w:r>
      <w:r>
        <w:rPr>
          <w:rFonts w:ascii="Arial" w:cs="Arial" w:eastAsia="Arial" w:hAnsi="Arial"/>
          <w:sz w:val="18"/>
          <w:szCs w:val="18"/>
          <w:b w:val="1"/>
          <w:bCs w:val="1"/>
          <w:i w:val="1"/>
          <w:iCs w:val="1"/>
          <w:color w:val="auto"/>
        </w:rPr>
        <w:t xml:space="preserve"> Level 2 </w:t>
      </w:r>
      <w:r>
        <w:rPr>
          <w:rFonts w:ascii="Arial" w:cs="Arial" w:eastAsia="Arial" w:hAnsi="Arial"/>
          <w:sz w:val="18"/>
          <w:szCs w:val="18"/>
          <w:color w:val="auto"/>
        </w:rPr>
        <w:t>– Inputs other than quoted prices included within Level 1 that are observable for the asset or liability, either directly or indirectly; and</w:t>
      </w:r>
      <w:r>
        <w:rPr>
          <w:rFonts w:ascii="Arial" w:cs="Arial" w:eastAsia="Arial" w:hAnsi="Arial"/>
          <w:sz w:val="18"/>
          <w:szCs w:val="18"/>
          <w:b w:val="1"/>
          <w:bCs w:val="1"/>
          <w:i w:val="1"/>
          <w:iCs w:val="1"/>
          <w:color w:val="auto"/>
        </w:rPr>
        <w:t xml:space="preserve"> Level 3 </w:t>
      </w:r>
      <w:r>
        <w:rPr>
          <w:rFonts w:ascii="Arial" w:cs="Arial" w:eastAsia="Arial" w:hAnsi="Arial"/>
          <w:sz w:val="18"/>
          <w:szCs w:val="18"/>
          <w:color w:val="auto"/>
        </w:rPr>
        <w:t>– Unobservable inputs for the asset or liability.</w:t>
      </w:r>
    </w:p>
    <w:p>
      <w:pPr>
        <w:spacing w:after="0" w:line="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financial instruments consist of cash and cash equivalents, accounts and other receivables, derivative assets and liabilities, our outstanding notes and other debt, settlement payable, contingent consideration and accounts, interest and dividends payable.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June 30, 2022 and December 31, 2021: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Prices with Other</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6"/>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5"/>
                <w:szCs w:val="15"/>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Prices with</w:t>
            </w:r>
          </w:p>
        </w:tc>
      </w:tr>
      <w:tr>
        <w:trPr>
          <w:trHeight w:val="175"/>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5"/>
                <w:szCs w:val="15"/>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Unobservable</w:t>
            </w:r>
          </w:p>
        </w:tc>
      </w:t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Inputs (Level 3)</w:t>
            </w: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 June 30, 2022</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secured notes - 7.875%, due February 15, 2025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2,183,625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2,183,625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Senior secured notes - 4.75%, due April 15, 2028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471,695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471,695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unsecured notes - 6.50% , due February 15, 2029</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817,471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Senior unsecured notes - 6.00%, due January 15, 2030</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491,719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491,719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Exchangeable senior notes - 4.00%, due June 15, 2024</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367,999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5"/>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Senior secured revolving credit facility, variable rate, due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December 10, 2024</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199,980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199,980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Settlement payable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Derivative liability,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4,067</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4,748,056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4,748,056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98"/>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Prices with Other</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5"/>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5"/>
                <w:szCs w:val="15"/>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Prices with</w:t>
            </w:r>
          </w:p>
        </w:tc>
      </w:tr>
      <w:tr>
        <w:trPr>
          <w:trHeight w:val="176"/>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5"/>
                <w:szCs w:val="15"/>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Unobservable</w:t>
            </w:r>
          </w:p>
        </w:tc>
      </w:t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Inputs (Level 3)</w:t>
            </w: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 December 31, 2021</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secured notes - 7.875%, due February 15, 2025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2,351,576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2,351,576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Senior secured notes - 4.75%, due April 15, 2028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560,857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560,857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unsecured notes - 6.50% , due February 15, 2029</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1,087,844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1,087,844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Senior unsecured notes - 6.00%, due January 15, 2030</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659,992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659,992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Exchangeable senior notes - 4.00%, due June 15, 2024</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453,104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5"/>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Senior secured revolving credit facility, variable rate, due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December 10, 2024</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199,980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199,980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Settlement payable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254,725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Derivative liability,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10,413</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r>
      <w:tr>
        <w:trPr>
          <w:trHeight w:val="27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5,578,491</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5,578,491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70" w:lineRule="exact"/>
        <w:rPr>
          <w:sz w:val="20"/>
          <w:szCs w:val="20"/>
          <w:color w:val="auto"/>
        </w:rPr>
      </w:pPr>
    </w:p>
    <w:p>
      <w:pPr>
        <w:ind w:right="40"/>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The total principal balance of our outstanding notes and other debt was $5.18 billion at June 30, 2022, with a fair value of $4.53 billion. The estimated fair value of our outstanding notes and other debt was based on available external pricing data and current market rates for similar debt instruments, among other factors, which are classified as Level 2 inputs within the fair value hierarchy. Derivative assets and liabilities are carried at fair value. </w:t>
      </w:r>
      <w:hyperlink w:anchor="page18">
        <w:r>
          <w:rPr>
            <w:rFonts w:ascii="Arial" w:cs="Arial" w:eastAsia="Arial" w:hAnsi="Arial"/>
            <w:sz w:val="16"/>
            <w:szCs w:val="16"/>
            <w:color w:val="0000FF"/>
          </w:rPr>
          <w:t>See Note 8</w:t>
        </w:r>
      </w:hyperlink>
      <w:r>
        <w:rPr>
          <w:rFonts w:ascii="Arial" w:cs="Arial" w:eastAsia="Arial" w:hAnsi="Arial"/>
          <w:sz w:val="16"/>
          <w:szCs w:val="16"/>
          <w:color w:val="auto"/>
        </w:rPr>
        <w:t>. The fair value of an interest rate swap is determined based on the present value of expected future cash flows using observable, quoted LIBOR swap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6351905</wp:posOffset>
            </wp:positionH>
            <wp:positionV relativeFrom="paragraph">
              <wp:posOffset>-190500</wp:posOffset>
            </wp:positionV>
            <wp:extent cx="5295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959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full term of the swap and also incorporate credit valuation adjustments to appropriately reflect both Uniti’s own non-performance risk and non-performance risk of the respective counterparties. The Company has determined that the majority of the inputs used to value its derivative assets and liabilities fall within Level 2 of the fair value hierarchy; however, the associated credit valuation adjustments utilized Level 3 inputs, such as estimates of credit spreads, to evaluate the likelihood of default by the Company and its counterparties. As of June 30, 2022,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assets and liabilities valuation in Level 2 of the fair value hierarchy.</w:t>
      </w:r>
    </w:p>
    <w:p>
      <w:pPr>
        <w:spacing w:after="0" w:line="195" w:lineRule="exact"/>
        <w:rPr>
          <w:sz w:val="20"/>
          <w:szCs w:val="20"/>
          <w:color w:val="auto"/>
        </w:rPr>
      </w:pPr>
    </w:p>
    <w:p>
      <w:pPr>
        <w:spacing w:after="0" w:line="311" w:lineRule="auto"/>
        <w:rPr>
          <w:rFonts w:ascii="Arial" w:cs="Arial" w:eastAsia="Arial" w:hAnsi="Arial"/>
          <w:sz w:val="16"/>
          <w:szCs w:val="16"/>
          <w:color w:val="auto"/>
        </w:rPr>
      </w:pPr>
      <w:r>
        <w:rPr>
          <w:rFonts w:ascii="Arial" w:cs="Arial" w:eastAsia="Arial" w:hAnsi="Arial"/>
          <w:sz w:val="16"/>
          <w:szCs w:val="16"/>
          <w:color w:val="auto"/>
        </w:rPr>
        <w:t>Given the limited trade activity of the Exchangeable Notes, the fair value of the Exchangeable Notes (</w:t>
      </w:r>
      <w:hyperlink w:anchor="page21">
        <w:r>
          <w:rPr>
            <w:rFonts w:ascii="Arial" w:cs="Arial" w:eastAsia="Arial" w:hAnsi="Arial"/>
            <w:sz w:val="16"/>
            <w:szCs w:val="16"/>
            <w:u w:val="single" w:color="auto"/>
            <w:color w:val="0000FF"/>
          </w:rPr>
          <w:t>see Note 10</w:t>
        </w:r>
      </w:hyperlink>
      <w:r>
        <w:rPr>
          <w:rFonts w:ascii="Arial" w:cs="Arial" w:eastAsia="Arial" w:hAnsi="Arial"/>
          <w:sz w:val="16"/>
          <w:szCs w:val="16"/>
          <w:color w:val="auto"/>
        </w:rPr>
        <w:t>) is determined based on inputs that are observable in the market and have been classified as Level 2 in the fair value hierarchy. Specifically, we estimated the fair value of the Exchangeable Notes based on readily available external pricing information, quoted market prices, and current market rates for similar convertible debt instruments.</w:t>
      </w:r>
    </w:p>
    <w:p>
      <w:pPr>
        <w:spacing w:after="0" w:line="149" w:lineRule="exact"/>
        <w:rPr>
          <w:sz w:val="20"/>
          <w:szCs w:val="20"/>
          <w:color w:val="auto"/>
        </w:rPr>
      </w:pPr>
    </w:p>
    <w:p>
      <w:pPr>
        <w:ind w:right="4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Uniti is required to make $490.1 million of cash payments to Windstream in equal installments over 20 consecutive quarters beginning October 2020 (the “Settlement Payable”). </w:t>
      </w:r>
      <w:hyperlink w:anchor="page27">
        <w:r>
          <w:rPr>
            <w:rFonts w:ascii="Arial" w:cs="Arial" w:eastAsia="Arial" w:hAnsi="Arial"/>
            <w:sz w:val="18"/>
            <w:szCs w:val="18"/>
            <w:color w:val="0000FF"/>
            <w:highlight w:val="white"/>
          </w:rPr>
          <w:t>See</w:t>
        </w:r>
        <w:r>
          <w:rPr>
            <w:rFonts w:ascii="Arial" w:cs="Arial" w:eastAsia="Arial" w:hAnsi="Arial"/>
            <w:sz w:val="18"/>
            <w:szCs w:val="18"/>
            <w:color w:val="auto"/>
          </w:rPr>
          <w:t xml:space="preserve"> </w:t>
        </w:r>
        <w:r>
          <w:rPr>
            <w:rFonts w:ascii="Arial" w:cs="Arial" w:eastAsia="Arial" w:hAnsi="Arial"/>
            <w:sz w:val="18"/>
            <w:szCs w:val="18"/>
            <w:color w:val="0000FF"/>
          </w:rPr>
          <w:t>Note 13</w:t>
        </w:r>
      </w:hyperlink>
      <w:r>
        <w:rPr>
          <w:rFonts w:ascii="Arial" w:cs="Arial" w:eastAsia="Arial" w:hAnsi="Arial"/>
          <w:sz w:val="18"/>
          <w:szCs w:val="18"/>
          <w:color w:val="auto"/>
        </w:rPr>
        <w:t>. The Settlement Payable was recorded at fair value, using the present value of future cash flows. The future cash flows are discounted using discount rate input based on observable market data. Accordingly, we classify inputs used as Level 2 in the fair value hierarchy. As of June 30, 2022, the remaining Settlement Payable is $245.2 million and is reported on our Condensed Consolidated Balance Sheets. There have been no changes in the valuation methodologies used since the initial recording.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1052195</wp:posOffset>
            </wp:positionH>
            <wp:positionV relativeFrom="paragraph">
              <wp:posOffset>-445135</wp:posOffset>
            </wp:positionV>
            <wp:extent cx="5867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74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property, plant and equipment is as follows:</w:t>
      </w:r>
    </w:p>
    <w:p>
      <w:pPr>
        <w:spacing w:after="0" w:line="271"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6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7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Depreciable Lives</w:t>
            </w: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2021</w:t>
            </w:r>
          </w:p>
        </w:tc>
      </w:tr>
      <w:tr>
        <w:trPr>
          <w:trHeight w:val="26"/>
        </w:trPr>
        <w:tc>
          <w:tcPr>
            <w:tcW w:w="6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Indefinite  $</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28,449</w:t>
            </w:r>
          </w:p>
        </w:tc>
      </w:tr>
      <w:tr>
        <w:trPr>
          <w:trHeight w:val="25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Building and improvements</w:t>
            </w:r>
          </w:p>
        </w:tc>
        <w:tc>
          <w:tcPr>
            <w:tcW w:w="1780" w:type="dxa"/>
            <w:vAlign w:val="bottom"/>
            <w:gridSpan w:val="3"/>
          </w:tcPr>
          <w:p>
            <w:pPr>
              <w:jc w:val="right"/>
              <w:ind w:right="320"/>
              <w:spacing w:after="0"/>
              <w:rPr>
                <w:sz w:val="20"/>
                <w:szCs w:val="20"/>
                <w:color w:val="auto"/>
              </w:rPr>
            </w:pPr>
            <w:r>
              <w:rPr>
                <w:rFonts w:ascii="Arial" w:cs="Arial" w:eastAsia="Arial" w:hAnsi="Arial"/>
                <w:sz w:val="18"/>
                <w:szCs w:val="18"/>
                <w:color w:val="auto"/>
              </w:rPr>
              <w:t>3 - 40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360,736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359,980</w:t>
            </w:r>
          </w:p>
        </w:tc>
      </w:tr>
      <w:tr>
        <w:trPr>
          <w:trHeight w:val="26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Poles</w:t>
            </w:r>
          </w:p>
        </w:tc>
        <w:tc>
          <w:tcPr>
            <w:tcW w:w="1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 years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281,130</w:t>
            </w:r>
          </w:p>
        </w:tc>
      </w:tr>
      <w:tr>
        <w:trPr>
          <w:trHeight w:val="25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Fiber</w:t>
            </w:r>
          </w:p>
        </w:tc>
        <w:tc>
          <w:tcPr>
            <w:tcW w:w="1780" w:type="dxa"/>
            <w:vAlign w:val="bottom"/>
            <w:gridSpan w:val="3"/>
          </w:tcPr>
          <w:p>
            <w:pPr>
              <w:jc w:val="right"/>
              <w:ind w:right="320"/>
              <w:spacing w:after="0"/>
              <w:rPr>
                <w:sz w:val="20"/>
                <w:szCs w:val="20"/>
                <w:color w:val="auto"/>
              </w:rPr>
            </w:pPr>
            <w:r>
              <w:rPr>
                <w:rFonts w:ascii="Arial" w:cs="Arial" w:eastAsia="Arial" w:hAnsi="Arial"/>
                <w:sz w:val="18"/>
                <w:szCs w:val="18"/>
                <w:color w:val="auto"/>
              </w:rPr>
              <w:t>30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4,254,488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4,107,519</w:t>
            </w:r>
          </w:p>
        </w:tc>
      </w:tr>
      <w:tr>
        <w:trPr>
          <w:trHeight w:val="26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5 - 7 years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331,761</w:t>
            </w:r>
          </w:p>
        </w:tc>
      </w:tr>
      <w:tr>
        <w:trPr>
          <w:trHeight w:val="25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Copper</w:t>
            </w:r>
          </w:p>
        </w:tc>
        <w:tc>
          <w:tcPr>
            <w:tcW w:w="1780" w:type="dxa"/>
            <w:vAlign w:val="bottom"/>
            <w:gridSpan w:val="3"/>
          </w:tcPr>
          <w:p>
            <w:pPr>
              <w:jc w:val="right"/>
              <w:ind w:right="320"/>
              <w:spacing w:after="0"/>
              <w:rPr>
                <w:sz w:val="20"/>
                <w:szCs w:val="20"/>
                <w:color w:val="auto"/>
              </w:rPr>
            </w:pPr>
            <w:r>
              <w:rPr>
                <w:rFonts w:ascii="Arial" w:cs="Arial" w:eastAsia="Arial" w:hAnsi="Arial"/>
                <w:sz w:val="18"/>
                <w:szCs w:val="18"/>
                <w:color w:val="auto"/>
              </w:rPr>
              <w:t>20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3,952,978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3,918,281</w:t>
            </w:r>
          </w:p>
        </w:tc>
      </w:tr>
      <w:tr>
        <w:trPr>
          <w:trHeight w:val="26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Conduit</w:t>
            </w:r>
          </w:p>
        </w:tc>
        <w:tc>
          <w:tcPr>
            <w:tcW w:w="1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 years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89,859</w:t>
            </w:r>
          </w:p>
        </w:tc>
      </w:tr>
      <w:tr>
        <w:trPr>
          <w:trHeight w:val="25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Tower assets</w:t>
            </w:r>
          </w:p>
        </w:tc>
        <w:tc>
          <w:tcPr>
            <w:tcW w:w="1780" w:type="dxa"/>
            <w:vAlign w:val="bottom"/>
            <w:gridSpan w:val="3"/>
          </w:tcPr>
          <w:p>
            <w:pPr>
              <w:jc w:val="right"/>
              <w:ind w:right="320"/>
              <w:spacing w:after="0"/>
              <w:rPr>
                <w:sz w:val="20"/>
                <w:szCs w:val="20"/>
                <w:color w:val="auto"/>
              </w:rPr>
            </w:pPr>
            <w:r>
              <w:rPr>
                <w:rFonts w:ascii="Arial" w:cs="Arial" w:eastAsia="Arial" w:hAnsi="Arial"/>
                <w:sz w:val="18"/>
                <w:szCs w:val="18"/>
                <w:color w:val="auto"/>
              </w:rPr>
              <w:t>20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8,544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8,544</w:t>
            </w:r>
          </w:p>
        </w:tc>
      </w:tr>
      <w:tr>
        <w:trPr>
          <w:trHeight w:val="26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72,284</w:t>
            </w:r>
          </w:p>
        </w:tc>
      </w:tr>
      <w:tr>
        <w:trPr>
          <w:trHeight w:val="25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780" w:type="dxa"/>
            <w:vAlign w:val="bottom"/>
            <w:gridSpan w:val="3"/>
          </w:tcPr>
          <w:p>
            <w:pPr>
              <w:jc w:val="right"/>
              <w:ind w:right="320"/>
              <w:spacing w:after="0"/>
              <w:rPr>
                <w:sz w:val="20"/>
                <w:szCs w:val="20"/>
                <w:color w:val="auto"/>
              </w:rPr>
            </w:pPr>
            <w:r>
              <w:rPr>
                <w:rFonts w:ascii="Arial" w:cs="Arial" w:eastAsia="Arial" w:hAnsi="Arial"/>
                <w:sz w:val="18"/>
                <w:szCs w:val="18"/>
                <w:color w:val="auto"/>
              </w:rPr>
              <w:t>15 - 20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10,833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10,652</w:t>
            </w:r>
          </w:p>
        </w:tc>
      </w:tr>
      <w:tr>
        <w:trPr>
          <w:trHeight w:val="26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assets</w:t>
            </w:r>
          </w:p>
        </w:tc>
        <w:tc>
          <w:tcPr>
            <w:tcW w:w="1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3 - 7 years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14,326</w:t>
            </w:r>
          </w:p>
        </w:tc>
      </w:tr>
      <w:tr>
        <w:trPr>
          <w:trHeight w:val="250"/>
        </w:trPr>
        <w:tc>
          <w:tcPr>
            <w:tcW w:w="6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Construction in progress</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27,366</w:t>
            </w:r>
          </w:p>
        </w:tc>
      </w:tr>
      <w:tr>
        <w:trPr>
          <w:trHeight w:val="256"/>
        </w:trPr>
        <w:tc>
          <w:tcPr>
            <w:tcW w:w="6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9,482,969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9,250,151</w:t>
            </w:r>
          </w:p>
        </w:tc>
      </w:tr>
      <w:tr>
        <w:trPr>
          <w:trHeight w:val="250"/>
        </w:trPr>
        <w:tc>
          <w:tcPr>
            <w:tcW w:w="6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(5,867,437)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(5,741,212)</w:t>
            </w:r>
          </w:p>
        </w:tc>
      </w:tr>
      <w:tr>
        <w:trPr>
          <w:trHeight w:val="27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property, plant and equipment</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3,615,532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3,508,939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See our Annual Report for property, plant and equipment accounting policies.</w:t>
      </w:r>
    </w:p>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Depreciation expense for the three and six months ended June 30, 2022 was $64.9 million and $128.9 million, respectively. Depreciation expense for the three and six months ended June 30, 2021 was $64.9 million and $131.1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 Instruments and Hedging Activities</w:t>
      </w:r>
    </w:p>
    <w:p>
      <w:pPr>
        <w:spacing w:after="0" w:line="22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On April 27, 2015, we entered into fixed for floating interest rate swap agreements to mitigate the interest rate risk inherent in our variable rate senior secured term loan B facility. These interest rate swaps were designated as cash flow hedges and have a notional value of $2.0 billion and mature on October 24, 2022. </w:t>
      </w:r>
      <w:r>
        <w:rPr>
          <w:rFonts w:ascii="Arial" w:cs="Arial" w:eastAsia="Arial" w:hAnsi="Arial"/>
          <w:sz w:val="18"/>
          <w:szCs w:val="18"/>
          <w:color w:val="1F2322"/>
        </w:rPr>
        <w:t>As a result of the repayment of the Company’s senior secured term loan B facility in February 2020, the Company entered into receive-fixed interest rate swaps to offset its existing pay-fixed interest rate swaps. As a result, the Company discontinued hedge accounting as the hedge accounting requirements were no longer met. Amounts in accumulated other comprehensive loss as of the date of de-designation will be reclassified to interest expense as the hedged transactions impact earnings. Prospectively, changes in fair value of all interest rate swaps will be recorded directly to earnings.</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1F2322"/>
        </w:rPr>
        <w:t>The Company has elected to offset derivative positions that are subject to master netting arrangements with the same counterparty in our Condensed Consolidated Balance Sheets. The following tables present the gross amounts of our derivative instruments subject to master netting arrangements with the same counterparty as of June 30, 2022 and December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Net Amounts of Assets</w:t>
            </w:r>
          </w:p>
        </w:tc>
        <w:tc>
          <w:tcPr>
            <w:tcW w:w="0" w:type="dxa"/>
            <w:vAlign w:val="bottom"/>
          </w:tcPr>
          <w:p>
            <w:pPr>
              <w:spacing w:after="0"/>
              <w:rPr>
                <w:sz w:val="1"/>
                <w:szCs w:val="1"/>
                <w:color w:val="auto"/>
              </w:rPr>
            </w:pPr>
          </w:p>
        </w:tc>
      </w:tr>
      <w:tr>
        <w:trPr>
          <w:trHeight w:val="176"/>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Gross Amounts Offset</w:t>
            </w:r>
          </w:p>
        </w:tc>
        <w:tc>
          <w:tcPr>
            <w:tcW w:w="200" w:type="dxa"/>
            <w:vAlign w:val="bottom"/>
          </w:tcPr>
          <w:p>
            <w:pPr>
              <w:spacing w:after="0"/>
              <w:rPr>
                <w:sz w:val="15"/>
                <w:szCs w:val="15"/>
                <w:color w:val="auto"/>
              </w:rPr>
            </w:pPr>
          </w:p>
        </w:tc>
        <w:tc>
          <w:tcPr>
            <w:tcW w:w="1280" w:type="dxa"/>
            <w:vAlign w:val="bottom"/>
          </w:tcPr>
          <w:p>
            <w:pPr>
              <w:jc w:val="center"/>
              <w:ind w:right="140"/>
              <w:spacing w:after="0"/>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Liabilities presented in</w:t>
            </w:r>
          </w:p>
        </w:tc>
        <w:tc>
          <w:tcPr>
            <w:tcW w:w="0" w:type="dxa"/>
            <w:vAlign w:val="bottom"/>
          </w:tcPr>
          <w:p>
            <w:pPr>
              <w:spacing w:after="0"/>
              <w:rPr>
                <w:sz w:val="1"/>
                <w:szCs w:val="1"/>
                <w:color w:val="auto"/>
              </w:rPr>
            </w:pPr>
          </w:p>
        </w:tc>
      </w:tr>
      <w:tr>
        <w:trPr>
          <w:trHeight w:val="175"/>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w:t>
            </w:r>
          </w:p>
        </w:tc>
        <w:tc>
          <w:tcPr>
            <w:tcW w:w="200" w:type="dxa"/>
            <w:vAlign w:val="bottom"/>
          </w:tcPr>
          <w:p>
            <w:pPr>
              <w:spacing w:after="0"/>
              <w:rPr>
                <w:sz w:val="15"/>
                <w:szCs w:val="15"/>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the</w:t>
            </w:r>
          </w:p>
        </w:tc>
        <w:tc>
          <w:tcPr>
            <w:tcW w:w="0" w:type="dxa"/>
            <w:vAlign w:val="bottom"/>
          </w:tcPr>
          <w:p>
            <w:pPr>
              <w:spacing w:after="0"/>
              <w:rPr>
                <w:sz w:val="1"/>
                <w:szCs w:val="1"/>
                <w:color w:val="auto"/>
              </w:rPr>
            </w:pPr>
          </w:p>
        </w:tc>
      </w:tr>
      <w:tr>
        <w:trPr>
          <w:trHeight w:val="176"/>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Gross Amounts of</w:t>
            </w: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the Condensed</w:t>
            </w:r>
          </w:p>
        </w:tc>
        <w:tc>
          <w:tcPr>
            <w:tcW w:w="200" w:type="dxa"/>
            <w:vAlign w:val="bottom"/>
          </w:tcPr>
          <w:p>
            <w:pPr>
              <w:spacing w:after="0"/>
              <w:rPr>
                <w:sz w:val="15"/>
                <w:szCs w:val="15"/>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Condensed</w:t>
            </w:r>
          </w:p>
        </w:tc>
        <w:tc>
          <w:tcPr>
            <w:tcW w:w="0" w:type="dxa"/>
            <w:vAlign w:val="bottom"/>
          </w:tcPr>
          <w:p>
            <w:pPr>
              <w:spacing w:after="0"/>
              <w:rPr>
                <w:sz w:val="1"/>
                <w:szCs w:val="1"/>
                <w:color w:val="auto"/>
              </w:rPr>
            </w:pPr>
          </w:p>
        </w:tc>
      </w:tr>
      <w:tr>
        <w:trPr>
          <w:trHeight w:val="176"/>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Recognized Assets or</w:t>
            </w: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Consolidated Balance</w:t>
            </w:r>
          </w:p>
        </w:tc>
        <w:tc>
          <w:tcPr>
            <w:tcW w:w="200" w:type="dxa"/>
            <w:vAlign w:val="bottom"/>
          </w:tcPr>
          <w:p>
            <w:pPr>
              <w:spacing w:after="0"/>
              <w:rPr>
                <w:sz w:val="15"/>
                <w:szCs w:val="15"/>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86"/>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Offsetting of Derivative Assets and Liabilities (Thousands)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Liabilities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Sheets</w:t>
            </w: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6"/>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 June 30, 2022</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25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21"/>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1"/>
        </w:trPr>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Net Amounts of Assets</w:t>
            </w:r>
          </w:p>
        </w:tc>
        <w:tc>
          <w:tcPr>
            <w:tcW w:w="0" w:type="dxa"/>
            <w:vAlign w:val="bottom"/>
          </w:tcPr>
          <w:p>
            <w:pPr>
              <w:spacing w:after="0"/>
              <w:rPr>
                <w:sz w:val="1"/>
                <w:szCs w:val="1"/>
                <w:color w:val="auto"/>
              </w:rPr>
            </w:pPr>
          </w:p>
        </w:tc>
      </w:tr>
      <w:tr>
        <w:trPr>
          <w:trHeight w:val="175"/>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Gross Amounts Offset</w:t>
            </w:r>
          </w:p>
        </w:tc>
        <w:tc>
          <w:tcPr>
            <w:tcW w:w="200" w:type="dxa"/>
            <w:vAlign w:val="bottom"/>
          </w:tcPr>
          <w:p>
            <w:pPr>
              <w:spacing w:after="0"/>
              <w:rPr>
                <w:sz w:val="15"/>
                <w:szCs w:val="15"/>
                <w:color w:val="auto"/>
              </w:rPr>
            </w:pPr>
          </w:p>
        </w:tc>
        <w:tc>
          <w:tcPr>
            <w:tcW w:w="1280" w:type="dxa"/>
            <w:vAlign w:val="bottom"/>
          </w:tcPr>
          <w:p>
            <w:pPr>
              <w:jc w:val="center"/>
              <w:ind w:right="140"/>
              <w:spacing w:after="0"/>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Liabilities presented in</w:t>
            </w:r>
          </w:p>
        </w:tc>
        <w:tc>
          <w:tcPr>
            <w:tcW w:w="0" w:type="dxa"/>
            <w:vAlign w:val="bottom"/>
          </w:tcPr>
          <w:p>
            <w:pPr>
              <w:spacing w:after="0"/>
              <w:rPr>
                <w:sz w:val="1"/>
                <w:szCs w:val="1"/>
                <w:color w:val="auto"/>
              </w:rPr>
            </w:pPr>
          </w:p>
        </w:tc>
      </w:tr>
      <w:tr>
        <w:trPr>
          <w:trHeight w:val="175"/>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w:t>
            </w:r>
          </w:p>
        </w:tc>
        <w:tc>
          <w:tcPr>
            <w:tcW w:w="200" w:type="dxa"/>
            <w:vAlign w:val="bottom"/>
          </w:tcPr>
          <w:p>
            <w:pPr>
              <w:spacing w:after="0"/>
              <w:rPr>
                <w:sz w:val="15"/>
                <w:szCs w:val="15"/>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the</w:t>
            </w:r>
          </w:p>
        </w:tc>
        <w:tc>
          <w:tcPr>
            <w:tcW w:w="0" w:type="dxa"/>
            <w:vAlign w:val="bottom"/>
          </w:tcPr>
          <w:p>
            <w:pPr>
              <w:spacing w:after="0"/>
              <w:rPr>
                <w:sz w:val="1"/>
                <w:szCs w:val="1"/>
                <w:color w:val="auto"/>
              </w:rPr>
            </w:pPr>
          </w:p>
        </w:tc>
      </w:tr>
      <w:tr>
        <w:trPr>
          <w:trHeight w:val="175"/>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Gross Amounts of</w:t>
            </w: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the Condensed</w:t>
            </w:r>
          </w:p>
        </w:tc>
        <w:tc>
          <w:tcPr>
            <w:tcW w:w="200" w:type="dxa"/>
            <w:vAlign w:val="bottom"/>
          </w:tcPr>
          <w:p>
            <w:pPr>
              <w:spacing w:after="0"/>
              <w:rPr>
                <w:sz w:val="15"/>
                <w:szCs w:val="15"/>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Condensed</w:t>
            </w:r>
          </w:p>
        </w:tc>
        <w:tc>
          <w:tcPr>
            <w:tcW w:w="0" w:type="dxa"/>
            <w:vAlign w:val="bottom"/>
          </w:tcPr>
          <w:p>
            <w:pPr>
              <w:spacing w:after="0"/>
              <w:rPr>
                <w:sz w:val="1"/>
                <w:szCs w:val="1"/>
                <w:color w:val="auto"/>
              </w:rPr>
            </w:pPr>
          </w:p>
        </w:tc>
      </w:tr>
      <w:tr>
        <w:trPr>
          <w:trHeight w:val="176"/>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Recognized Assets or</w:t>
            </w: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Consolidated Balance</w:t>
            </w:r>
          </w:p>
        </w:tc>
        <w:tc>
          <w:tcPr>
            <w:tcW w:w="200" w:type="dxa"/>
            <w:vAlign w:val="bottom"/>
          </w:tcPr>
          <w:p>
            <w:pPr>
              <w:spacing w:after="0"/>
              <w:rPr>
                <w:sz w:val="15"/>
                <w:szCs w:val="15"/>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86"/>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Offsetting of Derivative Assets and Liabilities (Thousands)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Liabilities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Sheets</w:t>
            </w: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5"/>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 December 31, 2021</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57"/>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Condensed Consolidated Balance Sheets: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Location on Condensed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Consolidated Balance</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6"/>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Sheets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December 31, 2021</w:t>
            </w:r>
          </w:p>
        </w:tc>
      </w:tr>
      <w:tr>
        <w:trPr>
          <w:trHeight w:val="25"/>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6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Derivative liability,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44"/>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w:t>
            </w:r>
          </w:p>
        </w:tc>
      </w:tr>
    </w:tbl>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June 30, 2022, the interest rate swaps were valued in net unrealized loss positions and recognized as liability balances within derivative liability, net in our Condensed Consolidated Balance Sheets. As hedge accounting is no longer applied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beginning in February 2020, the unrealized loss amounts are now being recorded directly to earnings. The amount reclassified out of other comprehensive income into interest expense on our Condensed Consolidated Statements of Income for the three and six months ended June 30, 2022 was $2.8 million and $5.7 million, respectively. The amount reclassified out of other comprehensive income into interest expense on our Condensed Consolidated Statements of Income for the three and six months ended June 30, 2021 was $2.8 million and $5.7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next twelve months, beginning July 1, 2022, we estimate that $3.6 million will be reclassified as an increase to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Exchangeable Notes Hedge Transactions</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June 25, 2019, concurrently with the pricing of the Exchangeable Notes, and on June 27, 2019, concurrently with the exercise by the initial purchasers involved in the offering of the Exchangeable Notes (the “Initial Purchasers”) of their option to purchase additional Exchangeable Notes, Uniti Fiber Holdings Inc., the issuer of the Exchangeable Notes, entered into exchangeable note hedge transactions with respect to the Company’s common stock (the “Note Hedge Transactions”) with certain of the Initial Purchasers or their respective affiliates (collectively, the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1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Note Hedge Transactions are separate transactions, entered into by Uniti Fiber Holdings Inc. with the Counterparties, and are not part of the terms of the Exchangeable Notes. Holders of the Exchangeable Notes will not have any rights with respect to the Note Hedge Transactions. The Note Hedge Transactions meet certain accounting criteria under GAAP, are recorded in additional paid-in capital on our Condensed Consolidated Balance Sheets and are not accounted for as derivatives that are remeasured each reporting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 Transactions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(the “Warrants”) to acquire, subject to anti-dilution adjustments, up to approximately 27.8 million 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of 1933, as amended.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Warrants are separate transactions, entered into by the Company with the Counterparties, and are not part of the terms of the Exchangeable Notes. Holders of the Exchangeable Notes will not have any rights with respect to the Warrants. The Warrants meet certain accounting criteria under GAAP, are recorded in additional paid-in capital on our Condensed Consolidated Balance Sheets and are not accounted for as derivatives that are remeasured each reporting period.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Intangible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were no changes in the carrying amount of goodwill during the three and six months ended June 30, 2022. The balance of goodwill recorded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Fiber Infrastructure segment as of June 30, 2022 and December 31, 2021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Fiber Infrastructure</w:t>
            </w:r>
          </w:p>
        </w:tc>
        <w:tc>
          <w:tcPr>
            <w:tcW w:w="220" w:type="dxa"/>
            <w:vAlign w:val="bottom"/>
          </w:tcPr>
          <w:p>
            <w:pPr>
              <w:spacing w:after="0"/>
              <w:rPr>
                <w:sz w:val="16"/>
                <w:szCs w:val="16"/>
                <w:color w:val="auto"/>
              </w:rPr>
            </w:pPr>
          </w:p>
        </w:tc>
        <w:tc>
          <w:tcPr>
            <w:tcW w:w="126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at December 31, 2021</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601,878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601,878</w:t>
            </w: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Goodwill at June 30, 2022</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601,878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601,878</w:t>
            </w: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21"/>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24"/>
                <w:szCs w:val="24"/>
                <w:color w:val="auto"/>
              </w:rPr>
            </w:pPr>
          </w:p>
        </w:tc>
        <w:tc>
          <w:tcPr>
            <w:tcW w:w="2840" w:type="dxa"/>
            <w:vAlign w:val="bottom"/>
            <w:gridSpan w:val="6"/>
          </w:tcPr>
          <w:p>
            <w:pPr>
              <w:ind w:left="820"/>
              <w:spacing w:after="0"/>
              <w:rPr>
                <w:sz w:val="20"/>
                <w:szCs w:val="20"/>
                <w:color w:val="auto"/>
              </w:rPr>
            </w:pPr>
            <w:r>
              <w:rPr>
                <w:rFonts w:ascii="Arial" w:cs="Arial" w:eastAsia="Arial" w:hAnsi="Arial"/>
                <w:sz w:val="14"/>
                <w:szCs w:val="14"/>
                <w:b w:val="1"/>
                <w:bCs w:val="1"/>
                <w:color w:val="auto"/>
              </w:rPr>
              <w:t>June 30, 2022</w:t>
            </w:r>
          </w:p>
        </w:tc>
        <w:tc>
          <w:tcPr>
            <w:tcW w:w="300" w:type="dxa"/>
            <w:vAlign w:val="bottom"/>
          </w:tcPr>
          <w:p>
            <w:pPr>
              <w:spacing w:after="0"/>
              <w:rPr>
                <w:sz w:val="24"/>
                <w:szCs w:val="24"/>
                <w:color w:val="auto"/>
              </w:rPr>
            </w:pPr>
          </w:p>
        </w:tc>
        <w:tc>
          <w:tcPr>
            <w:tcW w:w="2760" w:type="dxa"/>
            <w:vAlign w:val="bottom"/>
            <w:gridSpan w:val="4"/>
          </w:tcPr>
          <w:p>
            <w:pPr>
              <w:jc w:val="right"/>
              <w:ind w:right="856"/>
              <w:spacing w:after="0"/>
              <w:rPr>
                <w:sz w:val="20"/>
                <w:szCs w:val="20"/>
                <w:color w:val="auto"/>
              </w:rPr>
            </w:pPr>
            <w:r>
              <w:rPr>
                <w:rFonts w:ascii="Arial" w:cs="Arial" w:eastAsia="Arial" w:hAnsi="Arial"/>
                <w:sz w:val="14"/>
                <w:szCs w:val="14"/>
                <w:b w:val="1"/>
                <w:bCs w:val="1"/>
                <w:color w:val="auto"/>
              </w:rPr>
              <w:t>December 31, 2021</w:t>
            </w: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Original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Original</w:t>
            </w:r>
          </w:p>
        </w:tc>
        <w:tc>
          <w:tcPr>
            <w:tcW w:w="220" w:type="dxa"/>
            <w:vAlign w:val="bottom"/>
          </w:tcPr>
          <w:p>
            <w:pPr>
              <w:spacing w:after="0"/>
              <w:rPr>
                <w:sz w:val="18"/>
                <w:szCs w:val="18"/>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rPr>
              <w:t>Accumulated</w:t>
            </w:r>
          </w:p>
        </w:tc>
      </w:tr>
      <w:tr>
        <w:trPr>
          <w:trHeight w:val="188"/>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rPr>
              <w:t>Amortization</w:t>
            </w:r>
          </w:p>
        </w:tc>
      </w:tr>
      <w:tr>
        <w:trPr>
          <w:trHeight w:val="238"/>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Finite life intangible assets:</w:t>
            </w:r>
          </w:p>
        </w:tc>
        <w:tc>
          <w:tcPr>
            <w:tcW w:w="3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Customer lists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416,104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(117,296)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416,104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(105,861)</w:t>
            </w:r>
          </w:p>
        </w:tc>
      </w:tr>
      <w:tr>
        <w:trPr>
          <w:trHeight w:val="26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Underlying Rights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63"/>
        </w:trPr>
        <w:tc>
          <w:tcPr>
            <w:tcW w:w="4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intangible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479,137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479,137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intangible assets,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256"/>
        </w:trPr>
        <w:tc>
          <w:tcPr>
            <w:tcW w:w="4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Finite life intangible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Below-market leases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191,154</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(18,715)</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191,154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(13,368)</w:t>
            </w:r>
          </w:p>
        </w:tc>
      </w:tr>
      <w:tr>
        <w:trPr>
          <w:trHeight w:val="257"/>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6"/>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Finite life intangible liabilities: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Below-market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191,154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4"/>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intangible liabilities,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172,439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 remaining weighted average amortization period of the Company’s intangible assets was 14.6 years.</w:t>
      </w:r>
    </w:p>
    <w:p>
      <w:pPr>
        <w:spacing w:after="0" w:line="225"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Amortization expense for the three and six months ended June 30, 2022 was $7.4 million and $14.8 million, respectively. Amortization expense for the three and six months ended June 30, 2021 was $4.7 million and $9.5 million, respectively. Amortization expense is estimated to be $29.8 million for the full year of 2022, $29.8 million in 2023, $29.7 million in 2024, $29.7 million in 2025, and $29.7 million for 2026.</w:t>
      </w:r>
    </w:p>
    <w:p>
      <w:pPr>
        <w:spacing w:after="0" w:line="16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recognize the amortization of below-market leases in revenue. Revenue related to the amortization of the below-market leases for the three and six months ended June 30, 2022 was $2.6 million and $5.3 million. During the three and six months ended June 30, 2021, $2.6 million and $5.3 million was recorded as a benefit to amortization expense, and subsequently reclassified these amounts to revenue during the fourth quarter of 2021. As of June 30, 2022, the remaining weighted average amortization period of the Company’s intangible liabilities was 17.4 years. Revenue due to the amortization of the below-market leases is estimated to be $10.7 million for the full year of 2022, $10.7 million in 2023, $10.7 million in 2024, $10.7 million in 2025, and $10.7 million in 2026.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Notes and Other Debt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and/or certain of its subsidiaries as discussed below. The Company is, however, a guarantor of such debt.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are as follows:</w:t>
      </w:r>
    </w:p>
    <w:p>
      <w:pPr>
        <w:spacing w:after="0" w:line="271" w:lineRule="exact"/>
        <w:rPr>
          <w:sz w:val="20"/>
          <w:szCs w:val="20"/>
          <w:color w:val="auto"/>
        </w:rPr>
      </w:pPr>
    </w:p>
    <w:p>
      <w:pPr>
        <w:ind w:left="20"/>
        <w:spacing w:after="0"/>
        <w:tabs>
          <w:tab w:leader="none" w:pos="8480" w:val="left"/>
          <w:tab w:leader="none" w:pos="9900" w:val="left"/>
        </w:tabs>
        <w:rPr>
          <w:sz w:val="20"/>
          <w:szCs w:val="20"/>
          <w:color w:val="auto"/>
        </w:rPr>
      </w:pPr>
      <w:r>
        <w:rPr>
          <w:rFonts w:ascii="Arial" w:cs="Arial" w:eastAsia="Arial" w:hAnsi="Arial"/>
          <w:sz w:val="14"/>
          <w:szCs w:val="14"/>
          <w:color w:val="auto"/>
        </w:rPr>
        <w:t>(Thousands)</w:t>
      </w:r>
      <w:r>
        <w:rPr>
          <w:sz w:val="20"/>
          <w:szCs w:val="20"/>
          <w:color w:val="auto"/>
        </w:rPr>
        <w:tab/>
      </w:r>
      <w:r>
        <w:rPr>
          <w:rFonts w:ascii="Arial" w:cs="Arial" w:eastAsia="Arial" w:hAnsi="Arial"/>
          <w:sz w:val="14"/>
          <w:szCs w:val="14"/>
          <w:b w:val="1"/>
          <w:bCs w:val="1"/>
          <w:color w:val="auto"/>
        </w:rPr>
        <w:t>June 30, 2022</w:t>
      </w:r>
      <w:r>
        <w:rPr>
          <w:sz w:val="20"/>
          <w:szCs w:val="20"/>
          <w:color w:val="auto"/>
        </w:rPr>
        <w:tab/>
      </w:r>
      <w:r>
        <w:rPr>
          <w:rFonts w:ascii="Arial" w:cs="Arial" w:eastAsia="Arial" w:hAnsi="Arial"/>
          <w:sz w:val="12"/>
          <w:szCs w:val="12"/>
          <w:b w:val="1"/>
          <w:bCs w:val="1"/>
          <w:color w:val="auto"/>
        </w:rPr>
        <w:t>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5,175,000</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5,175,000</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unamortized discount, premium and debt issuance costs</w:t>
            </w:r>
          </w:p>
        </w:tc>
        <w:tc>
          <w:tcPr>
            <w:tcW w:w="2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(75,218)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(84,463)</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w w:val="99"/>
              </w:rPr>
              <w:t>Notes and other debt less unamortized discount, premium and 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5,099,782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5,090,537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color w:val="auto"/>
                <w:w w:val="91"/>
              </w:rPr>
              <w:t>Notes and other debt at June 30, 2022 and December 31, 2021 consisted of the following:</w:t>
            </w: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60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5"/>
          </w:tcPr>
          <w:p>
            <w:pPr>
              <w:ind w:left="820"/>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Pr>
          <w:p>
            <w:pPr>
              <w:spacing w:after="0"/>
              <w:rPr>
                <w:sz w:val="24"/>
                <w:szCs w:val="24"/>
                <w:color w:val="auto"/>
              </w:rPr>
            </w:pPr>
          </w:p>
        </w:tc>
        <w:tc>
          <w:tcPr>
            <w:tcW w:w="2780" w:type="dxa"/>
            <w:vAlign w:val="bottom"/>
            <w:gridSpan w:val="4"/>
          </w:tcPr>
          <w:p>
            <w:pPr>
              <w:jc w:val="right"/>
              <w:ind w:right="876"/>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Unamortized</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Unamortized</w:t>
            </w: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Discount,</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Discount,</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Premium and</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Premium and</w:t>
            </w: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Debt Issuance</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Debt Issuance</w:t>
            </w:r>
          </w:p>
        </w:tc>
        <w:tc>
          <w:tcPr>
            <w:tcW w:w="0" w:type="dxa"/>
            <w:vAlign w:val="bottom"/>
          </w:tcPr>
          <w:p>
            <w:pPr>
              <w:spacing w:after="0"/>
              <w:rPr>
                <w:sz w:val="1"/>
                <w:szCs w:val="1"/>
                <w:color w:val="auto"/>
              </w:rPr>
            </w:pPr>
          </w:p>
        </w:tc>
      </w:t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Costs</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6"/>
                <w:szCs w:val="16"/>
                <w:color w:val="auto"/>
              </w:rPr>
            </w:pPr>
          </w:p>
        </w:tc>
        <w:tc>
          <w:tcPr>
            <w:tcW w:w="1280" w:type="dxa"/>
            <w:vAlign w:val="bottom"/>
          </w:tcPr>
          <w:p>
            <w:pPr>
              <w:jc w:val="center"/>
              <w:ind w:right="136"/>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notes - 7.875%, due February 15, 2025</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is based on imputed interest rate of 8.38%)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(31,411)</w:t>
            </w:r>
          </w:p>
        </w:tc>
        <w:tc>
          <w:tcPr>
            <w:tcW w:w="0" w:type="dxa"/>
            <w:vAlign w:val="bottom"/>
          </w:tcPr>
          <w:p>
            <w:pPr>
              <w:spacing w:after="0"/>
              <w:rPr>
                <w:sz w:val="1"/>
                <w:szCs w:val="1"/>
                <w:color w:val="auto"/>
              </w:rPr>
            </w:pPr>
          </w:p>
        </w:tc>
      </w:tr>
      <w:tr>
        <w:trPr>
          <w:trHeight w:val="242"/>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Senior secured notes - 4.75%, due April 15, 2028</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(discount is based on imputed interest rate of 5.04%)</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24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unsecured notes - 4.00%, due June 15, 2024</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is based on imputed interest rate of 4.77%)</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42"/>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Senior unsecured notes - 6.50%, due February 15, 2029</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(discount is based on imputed interest rate of 6.83%)</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1,110,000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(20,797)</w:t>
            </w:r>
          </w:p>
        </w:tc>
        <w:tc>
          <w:tcPr>
            <w:tcW w:w="0" w:type="dxa"/>
            <w:vAlign w:val="bottom"/>
          </w:tcPr>
          <w:p>
            <w:pPr>
              <w:spacing w:after="0"/>
              <w:rPr>
                <w:sz w:val="1"/>
                <w:szCs w:val="1"/>
                <w:color w:val="auto"/>
              </w:rPr>
            </w:pPr>
          </w:p>
        </w:tc>
      </w:tr>
      <w:tr>
        <w:trPr>
          <w:trHeight w:val="24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unsecured notes - 6.00% due January 15, 2030</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is based on imputed interest rate of 6.27%)</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w:t>
            </w:r>
          </w:p>
        </w:tc>
        <w:tc>
          <w:tcPr>
            <w:tcW w:w="0" w:type="dxa"/>
            <w:vAlign w:val="bottom"/>
          </w:tcPr>
          <w:p>
            <w:pPr>
              <w:spacing w:after="0"/>
              <w:rPr>
                <w:sz w:val="1"/>
                <w:szCs w:val="1"/>
                <w:color w:val="auto"/>
              </w:rPr>
            </w:pPr>
          </w:p>
        </w:tc>
      </w:tr>
      <w:tr>
        <w:trPr>
          <w:trHeight w:val="215"/>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Senior secured revolving credit facility, variable rate, due</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10, 2024</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75"/>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5,175,000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At June 30, 2022, notes and other debt included the following: (i) $200.0 million under the Revolving Credit Facility (as defined below) pursuant to the credit agreement by and among Uniti Group LP, Uniti Group Finance 2019 Inc. and CSL Capital, LLC (the “Borrowers”), the guarantors and lenders party thereto and Bank of America, N.A., as administrative agent and collateral agent (the “Credit Agreement”); (ii) $2.25 billion aggregate principal amount of 7.875% Senior Secured Notes due 2025 (the “2025 Secured Notes”); (iii) $570.0 million aggregate principal amount of 4.75% Senior Secured Notes due 2028 (the “2028 Secured Notes”); (iv) $1.11 billion aggregate principal amount of 6.50% Senior Notes due February 15, 2029 (the “2029 Notes”); and (v) $345.0 million aggregate principal amount of 4.00% Exchangeable Senior Notes due June 15, 2024 (the “Exchangeable Notes”); and (vi) $700.0 million aggregate principal amount of 6.00% Senior Unsecured Notes due January 15, 2030 (the “2030 Notes” and collectively with the 2025 Secured Notes, the 2028 Secured Notes, the 2029 Notes and the Exchangeable Notes, the “Notes”). The terms of the Notes are as described in the Company’s Annual Report on Form 10-K for the year ended December 31, 2021.</w:t>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achieved a consolidated net leverage ratio as defined in the indenture governing the 2025 Secured Notes below 5.75 to 1.0 and, therefore, the covenant reversion date (as defined in the 2025 Secured Notes indenture) has occurred. As a result, the restriction imposed by our 2025 Secured Notes from paying cash dividends in excess of 90% of our REIT taxable income has been lifted.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Borrowers are party to the Credit Agreement, which provides for a $500 million revolving credit facility that will mature on December 10, 2024 (the “Revolving Credit Facility”) and provides us with the ability to obtain revolving loans as well as swingline loans and letters of credit from time to time. All obligations under the Credit Agreement are guaranteed by (i) the Company and (ii) certain of the Operating Partnership’s subsidiaries (the “Subsidiary Guarantors”) and are secured by substantially all of the assets of the Borrowers and the Subsidiary Guarantors.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June 30, 2022, the Borrowers were in compliance with all of the covenants under the Credit Agreement.</w:t>
      </w:r>
    </w:p>
    <w:p>
      <w:pPr>
        <w:spacing w:after="0" w:line="18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spacing w:after="0" w:line="1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Borrowings under the Revolving Credit Facility bear interest at a rate equal to either a base rate plus an applicable margin ranging from 2.75% to 3.50% or a eurodollar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eurodollar borrowings and (B) the average amount available to be drawn under outstanding letters of credit during such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Deferred financing costs were incurred in connection with the issuance of the Notes and the Revolving Credit Facility. These costs are amortized using the effective interest method over the term of the related indebtedness and are included in interest expense in our Condensed Consolidated Statements of Income. For the three and six months ended June 30, 2022, we recognized $4.3 million and $8.6 million, respectively, of non-cash interest expense related to the amortization of deferred financing costs. For the three and six months ended June 30, 2021, we recognized $4.1 million and $8.2 million, respectively, of non-cash interest expense related to the amortization of deferred financing costs.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w:t>
      </w:r>
    </w:p>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46" w:lineRule="exact"/>
        <w:rPr>
          <w:sz w:val="20"/>
          <w:szCs w:val="20"/>
          <w:color w:val="auto"/>
        </w:rPr>
      </w:pPr>
    </w:p>
    <w:p>
      <w:pPr>
        <w:ind w:right="40"/>
        <w:spacing w:after="0" w:line="275" w:lineRule="auto"/>
        <w:rPr>
          <w:rFonts w:ascii="Arial" w:cs="Arial" w:eastAsia="Arial" w:hAnsi="Arial"/>
          <w:sz w:val="17"/>
          <w:szCs w:val="17"/>
          <w:color w:val="auto"/>
        </w:rPr>
      </w:pPr>
      <w:r>
        <w:rPr>
          <w:rFonts w:ascii="Arial" w:cs="Arial" w:eastAsia="Arial" w:hAnsi="Arial"/>
          <w:sz w:val="17"/>
          <w:szCs w:val="17"/>
          <w:color w:val="auto"/>
        </w:rPr>
        <w:t>The dilutive effect of the Exchangeable Notes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hyperlink w:anchor="page18">
        <w:r>
          <w:rPr>
            <w:rFonts w:ascii="Arial" w:cs="Arial" w:eastAsia="Arial" w:hAnsi="Arial"/>
            <w:sz w:val="17"/>
            <w:szCs w:val="17"/>
            <w:u w:val="single" w:color="auto"/>
            <w:color w:val="0000FF"/>
          </w:rPr>
          <w:t>see Note 8</w:t>
        </w:r>
      </w:hyperlink>
      <w:r>
        <w:rPr>
          <w:rFonts w:ascii="Arial" w:cs="Arial" w:eastAsia="Arial" w:hAnsi="Arial"/>
          <w:sz w:val="17"/>
          <w:szCs w:val="17"/>
          <w:color w:val="auto"/>
        </w:rPr>
        <w:t>) is calculated using the treasury-stock method. During the three and six months ended June 30, 2022 and 2021, the Warrants were excluded from diluted shares outstanding because the exercise price exceeded the average market price of our common stock for the reporting period.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0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 except per share data)</w:t>
            </w: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6"/>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attributable to shareholders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44,469</w:t>
            </w:r>
          </w:p>
        </w:tc>
      </w:tr>
      <w:tr>
        <w:trPr>
          <w:trHeight w:val="250"/>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Less: Income allocated to participating securities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63"/>
        </w:trPr>
        <w:tc>
          <w:tcPr>
            <w:tcW w:w="5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Dividends declared on convertible preferred stock</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common shares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53,352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48,572</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105,746</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43,883</w:t>
            </w:r>
          </w:p>
        </w:tc>
      </w:tr>
      <w:tr>
        <w:trPr>
          <w:trHeight w:val="26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5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 weighted-average common shares outstanding</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235,656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231,801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235,352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231,636</w:t>
            </w:r>
          </w:p>
        </w:tc>
      </w:tr>
      <w:tr>
        <w:trPr>
          <w:trHeight w:val="27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8"/>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24"/>
                <w:szCs w:val="24"/>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0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 except per share data)</w:t>
            </w: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6"/>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attributable to shareholders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44,469</w:t>
            </w:r>
          </w:p>
        </w:tc>
      </w:tr>
      <w:tr>
        <w:trPr>
          <w:trHeight w:val="250"/>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Less: Income allocated to participating securities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63"/>
        </w:trPr>
        <w:tc>
          <w:tcPr>
            <w:tcW w:w="5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Dividends declared on convertible preferred stock</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50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Impact on if-converted dilutive securities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attributable to common shares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111,740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43,883</w:t>
            </w: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weighted-average common shares outstanding</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235,656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235,352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231,636</w:t>
            </w:r>
          </w:p>
        </w:tc>
      </w:tr>
      <w:tr>
        <w:trPr>
          <w:trHeight w:val="250"/>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Effect of dilutive non-participating securities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63"/>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Impact on if-converted dilutive securities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30,332</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31,346</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w w:val="93"/>
              </w:rPr>
              <w:t>Weighted-average shares for dilutive earnings per common share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267,361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262,268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267,045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231,862</w:t>
            </w:r>
          </w:p>
        </w:tc>
      </w:tr>
      <w:tr>
        <w:trPr>
          <w:trHeight w:val="27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Dilutive earnings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For the three and six months ended June 30, 2022, 603,575 non-participating securities were excluded from the computation of earnings per share, as their performance metrics were not met. For the six months ended June 30, 2021, 30,332,262 potential common shares related to the Exchangeable Notes were excluded from the computation of earnings per share, as their effect would have been anti-dilutive.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management, including our chief executive officer, who is our chief operating decision maker, manages our operations as two reportable segments, in addition to our corporate operations, which include: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color w:val="auto"/>
        </w:rPr>
        <w:t>: Represents the operations of our leasing business, Uniti Leasing, which is engaged in the acquisition and construction of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taxable REIT subsidiaries.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70"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i w:val="1"/>
          <w:iCs w:val="1"/>
          <w:u w:val="single" w:color="auto"/>
          <w:color w:val="auto"/>
        </w:rPr>
        <w:t>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our corporate office and shared service functions. Certain costs and expenses, primarily related to headcount,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fees and similar charges, that are directly attributable to operations of our business segments are allocated to the respective segments.</w:t>
      </w:r>
    </w:p>
    <w:p>
      <w:pPr>
        <w:spacing w:after="0" w:line="12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related to our segments is presented below for the three and six months ended June 30, 2022 and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 2022</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Subtotal of Reportable</w:t>
            </w:r>
          </w:p>
        </w:tc>
        <w:tc>
          <w:tcPr>
            <w:tcW w:w="0" w:type="dxa"/>
            <w:vAlign w:val="bottom"/>
          </w:tcPr>
          <w:p>
            <w:pPr>
              <w:spacing w:after="0"/>
              <w:rPr>
                <w:sz w:val="1"/>
                <w:szCs w:val="1"/>
                <w:color w:val="auto"/>
              </w:rPr>
            </w:pPr>
          </w:p>
        </w:tc>
      </w:t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Fiber Infrastructure</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205,614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283,975</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200,349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(6,768)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227,164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96,377</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42,513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29,753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72,303</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Transaction related and other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Gain on sale of real estate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w w:val="98"/>
              </w:rPr>
              <w:t>Adjustments for equity in earnings from unconsolidated entities</w:t>
            </w: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5"/>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gridSpan w:val="5"/>
            <w:vMerge w:val="restart"/>
          </w:tcPr>
          <w:p>
            <w:pPr>
              <w:ind w:left="340"/>
              <w:spacing w:after="0"/>
              <w:rPr>
                <w:sz w:val="20"/>
                <w:szCs w:val="20"/>
                <w:color w:val="auto"/>
              </w:rPr>
            </w:pPr>
            <w:r>
              <w:rPr>
                <w:rFonts w:ascii="Arial" w:cs="Arial" w:eastAsia="Arial" w:hAnsi="Arial"/>
                <w:sz w:val="14"/>
                <w:szCs w:val="14"/>
                <w:b w:val="1"/>
                <w:bCs w:val="1"/>
                <w:color w:val="auto"/>
              </w:rPr>
              <w:t>Three Months Ended June 30, 2021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Subtotal of Reportable</w:t>
            </w:r>
          </w:p>
        </w:tc>
        <w:tc>
          <w:tcPr>
            <w:tcW w:w="0" w:type="dxa"/>
            <w:vAlign w:val="bottom"/>
          </w:tcPr>
          <w:p>
            <w:pPr>
              <w:spacing w:after="0"/>
              <w:rPr>
                <w:sz w:val="1"/>
                <w:szCs w:val="1"/>
                <w:color w:val="auto"/>
              </w:rPr>
            </w:pPr>
          </w:p>
        </w:tc>
      </w:t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Fiber Infrastructure</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196,057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268,180</w:t>
            </w: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192,137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(5,842)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215,734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106,388</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69,671</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Transaction related and other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Gain on sale of real estate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Gain on sale of operations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8,779</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Adjustments for equity in earnings from unconsolidated entities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 June 30, 2022</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Subtotal of Reportable</w:t>
            </w:r>
          </w:p>
        </w:tc>
        <w:tc>
          <w:tcPr>
            <w:tcW w:w="0" w:type="dxa"/>
            <w:vAlign w:val="bottom"/>
          </w:tcPr>
          <w:p>
            <w:pPr>
              <w:spacing w:after="0"/>
              <w:rPr>
                <w:sz w:val="1"/>
                <w:szCs w:val="1"/>
                <w:color w:val="auto"/>
              </w:rPr>
            </w:pPr>
          </w:p>
        </w:tc>
      </w:t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Fiber Infrastructure</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410,255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151,754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562,009</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399,322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451,953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192,549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84,616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59,071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143,760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Transaction related and other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Gain on sale of real estate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6,513</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w w:val="98"/>
              </w:rPr>
              <w:t>Adjustments for equity in earnings from unconsolidated entities</w:t>
            </w: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75"/>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106,632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gridSpan w:val="5"/>
            <w:vMerge w:val="restart"/>
          </w:tcPr>
          <w:p>
            <w:pPr>
              <w:ind w:left="420"/>
              <w:spacing w:after="0"/>
              <w:rPr>
                <w:sz w:val="20"/>
                <w:szCs w:val="20"/>
                <w:color w:val="auto"/>
              </w:rPr>
            </w:pPr>
            <w:r>
              <w:rPr>
                <w:rFonts w:ascii="Arial" w:cs="Arial" w:eastAsia="Arial" w:hAnsi="Arial"/>
                <w:sz w:val="14"/>
                <w:szCs w:val="14"/>
                <w:b w:val="1"/>
                <w:bCs w:val="1"/>
                <w:color w:val="auto"/>
              </w:rPr>
              <w:t>Six Months Ended June 30, 2021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Subtotal of Reportable</w:t>
            </w:r>
          </w:p>
        </w:tc>
        <w:tc>
          <w:tcPr>
            <w:tcW w:w="0" w:type="dxa"/>
            <w:vAlign w:val="bottom"/>
          </w:tcPr>
          <w:p>
            <w:pPr>
              <w:spacing w:after="0"/>
              <w:rPr>
                <w:sz w:val="1"/>
                <w:szCs w:val="1"/>
                <w:color w:val="auto"/>
              </w:rPr>
            </w:pPr>
          </w:p>
        </w:tc>
      </w:t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Fiber Infrastructure</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390,993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149,773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540,766</w:t>
            </w: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383,634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429,982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246,969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82,700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57,802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140,635</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Transaction related and other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Gain on sale of real estate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Gain on sale of operations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Adjustments for equity in earnings from unconsolidated entities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Windstream Commitments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Following the consummation of our settlement agreement with Windstream, including entry into the Windstream Leases, we are obligated to make $490.1 million of cash payments to Windstream in equal installments over 20 consecutive quarters beginning in October 2020, and Uniti may prepay any installments due on or after the first anniversary of the settlement agreement (discounted at a 9% rate). On October 14, 2021, the Company prepaid four installments for a total of $92.9 million. As of June 30, 2022, the Company has made payments totaling $215.4 million.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Further, we are obligated to reimburse Windstream for up to an aggregate of $1.75 billion for certain growth capital improvements in long-term fiber and related assets made by Windstream (“Growth Capital Improvements”) through 2029. Uniti’s reimbursement commitment for Growth Capital Improvements does not require Uniti to reimburse Windstream for maintenance or repair expenditures (except for costs incurred for fiber replacements to the property leased under the competitive local exchange carrier master lease agreement, up to $70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$225 million in 2021, and are limited to $225 million per year in 2022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During the six months ended June 30, 2022, Uniti reimbursed $91.7 million of Growth Capital Improvements, of which $29.4 million represented the reimbursement of capital improvements completed in 2021 that were previously classified as tenant funded capital improvements. Upon reimbursement, the Company reduced the unamortized portion of deferred revenue related to these capital improvements and capitalized the difference between the cash provided to Windstream and the unamortized deferred revenue as a lease incentive. This lease incentive, which is $0.8 million and reported within other assets on our Condensed Consolidated Balance Sheets as of June 30, 2022, will be amortized as a reduction to revenue over the initial term of the Windstream Leases.</w:t>
      </w:r>
    </w:p>
    <w:p>
      <w:pPr>
        <w:spacing w:after="0" w:line="17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6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Litigation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July 3, 2019, SLF Holdings, LLC (“SLF”) filed a complaint against the Company, Uniti Fiber, and certain current and former officers of the Company (collectively, the “Defendants”) in the United States District Court for the Southern District of Alabama, in connection with Uniti Fiber’s purchase of Southern Light, LLC from SLF in July 2017. The complaint asserted claims for fraud and conspiracy, as well as claims under federal and Alabama securities laws, alleging that Defendants improperly failed to disclose to SLF the risk that the Spin-Off and entry into the Master Lease violated certain debt covenants of Windstream. On September 26, 2019, the action was transferred to United States District Court for the District of Delaware. On November 18, 2019, SLF filed an amended complaint, adding allegations that Defendants also failed to fully disclose the risk that the Master Lease purportedly could be recharacterized as a financing instead of a “true lease.” The amended complaint seeks compensatory and punitive damages, as well as reformation of the purchase agreement for the sale. On December 18, 2019, Defendants moved to dismiss the amended complaint in its entirety. That motion was fully briefed as of February 7, 2020, and a hearing on the motion was heard on May 12, 2020. On November 4, 2020, the court granted the Defendants’ motion and dismissed SLF’s amended complaint, in its entirety, with prejudice. On</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December 1, 2020, SLF filed a notice of appeal to the United States Court of Appeals for the Third Circuit from the district court’s dismissal order. The appeal was fully briefed on September 10, 2021. We have evaluated this matter under the guidance provided by ASC 450, </w:t>
      </w:r>
      <w:r>
        <w:rPr>
          <w:rFonts w:ascii="Arial" w:cs="Arial" w:eastAsia="Arial" w:hAnsi="Arial"/>
          <w:sz w:val="17"/>
          <w:szCs w:val="17"/>
          <w:i w:val="1"/>
          <w:iCs w:val="1"/>
          <w:color w:val="auto"/>
        </w:rPr>
        <w:t>Contingencies</w:t>
      </w:r>
      <w:r>
        <w:rPr>
          <w:rFonts w:ascii="Arial" w:cs="Arial" w:eastAsia="Arial" w:hAnsi="Arial"/>
          <w:sz w:val="17"/>
          <w:szCs w:val="17"/>
          <w:color w:val="auto"/>
        </w:rPr>
        <w:t xml:space="preserve"> (“ASC 450”), and as of the date of this Quarterly Report on Form 10-Q, we consider a loss not to be probable and are unable to estimate a reasonably possible range of loss; therefore, we have not recorded any liabilities associated with these claims in our Condensed Consolidated Balance Sheets.</w:t>
      </w:r>
    </w:p>
    <w:p>
      <w:pPr>
        <w:spacing w:after="0" w:line="18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 xml:space="preserve">Beginning on October 25, 2019, several purported shareholders filed separate putative class actions in the U.S. District Court for the Eastern District of Arkansas against the Company and certain of our officers, alleging violations of the federal securities laws based on claims similar to those asserted in the SLF Action. On March 12, 2020, the U.S. District Court for the Eastern District of Arkansas consolidated the Shareholder Actions and appointed lead plaintiffs and lead counsel in the consolidated cases under the caption </w:t>
      </w:r>
      <w:r>
        <w:rPr>
          <w:rFonts w:ascii="Arial" w:cs="Arial" w:eastAsia="Arial" w:hAnsi="Arial"/>
          <w:sz w:val="16"/>
          <w:szCs w:val="16"/>
          <w:i w:val="1"/>
          <w:iCs w:val="1"/>
          <w:color w:val="auto"/>
        </w:rPr>
        <w:t>In re Uniti Group Inc. Securities Litigation</w:t>
      </w:r>
      <w:r>
        <w:rPr>
          <w:rFonts w:ascii="Arial" w:cs="Arial" w:eastAsia="Arial" w:hAnsi="Arial"/>
          <w:sz w:val="16"/>
          <w:szCs w:val="16"/>
          <w:color w:val="auto"/>
        </w:rPr>
        <w:t xml:space="preserve"> (the “Class Action”). On May 11, 2020, lead plaintiffs filed a consolidated amended complaint in the Class Action. The consolidated amended complaint seeks to represent investors who acquired the Company’s securities between April 20, 2015 and February 15, 2019. The Class Action asserts claims under Sections 10(b) and 20(a) of the Exchange Act and Rule 10b-5 promulgated thereunder, alleging that the Company made materially false and misleading statements by allegedly failing to disclose, among other things, the risk that the Spin-Off and entry into the Master Lease violated certain debt covenants of Windstream and/or the risk that the Master Lease purportedly could be recharacterized as a financing instead of a “true lease.” The Class Action seeks class certification, unspecified monetary damages, costs and attorneys’ fees and other relief. On July 10, 2020, defendants moved to dismiss the consolidated amended complaint. On April 1, 2021, the court issued an order denying defendants’ motion to dismiss. On April 15, 2021, defendants filed a motion for reconsideration of the order or, in the alternative, for certification of an appeal of the decision to the Eighth Circuit. On October 25, 2021, plaintiffs filed a motion for class certification, which defendants opposed. On December 22, 2021, the court issued an order denying defendants’ motion for reconsideration or, in the alternative, certification of an appeal. On March 25, 2022, the parties reached an agreement to settle the Class Action, on behalf of a settlement class, for $38.9 million, to be funded entirely by the Company’s insurance carriers. On June 17, 2022, the parties signed a stipulation of settlement and plaintiffs moved for preliminary approval of the settlement. The settlement remains subject to notice to the settlement class and court approval. In accordance with ASC 450, we recorded $38.9 million of settlement expense within general and administrative expense within our Condensed Consolidated Statements of Income during the first quarter of 2022 and accounts payable, accrued expenses and other liabilities, net within our Condensed Consolidated Balance Sheets as of June 30, 2022. Additionally, we recorded the probable insurance recovery of $38.9 million as a reduction to general and administrative expense during the first quarter of 2022 within our Condensed Consolidated Statements of Income, and other assets within Condensed Consolidated Balance Sheets as of June 30, 2022.</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August 17, 2021, two purported shareholders filed a derivative action on behalf of Uniti in the Circuit Court for Baltimore City, Maryland, under the caption Mayer et al. v. Gunderman et al., 24-C-21-003488 (the “Mayer Derivative Action”). The Mayer Derivative Action names Kenneth Gunderman and Mark Wallace as defendants and the Company as a nominal defendant and asserts claims for breach of fiduciary duty and unjust enrichment. The complaint alleges that the individual defendants caused the Company to issue certain false and misleading statements relating to the Spin-Off and/or the Master Lease. In particular, as in the Shareholder Actions, the complaint alleges, among other things, that defendants failed to disclose the risk that the Spin-Off and entry into the Master Lease violated certain debt covenants of Windstream and/or the risk that the Master Lease purportedly could be recharacterized as a financing instead of a “true lease.” The complaint seeks unspecified damages, unspecified equitable relief, and related costs and fees. On December 23, 2021, the court entered a joint stipulation to stay the Mayer Derivative Action, including the time for the defendants to respond to the complaint, pending the outcome of the Class Action. Because this matter is still in its preliminary stages, we have not yet determined what effect this lawsuit will have, if any, on our financial position or results of operations. We have evaluated this matter under the guidance provided by ASC 450, and as of the date of this Quarterly Report on Form 10-Q, we consider a loss not to be probable and are unable to estimate a reasonably possible range of loss; therefore, we have not recorded any liabilities associated with these claims in our Condensed Consolidated Balance Sheets.</w:t>
      </w:r>
    </w:p>
    <w:p>
      <w:pPr>
        <w:spacing w:after="0" w:line="16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On February 11, 2022, a purported shareholder filed a derivative action on behalf of Uniti in the federal District Court for the District of Maryland, under the caption </w:t>
      </w:r>
      <w:r>
        <w:rPr>
          <w:rFonts w:ascii="Arial" w:cs="Arial" w:eastAsia="Arial" w:hAnsi="Arial"/>
          <w:sz w:val="16"/>
          <w:szCs w:val="16"/>
          <w:i w:val="1"/>
          <w:iCs w:val="1"/>
          <w:color w:val="auto"/>
        </w:rPr>
        <w:t>Guzzo et al. v. Gunderman et al.</w:t>
      </w:r>
      <w:r>
        <w:rPr>
          <w:rFonts w:ascii="Arial" w:cs="Arial" w:eastAsia="Arial" w:hAnsi="Arial"/>
          <w:sz w:val="16"/>
          <w:szCs w:val="16"/>
          <w:color w:val="auto"/>
        </w:rPr>
        <w:t>, 1:22-cv-00366-GLR (the “Guzzo Derivative Action”). The complaint names Kenneth Gunderman, Mark Wallace, Francis Frantz, David Solomon, Jennifer Banner, and Scott Bruce as defendants and the Company as a nominal defendant and asserts claims for contribution against Gunderman and Wallace if the Company is found to be liable for violations of the federal securities laws in the Class Action and claims against all the individual defendants for breaches of fiduciary duty, waste of corporate assets, and unjust enrichment. The allegations in the Guzzo Derivative Action are similar to those in the Mayer Derivative Action and the Class Action. The complaint seeks unspecified damages, equitable relief, and related costs and fees. On March 16, 2022, the court entered a joint stipulation to stay the Guzzo Derivative Action, including the time for the defendants to respond to the complaint, pending the outcome of the Class Action. We intend to defend this matter vigorously, and, because it is still in its relatively</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early stages, we have not yet determined what effect this lawsuit will have, if any, on our financial position or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maintain insurance policies that would provide coverage to various degrees for potential liabilities arising from the legal proceedings described above.</w:t>
      </w:r>
    </w:p>
    <w:p>
      <w:pPr>
        <w:spacing w:after="0" w:line="24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Condensed Consolidated Balance Sheets as of June 30,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by component is as follows for the three and six months ended June 30, 2022 and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0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6"/>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 hedge changes in fair value: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50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Balance at beginning of period attributable to shareholders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(30,353)</w:t>
            </w:r>
          </w:p>
        </w:tc>
      </w:tr>
      <w:tr>
        <w:trPr>
          <w:trHeight w:val="257"/>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Balance at end of period attributable to shareholders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Interest rate swap termination:</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Balance at beginning of period attributable to shareholders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r>
      <w:tr>
        <w:trPr>
          <w:trHeight w:val="215"/>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Amounts reclassified from accumulated other comprehensive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50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income</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w:t>
            </w:r>
          </w:p>
        </w:tc>
      </w:tr>
      <w:tr>
        <w:trPr>
          <w:trHeight w:val="256"/>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Balance at end of period</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15,644</w:t>
            </w:r>
          </w:p>
        </w:tc>
      </w:tr>
      <w:tr>
        <w:trPr>
          <w:trHeight w:val="215"/>
        </w:trPr>
        <w:tc>
          <w:tcPr>
            <w:tcW w:w="5060" w:type="dxa"/>
            <w:vAlign w:val="bottom"/>
            <w:gridSpan w:val="2"/>
          </w:tcPr>
          <w:p>
            <w:pPr>
              <w:ind w:left="100"/>
              <w:spacing w:after="0"/>
              <w:rPr>
                <w:sz w:val="20"/>
                <w:szCs w:val="20"/>
                <w:color w:val="auto"/>
              </w:rPr>
            </w:pPr>
            <w:r>
              <w:rPr>
                <w:rFonts w:ascii="Arial" w:cs="Arial" w:eastAsia="Arial" w:hAnsi="Arial"/>
                <w:sz w:val="18"/>
                <w:szCs w:val="18"/>
                <w:color w:val="auto"/>
                <w:w w:val="96"/>
              </w:rPr>
              <w:t>Less: Other comprehensive income attributable to noncontrolling</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50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interest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57"/>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Balance at end of period attributable to shareholders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15,561</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15,561</w:t>
            </w: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 at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(14,792)</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(14,792)</w:t>
            </w: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Capital Stock</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limited partner equity interests in our operating partnership (commonly called “OP Units”), are exchangeable on a one-for-one basis for shares of our common stock or, at our election, cash of equivalent value. During the three months ended June 30, 2022, the Company exchanged 433,617 OP Units held by third parties, of which 86,949 OP Units were exchanged for an equal number of common shares of the Company and 346,667 OP Units were exchanged for cash consideration of $4.6 million , representing approximately 80% of the OP Units held by third parties with a carrying value of $8.7 million as of the exchange dates. During the six months ended June 30, 2022, the Company exchanged 591,349 OP Units held by third parties, of which 244,683 OP Units were exchanged for an equal number of common shares of the Company and 346,667 OP Units were exchanged for cash consideration of $4.6 million, representing approximately 85% of the OP Units held by third parties with a carrying value of $11.9 million as of the exchange dates.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describes the principal factors affecting the results of our operations, financial condition, and changes in financial condition for the three and six</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months ended June 30, 2022. This discussion should be read in conjunction with the accompanying Condensed Consolidated Financial Statements, and the notes thereto set forth in Part I, Item 1 of this Quarterly Report on Form 10-Q and our Annual Report on Form 10-K filed with the U.S. Securities and Exchange Commission (“SEC”) on February 25, 2022, as amended by Amendment No. 1 thereto filed on Form 10-K/A with the SEC on March 22, 2022 (the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copper and coaxial broadband networks and data centers.</w:t>
      </w:r>
    </w:p>
    <w:p>
      <w:pPr>
        <w:spacing w:after="0" w:line="18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spacing w:after="0" w:line="18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Uniti operates as a REIT for U.S. federal income tax purposes. As a REIT, the Company is generally not subject to U.S. federal income taxes on income generated by its REIT operations, which includes income derived from the Windstream Leases. We have elected to treat the subsidiaries through which we operate our fiber business, Uniti Fiber, certain aspects of our leasing business, Uniti Leasing, certain aspects of our former towers business, and Talk America Services, LLC, which operated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June 30, 2022, we are the sole general partner of the Operating Partnership and own approximately 99.96% of the partnership interests in the Operating Partnership. In addition, we have undertaken a series of transactions to permit us to hold certain assets through subsidiaries that are taxed as REITs, which may also facilitate future acquisition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We aim to grow and diversify our portfolio and tenant base by pursuing a range of transaction structures with communication service providers, including</w:t>
      </w:r>
    </w:p>
    <w:p>
      <w:pPr>
        <w:spacing w:after="0" w:line="46" w:lineRule="exact"/>
        <w:rPr>
          <w:sz w:val="20"/>
          <w:szCs w:val="20"/>
          <w:color w:val="auto"/>
        </w:rPr>
      </w:pPr>
    </w:p>
    <w:p>
      <w:pPr>
        <w:ind w:right="80" w:firstLine="8"/>
        <w:spacing w:after="0" w:line="252"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sale-leaseback transactions, whereby we acquire existing infrastructure assets from third parties, including communication service providers, and lease them back on a long-term triple-net basis; (ii) leasing of dark fiber and selling of lit services on our existing fiber network assets that we either constructed or acquired; (iii) whole company acquisitions, which may include the use of one or more TRSs that are permitted under the tax laws to acquire and operate non-REIT businesses and assets subject to certain limitations; (iv) capital investment financing, whereby we offer communication service providers a cost efficient method of raising funds for discrete capital investments to upgrade or expand their network; and (v) mergers and acquisitions financing, whereby we facilitate mergers and acquisition transactions as a capital partner, including through operating company-property company (“OpCo-PropCo”) structures.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manage our operations as the two reportable business segments, in addition to our corporate operations, which include: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u w:val="single" w:color="auto"/>
          <w:color w:val="auto"/>
        </w:rPr>
        <w:t>Leasing Segment</w:t>
      </w:r>
      <w:r>
        <w:rPr>
          <w:rFonts w:ascii="Arial" w:cs="Arial" w:eastAsia="Arial" w:hAnsi="Arial"/>
          <w:sz w:val="18"/>
          <w:szCs w:val="18"/>
          <w:color w:val="auto"/>
        </w:rPr>
        <w:t>: Represents the operations of our leasing business, Uniti Leasing, which is engaged in the acquisition and construction of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assets and leasing them to anchor customers on either an exclusive or shared-tenant basis, in addition to the leasing of dark fiber on our existing fiber network assets that we either constructed or acquired. While the Leasing segment represents our REIT operations, certain aspects of the Leasing segment are also operated through TRSs.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u w:val="single" w:color="auto"/>
          <w:color w:val="auto"/>
        </w:rPr>
        <w:t>Fiber Infrastructure Segment</w:t>
      </w:r>
      <w:r>
        <w:rPr>
          <w:rFonts w:ascii="Arial" w:cs="Arial" w:eastAsia="Arial" w:hAnsi="Arial"/>
          <w:sz w:val="18"/>
          <w:szCs w:val="18"/>
          <w:color w:val="auto"/>
        </w:rPr>
        <w:t>: Represents the operations of our fiber business, Uniti Fiber, which is a leading provider of infrastructure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cell site backhaul and dark fiber, to the telecommunications industry.</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u w:val="single" w:color="auto"/>
          <w:color w:val="auto"/>
        </w:rPr>
        <w:t>Corporate Operations</w:t>
      </w:r>
      <w:r>
        <w:rPr>
          <w:rFonts w:ascii="Arial" w:cs="Arial" w:eastAsia="Arial" w:hAnsi="Arial"/>
          <w:sz w:val="18"/>
          <w:szCs w:val="18"/>
          <w:color w:val="auto"/>
        </w:rPr>
        <w:t>: Represents our corporate office and shared service functions. Certain costs and expenses, primarily related to headcount,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systems, insurance, professional fees and similar charges, that are directly attributable to operations of our business segments are allocated to the respective segments.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For more information on Adjusted EBITDA, see “Non-GAAP Financial Measures.” Detailed information about our segments can be found in Note 12 to our accompanying Condensed Consolidated Financial Statements contained in Part I, Item 1 of this Quarterly Report on Form 10-Q.</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Business Developments</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i w:val="1"/>
          <w:iCs w:val="1"/>
          <w:u w:val="single" w:color="auto"/>
          <w:color w:val="auto"/>
        </w:rPr>
        <w:t>Sale of Harmoni Towers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On June 21, 2022, the Company completed the sale of its investment in Harmoni Towers LP to Palistar Communications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GP LLC for total cash consideration of $32.5 million. As a result of the transaction, during the second quarter of 2022 we recorded a pre-tax gain of $7.9 million within other income (expense), net within our Condensed Consolidated Statements of Income.</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2022 and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dollars and as a percentage of total revenues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 June 30,</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60" w:type="dxa"/>
            <w:vAlign w:val="bottom"/>
          </w:tcPr>
          <w:p>
            <w:pPr>
              <w:spacing w:after="0"/>
              <w:rPr>
                <w:sz w:val="17"/>
                <w:szCs w:val="17"/>
                <w:color w:val="auto"/>
              </w:rPr>
            </w:pPr>
          </w:p>
        </w:tc>
        <w:tc>
          <w:tcPr>
            <w:tcW w:w="14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Revenues</w:t>
            </w:r>
          </w:p>
        </w:tc>
        <w:tc>
          <w:tcPr>
            <w:tcW w:w="300" w:type="dxa"/>
            <w:vAlign w:val="bottom"/>
          </w:tcPr>
          <w:p>
            <w:pPr>
              <w:spacing w:after="0"/>
              <w:rPr>
                <w:sz w:val="17"/>
                <w:szCs w:val="17"/>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1280" w:type="dxa"/>
            <w:vAlign w:val="bottom"/>
          </w:tcPr>
          <w:p>
            <w:pPr>
              <w:ind w:left="100"/>
              <w:spacing w:after="0"/>
              <w:rPr>
                <w:sz w:val="20"/>
                <w:szCs w:val="20"/>
                <w:color w:val="auto"/>
              </w:rPr>
            </w:pPr>
            <w:r>
              <w:rPr>
                <w:rFonts w:ascii="Arial" w:cs="Arial" w:eastAsia="Arial" w:hAnsi="Arial"/>
                <w:sz w:val="14"/>
                <w:szCs w:val="14"/>
                <w:b w:val="1"/>
                <w:bCs w:val="1"/>
                <w:color w:val="auto"/>
              </w:rPr>
              <w:t>% of Revenues</w:t>
            </w:r>
          </w:p>
        </w:tc>
        <w:tc>
          <w:tcPr>
            <w:tcW w:w="0" w:type="dxa"/>
            <w:vAlign w:val="bottom"/>
          </w:tcPr>
          <w:p>
            <w:pPr>
              <w:spacing w:after="0"/>
              <w:rPr>
                <w:sz w:val="1"/>
                <w:szCs w:val="1"/>
                <w:color w:val="auto"/>
              </w:rPr>
            </w:pPr>
          </w:p>
        </w:tc>
      </w:tr>
      <w:tr>
        <w:trPr>
          <w:trHeight w:val="229"/>
        </w:trPr>
        <w:tc>
          <w:tcPr>
            <w:tcW w:w="5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205,614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0"/>
              </w:rPr>
              <w:t>72.4%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196,057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0"/>
              </w:rPr>
              <w:t>73.1%</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0"/>
              </w:rPr>
              <w:t>27.6%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0"/>
              </w:rPr>
              <w:t>26.9%</w:t>
            </w:r>
          </w:p>
        </w:tc>
        <w:tc>
          <w:tcPr>
            <w:tcW w:w="0" w:type="dxa"/>
            <w:vAlign w:val="bottom"/>
          </w:tcPr>
          <w:p>
            <w:pPr>
              <w:spacing w:after="0"/>
              <w:rPr>
                <w:sz w:val="1"/>
                <w:szCs w:val="1"/>
                <w:color w:val="auto"/>
              </w:rPr>
            </w:pPr>
          </w:p>
        </w:tc>
      </w:tr>
      <w:tr>
        <w:trPr>
          <w:trHeight w:val="223"/>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283,975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112"/>
              <w:spacing w:after="0"/>
              <w:rPr>
                <w:sz w:val="20"/>
                <w:szCs w:val="20"/>
                <w:color w:val="auto"/>
              </w:rPr>
            </w:pPr>
            <w:r>
              <w:rPr>
                <w:rFonts w:ascii="Arial" w:cs="Arial" w:eastAsia="Arial" w:hAnsi="Arial"/>
                <w:sz w:val="18"/>
                <w:szCs w:val="18"/>
                <w:color w:val="auto"/>
                <w:w w:val="91"/>
              </w:rPr>
              <w:t>100.0%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96,377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0"/>
              </w:rPr>
              <w:t>34.0%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0"/>
              </w:rPr>
              <w:t>39.6%</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0"/>
              </w:rPr>
              <w:t>25.5%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0"/>
              </w:rPr>
              <w:t>26.0%</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2"/>
              </w:rPr>
              <w:t>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2"/>
              </w:rPr>
              <w:t>9.3%</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Operating expense (exclusive of depreciation and amortization)</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0"/>
              </w:rPr>
              <w:t>13.0%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0"/>
              </w:rPr>
              <w:t>12.4%</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Transaction related and other costs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2"/>
              </w:rPr>
              <w:t>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Gain on sale of real estate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4"/>
              </w:rPr>
              <w:t>(0.1%)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4"/>
              </w:rPr>
              <w:t>(0.2)%</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Gain on sale of operations</w:t>
            </w:r>
          </w:p>
        </w:tc>
        <w:tc>
          <w:tcPr>
            <w:tcW w:w="260" w:type="dxa"/>
            <w:vAlign w:val="bottom"/>
          </w:tcPr>
          <w:p>
            <w:pPr>
              <w:spacing w:after="0"/>
              <w:rPr>
                <w:sz w:val="19"/>
                <w:szCs w:val="19"/>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1"/>
              </w:rPr>
              <w:t>(10.5)%</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4"/>
              </w:rPr>
              <w:t>(2.8%)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2"/>
              </w:rPr>
              <w:t>3.0%</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0"/>
              </w:rPr>
              <w:t>79.5%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0"/>
              </w:rPr>
              <w:t>79.8%</w:t>
            </w:r>
          </w:p>
        </w:tc>
        <w:tc>
          <w:tcPr>
            <w:tcW w:w="0" w:type="dxa"/>
            <w:vAlign w:val="bottom"/>
          </w:tcPr>
          <w:p>
            <w:pPr>
              <w:spacing w:after="0"/>
              <w:rPr>
                <w:sz w:val="1"/>
                <w:szCs w:val="1"/>
                <w:color w:val="auto"/>
              </w:rPr>
            </w:pPr>
          </w:p>
        </w:tc>
      </w:tr>
      <w:tr>
        <w:trPr>
          <w:trHeight w:val="155"/>
        </w:trPr>
        <w:tc>
          <w:tcPr>
            <w:tcW w:w="51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Income before income taxes and equity in earnings from</w:t>
            </w:r>
          </w:p>
        </w:tc>
        <w:tc>
          <w:tcPr>
            <w:tcW w:w="2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58,238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center"/>
              <w:ind w:right="92"/>
              <w:spacing w:after="0"/>
              <w:rPr>
                <w:sz w:val="20"/>
                <w:szCs w:val="20"/>
                <w:color w:val="auto"/>
              </w:rPr>
            </w:pPr>
            <w:r>
              <w:rPr>
                <w:rFonts w:ascii="Arial" w:cs="Arial" w:eastAsia="Arial" w:hAnsi="Arial"/>
                <w:sz w:val="18"/>
                <w:szCs w:val="18"/>
                <w:color w:val="auto"/>
                <w:w w:val="90"/>
              </w:rPr>
              <w:t>20.5%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54,176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center"/>
              <w:ind w:right="91"/>
              <w:spacing w:after="0"/>
              <w:rPr>
                <w:sz w:val="20"/>
                <w:szCs w:val="20"/>
                <w:color w:val="auto"/>
              </w:rPr>
            </w:pPr>
            <w:r>
              <w:rPr>
                <w:rFonts w:ascii="Arial" w:cs="Arial" w:eastAsia="Arial" w:hAnsi="Arial"/>
                <w:sz w:val="18"/>
                <w:szCs w:val="18"/>
                <w:color w:val="auto"/>
                <w:w w:val="90"/>
              </w:rPr>
              <w:t>20.2%</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unconsolidated entities</w:t>
            </w:r>
          </w:p>
        </w:tc>
        <w:tc>
          <w:tcPr>
            <w:tcW w:w="2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2"/>
              </w:rPr>
              <w:t>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2"/>
              </w:rPr>
              <w:t>1.9%</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Equity in earnings from unconsolidated entities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4"/>
              </w:rPr>
              <w:t>(0.2%)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4"/>
              </w:rPr>
              <w:t>(0.2%)</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53,774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0"/>
              </w:rPr>
              <w:t>18.9%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0"/>
              </w:rPr>
              <w:t>18.5%</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2"/>
              </w:rPr>
              <w:t>0.0%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attributable to shareholders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53,697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0"/>
              </w:rPr>
              <w:t>18.9%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48,907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0"/>
              </w:rPr>
              <w:t>18.2%</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4"/>
              </w:rPr>
              <w:t>(0.1%)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4"/>
              </w:rPr>
              <w:t>(0.1%)</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2"/>
              </w:rPr>
              <w:t>0.0%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0"/>
              </w:rPr>
              <w:t>18.8%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0"/>
              </w:rPr>
              <w:t>18.1%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77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revenues, Adjusted EBITDA and net income of our reportable segments for the three months ended June 30, 2022 and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 June 30, 2022</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Subtotal of Reportable</w:t>
            </w:r>
          </w:p>
        </w:tc>
        <w:tc>
          <w:tcPr>
            <w:tcW w:w="0" w:type="dxa"/>
            <w:vAlign w:val="bottom"/>
          </w:tcPr>
          <w:p>
            <w:pPr>
              <w:spacing w:after="0"/>
              <w:rPr>
                <w:sz w:val="1"/>
                <w:szCs w:val="1"/>
                <w:color w:val="auto"/>
              </w:rPr>
            </w:pPr>
          </w:p>
        </w:tc>
      </w:tr>
      <w:tr>
        <w:trPr>
          <w:trHeight w:val="186"/>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Fiber Infrastructure</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right"/>
              <w:ind w:right="351"/>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6"/>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283,975</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4"/>
              </w:rPr>
              <w:t>(6,768)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227,164</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96,377</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72,303</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real estate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related and other costs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56"/>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w w:val="97"/>
              </w:rPr>
              <w:t>Adjustments for equity in earnings from unconsolidated entities</w:t>
            </w:r>
          </w:p>
        </w:tc>
        <w:tc>
          <w:tcPr>
            <w:tcW w:w="2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gridSpan w:val="5"/>
            <w:vMerge w:val="restart"/>
          </w:tcPr>
          <w:p>
            <w:pPr>
              <w:ind w:left="320"/>
              <w:spacing w:after="0"/>
              <w:rPr>
                <w:sz w:val="20"/>
                <w:szCs w:val="20"/>
                <w:color w:val="auto"/>
              </w:rPr>
            </w:pPr>
            <w:r>
              <w:rPr>
                <w:rFonts w:ascii="Arial" w:cs="Arial" w:eastAsia="Arial" w:hAnsi="Arial"/>
                <w:sz w:val="14"/>
                <w:szCs w:val="14"/>
                <w:b w:val="1"/>
                <w:bCs w:val="1"/>
                <w:color w:val="auto"/>
              </w:rPr>
              <w:t>Three Months Ended June 30, 2021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Subtotal of Reportable</w:t>
            </w:r>
          </w:p>
        </w:tc>
        <w:tc>
          <w:tcPr>
            <w:tcW w:w="0" w:type="dxa"/>
            <w:vAlign w:val="bottom"/>
          </w:tcPr>
          <w:p>
            <w:pPr>
              <w:spacing w:after="0"/>
              <w:rPr>
                <w:sz w:val="1"/>
                <w:szCs w:val="1"/>
                <w:color w:val="auto"/>
              </w:rPr>
            </w:pPr>
          </w:p>
        </w:tc>
      </w:tr>
      <w:tr>
        <w:trPr>
          <w:trHeight w:val="186"/>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Fiber Infrastructure</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right"/>
              <w:ind w:right="351"/>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5"/>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196,057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268,180</w:t>
            </w: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4"/>
              </w:rPr>
              <w:t>(5,842)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215,734</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106,388</w:t>
            </w:r>
          </w:p>
        </w:tc>
        <w:tc>
          <w:tcPr>
            <w:tcW w:w="0" w:type="dxa"/>
            <w:vAlign w:val="bottom"/>
          </w:tcPr>
          <w:p>
            <w:pPr>
              <w:spacing w:after="0"/>
              <w:rPr>
                <w:sz w:val="1"/>
                <w:szCs w:val="1"/>
                <w:color w:val="auto"/>
              </w:rPr>
            </w:pPr>
          </w:p>
        </w:tc>
      </w:tr>
      <w:tr>
        <w:trPr>
          <w:trHeight w:val="256"/>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29,132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69,671</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Transaction related and other costs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real estate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Gain on sale of operations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(28,143)</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Adjustments for equity in earnings from unconsolidated entities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49,639</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vMerge w:val="restart"/>
          </w:tcPr>
          <w:p>
            <w:pPr>
              <w:ind w:left="2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Operating Metrics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Operating Metrics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0"/>
              </w:rPr>
              <w:t>As of June 30,</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3"/>
              </w:rPr>
              <w:t>% Increase /</w:t>
            </w:r>
          </w:p>
        </w:tc>
        <w:tc>
          <w:tcPr>
            <w:tcW w:w="0" w:type="dxa"/>
            <w:vAlign w:val="bottom"/>
          </w:tcPr>
          <w:p>
            <w:pPr>
              <w:spacing w:after="0"/>
              <w:rPr>
                <w:sz w:val="1"/>
                <w:szCs w:val="1"/>
                <w:color w:val="auto"/>
              </w:rPr>
            </w:pPr>
          </w:p>
        </w:tc>
      </w:tr>
      <w:tr>
        <w:trPr>
          <w:trHeight w:val="188"/>
        </w:trPr>
        <w:tc>
          <w:tcPr>
            <w:tcW w:w="4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1"/>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metrics: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Fiber strand miles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7"/>
              <w:spacing w:after="0"/>
              <w:rPr>
                <w:sz w:val="20"/>
                <w:szCs w:val="20"/>
                <w:color w:val="auto"/>
              </w:rPr>
            </w:pPr>
            <w:r>
              <w:rPr>
                <w:rFonts w:ascii="Arial" w:cs="Arial" w:eastAsia="Arial" w:hAnsi="Arial"/>
                <w:sz w:val="18"/>
                <w:szCs w:val="18"/>
                <w:color w:val="auto"/>
                <w:w w:val="87"/>
              </w:rPr>
              <w:t>8.3%</w:t>
            </w:r>
          </w:p>
        </w:tc>
        <w:tc>
          <w:tcPr>
            <w:tcW w:w="0" w:type="dxa"/>
            <w:vAlign w:val="bottom"/>
          </w:tcPr>
          <w:p>
            <w:pPr>
              <w:spacing w:after="0"/>
              <w:rPr>
                <w:sz w:val="1"/>
                <w:szCs w:val="1"/>
                <w:color w:val="auto"/>
              </w:rPr>
            </w:pPr>
          </w:p>
        </w:tc>
      </w:tr>
      <w:tr>
        <w:trPr>
          <w:trHeight w:val="229"/>
        </w:trPr>
        <w:tc>
          <w:tcPr>
            <w:tcW w:w="5040" w:type="dxa"/>
            <w:vAlign w:val="bottom"/>
            <w:gridSpan w:val="2"/>
          </w:tcPr>
          <w:p>
            <w:pPr>
              <w:ind w:left="600"/>
              <w:spacing w:after="0"/>
              <w:rPr>
                <w:sz w:val="20"/>
                <w:szCs w:val="20"/>
                <w:color w:val="auto"/>
              </w:rPr>
            </w:pPr>
            <w:r>
              <w:rPr>
                <w:rFonts w:ascii="Arial" w:cs="Arial" w:eastAsia="Arial" w:hAnsi="Arial"/>
                <w:sz w:val="18"/>
                <w:szCs w:val="18"/>
                <w:color w:val="auto"/>
              </w:rPr>
              <w:t>Copper strand miles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600"/>
              <w:spacing w:after="0"/>
              <w:rPr>
                <w:sz w:val="20"/>
                <w:szCs w:val="20"/>
                <w:color w:val="auto"/>
              </w:rPr>
            </w:pPr>
            <w:r>
              <w:rPr>
                <w:rFonts w:ascii="Arial" w:cs="Arial" w:eastAsia="Arial" w:hAnsi="Arial"/>
                <w:sz w:val="18"/>
                <w:szCs w:val="18"/>
                <w:color w:val="auto"/>
              </w:rPr>
              <w:t>Fiber strand miles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2,540,000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77"/>
              <w:spacing w:after="0"/>
              <w:rPr>
                <w:sz w:val="20"/>
                <w:szCs w:val="20"/>
                <w:color w:val="auto"/>
              </w:rPr>
            </w:pPr>
            <w:r>
              <w:rPr>
                <w:rFonts w:ascii="Arial" w:cs="Arial" w:eastAsia="Arial" w:hAnsi="Arial"/>
                <w:sz w:val="18"/>
                <w:szCs w:val="18"/>
                <w:color w:val="auto"/>
                <w:w w:val="90"/>
              </w:rPr>
              <w:t>10.2%</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Customer connections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7"/>
              <w:spacing w:after="0"/>
              <w:rPr>
                <w:sz w:val="20"/>
                <w:szCs w:val="20"/>
                <w:color w:val="auto"/>
              </w:rPr>
            </w:pPr>
            <w:r>
              <w:rPr>
                <w:rFonts w:ascii="Arial" w:cs="Arial" w:eastAsia="Arial" w:hAnsi="Arial"/>
                <w:sz w:val="18"/>
                <w:szCs w:val="18"/>
                <w:color w:val="auto"/>
                <w:w w:val="87"/>
              </w:rPr>
              <w:t>7.0%</w:t>
            </w:r>
          </w:p>
        </w:tc>
        <w:tc>
          <w:tcPr>
            <w:tcW w:w="0" w:type="dxa"/>
            <w:vAlign w:val="bottom"/>
          </w:tcPr>
          <w:p>
            <w:pPr>
              <w:spacing w:after="0"/>
              <w:rPr>
                <w:sz w:val="1"/>
                <w:szCs w:val="1"/>
                <w:color w:val="auto"/>
              </w:rPr>
            </w:pPr>
          </w:p>
        </w:tc>
      </w:tr>
      <w:tr>
        <w:trPr>
          <w:trHeight w:val="527"/>
        </w:trPr>
        <w:tc>
          <w:tcPr>
            <w:tcW w:w="5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4"/>
                <w:szCs w:val="14"/>
                <w:b w:val="1"/>
                <w:bCs w:val="1"/>
                <w:color w:val="auto"/>
              </w:rPr>
              <w:t>Three Months Ended June 30,</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88"/>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4"/>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205,614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37"/>
              <w:spacing w:after="0"/>
              <w:rPr>
                <w:sz w:val="20"/>
                <w:szCs w:val="20"/>
                <w:color w:val="auto"/>
              </w:rPr>
            </w:pPr>
            <w:r>
              <w:rPr>
                <w:rFonts w:ascii="Arial" w:cs="Arial" w:eastAsia="Arial" w:hAnsi="Arial"/>
                <w:sz w:val="18"/>
                <w:szCs w:val="18"/>
                <w:color w:val="auto"/>
                <w:w w:val="90"/>
              </w:rPr>
              <w:t>72.4%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196,057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77"/>
              <w:spacing w:after="0"/>
              <w:rPr>
                <w:sz w:val="20"/>
                <w:szCs w:val="20"/>
                <w:color w:val="auto"/>
              </w:rPr>
            </w:pPr>
            <w:r>
              <w:rPr>
                <w:rFonts w:ascii="Arial" w:cs="Arial" w:eastAsia="Arial" w:hAnsi="Arial"/>
                <w:sz w:val="18"/>
                <w:szCs w:val="18"/>
                <w:color w:val="auto"/>
                <w:w w:val="90"/>
              </w:rPr>
              <w:t>73.1%</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37"/>
              <w:spacing w:after="0"/>
              <w:rPr>
                <w:sz w:val="20"/>
                <w:szCs w:val="20"/>
                <w:color w:val="auto"/>
              </w:rPr>
            </w:pPr>
            <w:r>
              <w:rPr>
                <w:rFonts w:ascii="Arial" w:cs="Arial" w:eastAsia="Arial" w:hAnsi="Arial"/>
                <w:sz w:val="18"/>
                <w:szCs w:val="18"/>
                <w:color w:val="auto"/>
                <w:w w:val="90"/>
              </w:rPr>
              <w:t>27.6%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8"/>
                <w:szCs w:val="18"/>
                <w:color w:val="auto"/>
                <w:w w:val="90"/>
              </w:rPr>
              <w:t>26.9%</w:t>
            </w:r>
          </w:p>
        </w:tc>
        <w:tc>
          <w:tcPr>
            <w:tcW w:w="0" w:type="dxa"/>
            <w:vAlign w:val="bottom"/>
          </w:tcPr>
          <w:p>
            <w:pPr>
              <w:spacing w:after="0"/>
              <w:rPr>
                <w:sz w:val="1"/>
                <w:szCs w:val="1"/>
                <w:color w:val="auto"/>
              </w:rPr>
            </w:pPr>
          </w:p>
        </w:tc>
      </w:tr>
      <w:tr>
        <w:trPr>
          <w:trHeight w:val="223"/>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283,975</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8"/>
                <w:szCs w:val="18"/>
                <w:color w:val="auto"/>
                <w:w w:val="88"/>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268,180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i w:val="1"/>
          <w:iCs w:val="1"/>
          <w:u w:val="single" w:color="auto"/>
          <w:color w:val="auto"/>
        </w:rPr>
        <w:t>Leasing</w:t>
      </w:r>
      <w:r>
        <w:rPr>
          <w:rFonts w:ascii="Arial" w:cs="Arial" w:eastAsia="Arial" w:hAnsi="Arial"/>
          <w:sz w:val="16"/>
          <w:szCs w:val="16"/>
          <w:i w:val="1"/>
          <w:iCs w:val="1"/>
          <w:color w:val="auto"/>
        </w:rPr>
        <w:t xml:space="preserve"> </w:t>
      </w:r>
      <w:r>
        <w:rPr>
          <w:rFonts w:ascii="Arial" w:cs="Arial" w:eastAsia="Arial" w:hAnsi="Arial"/>
          <w:sz w:val="16"/>
          <w:szCs w:val="16"/>
          <w:color w:val="auto"/>
        </w:rPr>
        <w:t>– Leasing revenues are primarily attributable to rental revenue from leasing our Distribution Systems to Windstream pursuant to the Windstream</w:t>
      </w:r>
      <w:r>
        <w:rPr>
          <w:rFonts w:ascii="Arial" w:cs="Arial" w:eastAsia="Arial" w:hAnsi="Arial"/>
          <w:sz w:val="16"/>
          <w:szCs w:val="16"/>
          <w:i w:val="1"/>
          <w:iCs w:val="1"/>
          <w:color w:val="auto"/>
        </w:rPr>
        <w:t xml:space="preserve"> </w:t>
      </w:r>
      <w:r>
        <w:rPr>
          <w:rFonts w:ascii="Arial" w:cs="Arial" w:eastAsia="Arial" w:hAnsi="Arial"/>
          <w:sz w:val="16"/>
          <w:szCs w:val="16"/>
          <w:color w:val="auto"/>
        </w:rPr>
        <w:t>Leases (and historically, the Master Lease). Under the Windstream Leases, 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Annual rent under the Windstream Leases for the full year 2022 is $668.9 million and is subject to annual escalation at a rate of 0.5%. For a description of the Windstream Leases, see “Liquidity and Capital Resources—Windstream Master Lease and Windstream Leases” below.</w:t>
      </w:r>
    </w:p>
    <w:p>
      <w:pPr>
        <w:spacing w:after="0" w:line="16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rent for the first year of each renewal term will be an amount agreed to by us and Windstream. While the agreement requires that the renewal rent be “Fair Market Rent,” if we are unable to agree, the renewal Fair Market Rent will be determined by an independent appraisal process. Commencing with the second year of each renewal term, the renewal rent will increase at an escalation rate of 0.5%.</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or “GCIs”). Uniti’s total annual reimbursement commitments to Windstream for the Growth Capital Improvements is discussed below in “Liquidity and Capital Resources—Windstream Master Lease and Windstream Leases.”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Starting on the first anniversary of each installment of reimbursement for a Growth Capital Improvement, the rent payable by Windstream under the</w:t>
      </w:r>
    </w:p>
    <w:p>
      <w:pPr>
        <w:spacing w:after="0" w:line="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Windstream Leases provide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TCIs exclude Growth Capital Improvements as and when reimbursed by Uniti.</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center"/>
              <w:ind w:right="114"/>
              <w:spacing w:after="0" w:line="129" w:lineRule="exact"/>
              <w:rPr>
                <w:sz w:val="20"/>
                <w:szCs w:val="20"/>
                <w:color w:val="auto"/>
              </w:rPr>
            </w:pPr>
            <w:r>
              <w:rPr>
                <w:rFonts w:ascii="Arial" w:cs="Arial" w:eastAsia="Arial" w:hAnsi="Arial"/>
                <w:sz w:val="14"/>
                <w:szCs w:val="14"/>
                <w:b w:val="1"/>
                <w:bCs w:val="1"/>
                <w:color w:val="auto"/>
                <w:w w:val="95"/>
              </w:rPr>
              <w:t>% of Segment</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center"/>
              <w:ind w:right="93"/>
              <w:spacing w:after="0" w:line="129" w:lineRule="exact"/>
              <w:rPr>
                <w:sz w:val="20"/>
                <w:szCs w:val="20"/>
                <w:color w:val="auto"/>
              </w:rPr>
            </w:pPr>
            <w:r>
              <w:rPr>
                <w:rFonts w:ascii="Arial" w:cs="Arial" w:eastAsia="Arial" w:hAnsi="Arial"/>
                <w:sz w:val="14"/>
                <w:szCs w:val="14"/>
                <w:b w:val="1"/>
                <w:bCs w:val="1"/>
                <w:color w:val="auto"/>
                <w:w w:val="92"/>
              </w:rPr>
              <w:t>% of Segment</w:t>
            </w:r>
          </w:p>
        </w:tc>
        <w:tc>
          <w:tcPr>
            <w:tcW w:w="0" w:type="dxa"/>
            <w:vAlign w:val="bottom"/>
          </w:tcPr>
          <w:p>
            <w:pPr>
              <w:spacing w:after="0"/>
              <w:rPr>
                <w:sz w:val="1"/>
                <w:szCs w:val="1"/>
                <w:color w:val="auto"/>
              </w:rPr>
            </w:pPr>
          </w:p>
        </w:tc>
      </w:tr>
      <w:tr>
        <w:trPr>
          <w:trHeight w:val="188"/>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80" w:type="dxa"/>
            <w:vAlign w:val="bottom"/>
          </w:tcPr>
          <w:p>
            <w:pPr>
              <w:jc w:val="center"/>
              <w:ind w:right="93"/>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4"/>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Leasing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Windstream Leases: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Cash rent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93"/>
              </w:rPr>
              <w:t>81.3%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166,390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0"/>
              </w:rPr>
              <w:t>84.9%</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GCI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87"/>
              </w:rPr>
              <w:t>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Total cash revenue</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170,114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114"/>
              <w:spacing w:after="0"/>
              <w:rPr>
                <w:sz w:val="20"/>
                <w:szCs w:val="20"/>
                <w:color w:val="auto"/>
              </w:rPr>
            </w:pPr>
            <w:r>
              <w:rPr>
                <w:rFonts w:ascii="Arial" w:cs="Arial" w:eastAsia="Arial" w:hAnsi="Arial"/>
                <w:sz w:val="18"/>
                <w:szCs w:val="18"/>
                <w:color w:val="auto"/>
                <w:w w:val="93"/>
              </w:rPr>
              <w:t>82.7%</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166,390</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93"/>
              <w:spacing w:after="0"/>
              <w:rPr>
                <w:sz w:val="20"/>
                <w:szCs w:val="20"/>
                <w:color w:val="auto"/>
              </w:rPr>
            </w:pPr>
            <w:r>
              <w:rPr>
                <w:rFonts w:ascii="Arial" w:cs="Arial" w:eastAsia="Arial" w:hAnsi="Arial"/>
                <w:sz w:val="18"/>
                <w:szCs w:val="18"/>
                <w:color w:val="auto"/>
                <w:w w:val="90"/>
              </w:rPr>
              <w:t>84.9%</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TCI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87"/>
              </w:rPr>
              <w:t>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2"/>
              </w:rPr>
              <w:t>4.9%</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GCI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87"/>
              </w:rPr>
              <w:t>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2"/>
              </w:rPr>
              <w:t>1.3%</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Other straight-line revenue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8"/>
                <w:szCs w:val="18"/>
                <w:color w:val="auto"/>
                <w:w w:val="87"/>
              </w:rPr>
              <w:t>1.2%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3"/>
              <w:spacing w:after="0"/>
              <w:rPr>
                <w:sz w:val="20"/>
                <w:szCs w:val="20"/>
                <w:color w:val="auto"/>
              </w:rPr>
            </w:pPr>
            <w:r>
              <w:rPr>
                <w:rFonts w:ascii="Arial" w:cs="Arial" w:eastAsia="Arial" w:hAnsi="Arial"/>
                <w:sz w:val="18"/>
                <w:szCs w:val="18"/>
                <w:color w:val="auto"/>
                <w:w w:val="92"/>
              </w:rPr>
              <w:t>1.7%</w:t>
            </w:r>
          </w:p>
        </w:tc>
        <w:tc>
          <w:tcPr>
            <w:tcW w:w="0" w:type="dxa"/>
            <w:vAlign w:val="bottom"/>
          </w:tcPr>
          <w:p>
            <w:pPr>
              <w:spacing w:after="0"/>
              <w:rPr>
                <w:sz w:val="1"/>
                <w:szCs w:val="1"/>
                <w:color w:val="auto"/>
              </w:rPr>
            </w:pPr>
          </w:p>
        </w:tc>
      </w:tr>
      <w:tr>
        <w:trPr>
          <w:trHeight w:val="223"/>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non-cash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Arial" w:cs="Arial" w:eastAsia="Arial" w:hAnsi="Arial"/>
                <w:sz w:val="18"/>
                <w:szCs w:val="18"/>
                <w:color w:val="auto"/>
                <w:w w:val="87"/>
              </w:rPr>
              <w:t>8.2%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7.9%</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Total Windstream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186,915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93"/>
              </w:rPr>
              <w:t>90.9%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181,858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0"/>
              </w:rPr>
              <w:t>92.8%</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services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Arial" w:cs="Arial" w:eastAsia="Arial" w:hAnsi="Arial"/>
                <w:sz w:val="18"/>
                <w:szCs w:val="18"/>
                <w:color w:val="auto"/>
                <w:w w:val="87"/>
              </w:rPr>
              <w:t>9.1%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7.2%</w:t>
            </w:r>
          </w:p>
        </w:tc>
        <w:tc>
          <w:tcPr>
            <w:tcW w:w="0" w:type="dxa"/>
            <w:vAlign w:val="bottom"/>
          </w:tcPr>
          <w:p>
            <w:pPr>
              <w:spacing w:after="0"/>
              <w:rPr>
                <w:sz w:val="1"/>
                <w:szCs w:val="1"/>
                <w:color w:val="auto"/>
              </w:rPr>
            </w:pPr>
          </w:p>
        </w:tc>
      </w:tr>
      <w:tr>
        <w:trPr>
          <w:trHeight w:val="223"/>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Total Leasing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205,614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8"/>
                <w:szCs w:val="18"/>
                <w:color w:val="auto"/>
                <w:w w:val="91"/>
              </w:rPr>
              <w:t>100.0%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196,057</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increase in TCI revenue is attributable to continued investment by Windstream. As of June 30, 2022 and 2021, the total amount invested in TCIs by Windstream since the inception of the Windstream Leases and Master Lease was $1.0 billion and $952.5 million, respectively.</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GCI revenue is attributable to Uniti’s continued reimbursement of Growth Capital Improvements. During the three months ended June 30, 2022, Uniti reimbursed $43.5 million of Growth Capital Improvements. Subsequent to June 30, 2022, Windstream requested, and we reimbursed $22.9 million of qualifying Growth Capital Improvements. As of the date of this Quarterly Report on Form 10-Q, we have reimbursed a total of $420.8 million of Growth Capital Improvements.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recognized $18.7 million and $14.2 million of revenues from other services including non-Windstream triple-net leasing and dark fiber indefeasible rights of use (“IRU”) arrangements for the three months ended June 30, 2022 and 2021, respectively.</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Because 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Prior to its emergence from bankruptcy on September 21, 2020, Windstream was a publicly traded company and was subject to the periodic filing requirements of the Securities Exchange Act of 1934, as amended (the “Exchange Act”). Windstream’s historic filings through their quarter ended June 30, 2020 can be found at www.sec.gov. Additionally,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Windstream audited financial statements as of December 31, 2021, and for the year ended December 31, 2021, as of December 31, 2020 and for the period from September 22, 2020 to December 31, 2020 and for the period from January 1, 2020 to September 21, 2020 and for the year ended December 31, 2019 are included as an exhibit to our Annual Report. On September 22, 2020, Windstream filed a Form 15 to terminate all filing obligations under Section 12(g) and 15(d) under the Exchange Act. Windstream filings are not incorporated by reference in this Quarterly Report on Form 10-Q.</w:t>
      </w:r>
    </w:p>
    <w:p>
      <w:pPr>
        <w:spacing w:after="0" w:line="1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order to assist us in our continuing assessment of Windstream’s creditworthiness, we periodically receive certain confidential financial information and metrics from Windstream.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revenues for the three months ended June 30, 2022 and 2021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60" w:type="dxa"/>
            <w:vAlign w:val="bottom"/>
            <w:tcBorders>
              <w:top w:val="single" w:sz="8" w:color="auto"/>
            </w:tcBorders>
          </w:tcPr>
          <w:p>
            <w:pPr>
              <w:jc w:val="center"/>
              <w:ind w:right="116"/>
              <w:spacing w:after="0" w:line="129" w:lineRule="exact"/>
              <w:rPr>
                <w:sz w:val="20"/>
                <w:szCs w:val="20"/>
                <w:color w:val="auto"/>
              </w:rPr>
            </w:pPr>
            <w:r>
              <w:rPr>
                <w:rFonts w:ascii="Arial" w:cs="Arial" w:eastAsia="Arial" w:hAnsi="Arial"/>
                <w:sz w:val="14"/>
                <w:szCs w:val="14"/>
                <w:b w:val="1"/>
                <w:bCs w:val="1"/>
                <w:color w:val="auto"/>
                <w:w w:val="92"/>
              </w:rPr>
              <w:t>% of Segment</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center"/>
              <w:ind w:right="95"/>
              <w:spacing w:after="0" w:line="129" w:lineRule="exact"/>
              <w:rPr>
                <w:sz w:val="20"/>
                <w:szCs w:val="20"/>
                <w:color w:val="auto"/>
              </w:rPr>
            </w:pPr>
            <w:r>
              <w:rPr>
                <w:rFonts w:ascii="Arial" w:cs="Arial" w:eastAsia="Arial" w:hAnsi="Arial"/>
                <w:sz w:val="14"/>
                <w:szCs w:val="14"/>
                <w:b w:val="1"/>
                <w:bCs w:val="1"/>
                <w:color w:val="auto"/>
                <w:w w:val="92"/>
              </w:rPr>
              <w:t>% of Segment</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280" w:type="dxa"/>
            <w:vAlign w:val="bottom"/>
          </w:tcPr>
          <w:p>
            <w:pPr>
              <w:jc w:val="center"/>
              <w:ind w:right="95"/>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4"/>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Fiber Infrastructure revenues: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19,937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center"/>
              <w:ind w:right="116"/>
              <w:spacing w:after="0"/>
              <w:rPr>
                <w:sz w:val="20"/>
                <w:szCs w:val="20"/>
                <w:color w:val="auto"/>
              </w:rPr>
            </w:pPr>
            <w:r>
              <w:rPr>
                <w:rFonts w:ascii="Arial" w:cs="Arial" w:eastAsia="Arial" w:hAnsi="Arial"/>
                <w:sz w:val="18"/>
                <w:szCs w:val="18"/>
                <w:color w:val="auto"/>
                <w:w w:val="90"/>
              </w:rPr>
              <w:t>25.4%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5"/>
              <w:spacing w:after="0"/>
              <w:rPr>
                <w:sz w:val="20"/>
                <w:szCs w:val="20"/>
                <w:color w:val="auto"/>
              </w:rPr>
            </w:pPr>
            <w:r>
              <w:rPr>
                <w:rFonts w:ascii="Arial" w:cs="Arial" w:eastAsia="Arial" w:hAnsi="Arial"/>
                <w:sz w:val="18"/>
                <w:szCs w:val="18"/>
                <w:color w:val="auto"/>
                <w:w w:val="90"/>
              </w:rPr>
              <w:t>31.9%</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Enterprise and wholesale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116"/>
              <w:spacing w:after="0"/>
              <w:rPr>
                <w:sz w:val="20"/>
                <w:szCs w:val="20"/>
                <w:color w:val="auto"/>
              </w:rPr>
            </w:pPr>
            <w:r>
              <w:rPr>
                <w:rFonts w:ascii="Arial" w:cs="Arial" w:eastAsia="Arial" w:hAnsi="Arial"/>
                <w:sz w:val="18"/>
                <w:szCs w:val="18"/>
                <w:color w:val="auto"/>
                <w:w w:val="90"/>
              </w:rPr>
              <w:t>26.8%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0"/>
              </w:rPr>
              <w:t>29.6%</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center"/>
              <w:ind w:right="116"/>
              <w:spacing w:after="0"/>
              <w:rPr>
                <w:sz w:val="20"/>
                <w:szCs w:val="20"/>
                <w:color w:val="auto"/>
              </w:rPr>
            </w:pPr>
            <w:r>
              <w:rPr>
                <w:rFonts w:ascii="Arial" w:cs="Arial" w:eastAsia="Arial" w:hAnsi="Arial"/>
                <w:sz w:val="18"/>
                <w:szCs w:val="18"/>
                <w:color w:val="auto"/>
                <w:w w:val="90"/>
              </w:rPr>
              <w:t>23.6%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5"/>
              <w:spacing w:after="0"/>
              <w:rPr>
                <w:sz w:val="20"/>
                <w:szCs w:val="20"/>
                <w:color w:val="auto"/>
              </w:rPr>
            </w:pPr>
            <w:r>
              <w:rPr>
                <w:rFonts w:ascii="Arial" w:cs="Arial" w:eastAsia="Arial" w:hAnsi="Arial"/>
                <w:sz w:val="18"/>
                <w:szCs w:val="18"/>
                <w:color w:val="auto"/>
                <w:w w:val="90"/>
              </w:rPr>
              <w:t>22.1%</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Dark fiber and small cells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116"/>
              <w:spacing w:after="0"/>
              <w:rPr>
                <w:sz w:val="20"/>
                <w:szCs w:val="20"/>
                <w:color w:val="auto"/>
              </w:rPr>
            </w:pPr>
            <w:r>
              <w:rPr>
                <w:rFonts w:ascii="Arial" w:cs="Arial" w:eastAsia="Arial" w:hAnsi="Arial"/>
                <w:sz w:val="18"/>
                <w:szCs w:val="18"/>
                <w:color w:val="auto"/>
                <w:w w:val="90"/>
              </w:rPr>
              <w:t>23.2%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0"/>
              </w:rPr>
              <w:t>15.3%</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services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8"/>
                <w:szCs w:val="18"/>
                <w:color w:val="auto"/>
                <w:w w:val="92"/>
              </w:rPr>
              <w:t>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8"/>
                <w:szCs w:val="18"/>
                <w:color w:val="auto"/>
                <w:w w:val="92"/>
              </w:rPr>
              <w:t>1.1%</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Fiber Infrastructure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ind w:right="116"/>
              <w:spacing w:after="0"/>
              <w:rPr>
                <w:sz w:val="20"/>
                <w:szCs w:val="20"/>
                <w:color w:val="auto"/>
              </w:rPr>
            </w:pPr>
            <w:r>
              <w:rPr>
                <w:rFonts w:ascii="Arial" w:cs="Arial" w:eastAsia="Arial" w:hAnsi="Arial"/>
                <w:sz w:val="18"/>
                <w:szCs w:val="18"/>
                <w:color w:val="auto"/>
                <w:w w:val="88"/>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5"/>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For the three months ended June 30, 2022, Fiber Infrastructure revenues totaled $78.4 million as compared to $72.1 million for the three months ended June 30, 2021. As of June 30, 2022, we had approximately 27,171 customer connections, up from 25,383 customer connections as of June 30, 2021. Fiber Infrastructure revenues increased $6.2 million, primarily due to an increase in one-time early termination revenues of $5.7 million within dark fiber and small cells revenues and an increase in installation and equipment sales of $3.7 million within E-Rate and government revenues, partially offset by a $3.0 million decrease in lit backhaul service revenues, primarily driven by the sale of our Uniti Fiber Northeast operations on May 28, 2021, and a $0.9 million decrease related to the wind down of our construction activities.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Three Months Ended June 30,</w:t>
            </w:r>
          </w:p>
        </w:tc>
        <w:tc>
          <w:tcPr>
            <w:tcW w:w="1260" w:type="dxa"/>
            <w:vAlign w:val="bottom"/>
          </w:tcPr>
          <w:p>
            <w:pPr>
              <w:spacing w:after="0"/>
              <w:rPr>
                <w:sz w:val="16"/>
                <w:szCs w:val="16"/>
                <w:color w:val="auto"/>
              </w:rPr>
            </w:pPr>
          </w:p>
        </w:tc>
      </w:tr>
      <w:tr>
        <w:trPr>
          <w:trHeight w:val="26"/>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60"/>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272"/>
              <w:spacing w:after="0" w:line="160" w:lineRule="exact"/>
              <w:rPr>
                <w:sz w:val="20"/>
                <w:szCs w:val="20"/>
                <w:color w:val="auto"/>
              </w:rPr>
            </w:pPr>
            <w:r>
              <w:rPr>
                <w:rFonts w:ascii="Arial" w:cs="Arial" w:eastAsia="Arial" w:hAnsi="Arial"/>
                <w:sz w:val="14"/>
                <w:szCs w:val="14"/>
                <w:b w:val="1"/>
                <w:bCs w:val="1"/>
                <w:color w:val="auto"/>
              </w:rPr>
              <w:t>% Increase /</w:t>
            </w:r>
          </w:p>
        </w:tc>
      </w:tr>
      <w:tr>
        <w:trPr>
          <w:trHeight w:val="206"/>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332"/>
              <w:spacing w:after="0"/>
              <w:rPr>
                <w:sz w:val="20"/>
                <w:szCs w:val="20"/>
                <w:color w:val="auto"/>
              </w:rPr>
            </w:pPr>
            <w:r>
              <w:rPr>
                <w:rFonts w:ascii="Arial" w:cs="Arial" w:eastAsia="Arial" w:hAnsi="Arial"/>
                <w:sz w:val="14"/>
                <w:szCs w:val="14"/>
                <w:b w:val="1"/>
                <w:bCs w:val="1"/>
                <w:color w:val="auto"/>
              </w:rPr>
              <w:t>(Decrease)</w:t>
            </w: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 net: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29"/>
        </w:trPr>
        <w:tc>
          <w:tcPr>
            <w:tcW w:w="6600" w:type="dxa"/>
            <w:vAlign w:val="bottom"/>
            <w:gridSpan w:val="2"/>
          </w:tcPr>
          <w:p>
            <w:pPr>
              <w:ind w:left="360"/>
              <w:spacing w:after="0"/>
              <w:rPr>
                <w:sz w:val="20"/>
                <w:szCs w:val="20"/>
                <w:color w:val="auto"/>
              </w:rPr>
            </w:pPr>
            <w:r>
              <w:rPr>
                <w:rFonts w:ascii="Arial" w:cs="Arial" w:eastAsia="Arial" w:hAnsi="Arial"/>
                <w:sz w:val="18"/>
                <w:szCs w:val="18"/>
                <w:b w:val="1"/>
                <w:bCs w:val="1"/>
                <w:color w:val="auto"/>
              </w:rPr>
              <w:t>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Senior secured notes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r>
      <w:tr>
        <w:trPr>
          <w:trHeight w:val="229"/>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Senior unsecured notes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29"/>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Senior secured revolving credit facility - variable rate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Tender premium payment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(2,991)</w:t>
            </w:r>
          </w:p>
        </w:tc>
      </w:tr>
      <w:tr>
        <w:trPr>
          <w:trHeight w:val="229"/>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Interest rate swap termination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r>
      <w:tr>
        <w:trPr>
          <w:trHeight w:val="223"/>
        </w:trPr>
        <w:tc>
          <w:tcPr>
            <w:tcW w:w="6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cash interest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w:t>
            </w:r>
          </w:p>
        </w:tc>
      </w:tr>
      <w:tr>
        <w:trPr>
          <w:trHeight w:val="229"/>
        </w:trPr>
        <w:tc>
          <w:tcPr>
            <w:tcW w:w="6600" w:type="dxa"/>
            <w:vAlign w:val="bottom"/>
            <w:gridSpan w:val="2"/>
          </w:tcPr>
          <w:p>
            <w:pPr>
              <w:ind w:left="360"/>
              <w:spacing w:after="0"/>
              <w:rPr>
                <w:sz w:val="20"/>
                <w:szCs w:val="20"/>
                <w:color w:val="auto"/>
              </w:rPr>
            </w:pPr>
            <w:r>
              <w:rPr>
                <w:rFonts w:ascii="Arial" w:cs="Arial" w:eastAsia="Arial" w:hAnsi="Arial"/>
                <w:sz w:val="18"/>
                <w:szCs w:val="18"/>
                <w:b w:val="1"/>
                <w:bCs w:val="1"/>
                <w:color w:val="auto"/>
              </w:rPr>
              <w:t>Non-cash: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Amortization of deferred financing costs and debt discount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Write off of deferred financing costs and debt discount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(2,413)</w:t>
            </w:r>
          </w:p>
        </w:tc>
      </w:tr>
      <w:tr>
        <w:trPr>
          <w:trHeight w:val="230"/>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Accretion of settlement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29"/>
        </w:trPr>
        <w:tc>
          <w:tcPr>
            <w:tcW w:w="66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Capitalized interest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r>
      <w:tr>
        <w:trPr>
          <w:trHeight w:val="223"/>
        </w:trPr>
        <w:tc>
          <w:tcPr>
            <w:tcW w:w="6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non-cash interest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r>
      <w:tr>
        <w:trPr>
          <w:trHeight w:val="223"/>
        </w:trPr>
        <w:tc>
          <w:tcPr>
            <w:tcW w:w="6600" w:type="dxa"/>
            <w:vAlign w:val="bottom"/>
            <w:gridSpan w:val="2"/>
          </w:tcPr>
          <w:p>
            <w:pPr>
              <w:ind w:left="760"/>
              <w:spacing w:after="0"/>
              <w:rPr>
                <w:sz w:val="20"/>
                <w:szCs w:val="20"/>
                <w:color w:val="auto"/>
              </w:rPr>
            </w:pPr>
            <w:r>
              <w:rPr>
                <w:rFonts w:ascii="Arial" w:cs="Arial" w:eastAsia="Arial" w:hAnsi="Arial"/>
                <w:sz w:val="18"/>
                <w:szCs w:val="18"/>
                <w:color w:val="auto"/>
              </w:rPr>
              <w:t>Total interest expense,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(10,011)</w:t>
            </w:r>
          </w:p>
        </w:tc>
      </w:tr>
      <w:tr>
        <w:trPr>
          <w:trHeight w:val="21"/>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Interest expense for the three months ended June 30, 2022 decreased $10.0 million compared to the three months ended June 30, 2021. The decrease is attributable to (i) the April 20, 2021 issuance of the $570.0 million aggregate principal amount 4.75% Senior Secured Notes due 2028 (the “2028 Secured Notes”) to fund the redemption of the $550 million aggregate principal amount of outstanding 6.00% Senior Secured Notes due 2023 (the “2023 Secured Notes”), which resulted in a tender premium payment of $3.0 million and the write off of $1.3 million of deferred financing costs and debt discount, (ii) the February 2, 2021 issuance of $1.11 billion aggregate principal amount of 6.50% Senior Unsecured Notes due 2029 (the “2029 Notes”) used to fund the redemption of the 8.25% Senior Unsecured Notes due 2023 (the “2023 Notes”), which resulted in the write off of $1.1 million of deferred financing costs and debt discount during the three months ended June 30, 2021 and (iii) lower cash interest expense of $4.0 million, primarily associated with the 2028 Notes and 2029 Notes financing transactions, and a $1.4 million decrease in accretion expense associated with the settlement payable during the three months ended June 30,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Three Months Ended June 30,</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7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274"/>
              <w:spacing w:after="0" w:line="160" w:lineRule="exact"/>
              <w:rPr>
                <w:sz w:val="20"/>
                <w:szCs w:val="20"/>
                <w:color w:val="auto"/>
              </w:rPr>
            </w:pPr>
            <w:r>
              <w:rPr>
                <w:rFonts w:ascii="Arial" w:cs="Arial" w:eastAsia="Arial" w:hAnsi="Arial"/>
                <w:sz w:val="14"/>
                <w:szCs w:val="14"/>
                <w:b w:val="1"/>
                <w:bCs w:val="1"/>
                <w:color w:val="auto"/>
              </w:rPr>
              <w:t>% Increase /</w:t>
            </w:r>
          </w:p>
        </w:tc>
        <w:tc>
          <w:tcPr>
            <w:tcW w:w="0" w:type="dxa"/>
            <w:vAlign w:val="bottom"/>
          </w:tcPr>
          <w:p>
            <w:pPr>
              <w:spacing w:after="0"/>
              <w:rPr>
                <w:sz w:val="1"/>
                <w:szCs w:val="1"/>
                <w:color w:val="auto"/>
              </w:rPr>
            </w:pPr>
          </w:p>
        </w:tc>
      </w:tr>
      <w:tr>
        <w:trPr>
          <w:trHeight w:val="206"/>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17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Leasing</w:t>
            </w:r>
          </w:p>
        </w:tc>
        <w:tc>
          <w:tcPr>
            <w:tcW w:w="21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9"/>
        </w:trPr>
        <w:tc>
          <w:tcPr>
            <w:tcW w:w="4760" w:type="dxa"/>
            <w:vAlign w:val="bottom"/>
          </w:tcPr>
          <w:p>
            <w:pPr>
              <w:ind w:left="440"/>
              <w:spacing w:after="0"/>
              <w:rPr>
                <w:sz w:val="20"/>
                <w:szCs w:val="20"/>
                <w:color w:val="auto"/>
              </w:rPr>
            </w:pPr>
            <w:r>
              <w:rPr>
                <w:rFonts w:ascii="Arial" w:cs="Arial" w:eastAsia="Arial" w:hAnsi="Arial"/>
                <w:sz w:val="18"/>
                <w:szCs w:val="18"/>
                <w:color w:val="auto"/>
              </w:rPr>
              <w:t>Fiber Infrastructure</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4760" w:type="dxa"/>
            <w:vAlign w:val="bottom"/>
          </w:tcPr>
          <w:p>
            <w:pPr>
              <w:ind w:left="260"/>
              <w:spacing w:after="0"/>
              <w:rPr>
                <w:sz w:val="20"/>
                <w:szCs w:val="20"/>
                <w:color w:val="auto"/>
              </w:rPr>
            </w:pPr>
            <w:r>
              <w:rPr>
                <w:rFonts w:ascii="Arial" w:cs="Arial" w:eastAsia="Arial" w:hAnsi="Arial"/>
                <w:sz w:val="18"/>
                <w:szCs w:val="18"/>
                <w:color w:val="auto"/>
              </w:rPr>
              <w:t>Total depreciation expense</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expense</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440"/>
              <w:spacing w:after="0"/>
              <w:rPr>
                <w:sz w:val="20"/>
                <w:szCs w:val="20"/>
                <w:color w:val="auto"/>
              </w:rPr>
            </w:pPr>
            <w:r>
              <w:rPr>
                <w:rFonts w:ascii="Arial" w:cs="Arial" w:eastAsia="Arial" w:hAnsi="Arial"/>
                <w:sz w:val="18"/>
                <w:szCs w:val="18"/>
                <w:color w:val="auto"/>
              </w:rPr>
              <w:t>Leasing</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Fiber Infrastructure</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amortization expense</w:t>
            </w: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6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6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u w:val="single" w:color="auto"/>
          <w:color w:val="auto"/>
        </w:rPr>
        <w:t>Leasing</w:t>
      </w:r>
      <w:r>
        <w:rPr>
          <w:rFonts w:ascii="Arial" w:cs="Arial" w:eastAsia="Arial" w:hAnsi="Arial"/>
          <w:sz w:val="17"/>
          <w:szCs w:val="17"/>
          <w:i w:val="1"/>
          <w:iCs w:val="1"/>
          <w:color w:val="auto"/>
        </w:rPr>
        <w:t xml:space="preserve"> </w:t>
      </w:r>
      <w:r>
        <w:rPr>
          <w:rFonts w:ascii="Arial" w:cs="Arial" w:eastAsia="Arial" w:hAnsi="Arial"/>
          <w:sz w:val="17"/>
          <w:szCs w:val="17"/>
          <w:color w:val="auto"/>
        </w:rPr>
        <w:t>– Leasing depreciation expense decreased $0.6 million for the three months ended June 30, 2022 compared to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The decrease is primarily attributable to an increase in fully depreciated Windstream Distribution System assets of $0.9 million, partially offset by a $0.3 million increase related to asset additions since June 30, 2021. During the three months ended June 30, 2021, $2.7 million was recorded as a benefit to amortization expense, and subsequently reclassified to revenue during the fourth quarter of 2021.</w:t>
      </w:r>
    </w:p>
    <w:p>
      <w:pPr>
        <w:spacing w:after="0" w:line="17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i w:val="1"/>
          <w:iCs w:val="1"/>
          <w:u w:val="single" w:color="auto"/>
          <w:color w:val="auto"/>
        </w:rPr>
        <w:t>Fiber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 Fiber Infrastructure depreciation expense increased $0.6 million for the three months ended June 30, 2022 compared to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2021. The increase in depreciation expense is primarily attributable to asset additions since June 30,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General and administrative expenses include compensation costs, including stock-based compensation awards, professional and legal services, corporate office costs and other costs associated with administrative activities of our segments.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 June 30,</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center"/>
              <w:ind w:right="58"/>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top w:val="single" w:sz="8" w:color="auto"/>
            </w:tcBorders>
          </w:tcPr>
          <w:p>
            <w:pPr>
              <w:jc w:val="center"/>
              <w:ind w:right="76"/>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88"/>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40" w:type="dxa"/>
            <w:vAlign w:val="bottom"/>
          </w:tcPr>
          <w:p>
            <w:pPr>
              <w:jc w:val="center"/>
              <w:ind w:right="76"/>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4"/>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General and administrative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8"/>
              <w:spacing w:after="0"/>
              <w:rPr>
                <w:sz w:val="20"/>
                <w:szCs w:val="20"/>
                <w:color w:val="auto"/>
              </w:rPr>
            </w:pPr>
            <w:r>
              <w:rPr>
                <w:rFonts w:ascii="Arial" w:cs="Arial" w:eastAsia="Arial" w:hAnsi="Arial"/>
                <w:sz w:val="18"/>
                <w:szCs w:val="18"/>
                <w:color w:val="auto"/>
                <w:w w:val="92"/>
              </w:rPr>
              <w:t>1.1%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6"/>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58"/>
              <w:spacing w:after="0"/>
              <w:rPr>
                <w:sz w:val="20"/>
                <w:szCs w:val="20"/>
                <w:color w:val="auto"/>
              </w:rPr>
            </w:pPr>
            <w:r>
              <w:rPr>
                <w:rFonts w:ascii="Arial" w:cs="Arial" w:eastAsia="Arial" w:hAnsi="Arial"/>
                <w:sz w:val="18"/>
                <w:szCs w:val="18"/>
                <w:color w:val="auto"/>
                <w:w w:val="92"/>
              </w:rPr>
              <w:t>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6"/>
              <w:spacing w:after="0"/>
              <w:rPr>
                <w:sz w:val="20"/>
                <w:szCs w:val="20"/>
                <w:color w:val="auto"/>
              </w:rPr>
            </w:pPr>
            <w:r>
              <w:rPr>
                <w:rFonts w:ascii="Arial" w:cs="Arial" w:eastAsia="Arial" w:hAnsi="Arial"/>
                <w:sz w:val="18"/>
                <w:szCs w:val="18"/>
                <w:color w:val="auto"/>
                <w:w w:val="87"/>
              </w:rPr>
              <w:t>5.2%</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8"/>
                <w:szCs w:val="18"/>
                <w:color w:val="auto"/>
                <w:w w:val="92"/>
              </w:rPr>
              <w:t>3.1%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general and administrative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center"/>
              <w:ind w:right="58"/>
              <w:spacing w:after="0"/>
              <w:rPr>
                <w:sz w:val="20"/>
                <w:szCs w:val="20"/>
                <w:color w:val="auto"/>
              </w:rPr>
            </w:pPr>
            <w:r>
              <w:rPr>
                <w:rFonts w:ascii="Arial" w:cs="Arial" w:eastAsia="Arial" w:hAnsi="Arial"/>
                <w:sz w:val="18"/>
                <w:szCs w:val="18"/>
                <w:color w:val="auto"/>
                <w:w w:val="92"/>
              </w:rPr>
              <w:t>8.8%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8"/>
                <w:szCs w:val="18"/>
                <w:color w:val="auto"/>
                <w:w w:val="87"/>
              </w:rPr>
              <w:t>9.3%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u w:val="single" w:color="auto"/>
          <w:color w:val="auto"/>
        </w:rPr>
        <w:t>Leasing</w:t>
      </w:r>
      <w:r>
        <w:rPr>
          <w:rFonts w:ascii="Arial" w:cs="Arial" w:eastAsia="Arial" w:hAnsi="Arial"/>
          <w:sz w:val="16"/>
          <w:szCs w:val="16"/>
          <w:i w:val="1"/>
          <w:iCs w:val="1"/>
          <w:color w:val="auto"/>
        </w:rPr>
        <w:t xml:space="preserve"> </w:t>
      </w:r>
      <w:r>
        <w:rPr>
          <w:rFonts w:ascii="Arial" w:cs="Arial" w:eastAsia="Arial" w:hAnsi="Arial"/>
          <w:sz w:val="16"/>
          <w:szCs w:val="16"/>
          <w:color w:val="auto"/>
        </w:rPr>
        <w:t>– Leasing general and administrative expense increased $0.6 million for the three months ended June 30, 2022 compared to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2021. The increase is primarily attributable to a $0.6 million increase in personnel expenses driven by incremental customer growth.</w:t>
      </w:r>
    </w:p>
    <w:p>
      <w:pPr>
        <w:spacing w:after="0" w:line="12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general and administrative expense decreased $0.8 million for the three months ended June 30, 2022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June 30, 2021. This decrease is primarily attributable to decreases in franchise taxes of $0.3 million and insurance expense associated with favorable premium renewals of $0.2 million.</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u w:val="single" w:color="auto"/>
          <w:color w:val="auto"/>
        </w:rPr>
        <w:t>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 Corporate general and administrative expense increased $0.4 million for the three months ended June 30, 2022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The increase is attributable to a $0.6 million increase in professional and legal fees, partially offset by a $0.3 million decrease in insurance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expense for the three months ended June 30, 2022 increased by $3.7 million from the three months ended June 30, 2021. Operating expense for our reportable segments for the three months ended June 30, 2022 and 2021 consisted of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 June 30,</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center"/>
              <w:ind w:right="59"/>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88"/>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4"/>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Arial" w:cs="Arial" w:eastAsia="Arial" w:hAnsi="Arial"/>
                <w:sz w:val="18"/>
                <w:szCs w:val="18"/>
                <w:color w:val="auto"/>
                <w:w w:val="92"/>
              </w:rPr>
              <w:t>1.7%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8"/>
                <w:szCs w:val="18"/>
                <w:color w:val="auto"/>
                <w:w w:val="90"/>
              </w:rPr>
              <w:t>11.3%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8"/>
                <w:szCs w:val="18"/>
                <w:color w:val="auto"/>
                <w:w w:val="90"/>
              </w:rPr>
              <w:t>11.1%</w:t>
            </w:r>
          </w:p>
        </w:tc>
        <w:tc>
          <w:tcPr>
            <w:tcW w:w="0" w:type="dxa"/>
            <w:vAlign w:val="bottom"/>
          </w:tcPr>
          <w:p>
            <w:pPr>
              <w:spacing w:after="0"/>
              <w:rPr>
                <w:sz w:val="1"/>
                <w:szCs w:val="1"/>
                <w:color w:val="auto"/>
              </w:rPr>
            </w:pPr>
          </w:p>
        </w:tc>
      </w:tr>
      <w:tr>
        <w:trPr>
          <w:trHeight w:val="223"/>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36,917</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8"/>
                <w:szCs w:val="18"/>
                <w:color w:val="auto"/>
                <w:w w:val="90"/>
              </w:rPr>
              <w:t>13.0%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8"/>
                <w:szCs w:val="18"/>
                <w:color w:val="auto"/>
                <w:w w:val="90"/>
              </w:rPr>
              <w:t>12.4%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u w:val="single" w:color="auto"/>
          <w:color w:val="auto"/>
        </w:rPr>
        <w:t>Leasing</w:t>
      </w:r>
      <w:r>
        <w:rPr>
          <w:rFonts w:ascii="Arial" w:cs="Arial" w:eastAsia="Arial" w:hAnsi="Arial"/>
          <w:sz w:val="17"/>
          <w:szCs w:val="17"/>
          <w:i w:val="1"/>
          <w:iCs w:val="1"/>
          <w:color w:val="auto"/>
        </w:rPr>
        <w:t xml:space="preserve"> </w:t>
      </w:r>
      <w:r>
        <w:rPr>
          <w:rFonts w:ascii="Arial" w:cs="Arial" w:eastAsia="Arial" w:hAnsi="Arial"/>
          <w:sz w:val="17"/>
          <w:szCs w:val="17"/>
          <w:color w:val="auto"/>
        </w:rPr>
        <w:t>– Leasing operating expense increased $1.2 million for the three months ended June 30, 2022 and as compared to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The increase is primarily driven by incremental customer growth and increased network related expenses of $1.0 million.</w:t>
      </w:r>
    </w:p>
    <w:p>
      <w:pPr>
        <w:spacing w:after="0" w:line="15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Fiber Infrastructure operating expenses increased $2.5 million for the three months ended June 30, 2022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Operating expense consists of network related costs, such as dark fiber and tower rents, lit service and maintenance expense and costs associated with our construction activities. The increase in operating expenses is primarily attributable to increases in equipment sales and installations expenses of $1.3 million, unsplicing expenses of $0.8 million, network maintenance expenses of $0.3 million, and dark fiber early termination fees of $0.3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-709930</wp:posOffset>
            </wp:positionV>
            <wp:extent cx="13716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enterprise resource planning system. For the three months ended June 30, 2022, we incurred $3.2 million of transaction related and other costs, compared to $0.4 million of such costs during the three months ended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expense recorded for the three months ended June 30, 2022 and 2021, respectively, is related to the tax impact of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3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Pre-tax loss (Fiber Infrastructure)</w:t>
            </w:r>
          </w:p>
        </w:tc>
        <w:tc>
          <w:tcPr>
            <w:tcW w:w="41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sale of operations</w:t>
            </w:r>
          </w:p>
        </w:tc>
        <w:tc>
          <w:tcPr>
            <w:tcW w:w="3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Gain on sale of unconsolidated entity</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undistributed REIT taxable income</w:t>
            </w:r>
          </w:p>
        </w:tc>
        <w:tc>
          <w:tcPr>
            <w:tcW w:w="3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9"/>
        </w:trPr>
        <w:tc>
          <w:tcPr>
            <w:tcW w:w="4400" w:type="dxa"/>
            <w:vAlign w:val="bottom"/>
          </w:tcPr>
          <w:p>
            <w:pPr>
              <w:ind w:left="260"/>
              <w:spacing w:after="0"/>
              <w:rPr>
                <w:sz w:val="20"/>
                <w:szCs w:val="20"/>
                <w:color w:val="auto"/>
              </w:rPr>
            </w:pPr>
            <w:r>
              <w:rPr>
                <w:rFonts w:ascii="Arial" w:cs="Arial" w:eastAsia="Arial" w:hAnsi="Arial"/>
                <w:sz w:val="18"/>
                <w:szCs w:val="18"/>
                <w:color w:val="auto"/>
              </w:rPr>
              <w:t>REIT state and local taxes</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4400" w:type="dxa"/>
            <w:vAlign w:val="bottom"/>
          </w:tcPr>
          <w:p>
            <w:pPr>
              <w:ind w:left="440"/>
              <w:spacing w:after="0"/>
              <w:rPr>
                <w:sz w:val="20"/>
                <w:szCs w:val="20"/>
                <w:color w:val="auto"/>
              </w:rPr>
            </w:pPr>
            <w:r>
              <w:rPr>
                <w:rFonts w:ascii="Arial" w:cs="Arial" w:eastAsia="Arial" w:hAnsi="Arial"/>
                <w:sz w:val="18"/>
                <w:szCs w:val="18"/>
                <w:color w:val="auto"/>
              </w:rPr>
              <w:t>Total income tax expense</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3680" w:type="dxa"/>
            <w:vAlign w:val="bottom"/>
            <w:vMerge w:val="restart"/>
          </w:tcPr>
          <w:p>
            <w:pPr>
              <w:jc w:val="right"/>
              <w:ind w:right="227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44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0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2022 and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dollars and as a percentage of total revenues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4"/>
                <w:szCs w:val="14"/>
                <w:b w:val="1"/>
                <w:bCs w:val="1"/>
                <w:color w:val="auto"/>
              </w:rPr>
              <w:t>Six Months Ended June 30,</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60" w:type="dxa"/>
            <w:vAlign w:val="bottom"/>
          </w:tcPr>
          <w:p>
            <w:pPr>
              <w:spacing w:after="0"/>
              <w:rPr>
                <w:sz w:val="17"/>
                <w:szCs w:val="17"/>
                <w:color w:val="auto"/>
              </w:rPr>
            </w:pPr>
          </w:p>
        </w:tc>
        <w:tc>
          <w:tcPr>
            <w:tcW w:w="14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Revenues</w:t>
            </w:r>
          </w:p>
        </w:tc>
        <w:tc>
          <w:tcPr>
            <w:tcW w:w="300" w:type="dxa"/>
            <w:vAlign w:val="bottom"/>
          </w:tcPr>
          <w:p>
            <w:pPr>
              <w:spacing w:after="0"/>
              <w:rPr>
                <w:sz w:val="17"/>
                <w:szCs w:val="17"/>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1280" w:type="dxa"/>
            <w:vAlign w:val="bottom"/>
          </w:tcPr>
          <w:p>
            <w:pPr>
              <w:ind w:left="100"/>
              <w:spacing w:after="0"/>
              <w:rPr>
                <w:sz w:val="20"/>
                <w:szCs w:val="20"/>
                <w:color w:val="auto"/>
              </w:rPr>
            </w:pPr>
            <w:r>
              <w:rPr>
                <w:rFonts w:ascii="Arial" w:cs="Arial" w:eastAsia="Arial" w:hAnsi="Arial"/>
                <w:sz w:val="14"/>
                <w:szCs w:val="14"/>
                <w:b w:val="1"/>
                <w:bCs w:val="1"/>
                <w:color w:val="auto"/>
              </w:rPr>
              <w:t>% of Revenues</w:t>
            </w:r>
          </w:p>
        </w:tc>
        <w:tc>
          <w:tcPr>
            <w:tcW w:w="0" w:type="dxa"/>
            <w:vAlign w:val="bottom"/>
          </w:tcPr>
          <w:p>
            <w:pPr>
              <w:spacing w:after="0"/>
              <w:rPr>
                <w:sz w:val="1"/>
                <w:szCs w:val="1"/>
                <w:color w:val="auto"/>
              </w:rPr>
            </w:pPr>
          </w:p>
        </w:tc>
      </w:tr>
      <w:tr>
        <w:trPr>
          <w:trHeight w:val="229"/>
        </w:trPr>
        <w:tc>
          <w:tcPr>
            <w:tcW w:w="5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410,255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0"/>
              </w:rPr>
              <w:t>73.0%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390,993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0"/>
              </w:rPr>
              <w:t>72.3%</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0"/>
              </w:rPr>
              <w:t>27.0%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0"/>
              </w:rPr>
              <w:t>27.7%</w:t>
            </w:r>
          </w:p>
        </w:tc>
        <w:tc>
          <w:tcPr>
            <w:tcW w:w="0" w:type="dxa"/>
            <w:vAlign w:val="bottom"/>
          </w:tcPr>
          <w:p>
            <w:pPr>
              <w:spacing w:after="0"/>
              <w:rPr>
                <w:sz w:val="1"/>
                <w:szCs w:val="1"/>
                <w:color w:val="auto"/>
              </w:rPr>
            </w:pPr>
          </w:p>
        </w:tc>
      </w:tr>
      <w:tr>
        <w:trPr>
          <w:trHeight w:val="223"/>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562,009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112"/>
              <w:spacing w:after="0"/>
              <w:rPr>
                <w:sz w:val="20"/>
                <w:szCs w:val="20"/>
                <w:color w:val="auto"/>
              </w:rPr>
            </w:pPr>
            <w:r>
              <w:rPr>
                <w:rFonts w:ascii="Arial" w:cs="Arial" w:eastAsia="Arial" w:hAnsi="Arial"/>
                <w:sz w:val="18"/>
                <w:szCs w:val="18"/>
                <w:color w:val="auto"/>
                <w:w w:val="91"/>
              </w:rPr>
              <w:t>100.0%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540,766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192,549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0"/>
              </w:rPr>
              <w:t>34.3%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246,969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0"/>
              </w:rPr>
              <w:t>45.7%</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0"/>
              </w:rPr>
              <w:t>25.6%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0"/>
              </w:rPr>
              <w:t>26.0%</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48,955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2"/>
              </w:rPr>
              <w:t>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2"/>
              </w:rPr>
              <w:t>9.4%</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Operating expense (exclusive of depreciation and amortization)</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0"/>
              </w:rPr>
              <w:t>12.8%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0"/>
              </w:rPr>
              <w:t>13.2%</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Transaction related and other costs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2"/>
              </w:rPr>
              <w:t>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2"/>
              </w:rPr>
              <w:t>0.8%</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Gain on sale of real estate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4"/>
              </w:rPr>
              <w:t>(0.1%)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4"/>
              </w:rPr>
              <w:t>(0.1)%</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Gain on sale of operations</w:t>
            </w:r>
          </w:p>
        </w:tc>
        <w:tc>
          <w:tcPr>
            <w:tcW w:w="260" w:type="dxa"/>
            <w:vAlign w:val="bottom"/>
          </w:tcPr>
          <w:p>
            <w:pPr>
              <w:spacing w:after="0"/>
              <w:rPr>
                <w:sz w:val="19"/>
                <w:szCs w:val="19"/>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4"/>
              </w:rPr>
              <w:t>(5.2)%</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4"/>
              </w:rPr>
              <w:t>(1.5%)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2"/>
              </w:rPr>
              <w:t>1.6%</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0"/>
              </w:rPr>
              <w:t>80.7%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0"/>
              </w:rPr>
              <w:t>91.4%</w:t>
            </w:r>
          </w:p>
        </w:tc>
        <w:tc>
          <w:tcPr>
            <w:tcW w:w="0" w:type="dxa"/>
            <w:vAlign w:val="bottom"/>
          </w:tcPr>
          <w:p>
            <w:pPr>
              <w:spacing w:after="0"/>
              <w:rPr>
                <w:sz w:val="1"/>
                <w:szCs w:val="1"/>
                <w:color w:val="auto"/>
              </w:rPr>
            </w:pPr>
          </w:p>
        </w:tc>
      </w:tr>
      <w:tr>
        <w:trPr>
          <w:trHeight w:val="156"/>
        </w:trPr>
        <w:tc>
          <w:tcPr>
            <w:tcW w:w="51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Income before income taxes and equity in earnings from</w:t>
            </w:r>
          </w:p>
        </w:tc>
        <w:tc>
          <w:tcPr>
            <w:tcW w:w="2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108,481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center"/>
              <w:ind w:right="92"/>
              <w:spacing w:after="0"/>
              <w:rPr>
                <w:sz w:val="20"/>
                <w:szCs w:val="20"/>
                <w:color w:val="auto"/>
              </w:rPr>
            </w:pPr>
            <w:r>
              <w:rPr>
                <w:rFonts w:ascii="Arial" w:cs="Arial" w:eastAsia="Arial" w:hAnsi="Arial"/>
                <w:sz w:val="18"/>
                <w:szCs w:val="18"/>
                <w:color w:val="auto"/>
                <w:w w:val="90"/>
              </w:rPr>
              <w:t>19.3%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46,719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center"/>
              <w:ind w:right="91"/>
              <w:spacing w:after="0"/>
              <w:rPr>
                <w:sz w:val="20"/>
                <w:szCs w:val="20"/>
                <w:color w:val="auto"/>
              </w:rPr>
            </w:pPr>
            <w:r>
              <w:rPr>
                <w:rFonts w:ascii="Arial" w:cs="Arial" w:eastAsia="Arial" w:hAnsi="Arial"/>
                <w:sz w:val="18"/>
                <w:szCs w:val="18"/>
                <w:color w:val="auto"/>
                <w:w w:val="92"/>
              </w:rPr>
              <w:t>8.6%</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unconsolidated entities</w:t>
            </w:r>
          </w:p>
        </w:tc>
        <w:tc>
          <w:tcPr>
            <w:tcW w:w="2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2"/>
              </w:rPr>
              <w:t>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2"/>
              </w:rPr>
              <w:t>0.5%</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Equity in earnings from unconsolidated entities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4"/>
              </w:rPr>
              <w:t>(0.2%)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4"/>
              </w:rPr>
              <w:t>(0.2%)</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106,632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0"/>
              </w:rPr>
              <w:t>19.0%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2"/>
              </w:rPr>
              <w:t>8.3%</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2"/>
              </w:rPr>
              <w:t>0.1%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attributable to shareholders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106,427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0"/>
              </w:rPr>
              <w:t>18.9%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2"/>
              </w:rPr>
              <w:t>8.2%</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4"/>
              </w:rPr>
              <w:t>(0.1%)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4"/>
              </w:rPr>
              <w:t>(0.1%)</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2"/>
              </w:rPr>
              <w:t>0.0%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0"/>
              </w:rPr>
              <w:t>18.8%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2"/>
              </w:rPr>
              <w:t>8.1%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77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revenues, Adjusted EBITDA and net income of our reportable segments for the six months ended June 30, 2022 and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Six Months Ended June 30, 2022</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Subtotal of Reportable</w:t>
            </w:r>
          </w:p>
        </w:tc>
        <w:tc>
          <w:tcPr>
            <w:tcW w:w="0" w:type="dxa"/>
            <w:vAlign w:val="bottom"/>
          </w:tcPr>
          <w:p>
            <w:pPr>
              <w:spacing w:after="0"/>
              <w:rPr>
                <w:sz w:val="1"/>
                <w:szCs w:val="1"/>
                <w:color w:val="auto"/>
              </w:rPr>
            </w:pPr>
          </w:p>
        </w:tc>
      </w:tr>
      <w:tr>
        <w:trPr>
          <w:trHeight w:val="186"/>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Fiber Infrastructure</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right"/>
              <w:ind w:right="351"/>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6"/>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410,255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562,009</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399,322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451,953</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192,549</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84,616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59,071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143,760</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Gain on sale of real estate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related and other costs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6,513</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w w:val="97"/>
              </w:rPr>
              <w:t>Adjustments for equity in earnings from unconsolidated entities</w:t>
            </w:r>
          </w:p>
        </w:tc>
        <w:tc>
          <w:tcPr>
            <w:tcW w:w="2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106,632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gridSpan w:val="5"/>
            <w:vMerge w:val="restart"/>
          </w:tcPr>
          <w:p>
            <w:pPr>
              <w:ind w:left="400"/>
              <w:spacing w:after="0"/>
              <w:rPr>
                <w:sz w:val="20"/>
                <w:szCs w:val="20"/>
                <w:color w:val="auto"/>
              </w:rPr>
            </w:pPr>
            <w:r>
              <w:rPr>
                <w:rFonts w:ascii="Arial" w:cs="Arial" w:eastAsia="Arial" w:hAnsi="Arial"/>
                <w:sz w:val="14"/>
                <w:szCs w:val="14"/>
                <w:b w:val="1"/>
                <w:bCs w:val="1"/>
                <w:color w:val="auto"/>
              </w:rPr>
              <w:t>Six Months Ended June 30, 2021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Subtotal of Reportable</w:t>
            </w:r>
          </w:p>
        </w:tc>
        <w:tc>
          <w:tcPr>
            <w:tcW w:w="0" w:type="dxa"/>
            <w:vAlign w:val="bottom"/>
          </w:tcPr>
          <w:p>
            <w:pPr>
              <w:spacing w:after="0"/>
              <w:rPr>
                <w:sz w:val="1"/>
                <w:szCs w:val="1"/>
                <w:color w:val="auto"/>
              </w:rPr>
            </w:pPr>
          </w:p>
        </w:tc>
      </w:tr>
      <w:tr>
        <w:trPr>
          <w:trHeight w:val="186"/>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Fiber Infrastructure</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right"/>
              <w:ind w:right="351"/>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5"/>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540,766</w:t>
            </w:r>
          </w:p>
        </w:tc>
        <w:tc>
          <w:tcPr>
            <w:tcW w:w="0" w:type="dxa"/>
            <w:vAlign w:val="bottom"/>
          </w:tcPr>
          <w:p>
            <w:pPr>
              <w:spacing w:after="0"/>
              <w:rPr>
                <w:sz w:val="1"/>
                <w:szCs w:val="1"/>
                <w:color w:val="auto"/>
              </w:rPr>
            </w:pPr>
          </w:p>
        </w:tc>
      </w:tr>
      <w:tr>
        <w:trPr>
          <w:trHeight w:val="270"/>
        </w:trPr>
        <w:tc>
          <w:tcPr>
            <w:tcW w:w="506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383,634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429,982</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246,969</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82,700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57,802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140,635</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Transaction related and other costs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real estate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Gain on sale of operations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(28,143)</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Adjustments for equity in earnings from unconsolidated entities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45,137</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vMerge w:val="restart"/>
          </w:tcPr>
          <w:p>
            <w:pPr>
              <w:ind w:left="2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b w:val="1"/>
                <w:bCs w:val="1"/>
                <w:color w:val="auto"/>
              </w:rPr>
              <w:t>Six Months Ended June 30,</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center"/>
              <w:ind w:right="59"/>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88"/>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4"/>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410,255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Arial" w:cs="Arial" w:eastAsia="Arial" w:hAnsi="Arial"/>
                <w:sz w:val="18"/>
                <w:szCs w:val="18"/>
                <w:color w:val="auto"/>
                <w:w w:val="90"/>
              </w:rPr>
              <w:t>73.0%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390,993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77"/>
              <w:spacing w:after="0"/>
              <w:rPr>
                <w:sz w:val="20"/>
                <w:szCs w:val="20"/>
                <w:color w:val="auto"/>
              </w:rPr>
            </w:pPr>
            <w:r>
              <w:rPr>
                <w:rFonts w:ascii="Arial" w:cs="Arial" w:eastAsia="Arial" w:hAnsi="Arial"/>
                <w:sz w:val="18"/>
                <w:szCs w:val="18"/>
                <w:color w:val="auto"/>
                <w:w w:val="90"/>
              </w:rPr>
              <w:t>72.3%</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151,754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8"/>
                <w:szCs w:val="18"/>
                <w:color w:val="auto"/>
                <w:w w:val="90"/>
              </w:rPr>
              <w:t>27.0%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8"/>
                <w:szCs w:val="18"/>
                <w:color w:val="auto"/>
                <w:w w:val="90"/>
              </w:rPr>
              <w:t>27.7%</w:t>
            </w:r>
          </w:p>
        </w:tc>
        <w:tc>
          <w:tcPr>
            <w:tcW w:w="0" w:type="dxa"/>
            <w:vAlign w:val="bottom"/>
          </w:tcPr>
          <w:p>
            <w:pPr>
              <w:spacing w:after="0"/>
              <w:rPr>
                <w:sz w:val="1"/>
                <w:szCs w:val="1"/>
                <w:color w:val="auto"/>
              </w:rPr>
            </w:pPr>
          </w:p>
        </w:tc>
      </w:tr>
      <w:tr>
        <w:trPr>
          <w:trHeight w:val="223"/>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562,009</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8"/>
                <w:szCs w:val="18"/>
                <w:color w:val="auto"/>
                <w:w w:val="88"/>
              </w:rPr>
              <w:t>100.0%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540,766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revenues for the six months ended June 30, 2022 and 2021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4"/>
                <w:szCs w:val="14"/>
                <w:b w:val="1"/>
                <w:bCs w:val="1"/>
                <w:color w:val="auto"/>
              </w:rPr>
              <w:t>Six Months Ended June 30,</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center"/>
              <w:ind w:right="114"/>
              <w:spacing w:after="0" w:line="129" w:lineRule="exact"/>
              <w:rPr>
                <w:sz w:val="20"/>
                <w:szCs w:val="20"/>
                <w:color w:val="auto"/>
              </w:rPr>
            </w:pPr>
            <w:r>
              <w:rPr>
                <w:rFonts w:ascii="Arial" w:cs="Arial" w:eastAsia="Arial" w:hAnsi="Arial"/>
                <w:sz w:val="14"/>
                <w:szCs w:val="14"/>
                <w:b w:val="1"/>
                <w:bCs w:val="1"/>
                <w:color w:val="auto"/>
                <w:w w:val="95"/>
              </w:rPr>
              <w:t>% of Segment</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center"/>
              <w:ind w:right="93"/>
              <w:spacing w:after="0" w:line="129" w:lineRule="exact"/>
              <w:rPr>
                <w:sz w:val="20"/>
                <w:szCs w:val="20"/>
                <w:color w:val="auto"/>
              </w:rPr>
            </w:pPr>
            <w:r>
              <w:rPr>
                <w:rFonts w:ascii="Arial" w:cs="Arial" w:eastAsia="Arial" w:hAnsi="Arial"/>
                <w:sz w:val="14"/>
                <w:szCs w:val="14"/>
                <w:b w:val="1"/>
                <w:bCs w:val="1"/>
                <w:color w:val="auto"/>
                <w:w w:val="92"/>
              </w:rPr>
              <w:t>% of Segment</w:t>
            </w:r>
          </w:p>
        </w:tc>
        <w:tc>
          <w:tcPr>
            <w:tcW w:w="0" w:type="dxa"/>
            <w:vAlign w:val="bottom"/>
          </w:tcPr>
          <w:p>
            <w:pPr>
              <w:spacing w:after="0"/>
              <w:rPr>
                <w:sz w:val="1"/>
                <w:szCs w:val="1"/>
                <w:color w:val="auto"/>
              </w:rPr>
            </w:pPr>
          </w:p>
        </w:tc>
      </w:tr>
      <w:tr>
        <w:trPr>
          <w:trHeight w:val="188"/>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80" w:type="dxa"/>
            <w:vAlign w:val="bottom"/>
          </w:tcPr>
          <w:p>
            <w:pPr>
              <w:jc w:val="center"/>
              <w:ind w:right="93"/>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4"/>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Leasing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Windstream Leases: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Cash rent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333,890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93"/>
              </w:rPr>
              <w:t>81.4%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332,229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0"/>
              </w:rPr>
              <w:t>85.0%</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GCI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87"/>
              </w:rPr>
              <w:t>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Total cash revenue</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338,710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114"/>
              <w:spacing w:after="0"/>
              <w:rPr>
                <w:sz w:val="20"/>
                <w:szCs w:val="20"/>
                <w:color w:val="auto"/>
              </w:rPr>
            </w:pPr>
            <w:r>
              <w:rPr>
                <w:rFonts w:ascii="Arial" w:cs="Arial" w:eastAsia="Arial" w:hAnsi="Arial"/>
                <w:sz w:val="18"/>
                <w:szCs w:val="18"/>
                <w:color w:val="auto"/>
                <w:w w:val="93"/>
              </w:rPr>
              <w:t>82.6%</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332,229</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93"/>
              <w:spacing w:after="0"/>
              <w:rPr>
                <w:sz w:val="20"/>
                <w:szCs w:val="20"/>
                <w:color w:val="auto"/>
              </w:rPr>
            </w:pPr>
            <w:r>
              <w:rPr>
                <w:rFonts w:ascii="Arial" w:cs="Arial" w:eastAsia="Arial" w:hAnsi="Arial"/>
                <w:sz w:val="18"/>
                <w:szCs w:val="18"/>
                <w:color w:val="auto"/>
                <w:w w:val="90"/>
              </w:rPr>
              <w:t>85.0%</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TCI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87"/>
              </w:rPr>
              <w:t>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2"/>
              </w:rPr>
              <w:t>4.8%</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GCI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87"/>
              </w:rPr>
              <w:t>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2"/>
              </w:rPr>
              <w:t>1.1%</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Other straight-line revenue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8"/>
                <w:szCs w:val="18"/>
                <w:color w:val="auto"/>
                <w:w w:val="87"/>
              </w:rPr>
              <w:t>1.4%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3"/>
              <w:spacing w:after="0"/>
              <w:rPr>
                <w:sz w:val="20"/>
                <w:szCs w:val="20"/>
                <w:color w:val="auto"/>
              </w:rPr>
            </w:pPr>
            <w:r>
              <w:rPr>
                <w:rFonts w:ascii="Arial" w:cs="Arial" w:eastAsia="Arial" w:hAnsi="Arial"/>
                <w:sz w:val="18"/>
                <w:szCs w:val="18"/>
                <w:color w:val="auto"/>
                <w:w w:val="92"/>
              </w:rPr>
              <w:t>1.9%</w:t>
            </w:r>
          </w:p>
        </w:tc>
        <w:tc>
          <w:tcPr>
            <w:tcW w:w="0" w:type="dxa"/>
            <w:vAlign w:val="bottom"/>
          </w:tcPr>
          <w:p>
            <w:pPr>
              <w:spacing w:after="0"/>
              <w:rPr>
                <w:sz w:val="1"/>
                <w:szCs w:val="1"/>
                <w:color w:val="auto"/>
              </w:rPr>
            </w:pPr>
          </w:p>
        </w:tc>
      </w:tr>
      <w:tr>
        <w:trPr>
          <w:trHeight w:val="223"/>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non-cash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Arial" w:cs="Arial" w:eastAsia="Arial" w:hAnsi="Arial"/>
                <w:sz w:val="18"/>
                <w:szCs w:val="18"/>
                <w:color w:val="auto"/>
                <w:w w:val="87"/>
              </w:rPr>
              <w:t>8.3%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7.8%</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Total Windstream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372,842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93"/>
              </w:rPr>
              <w:t>90.9%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362,594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0"/>
              </w:rPr>
              <w:t>92.7%</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services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Arial" w:cs="Arial" w:eastAsia="Arial" w:hAnsi="Arial"/>
                <w:sz w:val="18"/>
                <w:szCs w:val="18"/>
                <w:color w:val="auto"/>
                <w:w w:val="87"/>
              </w:rPr>
              <w:t>9.1%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7.3%</w:t>
            </w:r>
          </w:p>
        </w:tc>
        <w:tc>
          <w:tcPr>
            <w:tcW w:w="0" w:type="dxa"/>
            <w:vAlign w:val="bottom"/>
          </w:tcPr>
          <w:p>
            <w:pPr>
              <w:spacing w:after="0"/>
              <w:rPr>
                <w:sz w:val="1"/>
                <w:szCs w:val="1"/>
                <w:color w:val="auto"/>
              </w:rPr>
            </w:pPr>
          </w:p>
        </w:tc>
      </w:tr>
      <w:tr>
        <w:trPr>
          <w:trHeight w:val="223"/>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Total Leasing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410,255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8"/>
                <w:szCs w:val="18"/>
                <w:color w:val="auto"/>
                <w:w w:val="91"/>
              </w:rPr>
              <w:t>100.0%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390,993</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increase in TCI revenue is attributable to continued investment by Windstream. As of June 30, 2022 and 2021, the total amount invested in TCIs by Windstream since the inception of the Windstream Leases and Master Lease was $1.0 billion and $952.5 million, respectively.</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GCI revenue is attributable to Uniti’s continued reimbursement of Growth Capital Improvements. During the six months ended June 30, 2022, Uniti reimbursed $91.7 million of Growth Capital Improvements. Subsequent to June 30, 2022, Windstream requested, and we reimbursed $22.9 million of qualifying Growth Capital Improvements. As of the date of this Quarterly Report on Form 10-Q, we have reimbursed a total of $420.8 million of Growth Capital Improvements.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recognized $37.4 million and $28.4 million of revenues from non-Windstream triple-net leasing, dark fiber IRU arrangements, and other services for the six months ended June 30, 2022 and 2021,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revenues for the six months ended June 30, 2022 and 2021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4"/>
                <w:szCs w:val="14"/>
                <w:b w:val="1"/>
                <w:bCs w:val="1"/>
                <w:color w:val="auto"/>
              </w:rPr>
              <w:t>Six Months Ended June 30,</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center"/>
              <w:ind w:right="116"/>
              <w:spacing w:after="0" w:line="129" w:lineRule="exact"/>
              <w:rPr>
                <w:sz w:val="20"/>
                <w:szCs w:val="20"/>
                <w:color w:val="auto"/>
              </w:rPr>
            </w:pPr>
            <w:r>
              <w:rPr>
                <w:rFonts w:ascii="Arial" w:cs="Arial" w:eastAsia="Arial" w:hAnsi="Arial"/>
                <w:sz w:val="14"/>
                <w:szCs w:val="14"/>
                <w:b w:val="1"/>
                <w:bCs w:val="1"/>
                <w:color w:val="auto"/>
                <w:w w:val="95"/>
              </w:rPr>
              <w:t>% of Segment</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center"/>
              <w:ind w:right="95"/>
              <w:spacing w:after="0" w:line="129" w:lineRule="exact"/>
              <w:rPr>
                <w:sz w:val="20"/>
                <w:szCs w:val="20"/>
                <w:color w:val="auto"/>
              </w:rPr>
            </w:pPr>
            <w:r>
              <w:rPr>
                <w:rFonts w:ascii="Arial" w:cs="Arial" w:eastAsia="Arial" w:hAnsi="Arial"/>
                <w:sz w:val="14"/>
                <w:szCs w:val="14"/>
                <w:b w:val="1"/>
                <w:bCs w:val="1"/>
                <w:color w:val="auto"/>
                <w:w w:val="92"/>
              </w:rPr>
              <w:t>% of Segment</w:t>
            </w:r>
          </w:p>
        </w:tc>
        <w:tc>
          <w:tcPr>
            <w:tcW w:w="0" w:type="dxa"/>
            <w:vAlign w:val="bottom"/>
          </w:tcPr>
          <w:p>
            <w:pPr>
              <w:spacing w:after="0"/>
              <w:rPr>
                <w:sz w:val="1"/>
                <w:szCs w:val="1"/>
                <w:color w:val="auto"/>
              </w:rPr>
            </w:pPr>
          </w:p>
        </w:tc>
      </w:tr>
      <w:tr>
        <w:trPr>
          <w:trHeight w:val="188"/>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80" w:type="dxa"/>
            <w:vAlign w:val="bottom"/>
          </w:tcPr>
          <w:p>
            <w:pPr>
              <w:jc w:val="center"/>
              <w:ind w:right="95"/>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4"/>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Fiber Infrastructure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39,375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6"/>
              <w:spacing w:after="0"/>
              <w:rPr>
                <w:sz w:val="20"/>
                <w:szCs w:val="20"/>
                <w:color w:val="auto"/>
              </w:rPr>
            </w:pPr>
            <w:r>
              <w:rPr>
                <w:rFonts w:ascii="Arial" w:cs="Arial" w:eastAsia="Arial" w:hAnsi="Arial"/>
                <w:sz w:val="18"/>
                <w:szCs w:val="18"/>
                <w:color w:val="auto"/>
                <w:w w:val="93"/>
              </w:rPr>
              <w:t>26.0%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5"/>
              <w:spacing w:after="0"/>
              <w:rPr>
                <w:sz w:val="20"/>
                <w:szCs w:val="20"/>
                <w:color w:val="auto"/>
              </w:rPr>
            </w:pPr>
            <w:r>
              <w:rPr>
                <w:rFonts w:ascii="Arial" w:cs="Arial" w:eastAsia="Arial" w:hAnsi="Arial"/>
                <w:sz w:val="18"/>
                <w:szCs w:val="18"/>
                <w:color w:val="auto"/>
                <w:w w:val="90"/>
              </w:rPr>
              <w:t>32.0%</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Enterprise and wholesale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6"/>
              <w:spacing w:after="0"/>
              <w:rPr>
                <w:sz w:val="20"/>
                <w:szCs w:val="20"/>
                <w:color w:val="auto"/>
              </w:rPr>
            </w:pPr>
            <w:r>
              <w:rPr>
                <w:rFonts w:ascii="Arial" w:cs="Arial" w:eastAsia="Arial" w:hAnsi="Arial"/>
                <w:sz w:val="18"/>
                <w:szCs w:val="18"/>
                <w:color w:val="auto"/>
                <w:w w:val="93"/>
              </w:rPr>
              <w:t>27.6%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0"/>
              </w:rPr>
              <w:t>28.3%</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6"/>
              <w:spacing w:after="0"/>
              <w:rPr>
                <w:sz w:val="20"/>
                <w:szCs w:val="20"/>
                <w:color w:val="auto"/>
              </w:rPr>
            </w:pPr>
            <w:r>
              <w:rPr>
                <w:rFonts w:ascii="Arial" w:cs="Arial" w:eastAsia="Arial" w:hAnsi="Arial"/>
                <w:sz w:val="18"/>
                <w:szCs w:val="18"/>
                <w:color w:val="auto"/>
                <w:w w:val="93"/>
              </w:rPr>
              <w:t>21.6%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35,290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5"/>
              <w:spacing w:after="0"/>
              <w:rPr>
                <w:sz w:val="20"/>
                <w:szCs w:val="20"/>
                <w:color w:val="auto"/>
              </w:rPr>
            </w:pPr>
            <w:r>
              <w:rPr>
                <w:rFonts w:ascii="Arial" w:cs="Arial" w:eastAsia="Arial" w:hAnsi="Arial"/>
                <w:sz w:val="18"/>
                <w:szCs w:val="18"/>
                <w:color w:val="auto"/>
                <w:w w:val="90"/>
              </w:rPr>
              <w:t>23.6%</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Dark fiber and small cells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6"/>
              <w:spacing w:after="0"/>
              <w:rPr>
                <w:sz w:val="20"/>
                <w:szCs w:val="20"/>
                <w:color w:val="auto"/>
              </w:rPr>
            </w:pPr>
            <w:r>
              <w:rPr>
                <w:rFonts w:ascii="Arial" w:cs="Arial" w:eastAsia="Arial" w:hAnsi="Arial"/>
                <w:sz w:val="18"/>
                <w:szCs w:val="18"/>
                <w:color w:val="auto"/>
                <w:w w:val="93"/>
              </w:rPr>
              <w:t>23.9%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0"/>
              </w:rPr>
              <w:t>15.0%</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services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8"/>
                <w:szCs w:val="18"/>
                <w:color w:val="auto"/>
                <w:w w:val="87"/>
              </w:rPr>
              <w:t>0.9%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8"/>
                <w:szCs w:val="18"/>
                <w:color w:val="auto"/>
                <w:w w:val="92"/>
              </w:rPr>
              <w:t>1.1%</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Fiber Infrastructure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6"/>
              <w:spacing w:after="0"/>
              <w:rPr>
                <w:sz w:val="20"/>
                <w:szCs w:val="20"/>
                <w:color w:val="auto"/>
              </w:rPr>
            </w:pPr>
            <w:r>
              <w:rPr>
                <w:rFonts w:ascii="Arial" w:cs="Arial" w:eastAsia="Arial" w:hAnsi="Arial"/>
                <w:sz w:val="18"/>
                <w:szCs w:val="18"/>
                <w:color w:val="auto"/>
                <w:w w:val="91"/>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149,773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5"/>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For the six months ended June 30, 2022, Fiber Infrastructure revenues totaled $151.8 million as compared to $149.8 million for the six months ended June 30, 2021. Fiber Infrastructure revenues increased $2.0 million, primarily due to an increase in one-time early termination revenues of $12.3 million within dark fiber and small cells revenues, partially offset by a $8.6 million decrease in Lit backhaul service revenues, primarily driven by the sale of our Uniti Fiber Northeast operations on May 28, 2021 and lit-to-dark fiber conversions, and a $1.6 million decrease due to the wind down of our construction activities.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Six Months Ended June 30,</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60"/>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272"/>
              <w:spacing w:after="0" w:line="160" w:lineRule="exact"/>
              <w:rPr>
                <w:sz w:val="20"/>
                <w:szCs w:val="20"/>
                <w:color w:val="auto"/>
              </w:rPr>
            </w:pPr>
            <w:r>
              <w:rPr>
                <w:rFonts w:ascii="Arial" w:cs="Arial" w:eastAsia="Arial" w:hAnsi="Arial"/>
                <w:sz w:val="14"/>
                <w:szCs w:val="14"/>
                <w:b w:val="1"/>
                <w:bCs w:val="1"/>
                <w:color w:val="auto"/>
              </w:rPr>
              <w:t>% Increase /</w:t>
            </w:r>
          </w:p>
        </w:tc>
      </w:tr>
      <w:tr>
        <w:trPr>
          <w:trHeight w:val="206"/>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332"/>
              <w:spacing w:after="0"/>
              <w:rPr>
                <w:sz w:val="20"/>
                <w:szCs w:val="20"/>
                <w:color w:val="auto"/>
              </w:rPr>
            </w:pPr>
            <w:r>
              <w:rPr>
                <w:rFonts w:ascii="Arial" w:cs="Arial" w:eastAsia="Arial" w:hAnsi="Arial"/>
                <w:sz w:val="14"/>
                <w:szCs w:val="14"/>
                <w:b w:val="1"/>
                <w:bCs w:val="1"/>
                <w:color w:val="auto"/>
              </w:rPr>
              <w:t>(Decrease)</w:t>
            </w: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 net: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29"/>
        </w:trPr>
        <w:tc>
          <w:tcPr>
            <w:tcW w:w="6600" w:type="dxa"/>
            <w:vAlign w:val="bottom"/>
            <w:gridSpan w:val="2"/>
          </w:tcPr>
          <w:p>
            <w:pPr>
              <w:ind w:left="360"/>
              <w:spacing w:after="0"/>
              <w:rPr>
                <w:sz w:val="20"/>
                <w:szCs w:val="20"/>
                <w:color w:val="auto"/>
              </w:rPr>
            </w:pPr>
            <w:r>
              <w:rPr>
                <w:rFonts w:ascii="Arial" w:cs="Arial" w:eastAsia="Arial" w:hAnsi="Arial"/>
                <w:sz w:val="18"/>
                <w:szCs w:val="18"/>
                <w:b w:val="1"/>
                <w:bCs w:val="1"/>
                <w:color w:val="auto"/>
              </w:rPr>
              <w:t>Cash:</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Senior secured notes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102,132</w:t>
            </w:r>
          </w:p>
        </w:tc>
        <w:tc>
          <w:tcPr>
            <w:tcW w:w="46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r>
      <w:tr>
        <w:trPr>
          <w:trHeight w:val="229"/>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Senior unsecured notes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63,975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67,262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(3,287)</w:t>
            </w:r>
          </w:p>
        </w:tc>
      </w:tr>
      <w:tr>
        <w:trPr>
          <w:trHeight w:val="230"/>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Senior secured revolving credit facility - variable rate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29"/>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Tender premium payment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(20,541)</w:t>
            </w:r>
          </w:p>
        </w:tc>
      </w:tr>
      <w:tr>
        <w:trPr>
          <w:trHeight w:val="229"/>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Interest rate swap termination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6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r>
      <w:tr>
        <w:trPr>
          <w:trHeight w:val="223"/>
        </w:trPr>
        <w:tc>
          <w:tcPr>
            <w:tcW w:w="6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cash interest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(28,986)</w:t>
            </w:r>
          </w:p>
        </w:tc>
      </w:tr>
      <w:tr>
        <w:trPr>
          <w:trHeight w:val="230"/>
        </w:trPr>
        <w:tc>
          <w:tcPr>
            <w:tcW w:w="6600" w:type="dxa"/>
            <w:vAlign w:val="bottom"/>
            <w:gridSpan w:val="2"/>
          </w:tcPr>
          <w:p>
            <w:pPr>
              <w:ind w:left="360"/>
              <w:spacing w:after="0"/>
              <w:rPr>
                <w:sz w:val="20"/>
                <w:szCs w:val="20"/>
                <w:color w:val="auto"/>
              </w:rPr>
            </w:pPr>
            <w:r>
              <w:rPr>
                <w:rFonts w:ascii="Arial" w:cs="Arial" w:eastAsia="Arial" w:hAnsi="Arial"/>
                <w:sz w:val="18"/>
                <w:szCs w:val="18"/>
                <w:b w:val="1"/>
                <w:bCs w:val="1"/>
                <w:color w:val="auto"/>
              </w:rPr>
              <w:t>Non-cash:</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Amortization of deferred financing costs and debt discount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Write off of deferred financing costs and debt discount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(22,828)</w:t>
            </w:r>
          </w:p>
        </w:tc>
      </w:tr>
      <w:tr>
        <w:trPr>
          <w:trHeight w:val="230"/>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Accretion of settlement payable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r>
      <w:tr>
        <w:trPr>
          <w:trHeight w:val="229"/>
        </w:trPr>
        <w:tc>
          <w:tcPr>
            <w:tcW w:w="66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Capitalized interest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r>
      <w:tr>
        <w:trPr>
          <w:trHeight w:val="223"/>
        </w:trPr>
        <w:tc>
          <w:tcPr>
            <w:tcW w:w="6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non-cash interest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(25,434)</w:t>
            </w:r>
          </w:p>
        </w:tc>
      </w:tr>
      <w:tr>
        <w:trPr>
          <w:trHeight w:val="223"/>
        </w:trPr>
        <w:tc>
          <w:tcPr>
            <w:tcW w:w="6600" w:type="dxa"/>
            <w:vAlign w:val="bottom"/>
            <w:gridSpan w:val="2"/>
          </w:tcPr>
          <w:p>
            <w:pPr>
              <w:ind w:left="760"/>
              <w:spacing w:after="0"/>
              <w:rPr>
                <w:sz w:val="20"/>
                <w:szCs w:val="20"/>
                <w:color w:val="auto"/>
              </w:rPr>
            </w:pPr>
            <w:r>
              <w:rPr>
                <w:rFonts w:ascii="Arial" w:cs="Arial" w:eastAsia="Arial" w:hAnsi="Arial"/>
                <w:sz w:val="18"/>
                <w:szCs w:val="18"/>
                <w:color w:val="auto"/>
              </w:rPr>
              <w:t>Total interest expense,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192,549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246,969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(54,420)</w:t>
            </w:r>
          </w:p>
        </w:tc>
      </w:tr>
      <w:tr>
        <w:trPr>
          <w:trHeight w:val="21"/>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Interest expense for the six months ended June 30, 2022 decreased $54.4 million compared to the six months ended June 30, 2021. The decrease is attributable to (i) the issuance of 2029 Notes used to fund the redemption of the 2023 Notes, and issuance of the 2028 Secured Notes to fund the redemption of the 2023 Secured Notes, which collectively resulted in $20.5 million of tender premium payments and the write off of $22.8 million of deferred financing costs, during the six months ended June 30, 2021 and (ii) lower cash interest expense of $8.2 million, primarily associated with the 2029 Notes and 2028 Notes financing transactions, and a $3.1 million decrease in accretion expense associated with the settlement payable during the six months ended June 30,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gridSpan w:val="5"/>
          </w:tcPr>
          <w:p>
            <w:pPr>
              <w:ind w:left="40"/>
              <w:spacing w:after="0"/>
              <w:rPr>
                <w:sz w:val="20"/>
                <w:szCs w:val="20"/>
                <w:color w:val="auto"/>
              </w:rPr>
            </w:pPr>
            <w:r>
              <w:rPr>
                <w:rFonts w:ascii="Arial" w:cs="Arial" w:eastAsia="Arial" w:hAnsi="Arial"/>
                <w:sz w:val="14"/>
                <w:szCs w:val="14"/>
                <w:b w:val="1"/>
                <w:bCs w:val="1"/>
                <w:color w:val="auto"/>
                <w:w w:val="91"/>
              </w:rPr>
              <w:t>Six Months Ended June 30,</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60"/>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274"/>
              <w:spacing w:after="0" w:line="160" w:lineRule="exact"/>
              <w:rPr>
                <w:sz w:val="20"/>
                <w:szCs w:val="20"/>
                <w:color w:val="auto"/>
              </w:rPr>
            </w:pPr>
            <w:r>
              <w:rPr>
                <w:rFonts w:ascii="Arial" w:cs="Arial" w:eastAsia="Arial" w:hAnsi="Arial"/>
                <w:sz w:val="14"/>
                <w:szCs w:val="14"/>
                <w:b w:val="1"/>
                <w:bCs w:val="1"/>
                <w:color w:val="auto"/>
              </w:rPr>
              <w:t>% Increase /</w:t>
            </w:r>
          </w:p>
        </w:tc>
      </w:tr>
      <w:tr>
        <w:trPr>
          <w:trHeight w:val="206"/>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7"/>
                <w:szCs w:val="17"/>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334"/>
              <w:spacing w:after="0"/>
              <w:rPr>
                <w:sz w:val="20"/>
                <w:szCs w:val="20"/>
                <w:color w:val="auto"/>
              </w:rPr>
            </w:pPr>
            <w:r>
              <w:rPr>
                <w:rFonts w:ascii="Arial" w:cs="Arial" w:eastAsia="Arial" w:hAnsi="Arial"/>
                <w:sz w:val="14"/>
                <w:szCs w:val="14"/>
                <w:b w:val="1"/>
                <w:bCs w:val="1"/>
                <w:color w:val="auto"/>
              </w:rPr>
              <w:t>(Decrease)</w:t>
            </w: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Depreciation expense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Leasing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81,157</w:t>
            </w:r>
          </w:p>
        </w:tc>
        <w:tc>
          <w:tcPr>
            <w:tcW w:w="4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r>
      <w:tr>
        <w:trPr>
          <w:trHeight w:val="230"/>
        </w:trPr>
        <w:tc>
          <w:tcPr>
            <w:tcW w:w="6600" w:type="dxa"/>
            <w:vAlign w:val="bottom"/>
            <w:gridSpan w:val="2"/>
          </w:tcPr>
          <w:p>
            <w:pPr>
              <w:ind w:left="440"/>
              <w:spacing w:after="0"/>
              <w:rPr>
                <w:sz w:val="20"/>
                <w:szCs w:val="20"/>
                <w:color w:val="auto"/>
              </w:rPr>
            </w:pPr>
            <w:r>
              <w:rPr>
                <w:rFonts w:ascii="Arial" w:cs="Arial" w:eastAsia="Arial" w:hAnsi="Arial"/>
                <w:sz w:val="18"/>
                <w:szCs w:val="18"/>
                <w:color w:val="auto"/>
              </w:rPr>
              <w:t>Fiber Infrastructure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1,271</w:t>
            </w:r>
          </w:p>
        </w:tc>
      </w:tr>
      <w:tr>
        <w:trPr>
          <w:trHeight w:val="230"/>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Total depreciation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128,867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131,088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(2,221)</w:t>
            </w:r>
          </w:p>
        </w:tc>
      </w:tr>
      <w:tr>
        <w:trPr>
          <w:trHeight w:val="230"/>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Amortization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600" w:type="dxa"/>
            <w:vAlign w:val="bottom"/>
            <w:gridSpan w:val="2"/>
          </w:tcPr>
          <w:p>
            <w:pPr>
              <w:ind w:left="440"/>
              <w:spacing w:after="0"/>
              <w:rPr>
                <w:sz w:val="20"/>
                <w:szCs w:val="20"/>
                <w:color w:val="auto"/>
              </w:rPr>
            </w:pPr>
            <w:r>
              <w:rPr>
                <w:rFonts w:ascii="Arial" w:cs="Arial" w:eastAsia="Arial" w:hAnsi="Arial"/>
                <w:sz w:val="18"/>
                <w:szCs w:val="18"/>
                <w:color w:val="auto"/>
              </w:rPr>
              <w:t>Leasing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5,348</w:t>
            </w:r>
          </w:p>
        </w:tc>
      </w:tr>
      <w:tr>
        <w:trPr>
          <w:trHeight w:val="230"/>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Fiber Infrastructure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6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amortization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w:t>
            </w: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143,760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u w:val="single" w:color="auto"/>
          <w:color w:val="auto"/>
        </w:rPr>
        <w:t>Leasing</w:t>
      </w:r>
      <w:r>
        <w:rPr>
          <w:rFonts w:ascii="Arial" w:cs="Arial" w:eastAsia="Arial" w:hAnsi="Arial"/>
          <w:sz w:val="17"/>
          <w:szCs w:val="17"/>
          <w:i w:val="1"/>
          <w:iCs w:val="1"/>
          <w:color w:val="auto"/>
        </w:rPr>
        <w:t xml:space="preserve"> </w:t>
      </w:r>
      <w:r>
        <w:rPr>
          <w:rFonts w:ascii="Arial" w:cs="Arial" w:eastAsia="Arial" w:hAnsi="Arial"/>
          <w:sz w:val="17"/>
          <w:szCs w:val="17"/>
          <w:color w:val="auto"/>
        </w:rPr>
        <w:t>– Leasing depreciation expense decreased $3.4 million for the six months ended June 30, 2022 as compared to the six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The decrease is primarily attributable to an increase in fully depreciated Windstream Distribution System assets of $4.0 million, partially offset by a $0.7 million increase in depreciation related to asset additions since June 30, 2021. During the six months ended June 30, 2021, $5.3 million was recorded as a benefit to amortization expense, and subsequently reclassified to revenue during the fourth quarter of 2021.</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depreciation expense increased $1.3 million for the six months ended June 30, 2022 compared to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The increase in depreciation expense is primarily attributable to asset additions since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General and administrative expenses include compensation costs, including stock-based compensation awards, professional and legal services, corporate office costs and other costs associated with administrative activities of our segments.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b w:val="1"/>
                <w:bCs w:val="1"/>
                <w:color w:val="auto"/>
              </w:rPr>
              <w:t>Six Months Ended June 30,</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center"/>
              <w:ind w:right="58"/>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top w:val="single" w:sz="8" w:color="auto"/>
            </w:tcBorders>
          </w:tcPr>
          <w:p>
            <w:pPr>
              <w:jc w:val="center"/>
              <w:ind w:right="76"/>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88"/>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40" w:type="dxa"/>
            <w:vAlign w:val="bottom"/>
          </w:tcPr>
          <w:p>
            <w:pPr>
              <w:jc w:val="center"/>
              <w:ind w:right="76"/>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4"/>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General and administrative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8"/>
              <w:spacing w:after="0"/>
              <w:rPr>
                <w:sz w:val="20"/>
                <w:szCs w:val="20"/>
                <w:color w:val="auto"/>
              </w:rPr>
            </w:pPr>
            <w:r>
              <w:rPr>
                <w:rFonts w:ascii="Arial" w:cs="Arial" w:eastAsia="Arial" w:hAnsi="Arial"/>
                <w:sz w:val="18"/>
                <w:szCs w:val="18"/>
                <w:color w:val="auto"/>
                <w:w w:val="92"/>
              </w:rPr>
              <w:t>1.1%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6"/>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58"/>
              <w:spacing w:after="0"/>
              <w:rPr>
                <w:sz w:val="20"/>
                <w:szCs w:val="20"/>
                <w:color w:val="auto"/>
              </w:rPr>
            </w:pPr>
            <w:r>
              <w:rPr>
                <w:rFonts w:ascii="Arial" w:cs="Arial" w:eastAsia="Arial" w:hAnsi="Arial"/>
                <w:sz w:val="18"/>
                <w:szCs w:val="18"/>
                <w:color w:val="auto"/>
                <w:w w:val="92"/>
              </w:rPr>
              <w:t>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6"/>
              <w:spacing w:after="0"/>
              <w:rPr>
                <w:sz w:val="20"/>
                <w:szCs w:val="20"/>
                <w:color w:val="auto"/>
              </w:rPr>
            </w:pPr>
            <w:r>
              <w:rPr>
                <w:rFonts w:ascii="Arial" w:cs="Arial" w:eastAsia="Arial" w:hAnsi="Arial"/>
                <w:sz w:val="18"/>
                <w:szCs w:val="18"/>
                <w:color w:val="auto"/>
                <w:w w:val="87"/>
              </w:rPr>
              <w:t>5.1%</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8"/>
                <w:szCs w:val="18"/>
                <w:color w:val="auto"/>
                <w:w w:val="92"/>
              </w:rPr>
              <w:t>3.0%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general and administrative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center"/>
              <w:ind w:right="58"/>
              <w:spacing w:after="0"/>
              <w:rPr>
                <w:sz w:val="20"/>
                <w:szCs w:val="20"/>
                <w:color w:val="auto"/>
              </w:rPr>
            </w:pPr>
            <w:r>
              <w:rPr>
                <w:rFonts w:ascii="Arial" w:cs="Arial" w:eastAsia="Arial" w:hAnsi="Arial"/>
                <w:sz w:val="18"/>
                <w:szCs w:val="18"/>
                <w:color w:val="auto"/>
                <w:w w:val="92"/>
              </w:rPr>
              <w:t>8.7%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8"/>
                <w:szCs w:val="18"/>
                <w:color w:val="auto"/>
                <w:w w:val="87"/>
              </w:rPr>
              <w:t>9.4%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general and administrative expense increased $1.4 million for the six months ended June 30, 2022 compared to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The increase is primarily attributable to a $1.0 million increase in personnel expenses.</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general and administrative expense decreased $2.0 million for the six months ended June 30,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2021. This decrease is primarily attributable to decreases in personnel expenses of $0.5 million, franchise taxes of $0.4 million, and insurance expense associated with favorable premium renewals of $0.3 million.</w:t>
      </w:r>
    </w:p>
    <w:p>
      <w:pPr>
        <w:spacing w:after="0" w:line="18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u w:val="single" w:color="auto"/>
          <w:color w:val="auto"/>
        </w:rPr>
        <w:t>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 Corporate general and administrative expense decreased $1.1 million for the six months ended June 30, 2022 compared to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The decrease is attributable to reductions in insurance expenses of $1.7 million and personnel expenses of $1.2 million, partially offset by increases in professional and legal expenses of $1.1 million, computer software and maintenance of $0.2 million, and facility lease expense of $0.2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Operating expense for the six months ended June 30, 2022 increased by $0.6 million from the six months ended June 30, 2021, which was primarily attributable to a $2.9 million increase in Leasing operating expenses partially offset by a $2.2 million decrease in Fiber Infrastructure operating expenses discussed below. Operating expense for our reportable segments for the six months ended June 30, 2022 and 2021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b w:val="1"/>
                <w:bCs w:val="1"/>
                <w:color w:val="auto"/>
              </w:rPr>
              <w:t>Six Months Ended June 30,</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center"/>
              <w:ind w:right="59"/>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88"/>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4"/>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9,706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Arial" w:cs="Arial" w:eastAsia="Arial" w:hAnsi="Arial"/>
                <w:sz w:val="18"/>
                <w:szCs w:val="18"/>
                <w:color w:val="auto"/>
                <w:w w:val="92"/>
              </w:rPr>
              <w:t>1.7%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8"/>
                <w:szCs w:val="18"/>
                <w:color w:val="auto"/>
                <w:w w:val="90"/>
              </w:rPr>
              <w:t>11.1%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8"/>
                <w:szCs w:val="18"/>
                <w:color w:val="auto"/>
                <w:w w:val="90"/>
              </w:rPr>
              <w:t>11.9%</w:t>
            </w:r>
          </w:p>
        </w:tc>
        <w:tc>
          <w:tcPr>
            <w:tcW w:w="0" w:type="dxa"/>
            <w:vAlign w:val="bottom"/>
          </w:tcPr>
          <w:p>
            <w:pPr>
              <w:spacing w:after="0"/>
              <w:rPr>
                <w:sz w:val="1"/>
                <w:szCs w:val="1"/>
                <w:color w:val="auto"/>
              </w:rPr>
            </w:pPr>
          </w:p>
        </w:tc>
      </w:tr>
      <w:tr>
        <w:trPr>
          <w:trHeight w:val="223"/>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71,893</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8"/>
                <w:szCs w:val="18"/>
                <w:color w:val="auto"/>
                <w:w w:val="90"/>
              </w:rPr>
              <w:t>12.8%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71,269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8"/>
                <w:szCs w:val="18"/>
                <w:color w:val="auto"/>
                <w:w w:val="90"/>
              </w:rPr>
              <w:t>13.2%</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operating expense increased $2.9 million for the six months ended June 30, 2022 compared to the six months ended June 30, 2021.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primarily driven by incremental customer growth and increased network related expenses of $1.9 million.</w:t>
      </w:r>
    </w:p>
    <w:p>
      <w:pPr>
        <w:spacing w:after="0" w:line="1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Fiber Infrastructure operating expenses decreased $2.2 million for the six months ended June 30, 2022 compared to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Operating expense consists of network related costs, such as dark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-314325</wp:posOffset>
            </wp:positionV>
            <wp:extent cx="13716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fiber and tower rents, lit service and maintenance expense, and costs associated with our construction activities. The decrease in operating expenses is primarily attributable to decreases in equipment sales and installations of $2.6 million, construction expenses of $1.7 million, and $1.5 million related to the sale of our Uniti Fiber Northeast operations on May 28, 2021, partially offset by increases in dark fiber early termination fees of $1.8 million, unsplicing expenses of $0.9 million, and network maintenance and repair expenses of $0.8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enterprise resource planning system. For the six months ended June 30, 2022, we incurred $4.9 million of transaction related and other costs, compared to $4.6 million of such costs during the six months ended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expense recorded for the six months ended June 30, 2022 and 2021, respectively, is related to the tax impact of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818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7"/>
                <w:szCs w:val="17"/>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Pre-tax loss (Fiber Infrastructure)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(6,008)</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Gain on sale of operations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r>
      <w:tr>
        <w:trPr>
          <w:trHeight w:val="229"/>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Gain on sale of unconsolidated entity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undistributed REIT taxable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REIT state and local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8180" w:type="dxa"/>
            <w:vAlign w:val="bottom"/>
            <w:gridSpan w:val="2"/>
          </w:tcPr>
          <w:p>
            <w:pPr>
              <w:ind w:left="440"/>
              <w:spacing w:after="0"/>
              <w:rPr>
                <w:sz w:val="20"/>
                <w:szCs w:val="20"/>
                <w:color w:val="auto"/>
              </w:rPr>
            </w:pPr>
            <w:r>
              <w:rPr>
                <w:rFonts w:ascii="Arial" w:cs="Arial" w:eastAsia="Arial" w:hAnsi="Arial"/>
                <w:sz w:val="18"/>
                <w:szCs w:val="18"/>
                <w:color w:val="auto"/>
              </w:rPr>
              <w:t>Total income tax expense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executive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spacing w:after="0" w:line="19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Company defines AFFO, as FFO excluding (i) Transaction Related and Other Costs; (ii) costs related to the litigation settlement with Windstream, accretion on our settlement obligation, and gains on prepayment of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executive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income as defined by GAAP and should not be considered an alternative to those measures in evaluating our liquidity or operating performance</w:t>
      </w:r>
      <w:r>
        <w:rPr>
          <w:rFonts w:ascii="Arial" w:cs="Arial" w:eastAsia="Arial" w:hAnsi="Arial"/>
          <w:sz w:val="20"/>
          <w:szCs w:val="20"/>
          <w:color w:val="auto"/>
        </w:rPr>
        <w:t>.</w:t>
      </w:r>
    </w:p>
    <w:p>
      <w:pPr>
        <w:spacing w:after="0" w:line="22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reconciliation of our net income to EBITDA and Adjusted EBITDA and of our net income attributable to common shareholders to FFO and AFFO for the three and six months ended June 30, 2022 and 2021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(Thousands)</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45,137</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140,635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246,969</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227,398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435,268</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related and other costs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Gain on sale of operations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(28,143)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real estate</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(7,495)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Adjustments for equity in earnings from unconsolidated entities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451,953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429,982</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7"/>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24"/>
                <w:szCs w:val="24"/>
                <w:color w:val="auto"/>
              </w:rPr>
            </w:pPr>
          </w:p>
        </w:tc>
        <w:tc>
          <w:tcPr>
            <w:tcW w:w="272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(Thousands)</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43,883</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Real estate depreciation and amortization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105,555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real estate assets, net of tax</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Participating securities share in earnings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Participating securities share in FFO</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176"/>
        </w:trPr>
        <w:tc>
          <w:tcPr>
            <w:tcW w:w="5020" w:type="dxa"/>
            <w:vAlign w:val="bottom"/>
          </w:tcPr>
          <w:p>
            <w:pPr>
              <w:ind w:left="180"/>
              <w:spacing w:after="0" w:line="176" w:lineRule="exact"/>
              <w:rPr>
                <w:sz w:val="20"/>
                <w:szCs w:val="20"/>
                <w:color w:val="auto"/>
              </w:rPr>
            </w:pPr>
            <w:r>
              <w:rPr>
                <w:rFonts w:ascii="Arial" w:cs="Arial" w:eastAsia="Arial" w:hAnsi="Arial"/>
                <w:sz w:val="18"/>
                <w:szCs w:val="18"/>
                <w:color w:val="auto"/>
                <w:w w:val="96"/>
              </w:rPr>
              <w:t>Real estate depreciation and amortization from unconsolidated</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806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entities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for noncontrolling interests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FFO attributable to common shareholders</w:t>
            </w:r>
          </w:p>
        </w:tc>
        <w:tc>
          <w:tcPr>
            <w:tcW w:w="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105,686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99,803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210,207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148,215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related and other costs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financing costs and debt discount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Write off of deferred financing costs and debt discount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22,828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related to the early repayment of debt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28,485</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unconsolidated entity, net of tax</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Gain on sale of operations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(28,143)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Non-real estate depreciation and amortization</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35,080</w:t>
            </w:r>
          </w:p>
        </w:tc>
        <w:tc>
          <w:tcPr>
            <w:tcW w:w="0" w:type="dxa"/>
            <w:vAlign w:val="bottom"/>
          </w:tcPr>
          <w:p>
            <w:pPr>
              <w:spacing w:after="0"/>
              <w:rPr>
                <w:sz w:val="1"/>
                <w:szCs w:val="1"/>
                <w:color w:val="auto"/>
              </w:rPr>
            </w:pPr>
          </w:p>
        </w:tc>
      </w:tr>
      <w:tr>
        <w:trPr>
          <w:trHeight w:val="175"/>
        </w:trPr>
        <w:tc>
          <w:tcPr>
            <w:tcW w:w="5020" w:type="dxa"/>
            <w:vAlign w:val="bottom"/>
          </w:tcPr>
          <w:p>
            <w:pPr>
              <w:ind w:left="180"/>
              <w:spacing w:after="0" w:line="176" w:lineRule="exact"/>
              <w:rPr>
                <w:sz w:val="20"/>
                <w:szCs w:val="20"/>
                <w:color w:val="auto"/>
              </w:rPr>
            </w:pPr>
            <w:r>
              <w:rPr>
                <w:rFonts w:ascii="Arial" w:cs="Arial" w:eastAsia="Arial" w:hAnsi="Arial"/>
                <w:sz w:val="18"/>
                <w:szCs w:val="18"/>
                <w:color w:val="auto"/>
                <w:w w:val="97"/>
              </w:rPr>
              <w:t>Straight-line revenues and amortization of below-market lease</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(10,126)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(7,309)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(21,148)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(14,215)</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 expenditures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(8,060)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Adjustments for equity in earnings from unconsolidated entities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Adjustments for noncontrolling interests</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AFFO attributable to common shareholders</w:t>
            </w: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114,897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206,351</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5"/>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672"/>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principal liquidity needs are to fund operating expenses, meet debt service obligations, fund investment activities, including capital expenditures, and make dividend distributions. Furthermore, following consummation of our settlement agreement with Windstream, including entry into the Windstream Leases, we are obligated (i) to make $490.1 million of cash payments to Windstream in equal installments over 20 consecutive quarters beginning in October 2020 and (ii) to reimburse Windstream for up to an aggregate of $1.75 billion for Growth Capital Improvements in long-term value accretive fiber and related assets made by Windstream through 2029. To date, we have paid $215.4 million of the $490.1 million due to Windstream under the settlement agreement, including $92.9 million that we pre-paid on October 14, 2021, $78.0 million of which was funded from a portion of the proceeds of the 2030 Notes.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and $225 million in 2021, and are limited to $225 million per year in 2022 through 2024; $175 million per year in 2025 and 2026; and $125 million per year in 2027 through 2029.</w:t>
      </w:r>
    </w:p>
    <w:p>
      <w:pPr>
        <w:spacing w:after="0" w:line="1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primary sources of liquidity and capital resources are cash on hand, cash provided by operating activities (primarily from the Windstream Leases), available borrowings under our credit agreement by and among the Operating Partnership, CSL Capital, LLC and Uniti Group Finance 2019 Inc., the guarantors and lenders party thereto and Bank of America, N.A., as administrative agent and collateral agent (the “Credit Agreement”), and proceeds from the issuance of debt and equity securities.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As of June 30, 2022, we had cash and cash equivalents of $61.4 million and approximately $300.0 million of borrowing availability under our Revolving Credit Facility under the Credit Agreement. Subsequent to June 30, 2022, other than $22.9 million of Growth Capital Improvements (see </w:t>
      </w:r>
      <w:r>
        <w:rPr>
          <w:rFonts w:ascii="Arial" w:cs="Arial" w:eastAsia="Arial" w:hAnsi="Arial"/>
          <w:sz w:val="18"/>
          <w:szCs w:val="18"/>
          <w:i w:val="1"/>
          <w:iCs w:val="1"/>
          <w:color w:val="auto"/>
        </w:rPr>
        <w:t>“Result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Operations—Revenues” </w:t>
      </w:r>
      <w:r>
        <w:rPr>
          <w:rFonts w:ascii="Arial" w:cs="Arial" w:eastAsia="Arial" w:hAnsi="Arial"/>
          <w:sz w:val="18"/>
          <w:szCs w:val="18"/>
          <w:color w:val="auto"/>
        </w:rPr>
        <w:t>above), there have been no material outlays of funds outside of our scheduled interest and dividend payments. Availability under</w:t>
      </w:r>
      <w:r>
        <w:rPr>
          <w:rFonts w:ascii="Arial" w:cs="Arial" w:eastAsia="Arial" w:hAnsi="Arial"/>
          <w:sz w:val="18"/>
          <w:szCs w:val="18"/>
          <w:i w:val="1"/>
          <w:iCs w:val="1"/>
          <w:color w:val="auto"/>
        </w:rPr>
        <w:t xml:space="preserve"> </w:t>
      </w:r>
      <w:r>
        <w:rPr>
          <w:rFonts w:ascii="Arial" w:cs="Arial" w:eastAsia="Arial" w:hAnsi="Arial"/>
          <w:sz w:val="18"/>
          <w:szCs w:val="18"/>
          <w:color w:val="auto"/>
        </w:rPr>
        <w:t>our Revolving Credit Facility is subject to various conditions, including a maximum secured leverage ratio of 5.0:1. In addition, if we incur debt under our Revolving Credit Facility or otherwise such that our total leverage ratio exceeds 6.5:1, our Revolving Credit Facility would impose significant restrictions on our ability to pay dividends. See “—Dividends.”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8"/>
                <w:szCs w:val="18"/>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234,608</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318,477</w:t>
            </w:r>
          </w:p>
        </w:tc>
      </w:tr>
    </w:tbl>
    <w:p>
      <w:pPr>
        <w:spacing w:after="0" w:line="29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Cash provided by operating activities is primarily attributable to our leasing activities, which includes the leasing of mission-critical communications assets to anchor customers on either an exclusive or shared-tenant basis, in addition to the leasing of dark fiber network assets to the telecommunications industry. Cash used in operating activities includes compensation and related costs, interest payments, and other changes in working capital. Net cash provided by operating activities was $234.6 million and $318.5 million for the six months ended June 30, 2022 and 2021, respectively. The decrease in net cash provided by operating activities during the six months ended June 30, 2022 is primarily attributable to changes in working capital, including the timing of interest payments associated with debt refinancing activities occurring in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3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3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35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(184,039)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(177,934)</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sale of unconsolidated entity (see Note 5)</w:t>
            </w:r>
          </w:p>
        </w:tc>
        <w:tc>
          <w:tcPr>
            <w:tcW w:w="3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Proceeds from sale of real estate, net of cash</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sale of operations</w:t>
            </w:r>
          </w:p>
        </w:tc>
        <w:tc>
          <w:tcPr>
            <w:tcW w:w="3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62,113</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Proceeds from sale of other equipment</w:t>
            </w:r>
          </w:p>
        </w:tc>
        <w:tc>
          <w:tcPr>
            <w:tcW w:w="3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3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(114,388)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cash used in investing activities was $150.8 million for the six months ended June 30, 2022, primarily driven by capital expenditures ($184.0 million), partially offset by proceeds received from the sale of the Harmoni investment ($32.5 million). Net cash used in investing activities was $114.4 million for the six months ended June 30, 2021, primarily driven by capital expenditures ($177.9 million), partially offset by proceeds from the sale of the Uniti Fiber Northeast operations to Everstream ($62.1 million). Capital expenditures are primarily related to our Uniti Fiber and Uniti Leasing businesses for deployment of network assets, as described under “—Capital Expenditures.”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8"/>
                <w:szCs w:val="18"/>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Repayment of debt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(1,660,000)</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Proceeds from issuance of notes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1,680,000</w:t>
            </w: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(70,386)</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Payments of settlement payable</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(49,011)</w:t>
            </w: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Payments of contingent consideration</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(2,979)</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Distributions paid to noncontrolling interest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r>
      <w:tr>
        <w:trPr>
          <w:trHeight w:val="257"/>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Payment for exchange of noncontrolling interest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w:t>
            </w: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(220,000)</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Finance lease payments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Payments for financing costs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(25,156)</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 of tender premium</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w:t>
            </w: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Employee stock purchase program</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Payments related to tax withholding for stock-based compensation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r>
      <w:tr>
        <w:trPr>
          <w:trHeight w:val="223"/>
        </w:trPr>
        <w:tc>
          <w:tcPr>
            <w:tcW w:w="8180" w:type="dxa"/>
            <w:vAlign w:val="bottom"/>
            <w:gridSpan w:val="2"/>
          </w:tcPr>
          <w:p>
            <w:pPr>
              <w:ind w:left="4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(173,087)</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Net cash used in financing activities was $81.4 million for the six months ended June 30, 2022, which was primarily related to </w:t>
      </w:r>
      <w:r>
        <w:rPr>
          <w:rFonts w:ascii="Arial" w:cs="Arial" w:eastAsia="Arial" w:hAnsi="Arial"/>
          <w:sz w:val="17"/>
          <w:szCs w:val="17"/>
          <w:color w:val="212529"/>
        </w:rPr>
        <w:t>dividend payments of $71.8</w:t>
      </w:r>
      <w:r>
        <w:rPr>
          <w:rFonts w:ascii="Arial" w:cs="Arial" w:eastAsia="Arial" w:hAnsi="Arial"/>
          <w:sz w:val="17"/>
          <w:szCs w:val="17"/>
          <w:color w:val="auto"/>
        </w:rPr>
        <w:t xml:space="preserve"> </w:t>
      </w:r>
      <w:r>
        <w:rPr>
          <w:rFonts w:ascii="Arial" w:cs="Arial" w:eastAsia="Arial" w:hAnsi="Arial"/>
          <w:sz w:val="17"/>
          <w:szCs w:val="17"/>
          <w:color w:val="212529"/>
        </w:rPr>
        <w:t>million, payment for an exchange of noncontrolling interest of $4.6 million, and payments related to tax withholding for stock-based compensation of $4.4 million. Net c</w:t>
      </w:r>
      <w:r>
        <w:rPr>
          <w:rFonts w:ascii="Arial" w:cs="Arial" w:eastAsia="Arial" w:hAnsi="Arial"/>
          <w:sz w:val="17"/>
          <w:szCs w:val="17"/>
          <w:color w:val="000000"/>
        </w:rPr>
        <w:t>ash used in financing activities was $173.1 million for the six months ended June 30, 2021, which was primarily driven by the repayment of</w:t>
      </w:r>
      <w:r>
        <w:rPr>
          <w:rFonts w:ascii="Arial" w:cs="Arial" w:eastAsia="Arial" w:hAnsi="Arial"/>
          <w:sz w:val="17"/>
          <w:szCs w:val="17"/>
          <w:color w:val="212529"/>
        </w:rPr>
        <w:t xml:space="preserve"> </w:t>
      </w:r>
      <w:r>
        <w:rPr>
          <w:rFonts w:ascii="Arial" w:cs="Arial" w:eastAsia="Arial" w:hAnsi="Arial"/>
          <w:sz w:val="17"/>
          <w:szCs w:val="17"/>
          <w:color w:val="000000"/>
        </w:rPr>
        <w:t>the 2023 Notes and 2023 Secured Notes ($1.66 billion), net payments under the Revolving Credit Facility ($15.0 million), dividend payments ($70.4 million), payments for financing costs ($25.2 million), payment of settlement obligation ($49.0 million), 2023 Notes tender premium payment ($17.6 million), 2023 Secured Notes early redemption payment ($8.3 million) and contingent consideration payments ($3.0 million), partially offset by proceeds from the issuance of the 2029 Notes and 2028 Secured Notes ($1.68 billion)</w:t>
      </w:r>
      <w:r>
        <w:rPr>
          <w:rFonts w:ascii="Arial" w:cs="Arial" w:eastAsia="Arial" w:hAnsi="Arial"/>
          <w:sz w:val="17"/>
          <w:szCs w:val="17"/>
          <w:color w:val="212529"/>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Windstream Master Lease and Windstream Leases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September 18, 2020, in connection with Windstream’s emergence from bankruptcy and the implementation of the Settlement, Uniti and Windstream bifurcated the Master Lease and entered into the Windstream Leases that each expires on April 30, 2030. The aggregate initial annual rent under the Windstream Leases is equal to the annual rent under the Master Lease previously in effect.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spacing w:after="0" w:line="195"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Uniti’s reimbursement commitment for Growth Capital Improvements does not require Uniti to reimburse Windstream for maintenance or repair expenditures (except for costs incurred for fiber replacements to the CLEC MLA leased property, up to $70.0 million during the term), and each such reimbursement is subject to underwriting standards. Uniti’s total annual reimbursement commitments for the Growth</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Capital Improvements under both Windstream Leases (and under separate equipment loan facilities) were limited to $125 million in 2020 and $225 million in 2021, and are limited to $225 million per year in 2022 through 2024; $175 million per year in 2025 and 2026; and $125 million per year in 2027 through 2029. If the costs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$250.0 million in any calendar year.</w:t>
      </w:r>
    </w:p>
    <w:p>
      <w:pPr>
        <w:spacing w:after="0" w:line="19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6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At-the-Market Common Stock Offering Program</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$250.0 million. During the three and six months ended June 30, 2022, we did not make any sales under the ATM Program. This program is intended to provide additional financial flexibility and an alternative mechanism to access the capital markets at an efficient cost as and when we need financing, including for acquisitions.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anticipate continuing to invest in our network infrastructure across our Uniti Leasing and Uniti Fiber portfolios. We anticipate that we will partially finance these needs, as well as operating expenses (including our debt service obligations), from our cash on hand and cash flows provided by operating activities. As of June 30, 2022, we had $300.0 million in borrowing availability under our Revolving Credit Facility (subject to customary borrowing conditions), however, we may need to access the capital markets to generate additional funds in an amount sufficient to fund our business operations, announced investment activities, capital expenditures, including reimbursement commitments for Growth Capital Improvements, debt service and distributions to our shareholders. We are closely monitoring the equity and debt markets and may seek to access them promptly if and when we determine market conditions are appropriate. Our debt covenants currently do not permit us to incur material additional debt.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6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If circumstances warrant, we may take measures to conserve cash as we anticipate that it will be more difficult for us to access the capital markets at attractive rates until such uncertainty is clarified.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Success Based</w:t>
            </w:r>
          </w:p>
        </w:tc>
        <w:tc>
          <w:tcPr>
            <w:tcW w:w="220" w:type="dxa"/>
            <w:vAlign w:val="bottom"/>
          </w:tcPr>
          <w:p>
            <w:pPr>
              <w:spacing w:after="0"/>
              <w:rPr>
                <w:sz w:val="16"/>
                <w:szCs w:val="16"/>
                <w:color w:val="auto"/>
              </w:rPr>
            </w:pPr>
          </w:p>
        </w:tc>
        <w:tc>
          <w:tcPr>
            <w:tcW w:w="1200" w:type="dxa"/>
            <w:vAlign w:val="bottom"/>
          </w:tcPr>
          <w:p>
            <w:pPr>
              <w:jc w:val="right"/>
              <w:ind w:right="213"/>
              <w:spacing w:after="0"/>
              <w:rPr>
                <w:sz w:val="20"/>
                <w:szCs w:val="20"/>
                <w:color w:val="auto"/>
              </w:rPr>
            </w:pPr>
            <w:r>
              <w:rPr>
                <w:rFonts w:ascii="Arial" w:cs="Arial" w:eastAsia="Arial" w:hAnsi="Arial"/>
                <w:sz w:val="14"/>
                <w:szCs w:val="14"/>
                <w:b w:val="1"/>
                <w:bCs w:val="1"/>
                <w:color w:val="auto"/>
              </w:rPr>
              <w:t>Maintenance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Integration</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Non-Network</w:t>
            </w:r>
          </w:p>
        </w:tc>
        <w:tc>
          <w:tcPr>
            <w:tcW w:w="3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24"/>
        </w:trPr>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29"/>
        </w:trPr>
        <w:tc>
          <w:tcPr>
            <w:tcW w:w="352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14,161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14,161</w:t>
            </w:r>
          </w:p>
        </w:tc>
      </w:tr>
      <w:tr>
        <w:trPr>
          <w:trHeight w:val="229"/>
        </w:trPr>
        <w:tc>
          <w:tcPr>
            <w:tcW w:w="3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Growth capital improvements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91,657</w:t>
            </w:r>
          </w:p>
        </w:tc>
      </w:tr>
      <w:tr>
        <w:trPr>
          <w:trHeight w:val="230"/>
        </w:trPr>
        <w:tc>
          <w:tcPr>
            <w:tcW w:w="3520" w:type="dxa"/>
            <w:vAlign w:val="bottom"/>
            <w:gridSpan w:val="2"/>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72,390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77,875</w:t>
            </w:r>
          </w:p>
        </w:tc>
      </w:tr>
      <w:tr>
        <w:trPr>
          <w:trHeight w:val="229"/>
        </w:trPr>
        <w:tc>
          <w:tcPr>
            <w:tcW w:w="3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3"/>
        </w:trPr>
        <w:tc>
          <w:tcPr>
            <w:tcW w:w="3520" w:type="dxa"/>
            <w:vAlign w:val="bottom"/>
            <w:gridSpan w:val="2"/>
          </w:tcPr>
          <w:p>
            <w:pPr>
              <w:ind w:left="440"/>
              <w:spacing w:after="0"/>
              <w:rPr>
                <w:sz w:val="20"/>
                <w:szCs w:val="20"/>
                <w:color w:val="auto"/>
              </w:rPr>
            </w:pPr>
            <w:r>
              <w:rPr>
                <w:rFonts w:ascii="Arial" w:cs="Arial" w:eastAsia="Arial" w:hAnsi="Arial"/>
                <w:sz w:val="18"/>
                <w:szCs w:val="18"/>
                <w:color w:val="auto"/>
              </w:rPr>
              <w:t>Total capital expenditures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178,208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184,039</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categorize our capital expenditures as either (i) success-based, (ii) maintenance, (iii) integration or (iv)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and Uniti Fiber businesses and expect that cash on hand and cash flows provided by operating activities will be sufficient to support these investments. We have the right, but not the obligation (except for Growth Capital Improvements), to reimburse growth capital expenditures in certain of our lease arrangements where we are the lessor.</w:t>
      </w:r>
    </w:p>
    <w:p>
      <w:pPr>
        <w:spacing w:after="0" w:line="17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Uniti’s total annual reimbursement commitments to Windstream for the Growth Capital Improvements is discussed above in this Part I, Item 2 “Management’s Discussion and Analysis of Financial Condition and Results of Operations” in “Liquidity and Capital Resources—Windstream Master Lease and Windstream Leases.” Growth Capital Improvements are treated as success-based capital improvements based on the rents paid with respect to such amounts.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circumstances warrant, we may need to take measures to conserve cash, which may include a suspension, delay or reduction in success-based 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or we may make a portion of the required dividend in the form of a taxable distribution of stock or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below sets out details regarding our cash dividends on our common stock:</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color w:val="auto"/>
              </w:rPr>
              <w:t>Period</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0"/>
              </w:rPr>
              <w:t>Payment Date</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Cash Dividend Per</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91"/>
              </w:rPr>
              <w:t>Record Date</w:t>
            </w:r>
          </w:p>
        </w:tc>
        <w:tc>
          <w:tcPr>
            <w:tcW w:w="0" w:type="dxa"/>
            <w:vAlign w:val="bottom"/>
          </w:tcPr>
          <w:p>
            <w:pPr>
              <w:spacing w:after="0"/>
              <w:rPr>
                <w:sz w:val="1"/>
                <w:szCs w:val="1"/>
                <w:color w:val="auto"/>
              </w:rPr>
            </w:pPr>
          </w:p>
        </w:tc>
      </w:tr>
      <w:tr>
        <w:trPr>
          <w:trHeight w:val="186"/>
        </w:trPr>
        <w:tc>
          <w:tcPr>
            <w:tcW w:w="660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Share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2021 - December 31, 2021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 2022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17, 2021</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January 1, 2022 - March 31, 2022</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15, 2022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April 1, 2022</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2022 - June 30, 2022</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17, 2022</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the ongoing COVID-19 pandemic, we may take further measures to conserve cash, which may include a suspension, delay or reduction in our dividend.</w:t>
      </w:r>
    </w:p>
    <w:p>
      <w:pPr>
        <w:spacing w:after="0" w:line="188"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We have achieved a consolidated net leverage ratio as defined in the indenture governing the 7.875% senior secured notes due 2025 (the "2025 Secured Notes") below 5.75 to 1.0 and, therefore, the covenant reversion date (as defined in the 2025 Secured Notes indenture) has occurred. As a result, the restriction imposed by our 2025 Secured Notes from paying cash dividends in excess of 90% of our REIT taxable income has been lifted.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spacing w:after="0" w:line="17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As of June 30, 2022, there has been no material change to these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New accounting rules and disclosures can impact our reported results and comparability of our financial statements. See Note 2 of Notes to Condensed Consolidated Financial Statements in Part I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information reported under Item 7A of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established disclosure controls and procedures, as such term is defined in Rule 13a-15(e) under the Exchange Act, that are designed to ensure that information required to be disclosed by us in the reports that we file or submit under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June 30, 2022, and based on this evaluation, our principal executive officer and principal financial officer concluded that our disclosure controls and procedures were effective as of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 13a-15(f) under the Exchange Act, that occurred during the quarter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description of legal proceedings can be found in Note 13 - Commitments and Contingencies to our Condensed Consolidated Financial Statements, included in this report at Part I, Item 1-Financial Statements, and is incorporated by reference into this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affecting our business that were discussed in Part I, “Item 1A. Risk Factors” in our Annual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 Number of</w:t>
            </w:r>
          </w:p>
        </w:tc>
        <w:tc>
          <w:tcPr>
            <w:tcW w:w="80" w:type="dxa"/>
            <w:vAlign w:val="bottom"/>
          </w:tcPr>
          <w:p>
            <w:pPr>
              <w:spacing w:after="0"/>
              <w:rPr>
                <w:sz w:val="11"/>
                <w:szCs w:val="11"/>
                <w:color w:val="auto"/>
              </w:rPr>
            </w:pP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Average Price Paid per</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Period</w:t>
            </w:r>
          </w:p>
        </w:tc>
        <w:tc>
          <w:tcPr>
            <w:tcW w:w="1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9"/>
        </w:trPr>
        <w:tc>
          <w:tcPr>
            <w:tcW w:w="5040" w:type="dxa"/>
            <w:vAlign w:val="bottom"/>
            <w:gridSpan w:val="2"/>
            <w:vMerge w:val="continue"/>
          </w:tcPr>
          <w:p>
            <w:pPr>
              <w:spacing w:after="0"/>
              <w:rPr>
                <w:sz w:val="16"/>
                <w:szCs w:val="16"/>
                <w:color w:val="auto"/>
              </w:rPr>
            </w:pPr>
          </w:p>
        </w:tc>
        <w:tc>
          <w:tcPr>
            <w:tcW w:w="1480" w:type="dxa"/>
            <w:vAlign w:val="bottom"/>
          </w:tcPr>
          <w:p>
            <w:pPr>
              <w:jc w:val="right"/>
              <w:ind w:right="116"/>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line="189"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8"/>
                <w:szCs w:val="18"/>
                <w:b w:val="1"/>
                <w:bCs w:val="1"/>
                <w:color w:val="auto"/>
                <w:vertAlign w:val="superscript"/>
              </w:rPr>
              <w:t>(1)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2022 to April 30, 2022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209,717</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May 1, 2022 to May 31, 2022</w:t>
            </w:r>
          </w:p>
        </w:tc>
        <w:tc>
          <w:tcPr>
            <w:tcW w:w="1480" w:type="dxa"/>
            <w:vAlign w:val="bottom"/>
          </w:tcPr>
          <w:p>
            <w:pPr>
              <w:jc w:val="right"/>
              <w:spacing w:after="0"/>
              <w:rPr>
                <w:sz w:val="20"/>
                <w:szCs w:val="20"/>
                <w:color w:val="auto"/>
              </w:rPr>
            </w:pPr>
            <w:r>
              <w:rPr>
                <w:rFonts w:ascii="Arial" w:cs="Arial" w:eastAsia="Arial" w:hAnsi="Arial"/>
                <w:sz w:val="18"/>
                <w:szCs w:val="18"/>
                <w:color w:val="auto"/>
              </w:rPr>
              <w:t>976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1480" w:type="dxa"/>
            <w:vAlign w:val="bottom"/>
          </w:tcPr>
          <w:p>
            <w:pPr>
              <w:ind w:left="1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2022 to June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210,693</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14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360" w:firstLine="8"/>
        <w:spacing w:after="0" w:line="232" w:lineRule="auto"/>
        <w:tabs>
          <w:tab w:leader="none" w:pos="208"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The average price paid per share is the weighted average of the fair market prices at which we calculated the number of shares withheld to cover tax withholdings for the employees.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380" w:type="dxa"/>
            <w:vAlign w:val="bottom"/>
            <w:gridSpan w:val="7"/>
          </w:tcPr>
          <w:p>
            <w:pPr>
              <w:ind w:left="3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36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First Amendment to the Amended and Restated Agreement of Limited Partnership of Uniti Group LP, dated as of April 18, 2022</w:t>
              </w:r>
            </w:hyperlink>
          </w:p>
        </w:tc>
        <w:tc>
          <w:tcPr>
            <w:tcW w:w="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3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Adopted Pursuant to Section 302 of the Sarbanes-Oxley Act of 2002.</w:t>
              </w:r>
            </w:hyperlink>
          </w:p>
        </w:tc>
        <w:tc>
          <w:tcPr>
            <w:tcW w:w="4640" w:type="dxa"/>
            <w:vAlign w:val="bottom"/>
            <w:tcBorders>
              <w:top w:val="single" w:sz="8" w:color="0000EE"/>
            </w:tcBorders>
            <w:gridSpan w:val="5"/>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6"/>
        </w:trPr>
        <w:tc>
          <w:tcPr>
            <w:tcW w:w="13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Adopted Pursuant to Section 302 of the Sarbanes-Oxley Act of 2002.</w:t>
              </w:r>
            </w:hyperlink>
          </w:p>
        </w:tc>
        <w:tc>
          <w:tcPr>
            <w:tcW w:w="4580" w:type="dxa"/>
            <w:vAlign w:val="bottom"/>
            <w:tcBorders>
              <w:top w:val="single" w:sz="8" w:color="0000EE"/>
            </w:tcBorders>
            <w:gridSpan w:val="3"/>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36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Oxley Act of 2002.</w:t>
              </w:r>
            </w:hyperlink>
          </w:p>
        </w:tc>
        <w:tc>
          <w:tcPr>
            <w:tcW w:w="8220" w:type="dxa"/>
            <w:vAlign w:val="bottom"/>
            <w:tcBorders>
              <w:top w:val="single" w:sz="8" w:color="0000EE"/>
            </w:tcBorders>
            <w:gridSpan w:val="5"/>
          </w:tcPr>
          <w:p>
            <w:pPr>
              <w:spacing w:after="0"/>
              <w:rPr>
                <w:sz w:val="15"/>
                <w:szCs w:val="15"/>
                <w:color w:val="auto"/>
              </w:rPr>
            </w:pP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136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Oxley Act of 2002.</w:t>
              </w:r>
            </w:hyperlink>
          </w:p>
        </w:tc>
        <w:tc>
          <w:tcPr>
            <w:tcW w:w="8160" w:type="dxa"/>
            <w:vAlign w:val="bottom"/>
            <w:tcBorders>
              <w:top w:val="single" w:sz="8" w:color="0000EE"/>
            </w:tcBorders>
            <w:gridSpan w:val="3"/>
          </w:tcPr>
          <w:p>
            <w:pPr>
              <w:spacing w:after="0"/>
              <w:rPr>
                <w:sz w:val="15"/>
                <w:szCs w:val="15"/>
                <w:color w:val="auto"/>
              </w:rPr>
            </w:pPr>
          </w:p>
        </w:tc>
        <w:tc>
          <w:tcPr>
            <w:tcW w:w="2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5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760" w:type="dxa"/>
            <w:vAlign w:val="bottom"/>
            <w:gridSpan w:val="8"/>
            <w:vMerge w:val="restart"/>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32"/>
        </w:trPr>
        <w:tc>
          <w:tcPr>
            <w:tcW w:w="13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UNITI GROUP INC.</w:t>
      </w:r>
    </w:p>
    <w:p>
      <w:pPr>
        <w:spacing w:after="0" w:line="297" w:lineRule="exact"/>
        <w:rPr>
          <w:sz w:val="20"/>
          <w:szCs w:val="20"/>
          <w:color w:val="auto"/>
        </w:rPr>
      </w:pPr>
    </w:p>
    <w:p>
      <w:pPr>
        <w:ind w:left="20"/>
        <w:spacing w:after="0"/>
        <w:tabs>
          <w:tab w:leader="none" w:pos="90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2022</w:t>
      </w:r>
      <w:r>
        <w:rPr>
          <w:sz w:val="20"/>
          <w:szCs w:val="20"/>
          <w:color w:val="auto"/>
        </w:rPr>
        <w:tab/>
      </w:r>
      <w:r>
        <w:rPr>
          <w:rFonts w:ascii="Arial" w:cs="Arial" w:eastAsia="Arial" w:hAnsi="Arial"/>
          <w:sz w:val="16"/>
          <w:szCs w:val="16"/>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14605</wp:posOffset>
            </wp:positionV>
            <wp:extent cx="40716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Paul E. Bullington</w:t>
      </w:r>
    </w:p>
    <w:p>
      <w:pPr>
        <w:ind w:left="4840"/>
        <w:spacing w:after="0" w:line="203" w:lineRule="auto"/>
        <w:rPr>
          <w:sz w:val="20"/>
          <w:szCs w:val="20"/>
          <w:color w:val="auto"/>
        </w:rPr>
      </w:pPr>
      <w:r>
        <w:rPr>
          <w:rFonts w:ascii="Arial" w:cs="Arial" w:eastAsia="Arial" w:hAnsi="Arial"/>
          <w:sz w:val="18"/>
          <w:szCs w:val="18"/>
          <w:b w:val="1"/>
          <w:bCs w:val="1"/>
          <w:color w:val="auto"/>
        </w:rPr>
        <w:t>Senior Vice President – Chief Financial Officer and Treasurer</w:t>
      </w:r>
    </w:p>
    <w:p>
      <w:pPr>
        <w:ind w:left="4840"/>
        <w:spacing w:after="0"/>
        <w:rPr>
          <w:sz w:val="20"/>
          <w:szCs w:val="20"/>
          <w:color w:val="auto"/>
        </w:rPr>
      </w:pPr>
      <w:r>
        <w:rPr>
          <w:rFonts w:ascii="Arial" w:cs="Arial" w:eastAsia="Arial" w:hAnsi="Arial"/>
          <w:sz w:val="18"/>
          <w:szCs w:val="18"/>
          <w:b w:val="1"/>
          <w:bCs w:val="1"/>
          <w:color w:val="auto"/>
        </w:rPr>
        <w:t>(Principal Financial Officer)</w:t>
      </w:r>
    </w:p>
    <w:p>
      <w:pPr>
        <w:spacing w:after="0" w:line="277" w:lineRule="exact"/>
        <w:rPr>
          <w:sz w:val="20"/>
          <w:szCs w:val="20"/>
          <w:color w:val="auto"/>
        </w:rPr>
      </w:pPr>
    </w:p>
    <w:p>
      <w:pPr>
        <w:ind w:left="20"/>
        <w:spacing w:after="0"/>
        <w:tabs>
          <w:tab w:leader="none" w:pos="90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2022</w:t>
      </w:r>
      <w:r>
        <w:rPr>
          <w:sz w:val="20"/>
          <w:szCs w:val="20"/>
          <w:color w:val="auto"/>
        </w:rPr>
        <w:tab/>
      </w:r>
      <w:r>
        <w:rPr>
          <w:rFonts w:ascii="Arial" w:cs="Arial" w:eastAsia="Arial" w:hAnsi="Arial"/>
          <w:sz w:val="16"/>
          <w:szCs w:val="16"/>
          <w:color w:val="auto"/>
        </w:rPr>
        <w:t>/s/ Travis T.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14605</wp:posOffset>
            </wp:positionV>
            <wp:extent cx="40716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Travis T. Black</w:t>
      </w:r>
    </w:p>
    <w:p>
      <w:pPr>
        <w:ind w:left="4840"/>
        <w:spacing w:after="0" w:line="203" w:lineRule="auto"/>
        <w:rPr>
          <w:sz w:val="20"/>
          <w:szCs w:val="20"/>
          <w:color w:val="auto"/>
        </w:rPr>
      </w:pPr>
      <w:r>
        <w:rPr>
          <w:rFonts w:ascii="Arial" w:cs="Arial" w:eastAsia="Arial" w:hAnsi="Arial"/>
          <w:sz w:val="18"/>
          <w:szCs w:val="18"/>
          <w:b w:val="1"/>
          <w:bCs w:val="1"/>
          <w:color w:val="auto"/>
        </w:rPr>
        <w:t>Vice President – Chief Accounting Officer</w:t>
      </w:r>
    </w:p>
    <w:p>
      <w:pPr>
        <w:ind w:left="484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320" w:top="341" w:right="379" w:bottom="1440" w:gutter="0" w:footer="0" w:header="0"/>
        </w:sectPr>
      </w:pPr>
    </w:p>
    <w:bookmarkStart w:id="58" w:name="page59"/>
    <w:bookmarkEnd w:id="58"/>
    <w:p>
      <w:pPr>
        <w:ind w:left="10120"/>
        <w:spacing w:after="0"/>
        <w:rPr>
          <w:sz w:val="20"/>
          <w:szCs w:val="20"/>
          <w:color w:val="auto"/>
        </w:rPr>
      </w:pPr>
      <w:r>
        <w:rPr>
          <w:rFonts w:ascii="Arial" w:cs="Arial" w:eastAsia="Arial" w:hAnsi="Arial"/>
          <w:sz w:val="19"/>
          <w:szCs w:val="19"/>
          <w:b w:val="1"/>
          <w:bCs w:val="1"/>
          <w:color w:val="auto"/>
        </w:rPr>
        <w:t>Exhibit 10.1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jc w:val="center"/>
        <w:spacing w:after="0" w:line="217" w:lineRule="auto"/>
        <w:rPr>
          <w:sz w:val="20"/>
          <w:szCs w:val="20"/>
          <w:color w:val="auto"/>
        </w:rPr>
      </w:pPr>
      <w:r>
        <w:rPr>
          <w:rFonts w:ascii="Arial" w:cs="Arial" w:eastAsia="Arial" w:hAnsi="Arial"/>
          <w:sz w:val="22"/>
          <w:szCs w:val="22"/>
          <w:b w:val="1"/>
          <w:bCs w:val="1"/>
          <w:color w:val="auto"/>
        </w:rPr>
        <w:t>TO THE</w:t>
      </w:r>
    </w:p>
    <w:p>
      <w:pPr>
        <w:jc w:val="center"/>
        <w:spacing w:after="0" w:line="218" w:lineRule="auto"/>
        <w:rPr>
          <w:sz w:val="20"/>
          <w:szCs w:val="20"/>
          <w:color w:val="auto"/>
        </w:rPr>
      </w:pPr>
      <w:r>
        <w:rPr>
          <w:rFonts w:ascii="Arial" w:cs="Arial" w:eastAsia="Arial" w:hAnsi="Arial"/>
          <w:sz w:val="22"/>
          <w:szCs w:val="22"/>
          <w:b w:val="1"/>
          <w:bCs w:val="1"/>
          <w:color w:val="auto"/>
        </w:rPr>
        <w:t>AMENDED AND RESTATED AGREEMENT OF LIMITED PARTNERSHIP</w:t>
      </w:r>
    </w:p>
    <w:p>
      <w:pPr>
        <w:jc w:val="center"/>
        <w:spacing w:after="0" w:line="218" w:lineRule="auto"/>
        <w:rPr>
          <w:sz w:val="20"/>
          <w:szCs w:val="20"/>
          <w:color w:val="auto"/>
        </w:rPr>
      </w:pPr>
      <w:r>
        <w:rPr>
          <w:rFonts w:ascii="Arial" w:cs="Arial" w:eastAsia="Arial" w:hAnsi="Arial"/>
          <w:sz w:val="22"/>
          <w:szCs w:val="22"/>
          <w:b w:val="1"/>
          <w:bCs w:val="1"/>
          <w:color w:val="auto"/>
        </w:rPr>
        <w:t>OF</w:t>
      </w:r>
    </w:p>
    <w:p>
      <w:pPr>
        <w:jc w:val="center"/>
        <w:spacing w:after="0"/>
        <w:rPr>
          <w:sz w:val="20"/>
          <w:szCs w:val="20"/>
          <w:color w:val="auto"/>
        </w:rPr>
      </w:pPr>
      <w:r>
        <w:rPr>
          <w:rFonts w:ascii="Arial" w:cs="Arial" w:eastAsia="Arial" w:hAnsi="Arial"/>
          <w:sz w:val="22"/>
          <w:szCs w:val="22"/>
          <w:b w:val="1"/>
          <w:bCs w:val="1"/>
          <w:color w:val="auto"/>
        </w:rPr>
        <w:t>UNITI GROUP LP</w:t>
      </w:r>
    </w:p>
    <w:p>
      <w:pPr>
        <w:spacing w:after="0" w:line="202" w:lineRule="exact"/>
        <w:rPr>
          <w:sz w:val="20"/>
          <w:szCs w:val="20"/>
          <w:color w:val="auto"/>
        </w:rPr>
      </w:pPr>
    </w:p>
    <w:p>
      <w:pPr>
        <w:ind w:right="100"/>
        <w:spacing w:after="0" w:line="226" w:lineRule="auto"/>
        <w:rPr>
          <w:sz w:val="20"/>
          <w:szCs w:val="20"/>
          <w:color w:val="auto"/>
        </w:rPr>
      </w:pPr>
      <w:r>
        <w:rPr>
          <w:rFonts w:ascii="Arial" w:cs="Arial" w:eastAsia="Arial" w:hAnsi="Arial"/>
          <w:sz w:val="22"/>
          <w:szCs w:val="22"/>
          <w:color w:val="auto"/>
        </w:rPr>
        <w:t>FIRST AMENDMENT TO THE AMENDED AND RESTATED AGREEMENT OF LIMITED PARTNERSHIP OF UNITI GROUP LP (this “</w:t>
      </w:r>
      <w:r>
        <w:rPr>
          <w:rFonts w:ascii="Arial" w:cs="Arial" w:eastAsia="Arial" w:hAnsi="Arial"/>
          <w:sz w:val="22"/>
          <w:szCs w:val="22"/>
          <w:b w:val="1"/>
          <w:bCs w:val="1"/>
          <w:color w:val="auto"/>
        </w:rPr>
        <w:t>Amendment</w:t>
      </w:r>
      <w:r>
        <w:rPr>
          <w:rFonts w:ascii="Arial" w:cs="Arial" w:eastAsia="Arial" w:hAnsi="Arial"/>
          <w:sz w:val="22"/>
          <w:szCs w:val="22"/>
          <w:color w:val="auto"/>
        </w:rPr>
        <w:t>”), dated as of April 18, 2022, by and among Uniti Group LP, a limited partnership formed under the laws of the State of Delaware (the “</w:t>
      </w:r>
      <w:r>
        <w:rPr>
          <w:rFonts w:ascii="Arial" w:cs="Arial" w:eastAsia="Arial" w:hAnsi="Arial"/>
          <w:sz w:val="22"/>
          <w:szCs w:val="22"/>
          <w:b w:val="1"/>
          <w:bCs w:val="1"/>
          <w:color w:val="auto"/>
        </w:rPr>
        <w:t>Partnership</w:t>
      </w:r>
      <w:r>
        <w:rPr>
          <w:rFonts w:ascii="Arial" w:cs="Arial" w:eastAsia="Arial" w:hAnsi="Arial"/>
          <w:sz w:val="22"/>
          <w:szCs w:val="22"/>
          <w:color w:val="auto"/>
        </w:rPr>
        <w:t>”) and Uniti Group Inc., a Maryland corporation (“</w:t>
      </w:r>
      <w:r>
        <w:rPr>
          <w:rFonts w:ascii="Arial" w:cs="Arial" w:eastAsia="Arial" w:hAnsi="Arial"/>
          <w:sz w:val="22"/>
          <w:szCs w:val="22"/>
          <w:b w:val="1"/>
          <w:bCs w:val="1"/>
          <w:color w:val="auto"/>
        </w:rPr>
        <w:t>General Partner</w:t>
      </w:r>
      <w:r>
        <w:rPr>
          <w:rFonts w:ascii="Arial" w:cs="Arial" w:eastAsia="Arial" w:hAnsi="Arial"/>
          <w:sz w:val="22"/>
          <w:szCs w:val="22"/>
          <w:color w:val="auto"/>
        </w:rPr>
        <w:t>”), in its capacity as the general partner of the Partnership. Capitalized terms used but not otherwise defined herein shall have the meanings ascribed to them in the LPA (as defined below).</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 :</w:t>
      </w:r>
    </w:p>
    <w:p>
      <w:pPr>
        <w:spacing w:after="0" w:line="220" w:lineRule="exact"/>
        <w:rPr>
          <w:sz w:val="20"/>
          <w:szCs w:val="20"/>
          <w:color w:val="auto"/>
        </w:rPr>
      </w:pPr>
    </w:p>
    <w:p>
      <w:pPr>
        <w:ind w:right="460"/>
        <w:spacing w:after="0" w:line="239" w:lineRule="auto"/>
        <w:rPr>
          <w:sz w:val="20"/>
          <w:szCs w:val="20"/>
          <w:color w:val="auto"/>
        </w:rPr>
      </w:pPr>
      <w:r>
        <w:rPr>
          <w:rFonts w:ascii="Arial" w:cs="Arial" w:eastAsia="Arial" w:hAnsi="Arial"/>
          <w:sz w:val="22"/>
          <w:szCs w:val="22"/>
          <w:color w:val="auto"/>
        </w:rPr>
        <w:t>WHEREAS, Uniti, the Partnership and certain other Persons are parties to the Amended and Restated Agreement of Limited Partnership of the Partnership, dated as of July 3, 2017 (the “</w:t>
      </w:r>
      <w:r>
        <w:rPr>
          <w:rFonts w:ascii="Arial" w:cs="Arial" w:eastAsia="Arial" w:hAnsi="Arial"/>
          <w:sz w:val="22"/>
          <w:szCs w:val="22"/>
          <w:b w:val="1"/>
          <w:bCs w:val="1"/>
          <w:color w:val="auto"/>
        </w:rPr>
        <w:t>LPA</w:t>
      </w:r>
      <w:r>
        <w:rPr>
          <w:rFonts w:ascii="Arial" w:cs="Arial" w:eastAsia="Arial" w:hAnsi="Arial"/>
          <w:sz w:val="22"/>
          <w:szCs w:val="22"/>
          <w:color w:val="auto"/>
        </w:rPr>
        <w:t>”);</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WHEREAS, pursuant to Section 11.01 of the LPA, and subject to certain exceptions set forth therein, the LPA can be amended by the General Partner; and</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WHEREAS, the General Partner desires to amend the LPA in accordance with Section 11.01 thereof as set forth herein.</w:t>
      </w:r>
    </w:p>
    <w:p>
      <w:pPr>
        <w:spacing w:after="0" w:line="231" w:lineRule="exact"/>
        <w:rPr>
          <w:sz w:val="20"/>
          <w:szCs w:val="20"/>
          <w:color w:val="auto"/>
        </w:rPr>
      </w:pPr>
    </w:p>
    <w:p>
      <w:pPr>
        <w:ind w:right="60"/>
        <w:spacing w:after="0" w:line="313" w:lineRule="auto"/>
        <w:rPr>
          <w:sz w:val="20"/>
          <w:szCs w:val="20"/>
          <w:color w:val="auto"/>
        </w:rPr>
      </w:pPr>
      <w:r>
        <w:rPr>
          <w:rFonts w:ascii="Arial" w:cs="Arial" w:eastAsia="Arial" w:hAnsi="Arial"/>
          <w:sz w:val="19"/>
          <w:szCs w:val="19"/>
          <w:color w:val="auto"/>
        </w:rPr>
        <w:t>NOW, THEREFORE, in consideration of the mutual agreements herein contained and other good and valuable consideration, the receipt and sufficiency of which are hereby acknowledged, the Partnership and the General Partner hereby agree as follows: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Amendment</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 new Section 8.05(g) is hereby added to the LPA as follows:</w:t>
      </w:r>
    </w:p>
    <w:p>
      <w:pPr>
        <w:spacing w:after="0" w:line="220"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9"/>
          <w:szCs w:val="19"/>
          <w:color w:val="auto"/>
        </w:rPr>
        <w:t xml:space="preserve">“(g) The General Partner may, at its election and from time to time, (i) designate one or more of its controlled Affiliates to purchase all or any portion of the Tendered Units to be purchased by the General Partner pursuant to this Section 8.05 and (ii) thereafter revoke any such designation. From and after any such designation (unless and until such designation shall be revoked by the General Partner), a Limited Partner that exercises the Exchange Right shall be deemed to have also offered to sell the Tendered Units to each such designee and any such designee shall be entitled to elect to purchase directly and acquire such Tendered Units pursuant to Section 8.05(b) applied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Furthermore, notwithstanding the fact that the General Partner may have previously notified an Exchanging Partner that the General Partner will acquire the Tendered Units, any such designee may elect to purchase directly and acquire such Tendered Units pursuant to Section 8.05(b) applied </w:t>
      </w:r>
      <w:r>
        <w:rPr>
          <w:rFonts w:ascii="Arial" w:cs="Arial" w:eastAsia="Arial" w:hAnsi="Arial"/>
          <w:sz w:val="19"/>
          <w:szCs w:val="19"/>
          <w:i w:val="1"/>
          <w:iCs w:val="1"/>
          <w:color w:val="auto"/>
        </w:rPr>
        <w:t>mutatis mutandis</w:t>
      </w:r>
      <w:r>
        <w:rPr>
          <w:rFonts w:ascii="Arial" w:cs="Arial" w:eastAsia="Arial" w:hAnsi="Arial"/>
          <w:sz w:val="19"/>
          <w:szCs w:val="19"/>
          <w:color w:val="auto"/>
        </w:rPr>
        <w:t>. Without limiting the foregoing, Talk America Services, LLC is hereby designated pursuant to this Section 8.05(g) and shall continue as such unless and until the General Partner revokes such designation.”</w:t>
      </w:r>
    </w:p>
    <w:p>
      <w:pPr>
        <w:sectPr>
          <w:pgSz w:w="11900" w:h="16838" w:orient="portrait"/>
          <w:cols w:equalWidth="0" w:num="1">
            <w:col w:w="11240"/>
          </w:cols>
          <w:pgMar w:left="320" w:top="1408" w:right="339" w:bottom="1440" w:gutter="0" w:footer="0" w:header="0"/>
        </w:sectPr>
      </w:pPr>
    </w:p>
    <w:bookmarkStart w:id="59" w:name="page60"/>
    <w:bookmarkEnd w:id="59"/>
    <w:p>
      <w:pPr>
        <w:spacing w:after="0" w:line="218"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Reference to and Effect on the LPA</w:t>
      </w:r>
      <w:r>
        <w:rPr>
          <w:rFonts w:ascii="Arial" w:cs="Arial" w:eastAsia="Arial" w:hAnsi="Arial"/>
          <w:sz w:val="19"/>
          <w:szCs w:val="19"/>
          <w:color w:val="auto"/>
        </w:rPr>
        <w:t>. Each reference in the LPA to “this Agreement”, “hereunder”, “hereof”, “herein”, or words of like import shall, except where the context otherwise requires, be deemed a reference to the LPA as amended hereby. No reference to this Amendment need be made in any instrument or document at any time referring to the LPA, and a reference to the LPA in any of such instruments or documents will be deemed to be a reference to the LPA as amended hereby. Except as expressly provided in this Amendment, all provisions of the LPA remain in full force and effect and are not modified by this Amendment, and the parties hereby ratify and confirm each and every provision thereof.</w:t>
      </w:r>
    </w:p>
    <w:p>
      <w:pPr>
        <w:spacing w:after="0" w:line="178" w:lineRule="exact"/>
        <w:rPr>
          <w:sz w:val="20"/>
          <w:szCs w:val="20"/>
          <w:color w:val="auto"/>
        </w:rPr>
      </w:pPr>
    </w:p>
    <w:p>
      <w:pPr>
        <w:ind w:right="300"/>
        <w:spacing w:after="0" w:line="239"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laws of the State of Delaware, without regard to its conflicts of laws principles.</w:t>
      </w:r>
    </w:p>
    <w:p>
      <w:pPr>
        <w:spacing w:after="0" w:line="198" w:lineRule="exact"/>
        <w:rPr>
          <w:sz w:val="20"/>
          <w:szCs w:val="20"/>
          <w:color w:val="auto"/>
        </w:rPr>
      </w:pPr>
    </w:p>
    <w:p>
      <w:pPr>
        <w:ind w:right="40"/>
        <w:spacing w:after="0" w:line="22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Miscellaneou</w:t>
      </w:r>
      <w:r>
        <w:rPr>
          <w:rFonts w:ascii="Arial" w:cs="Arial" w:eastAsia="Arial" w:hAnsi="Arial"/>
          <w:sz w:val="22"/>
          <w:szCs w:val="22"/>
          <w:color w:val="auto"/>
        </w:rPr>
        <w:t>s</w:t>
      </w:r>
      <w:r>
        <w:rPr>
          <w:rFonts w:ascii="Arial" w:cs="Arial" w:eastAsia="Arial" w:hAnsi="Arial"/>
          <w:sz w:val="22"/>
          <w:szCs w:val="22"/>
          <w:i w:val="1"/>
          <w:iCs w:val="1"/>
          <w:color w:val="auto"/>
        </w:rPr>
        <w:t>.</w:t>
      </w:r>
      <w:r>
        <w:rPr>
          <w:rFonts w:ascii="Arial" w:cs="Arial" w:eastAsia="Arial" w:hAnsi="Arial"/>
          <w:sz w:val="22"/>
          <w:szCs w:val="22"/>
          <w:color w:val="auto"/>
        </w:rPr>
        <w:t xml:space="preserve"> This Amendment may be executed in two or more counterparts, each of which shall be deemed an instrument, but all of which together shall constitute one and the same instrument. This Amendment may be executed by facsimile or other electronic transmission, and such signatures shall have the same force and effect as originals. This Amendment shall be binding upon and inure to the benefit of the parties hereto and their respective successors and permitted assigns under the LPA.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Remainder of Page Intentionally Left Blank</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 WITNESS WHEREOF, the parties hereto have duly executed this Amendment as of the date first above written.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UNITI GROUP LP</w:t>
      </w:r>
    </w:p>
    <w:p>
      <w:pPr>
        <w:spacing w:after="0" w:line="37" w:lineRule="exact"/>
        <w:rPr>
          <w:sz w:val="20"/>
          <w:szCs w:val="20"/>
          <w:color w:val="auto"/>
        </w:rPr>
      </w:pPr>
    </w:p>
    <w:tbl>
      <w:tblPr>
        <w:tblLayout w:type="fixed"/>
        <w:tblInd w:w="4740" w:type="dxa"/>
        <w:tblCellMar>
          <w:top w:w="0" w:type="dxa"/>
          <w:left w:w="0" w:type="dxa"/>
          <w:bottom w:w="0" w:type="dxa"/>
          <w:right w:w="0" w:type="dxa"/>
        </w:tblCellMar>
      </w:tblP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820" w:type="dxa"/>
            <w:vAlign w:val="bottom"/>
            <w:gridSpan w:val="2"/>
          </w:tcPr>
          <w:p>
            <w:pPr>
              <w:ind w:left="20"/>
              <w:spacing w:after="0"/>
              <w:rPr>
                <w:sz w:val="20"/>
                <w:szCs w:val="20"/>
                <w:color w:val="auto"/>
              </w:rPr>
            </w:pPr>
            <w:r>
              <w:rPr>
                <w:rFonts w:ascii="Arial" w:cs="Arial" w:eastAsia="Arial" w:hAnsi="Arial"/>
                <w:sz w:val="22"/>
                <w:szCs w:val="22"/>
                <w:color w:val="auto"/>
              </w:rPr>
              <w:t>Uniti Group, Inc., its general partner</w:t>
            </w:r>
          </w:p>
        </w:tc>
      </w:tr>
      <w:tr>
        <w:trPr>
          <w:trHeight w:val="55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8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ind w:left="1380"/>
              <w:spacing w:after="0"/>
              <w:rPr>
                <w:sz w:val="20"/>
                <w:szCs w:val="20"/>
                <w:color w:val="auto"/>
              </w:rPr>
            </w:pPr>
            <w:r>
              <w:rPr>
                <w:rFonts w:ascii="Arial" w:cs="Arial" w:eastAsia="Arial" w:hAnsi="Arial"/>
                <w:sz w:val="22"/>
                <w:szCs w:val="22"/>
                <w:color w:val="auto"/>
              </w:rPr>
              <w:t>/s/ Daniel Heard</w:t>
            </w:r>
          </w:p>
        </w:tc>
      </w:tr>
      <w:tr>
        <w:trPr>
          <w:trHeight w:val="275"/>
        </w:trPr>
        <w:tc>
          <w:tcPr>
            <w:tcW w:w="680" w:type="dxa"/>
            <w:vAlign w:val="bottom"/>
          </w:tcPr>
          <w:p>
            <w:pPr>
              <w:spacing w:after="0"/>
              <w:rPr>
                <w:sz w:val="23"/>
                <w:szCs w:val="23"/>
                <w:color w:val="auto"/>
              </w:rPr>
            </w:pPr>
          </w:p>
        </w:tc>
        <w:tc>
          <w:tcPr>
            <w:tcW w:w="820" w:type="dxa"/>
            <w:vAlign w:val="bottom"/>
          </w:tcPr>
          <w:p>
            <w:pPr>
              <w:ind w:left="20"/>
              <w:spacing w:after="0"/>
              <w:rPr>
                <w:sz w:val="20"/>
                <w:szCs w:val="20"/>
                <w:color w:val="auto"/>
              </w:rPr>
            </w:pPr>
            <w:r>
              <w:rPr>
                <w:rFonts w:ascii="Arial" w:cs="Arial" w:eastAsia="Arial" w:hAnsi="Arial"/>
                <w:sz w:val="22"/>
                <w:szCs w:val="22"/>
                <w:color w:val="auto"/>
              </w:rPr>
              <w:t>Name:</w:t>
            </w:r>
          </w:p>
        </w:tc>
        <w:tc>
          <w:tcPr>
            <w:tcW w:w="5000" w:type="dxa"/>
            <w:vAlign w:val="bottom"/>
          </w:tcPr>
          <w:p>
            <w:pPr>
              <w:ind w:left="220"/>
              <w:spacing w:after="0"/>
              <w:rPr>
                <w:sz w:val="20"/>
                <w:szCs w:val="20"/>
                <w:color w:val="auto"/>
              </w:rPr>
            </w:pPr>
            <w:r>
              <w:rPr>
                <w:rFonts w:ascii="Arial" w:cs="Arial" w:eastAsia="Arial" w:hAnsi="Arial"/>
                <w:sz w:val="22"/>
                <w:szCs w:val="22"/>
                <w:color w:val="auto"/>
              </w:rPr>
              <w:t>Daniel Heard</w:t>
            </w:r>
          </w:p>
        </w:tc>
      </w:tr>
      <w:tr>
        <w:trPr>
          <w:trHeight w:val="284"/>
        </w:trPr>
        <w:tc>
          <w:tcPr>
            <w:tcW w:w="6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22"/>
                <w:szCs w:val="22"/>
                <w:color w:val="auto"/>
              </w:rPr>
              <w:t>Title:</w:t>
            </w:r>
          </w:p>
        </w:tc>
        <w:tc>
          <w:tcPr>
            <w:tcW w:w="5000" w:type="dxa"/>
            <w:vAlign w:val="bottom"/>
          </w:tcPr>
          <w:p>
            <w:pPr>
              <w:ind w:left="220"/>
              <w:spacing w:after="0"/>
              <w:rPr>
                <w:sz w:val="20"/>
                <w:szCs w:val="20"/>
                <w:color w:val="auto"/>
              </w:rPr>
            </w:pPr>
            <w:r>
              <w:rPr>
                <w:rFonts w:ascii="Arial" w:cs="Arial" w:eastAsia="Arial" w:hAnsi="Arial"/>
                <w:sz w:val="22"/>
                <w:szCs w:val="22"/>
                <w:color w:val="auto"/>
              </w:rPr>
              <w:t>EVP – General Counsel and Secretary</w:t>
            </w:r>
          </w:p>
        </w:tc>
      </w:tr>
      <w:tr>
        <w:trPr>
          <w:trHeight w:val="648"/>
        </w:trPr>
        <w:tc>
          <w:tcPr>
            <w:tcW w:w="6500" w:type="dxa"/>
            <w:vAlign w:val="bottom"/>
            <w:gridSpan w:val="3"/>
          </w:tcPr>
          <w:p>
            <w:pPr>
              <w:spacing w:after="0"/>
              <w:rPr>
                <w:sz w:val="20"/>
                <w:szCs w:val="20"/>
                <w:color w:val="auto"/>
              </w:rPr>
            </w:pPr>
            <w:r>
              <w:rPr>
                <w:rFonts w:ascii="Arial" w:cs="Arial" w:eastAsia="Arial" w:hAnsi="Arial"/>
                <w:sz w:val="22"/>
                <w:szCs w:val="22"/>
                <w:b w:val="1"/>
                <w:bCs w:val="1"/>
                <w:color w:val="auto"/>
              </w:rPr>
              <w:t>UNITI GROUP INC., as general partner</w:t>
            </w:r>
          </w:p>
        </w:tc>
      </w:tr>
      <w:tr>
        <w:trPr>
          <w:trHeight w:val="82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8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ind w:left="1380"/>
              <w:spacing w:after="0"/>
              <w:rPr>
                <w:sz w:val="20"/>
                <w:szCs w:val="20"/>
                <w:color w:val="auto"/>
              </w:rPr>
            </w:pPr>
            <w:r>
              <w:rPr>
                <w:rFonts w:ascii="Arial" w:cs="Arial" w:eastAsia="Arial" w:hAnsi="Arial"/>
                <w:sz w:val="22"/>
                <w:szCs w:val="22"/>
                <w:color w:val="auto"/>
              </w:rPr>
              <w:t>/s/ Daniel Heard</w:t>
            </w:r>
          </w:p>
        </w:tc>
      </w:tr>
      <w:tr>
        <w:trPr>
          <w:trHeight w:val="275"/>
        </w:trPr>
        <w:tc>
          <w:tcPr>
            <w:tcW w:w="680" w:type="dxa"/>
            <w:vAlign w:val="bottom"/>
          </w:tcPr>
          <w:p>
            <w:pPr>
              <w:spacing w:after="0"/>
              <w:rPr>
                <w:sz w:val="23"/>
                <w:szCs w:val="23"/>
                <w:color w:val="auto"/>
              </w:rPr>
            </w:pPr>
          </w:p>
        </w:tc>
        <w:tc>
          <w:tcPr>
            <w:tcW w:w="820" w:type="dxa"/>
            <w:vAlign w:val="bottom"/>
          </w:tcPr>
          <w:p>
            <w:pPr>
              <w:ind w:left="20"/>
              <w:spacing w:after="0"/>
              <w:rPr>
                <w:sz w:val="20"/>
                <w:szCs w:val="20"/>
                <w:color w:val="auto"/>
              </w:rPr>
            </w:pPr>
            <w:r>
              <w:rPr>
                <w:rFonts w:ascii="Arial" w:cs="Arial" w:eastAsia="Arial" w:hAnsi="Arial"/>
                <w:sz w:val="22"/>
                <w:szCs w:val="22"/>
                <w:color w:val="auto"/>
              </w:rPr>
              <w:t>Name:</w:t>
            </w:r>
          </w:p>
        </w:tc>
        <w:tc>
          <w:tcPr>
            <w:tcW w:w="5000" w:type="dxa"/>
            <w:vAlign w:val="bottom"/>
          </w:tcPr>
          <w:p>
            <w:pPr>
              <w:ind w:left="220"/>
              <w:spacing w:after="0"/>
              <w:rPr>
                <w:sz w:val="20"/>
                <w:szCs w:val="20"/>
                <w:color w:val="auto"/>
              </w:rPr>
            </w:pPr>
            <w:r>
              <w:rPr>
                <w:rFonts w:ascii="Arial" w:cs="Arial" w:eastAsia="Arial" w:hAnsi="Arial"/>
                <w:sz w:val="22"/>
                <w:szCs w:val="22"/>
                <w:color w:val="auto"/>
              </w:rPr>
              <w:t>Daniel Heard</w:t>
            </w:r>
          </w:p>
        </w:tc>
      </w:tr>
      <w:tr>
        <w:trPr>
          <w:trHeight w:val="283"/>
        </w:trPr>
        <w:tc>
          <w:tcPr>
            <w:tcW w:w="6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22"/>
                <w:szCs w:val="22"/>
                <w:color w:val="auto"/>
              </w:rPr>
              <w:t>Title:</w:t>
            </w:r>
          </w:p>
        </w:tc>
        <w:tc>
          <w:tcPr>
            <w:tcW w:w="5000" w:type="dxa"/>
            <w:vAlign w:val="bottom"/>
          </w:tcPr>
          <w:p>
            <w:pPr>
              <w:ind w:left="220"/>
              <w:spacing w:after="0"/>
              <w:rPr>
                <w:sz w:val="20"/>
                <w:szCs w:val="20"/>
                <w:color w:val="auto"/>
              </w:rPr>
            </w:pPr>
            <w:r>
              <w:rPr>
                <w:rFonts w:ascii="Arial" w:cs="Arial" w:eastAsia="Arial" w:hAnsi="Arial"/>
                <w:sz w:val="22"/>
                <w:szCs w:val="22"/>
                <w:color w:val="auto"/>
              </w:rPr>
              <w:t>EVP – General Counsel and Secretary</w:t>
            </w:r>
          </w:p>
        </w:tc>
      </w:tr>
    </w:tbl>
    <w:p>
      <w:pPr>
        <w:sectPr>
          <w:pgSz w:w="11900" w:h="16838" w:orient="portrait"/>
          <w:cols w:equalWidth="0" w:num="1">
            <w:col w:w="11240"/>
          </w:cols>
          <w:pgMar w:left="320" w:top="144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400" w:val="left"/>
          <w:tab w:leader="none" w:pos="75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23495</wp:posOffset>
            </wp:positionV>
            <wp:extent cx="3522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39" w:lineRule="exact"/>
        <w:rPr>
          <w:sz w:val="20"/>
          <w:szCs w:val="20"/>
          <w:color w:val="auto"/>
        </w:rPr>
      </w:pPr>
    </w:p>
    <w:p>
      <w:pPr>
        <w:jc w:val="center"/>
        <w:ind w:left="5680"/>
        <w:spacing w:after="0"/>
        <w:rPr>
          <w:sz w:val="20"/>
          <w:szCs w:val="20"/>
          <w:color w:val="auto"/>
        </w:rPr>
      </w:pPr>
      <w:r>
        <w:rPr>
          <w:rFonts w:ascii="Arial" w:cs="Arial" w:eastAsia="Arial" w:hAnsi="Arial"/>
          <w:sz w:val="18"/>
          <w:szCs w:val="18"/>
          <w:b w:val="1"/>
          <w:bCs w:val="1"/>
          <w:color w:val="auto"/>
        </w:rPr>
        <w:t>Kenneth A. Gunderman</w:t>
      </w:r>
    </w:p>
    <w:p>
      <w:pPr>
        <w:spacing w:after="0" w:line="50" w:lineRule="exact"/>
        <w:rPr>
          <w:sz w:val="20"/>
          <w:szCs w:val="20"/>
          <w:color w:val="auto"/>
        </w:rPr>
      </w:pPr>
    </w:p>
    <w:p>
      <w:pPr>
        <w:jc w:val="center"/>
        <w:ind w:left="56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14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E. Bullington,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20"/>
        <w:spacing w:after="0"/>
        <w:tabs>
          <w:tab w:leader="none" w:pos="5360" w:val="left"/>
          <w:tab w:leader="none" w:pos="766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23495</wp:posOffset>
            </wp:positionV>
            <wp:extent cx="35401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Paul E. Bullington</w:t>
      </w:r>
    </w:p>
    <w:p>
      <w:pPr>
        <w:spacing w:after="0" w:line="50"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16"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240"/>
          </w:cols>
          <w:pgMar w:left="320" w:top="120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500"/>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June 30, 2022 as filed with the Securities and Exchange Commission on the date hereof (the “Report”), I certify, pursuant to 18 U.S.C. § 1350, as adopted pursuant to § 906 of the Sarbanes-Oxley Act of 2002, to my knowledge, that:</w:t>
      </w:r>
    </w:p>
    <w:p>
      <w:pPr>
        <w:spacing w:after="0" w:line="184" w:lineRule="exact"/>
        <w:rPr>
          <w:sz w:val="20"/>
          <w:szCs w:val="20"/>
          <w:color w:val="auto"/>
        </w:rPr>
      </w:pPr>
    </w:p>
    <w:p>
      <w:pPr>
        <w:ind w:left="1460" w:hanging="966"/>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460" w:right="120" w:hanging="966"/>
        <w:spacing w:after="0" w:line="277" w:lineRule="auto"/>
        <w:tabs>
          <w:tab w:leader="none" w:pos="14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360" w:val="left"/>
          <w:tab w:leader="none" w:pos="746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23495</wp:posOffset>
            </wp:positionV>
            <wp:extent cx="3540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jc w:val="center"/>
        <w:ind w:left="5640"/>
        <w:spacing w:after="0"/>
        <w:rPr>
          <w:sz w:val="20"/>
          <w:szCs w:val="20"/>
          <w:color w:val="auto"/>
        </w:rPr>
      </w:pPr>
      <w:r>
        <w:rPr>
          <w:rFonts w:ascii="Arial" w:cs="Arial" w:eastAsia="Arial" w:hAnsi="Arial"/>
          <w:sz w:val="18"/>
          <w:szCs w:val="18"/>
          <w:b w:val="1"/>
          <w:bCs w:val="1"/>
          <w:color w:val="auto"/>
        </w:rPr>
        <w:t>Kenneth A. Gunderman</w:t>
      </w:r>
    </w:p>
    <w:p>
      <w:pPr>
        <w:spacing w:after="0" w:line="50" w:lineRule="exact"/>
        <w:rPr>
          <w:sz w:val="20"/>
          <w:szCs w:val="20"/>
          <w:color w:val="auto"/>
        </w:rPr>
      </w:pPr>
    </w:p>
    <w:p>
      <w:pPr>
        <w:jc w:val="center"/>
        <w:ind w:left="56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14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June 30, 2022 as filed with the Securities and Exchange Commission on the date hereof (the “Report”), I certify, pursuant to 18 U.S.C. § 1350, as adopted pursuant to § 906 of the Sarbanes-Oxley Act of 2002, to my knowledge, that:</w:t>
      </w:r>
    </w:p>
    <w:p>
      <w:pPr>
        <w:spacing w:after="0" w:line="184" w:lineRule="exact"/>
        <w:rPr>
          <w:sz w:val="20"/>
          <w:szCs w:val="20"/>
          <w:color w:val="auto"/>
        </w:rPr>
      </w:pPr>
    </w:p>
    <w:p>
      <w:pPr>
        <w:ind w:left="1620" w:hanging="964"/>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20" w:right="220" w:hanging="964"/>
        <w:spacing w:after="0" w:line="277" w:lineRule="auto"/>
        <w:tabs>
          <w:tab w:leader="none" w:pos="16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360" w:val="left"/>
          <w:tab w:leader="none" w:pos="766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23495</wp:posOffset>
            </wp:positionV>
            <wp:extent cx="35401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Paul E. Bullington</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Senior Vice President – Chief Financial Officer</w:t>
      </w:r>
    </w:p>
    <w:p>
      <w:pPr>
        <w:spacing w:after="0" w:line="16"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Roman"/>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2022-08-04T15:53:17Z</dcterms:created>
  <dcterms:modified xsi:type="dcterms:W3CDTF">2022-08-04T15:53:17Z</dcterms:modified>
</cp:coreProperties>
</file>