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January 6, 2025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Paul H. Sunu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Windstream Parent,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4005 Rodney Parham Road</w:t>
      </w:r>
    </w:p>
    <w:p>
      <w:pPr>
        <w:pStyle w:val="PreformattedText"/>
        <w:bidi w:val="0"/>
        <w:spacing w:before="0" w:after="0"/>
        <w:jc w:val="left"/>
        <w:rPr/>
      </w:pPr>
      <w:r>
        <w:rPr/>
        <w:t>Little Rock, AR 72212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Windstream Parent,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Amendment No. 3 to Registration Statement on Form S-4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December 5,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333-281068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Paul H. Sunu: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We have reviewed your amended registration statement and have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following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Please respond to this letter by amending your registration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providing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requested information. If you do not believe a comment applies to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circumstances or do not believe an amendment is appropriate, please tell us why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After reviewing any amendment to your registration statement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 provide in response to this letter, we may have additional comments.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note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otherwise, any references to prior comments are to comments in our November 18,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No. 3 to Form S-4 filed December 5,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about New Uniti, page 60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We note your disclosure on page 60 states, "Non-recurring amounts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context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include the expected net income tax benefit relating to Uniti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qualifying as a REIT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after the Closing and the tax impacts relating to the IRS Ruling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Request." However, it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appears that $986 million of the non-recurring gain recognized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year 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December 31, 2023 relates to settlement of pre-existing relationships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between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Windstream and Uniti. Specifically, most of the gain is due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structure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business combination and Windstream and Uniti using different accounting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same transactions. Please disclose this information in your filing.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January 6,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Unaudited Pro Forma Condensed Combined Financial Information, page 72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   We continue to consider your responses to prior comments 6, 18 and 20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your letter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dated October 29, 2024 along with your responses to the related comments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letter dated December 5, 2024.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    We note your response to prior comment 16. Please provide disclosure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to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response in your unaudited pro forma financial information.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4.     Please explain in your filing why depreciation and amortization expense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decreasing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while the property plant and equipment balance is increasing. Identify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disclosure the assets that you assigned longer estimated useful lives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disclose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reasons for this change.</w:t>
      </w:r>
    </w:p>
    <w:p>
      <w:pPr>
        <w:pStyle w:val="PreformattedText"/>
        <w:bidi w:val="0"/>
        <w:spacing w:before="0" w:after="0"/>
        <w:jc w:val="left"/>
        <w:rPr/>
      </w:pPr>
      <w:r>
        <w:rPr/>
        <w:t>5.     Please explain in your filing why amortization expense is decreasing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intangible asset balance is increasing. Disclose if you have lengthened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estimated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useful lives and the reasons for this change.</w:t>
      </w:r>
    </w:p>
    <w:p>
      <w:pPr>
        <w:pStyle w:val="PreformattedText"/>
        <w:bidi w:val="0"/>
        <w:spacing w:before="0" w:after="0"/>
        <w:jc w:val="left"/>
        <w:rPr/>
      </w:pPr>
      <w:r>
        <w:rPr/>
        <w:t>Liquidity and Capital Resources Following the Merger, page 163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    We note your response to prior comment 21. However you did not address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second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part of our comment which asked for you to discuss the covenant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compliance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obligations following the merger. Specifically, for each loan that has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covenant, disclose the maintenance leverage ratio and disclose what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believe will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be the leverage ratio based on your unaudited pro forma financial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statements.</w:t>
      </w:r>
    </w:p>
    <w:p>
      <w:pPr>
        <w:pStyle w:val="PreformattedText"/>
        <w:bidi w:val="0"/>
        <w:spacing w:before="0" w:after="0"/>
        <w:jc w:val="left"/>
        <w:rPr/>
      </w:pPr>
      <w:r>
        <w:rPr/>
        <w:t>Windstream Holdings II, LLC, page F-1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    We note disclosure on page 52 that "Windstream is facing claims...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related to lead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contained in copper network assets." Tell us how you considered ASC</w:t>
      </w:r>
    </w:p>
    <w:p>
      <w:pPr>
        <w:pStyle w:val="PreformattedText"/>
        <w:bidi w:val="0"/>
        <w:spacing w:before="0" w:after="0"/>
        <w:jc w:val="left"/>
        <w:rPr/>
      </w:pPr>
      <w:r>
        <w:rPr/>
        <w:t>450-20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regards to this matter.</w:t>
      </w:r>
    </w:p>
    <w:p>
      <w:pPr>
        <w:pStyle w:val="PreformattedText"/>
        <w:bidi w:val="0"/>
        <w:spacing w:before="0" w:after="0"/>
        <w:jc w:val="left"/>
        <w:rPr/>
      </w:pPr>
      <w:r>
        <w:rPr/>
        <w:t>General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8.     With regard to the Merger, we note based on disclosure on page 96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Management Incentive Plan cash payments are estimated to be $21 million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executive cash transaction bonus is estimated to be $20.1 million.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Please disclose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these estimated cash payments and who will receive them at the forefront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filing.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January 6,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Please contact Inessa Kessman at 202-551-3371 or Robert Littlepage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202-551-3361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you have questions regarding comments on the financial statements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matters. Please contact Edwin Kim at 202-551-3297 or Jan Woo at 202-551-3453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</w:t>
      </w:r>
      <w:r>
        <w:rPr/>
        <w:t>Office of Technology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Ben Pedersen,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3338</Characters>
  <CharactersWithSpaces>4371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