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47603_8k.htm"/>
      <w:bookmarkStart w:id="1" w:name="ksdp247603_8k"/>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D_edei--DocumentType_c20260601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4"/>
        </w:rPr>
        <w:t>June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0"/>
        </w:rPr>
      </w:pPr>
      <w:bookmarkStart w:id="4" w:name="xdx_90F_edei--EntityRegistrantName_c2026"/>
      <w:bookmarkEnd w:id="4"/>
      <w:r>
        <w:rPr>
          <w:rFonts w:ascii="Times New Roman;Times;Serif" w:hAnsi="Times New Roman;Times;Serif"/>
          <w:b/>
          <w:i w:val="false"/>
          <w:caps w:val="false"/>
          <w:smallCaps w:val="false"/>
          <w:sz w:val="40"/>
        </w:rPr>
        <w:t>Uniti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45" w:type="dxa"/>
        <w:jc w:val="left"/>
        <w:tblInd w:w="0" w:type="dxa"/>
        <w:tblLayout w:type="fixed"/>
        <w:tblCellMar>
          <w:top w:w="0" w:type="dxa"/>
          <w:left w:w="0" w:type="dxa"/>
          <w:bottom w:w="0" w:type="dxa"/>
          <w:right w:w="0" w:type="dxa"/>
        </w:tblCellMar>
      </w:tblPr>
      <w:tblGrid>
        <w:gridCol w:w="2270"/>
        <w:gridCol w:w="60"/>
        <w:gridCol w:w="1190"/>
        <w:gridCol w:w="60"/>
        <w:gridCol w:w="1565"/>
      </w:tblGrid>
      <w:tr>
        <w:trPr/>
        <w:tc>
          <w:tcPr>
            <w:tcW w:w="2270" w:type="dxa"/>
            <w:tcBorders/>
            <w:vAlign w:val="center"/>
          </w:tcPr>
          <w:p>
            <w:pPr>
              <w:pStyle w:val="TableContents"/>
              <w:bidi w:val="0"/>
              <w:spacing w:before="0" w:after="283"/>
              <w:jc w:val="center"/>
              <w:rPr>
                <w:b/>
                <w:sz w:val="20"/>
              </w:rPr>
            </w:pPr>
            <w:bookmarkStart w:id="5" w:name="xdx_907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sz w:val="20"/>
              </w:rPr>
            </w:pPr>
            <w:bookmarkStart w:id="6" w:name="xdx_90A_edei--EntityFileNumber_c20260601"/>
            <w:bookmarkEnd w:id="6"/>
            <w:r>
              <w:rPr>
                <w:b/>
                <w:sz w:val="20"/>
              </w:rPr>
              <w:t>001-42779</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sz w:val="20"/>
              </w:rPr>
            </w:pPr>
            <w:bookmarkStart w:id="7" w:name="xdx_902_edei--EntityTaxIdentificationNum"/>
            <w:bookmarkEnd w:id="7"/>
            <w:r>
              <w:rPr>
                <w:b/>
                <w:sz w:val="20"/>
              </w:rPr>
              <w:t>85-2262564</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File Number) </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283"/>
        <w:jc w:val="left"/>
        <w:rPr/>
      </w:pPr>
      <w:r>
        <w:rPr/>
        <w:t> </w:t>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 xml:space="preserve">2101 Riverfront Drive, </w:t>
            </w:r>
            <w:bookmarkStart w:id="9" w:name="xdx_909_edei--EntityAddressAddressLine2_"/>
            <w:bookmarkEnd w:id="9"/>
            <w:r>
              <w:rPr>
                <w:rFonts w:ascii="Times New Roman;Times;Serif" w:hAnsi="Times New Roman;Times;Serif"/>
                <w:b/>
                <w:i w:val="false"/>
                <w:caps w:val="false"/>
                <w:smallCaps w:val="false"/>
                <w:sz w:val="20"/>
              </w:rPr>
              <w:t>Suite A</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5_edei--EntityAddressCityOrTown_c2"/>
            <w:bookmarkEnd w:id="10"/>
            <w:r>
              <w:rPr>
                <w:rFonts w:ascii="Times New Roman;Times;Serif" w:hAnsi="Times New Roman;Times;Serif"/>
                <w:b/>
                <w:i w:val="false"/>
                <w:caps w:val="false"/>
                <w:smallCaps w:val="false"/>
                <w:sz w:val="20"/>
              </w:rPr>
              <w:t xml:space="preserve">Little Rock, </w:t>
            </w:r>
            <w:bookmarkStart w:id="11" w:name="xdx_90B_edei--EntityAddressStateOrProvin"/>
            <w:bookmarkEnd w:id="11"/>
            <w:r>
              <w:rPr>
                <w:rFonts w:ascii="Times New Roman;Times;Serif" w:hAnsi="Times New Roman;Times;Serif"/>
                <w:b/>
                <w:i w:val="false"/>
                <w:caps w:val="false"/>
                <w:smallCaps w:val="false"/>
                <w:sz w:val="20"/>
              </w:rPr>
              <w:t>Arkansas</w:t>
            </w:r>
          </w:p>
        </w:tc>
        <w:tc>
          <w:tcPr>
            <w:tcW w:w="60" w:type="dxa"/>
            <w:tcBorders/>
            <w:vAlign w:val="center"/>
          </w:tcPr>
          <w:p>
            <w:pPr>
              <w:pStyle w:val="TableContents"/>
              <w:bidi w:val="0"/>
              <w:spacing w:before="0" w:after="283"/>
              <w:jc w:val="center"/>
              <w:rPr/>
            </w:pPr>
            <w:r>
              <w:rPr/>
              <w:t> </w:t>
            </w:r>
          </w:p>
        </w:tc>
        <w:tc>
          <w:tcPr>
            <w:tcW w:w="935" w:type="dxa"/>
            <w:tcBorders/>
            <w:vAlign w:val="center"/>
          </w:tcPr>
          <w:p>
            <w:pPr>
              <w:pStyle w:val="TableContents"/>
              <w:bidi w:val="0"/>
              <w:spacing w:before="0" w:after="283"/>
              <w:jc w:val="center"/>
              <w:rPr>
                <w:b/>
                <w:sz w:val="20"/>
              </w:rPr>
            </w:pPr>
            <w:bookmarkStart w:id="12" w:name="xdx_90E_edei--EntityAddressPostalZipCode"/>
            <w:bookmarkEnd w:id="12"/>
            <w:r>
              <w:rPr>
                <w:b/>
                <w:sz w:val="20"/>
              </w:rPr>
              <w:t>72202</w:t>
            </w:r>
          </w:p>
        </w:tc>
      </w:tr>
      <w:tr>
        <w:trPr/>
        <w:tc>
          <w:tcPr>
            <w:tcW w:w="3290" w:type="dxa"/>
            <w:tcBorders/>
            <w:vAlign w:val="center"/>
          </w:tcPr>
          <w:p>
            <w:pPr>
              <w:pStyle w:val="TableContents"/>
              <w:bidi w:val="0"/>
              <w:spacing w:before="0" w:after="283"/>
              <w:jc w:val="center"/>
              <w:rPr>
                <w:b/>
                <w:sz w:val="20"/>
              </w:rPr>
            </w:pPr>
            <w:r>
              <w:rPr>
                <w:b/>
                <w:sz w:val="20"/>
              </w:rPr>
              <w:t>(Address of principal executive offices)</w:t>
            </w:r>
          </w:p>
        </w:tc>
        <w:tc>
          <w:tcPr>
            <w:tcW w:w="60" w:type="dxa"/>
            <w:tcBorders/>
            <w:vAlign w:val="center"/>
          </w:tcPr>
          <w:p>
            <w:pPr>
              <w:pStyle w:val="TableContents"/>
              <w:bidi w:val="0"/>
              <w:spacing w:before="0" w:after="283"/>
              <w:jc w:val="center"/>
              <w:rPr/>
            </w:pPr>
            <w:r>
              <w:rPr/>
              <w:t> </w:t>
            </w:r>
          </w:p>
        </w:tc>
        <w:tc>
          <w:tcPr>
            <w:tcW w:w="93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A_edei--CityAreaCode_c20260601__20"/>
      <w:bookmarkEnd w:id="13"/>
      <w:r>
        <w:rPr>
          <w:rFonts w:ascii="Times New Roman;Times;Serif" w:hAnsi="Times New Roman;Times;Serif"/>
          <w:b/>
          <w:i w:val="false"/>
          <w:caps w:val="false"/>
          <w:smallCaps w:val="false"/>
          <w:sz w:val="20"/>
        </w:rPr>
        <w:t xml:space="preserve">501) </w:t>
      </w:r>
      <w:bookmarkStart w:id="14" w:name="xdx_905_edei--LocalPhoneNumber_c20260601"/>
      <w:bookmarkEnd w:id="14"/>
      <w:r>
        <w:rPr>
          <w:rFonts w:ascii="Times New Roman;Times;Serif" w:hAnsi="Times New Roman;Times;Serif"/>
          <w:b/>
          <w:i w:val="false"/>
          <w:caps w:val="false"/>
          <w:smallCaps w:val="false"/>
          <w:sz w:val="20"/>
        </w:rPr>
        <w:t>850-0820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(Former name or former address, if changed since last report.)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6_edei--WrittenCommunications_c202"/>
            <w:bookmarkEnd w:id="15"/>
            <w:r>
              <w:rPr/>
              <w:t>☐</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p>
      <w:pPr>
        <w:pStyle w:val="TextBody"/>
        <w:bidi w:val="0"/>
        <w:spacing w:before="0" w:after="283"/>
        <w:jc w:val="left"/>
        <w:rPr/>
      </w:pPr>
      <w:r>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F_edei--SolicitingMaterial_c202606"/>
            <w:bookmarkEnd w:id="16"/>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283"/>
        <w:jc w:val="left"/>
        <w:rPr/>
      </w:pPr>
      <w:r>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0_edei--PreCommencementTenderOffer"/>
            <w:bookmarkEnd w:id="17"/>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283"/>
        <w:jc w:val="left"/>
        <w:rPr/>
      </w:pPr>
      <w:r>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6_edei--PreCommencementIssuerTende"/>
            <w:bookmarkEnd w:id="18"/>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615" w:type="dxa"/>
        <w:jc w:val="left"/>
        <w:tblInd w:w="-10" w:type="dxa"/>
        <w:tblLayout w:type="fixed"/>
        <w:tblCellMar>
          <w:top w:w="28" w:type="dxa"/>
          <w:left w:w="28" w:type="dxa"/>
          <w:bottom w:w="28" w:type="dxa"/>
          <w:right w:w="28" w:type="dxa"/>
        </w:tblCellMar>
      </w:tblPr>
      <w:tblGrid>
        <w:gridCol w:w="1490"/>
        <w:gridCol w:w="1535"/>
        <w:gridCol w:w="3590"/>
      </w:tblGrid>
      <w:tr>
        <w:trPr/>
        <w:tc>
          <w:tcPr>
            <w:tcW w:w="14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Trading Symbol(s)</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Name of each exchange on which registered</w:t>
            </w:r>
          </w:p>
        </w:tc>
      </w:tr>
      <w:tr>
        <w:trPr/>
        <w:tc>
          <w:tcPr>
            <w:tcW w:w="14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bookmarkStart w:id="19" w:name="xdx_90D_edei--Security12bTitle_c20260601"/>
            <w:bookmarkEnd w:id="19"/>
            <w:r>
              <w:rPr>
                <w:sz w:val="20"/>
              </w:rPr>
              <w:t>Common Stock</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0" w:name="xdx_903_edei--TradingSymbol_c20260601__2"/>
            <w:bookmarkEnd w:id="20"/>
            <w:r>
              <w:rPr>
                <w:sz w:val="20"/>
              </w:rPr>
              <w:t>UNIT</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1" w:name="xdx_900_edei--SecurityExchangeName_dxL_c"/>
            <w:bookmarkEnd w:id="21"/>
            <w:r>
              <w:rPr>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2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5"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 2026, Uniti Group Inc. (“Uniti” or the “Company”) issued a press release to announce an offering of $1,140.71 million aggregate principal amount of secured fiber network revenue term notes (the “Notes”) by its subsidiary, Kinetic ABS Issuer LLC (the “Issuer”). The Notes will not be registered under the Securities Act of 1933, as amended (the “Securities Act”), or any state securities laws, and may not be offered or sold in the United States absent registration or an applicable exemption from registration under the Securities Act or any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of the Notes, the Issuer expects to (i) increase the maximum commitment under its existing liquidity funding note facility to reflect the increase in the transaction’s liquidity reserve requirements that would result from the issuance of the Notes and (ii) extend the maturity of the existing liquidity note facility to align with the final maturity date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Uniti intends to use the net proceeds of the offering of the Notes for general corporate purposes, which may include success-based capital expenditures and/or repayment of outstanding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offered only to persons reasonably believed to be qualified institutional buyers under Rule 144A under the Securities Act and outside the United States in compliance with Regulation S under the Securities Act. A copy of the press release is attached hereto as Exhibit 99.1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Private Securities Litigation Reform Act of 1995. Forward-looking statements are based on assumptions with respect to the future and management’s current expectations, involve certain risks and uncertainties, and are not guarantees. These forward-looking statements include, but are not limited to, statements regarding the proposed offering of the Notes and use of proceeds therefrom. The words “anticipates,” “believes,” “could,” “estimates,” “expects,” “intends,” “may,” “plans,” “projects,” “will,” “would,” “predicts” and similar expressions are intended to identify forward-looking statements, although not all forward-looking statements contain these identifying words. The Company may not actually achieve the plans, intentions or expectations disclosed in its forward-looking statements, and you should not place undue reliance on the forward-looking statements. Future results may differ materially from the plans, intentions and expectations disclosed in the forward-looking statements that the Company makes. These forward-looking statements involve risks and uncertainties, known and unknown, that could cause events and results to differ materially from those in the forward-looking statements, including, without limitation: the levels of demand for our residential fiber network services within the markets related to the Notes, general market conditions within such markets, our ability to maintain and grow our residential fiber network services within these markets, unanticipated difficulties or expenditures relating to the merger of Uniti and Windstream; competition and overbuilding in consumer service areas and general competition in business markets; risks related to Uniti’s indebtedness, which could reduce funds available for business purposes and operational flexibility; rapid changes in technology, which could affect its ability to compete; risks relating to information technology system failures, network disruptions, and failure to protect, loss of, or unauthorized access to, or release of, data; risks related to various forms of regulation from the Federal Communications Commission, state regulatory commissions and other government entities and effects of unfavorable legal proceedings, government investigations, and complex and changing laws; risks inherent in the communications industry and associated with general economic conditions; and additional risks set forth in the “Risk Factors” and “Management’s Discussion and Analysis of Financial Condition and Results of Operations” sections of Uniti’s most recently filed periodic reports on Form 10-K and Form 10-Q and subsequent filings with the U.S. Securities and Exchange Commission. The discussion of such risks is not an indication that any such risks have occurred at the time of this filing. The Company does not assume any obligation to update any forward-looking statements. Uniti expressly disclaims any obligation to release publicly any updates or revisions to any of the forward-looking statements set forth in this press release to reflect any change in its expectations or any change in events, conditions or circumstances on which any such statement is based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b/>
                <w:sz w:val="20"/>
              </w:rPr>
            </w:pPr>
            <w:r>
              <w:rPr>
                <w:b/>
                <w:sz w:val="20"/>
              </w:rPr>
              <w:t xml:space="preserve">Item 9.01 </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710"/>
        <w:gridCol w:w="60"/>
        <w:gridCol w:w="6530"/>
      </w:tblGrid>
      <w:tr>
        <w:trPr/>
        <w:tc>
          <w:tcPr>
            <w:tcW w:w="71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t>
            </w:r>
            <w:r>
              <w:rPr>
                <w:rFonts w:ascii="Times New Roman;Times;Serif" w:hAnsi="Times New Roman;Times;Serif"/>
                <w:b w:val="false"/>
                <w:i w:val="false"/>
                <w:caps w:val="false"/>
                <w:smallCaps w:val="false"/>
                <w:sz w:val="20"/>
              </w:rPr>
              <w:t> </w:t>
            </w:r>
          </w:p>
        </w:tc>
        <w:tc>
          <w:tcPr>
            <w:tcW w:w="6590" w:type="dxa"/>
            <w:gridSpan w:val="2"/>
            <w:tcBorders/>
            <w:vAlign w:val="center"/>
          </w:tcPr>
          <w:p>
            <w:pPr>
              <w:pStyle w:val="TableContents"/>
              <w:bidi w:val="0"/>
              <w:spacing w:before="0" w:after="283"/>
              <w:jc w:val="center"/>
              <w:rPr>
                <w:b/>
                <w:sz w:val="20"/>
              </w:rPr>
            </w:pPr>
            <w:r>
              <w:rPr>
                <w:b/>
                <w:sz w:val="20"/>
              </w:rPr>
              <w:t>Description of Exhibit</w:t>
            </w:r>
          </w:p>
        </w:tc>
      </w:tr>
      <w:tr>
        <w:trPr/>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center"/>
              <w:rPr/>
            </w:pPr>
            <w:hyperlink w:anchor="dp247603_ex990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pPr>
            <w:hyperlink w:anchor="dp247603_ex9901.htm">
              <w:r>
                <w:rPr>
                  <w:rStyle w:val="InternetLink"/>
                  <w:sz w:val="20"/>
                </w:rPr>
                <w:t>Press release issued June 1, 2026.</w:t>
              </w:r>
            </w:hyperlink>
          </w:p>
        </w:tc>
      </w:tr>
      <w:tr>
        <w:trPr/>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center"/>
              <w:rPr>
                <w:sz w:val="20"/>
              </w:rPr>
            </w:pPr>
            <w:r>
              <w:rPr>
                <w:sz w:val="20"/>
              </w:rPr>
              <w:t>104</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Current Report on Form 8-K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75"/>
        <w:gridCol w:w="365"/>
        <w:gridCol w:w="5825"/>
      </w:tblGrid>
      <w:tr>
        <w:trPr/>
        <w:tc>
          <w:tcPr>
            <w:tcW w:w="75" w:type="dxa"/>
            <w:tcBorders/>
            <w:vAlign w:val="center"/>
          </w:tcPr>
          <w:p>
            <w:pPr>
              <w:pStyle w:val="TableContents"/>
              <w:bidi w:val="0"/>
              <w:spacing w:before="0" w:after="283"/>
              <w:jc w:val="left"/>
              <w:rPr/>
            </w:pPr>
            <w:r>
              <w:rPr/>
              <w:t> </w:t>
            </w:r>
          </w:p>
        </w:tc>
        <w:tc>
          <w:tcPr>
            <w:tcW w:w="6190" w:type="dxa"/>
            <w:gridSpan w:val="2"/>
            <w:tcBorders/>
            <w:vAlign w:val="center"/>
          </w:tcPr>
          <w:p>
            <w:pPr>
              <w:pStyle w:val="TableContents"/>
              <w:bidi w:val="0"/>
              <w:spacing w:before="0" w:after="283"/>
              <w:jc w:val="left"/>
              <w:rPr>
                <w:b/>
                <w:sz w:val="20"/>
              </w:rPr>
            </w:pPr>
            <w:r>
              <w:rPr>
                <w:b/>
                <w:sz w:val="20"/>
              </w:rPr>
              <w:t xml:space="preserve">UNITI GROUP INC. </w:t>
            </w:r>
          </w:p>
        </w:tc>
      </w:tr>
      <w:tr>
        <w:trPr/>
        <w:tc>
          <w:tcPr>
            <w:tcW w:w="75" w:type="dxa"/>
            <w:tcBorders/>
            <w:vAlign w:val="center"/>
          </w:tcPr>
          <w:p>
            <w:pPr>
              <w:pStyle w:val="TableContents"/>
              <w:bidi w:val="0"/>
              <w:spacing w:before="0" w:after="283"/>
              <w:jc w:val="left"/>
              <w:rPr/>
            </w:pPr>
            <w:r>
              <w:rPr/>
              <w:t> </w:t>
            </w:r>
          </w:p>
        </w:tc>
        <w:tc>
          <w:tcPr>
            <w:tcW w:w="61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 xml:space="preserve">By: </w:t>
            </w:r>
          </w:p>
        </w:tc>
        <w:tc>
          <w:tcPr>
            <w:tcW w:w="5825"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Daniel L. Heard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sz w:val="20"/>
              </w:rPr>
            </w:pPr>
            <w:r>
              <w:rPr>
                <w:sz w:val="20"/>
              </w:rPr>
              <w:t>Name: Daniel L. Heard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sz w:val="20"/>
              </w:rPr>
            </w:pPr>
            <w:r>
              <w:rPr>
                <w:sz w:val="20"/>
              </w:rPr>
              <w:t xml:space="preserve">Title: Senior Executive Vice President - General Counsel and Secretary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June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23" w:name="dp247603_ex9901.htm"/>
      <w:bookmarkStart w:id="24" w:name="ksdp247603_ex9901"/>
      <w:bookmarkEnd w:id="23"/>
      <w:bookmarkEnd w:id="24"/>
      <w:r>
        <w:rPr/>
        <w:t> </w:t>
      </w:r>
      <w:r>
        <w:br w:type="page"/>
      </w:r>
    </w:p>
    <w:p>
      <w:pPr>
        <w:pStyle w:val="TextBody"/>
        <w:bidi w:val="0"/>
        <w:spacing w:before="0" w:after="0"/>
        <w:ind w:left="0" w:right="0" w:hanging="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99.1</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6035" w:type="dxa"/>
        <w:jc w:val="left"/>
        <w:tblInd w:w="0" w:type="dxa"/>
        <w:tblLayout w:type="fixed"/>
        <w:tblCellMar>
          <w:top w:w="0" w:type="dxa"/>
          <w:left w:w="0" w:type="dxa"/>
          <w:bottom w:w="28" w:type="dxa"/>
          <w:right w:w="0" w:type="dxa"/>
        </w:tblCellMar>
      </w:tblPr>
      <w:tblGrid>
        <w:gridCol w:w="3075"/>
        <w:gridCol w:w="2960"/>
      </w:tblGrid>
      <w:tr>
        <w:trPr/>
        <w:tc>
          <w:tcPr>
            <w:tcW w:w="3075" w:type="dxa"/>
            <w:tcBorders>
              <w:bottom w:val="single" w:sz="12" w:space="0" w:color="26A9E0"/>
            </w:tcBorders>
            <w:vAlign w:val="center"/>
          </w:tcPr>
          <w:p>
            <w:pPr>
              <w:pStyle w:val="TableContents"/>
              <w:bidi w:val="0"/>
              <w:spacing w:before="0" w:after="283"/>
              <w:jc w:val="left"/>
              <w:rPr/>
            </w:pPr>
            <w:r>
              <w:rPr/>
              <w:drawing>
                <wp:inline distT="0" distB="0" distL="0" distR="0">
                  <wp:extent cx="1943100"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43100" cy="819150"/>
                          </a:xfrm>
                          <a:prstGeom prst="rect">
                            <a:avLst/>
                          </a:prstGeom>
                        </pic:spPr>
                      </pic:pic>
                    </a:graphicData>
                  </a:graphic>
                </wp:inline>
              </w:drawing>
            </w:r>
          </w:p>
        </w:tc>
        <w:tc>
          <w:tcPr>
            <w:tcW w:w="2960" w:type="dxa"/>
            <w:tcBorders>
              <w:bottom w:val="single" w:sz="12" w:space="0" w:color="26A9E0"/>
            </w:tcBorders>
            <w:vAlign w:val="center"/>
          </w:tcPr>
          <w:p>
            <w:pPr>
              <w:pStyle w:val="TableContents"/>
              <w:bidi w:val="0"/>
              <w:spacing w:before="0" w:after="0"/>
              <w:ind w:left="0" w:right="0" w:hanging="0"/>
              <w:jc w:val="right"/>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Press Release</w:t>
            </w:r>
          </w:p>
          <w:p>
            <w:pPr>
              <w:pStyle w:val="TableContents"/>
              <w:bidi w:val="0"/>
              <w:spacing w:before="0" w:after="0"/>
              <w:ind w:left="147" w:right="0" w:hanging="0"/>
              <w:jc w:val="right"/>
              <w:rPr>
                <w:caps w:val="false"/>
                <w:smallCaps w:val="false"/>
              </w:rPr>
            </w:pPr>
            <w:r>
              <w:rPr>
                <w:caps w:val="false"/>
                <w:smallCaps w:val="false"/>
              </w:rPr>
              <w:t> </w:t>
            </w:r>
          </w:p>
          <w:p>
            <w:pPr>
              <w:pStyle w:val="TableContents"/>
              <w:bidi w:val="0"/>
              <w:spacing w:before="0" w:after="0"/>
              <w:ind w:left="0" w:right="0" w:hanging="0"/>
              <w:jc w:val="righ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Release date: June 1, 2026</w:t>
            </w:r>
          </w:p>
          <w:p>
            <w:pPr>
              <w:pStyle w:val="TableContents"/>
              <w:bidi w:val="0"/>
              <w:spacing w:before="0" w:after="0"/>
              <w:ind w:left="147" w:right="0" w:hanging="0"/>
              <w:jc w:val="right"/>
              <w:rPr>
                <w:caps w:val="false"/>
                <w:smallCaps w:val="false"/>
              </w:rPr>
            </w:pPr>
            <w:r>
              <w:rPr>
                <w:caps w:val="false"/>
                <w:smallCaps w:val="false"/>
              </w:rPr>
              <w:t> </w:t>
            </w:r>
          </w:p>
        </w:tc>
      </w:tr>
    </w:tbl>
    <w:p>
      <w:pPr>
        <w:pStyle w:val="TextBody"/>
        <w:bidi w:val="0"/>
        <w:spacing w:before="0" w:after="0"/>
        <w:ind w:left="0" w:right="0" w:firstLine="147"/>
        <w:jc w:val="center"/>
        <w:rPr>
          <w:caps w:val="false"/>
          <w:smallCaps w:val="false"/>
        </w:rPr>
      </w:pPr>
      <w:r>
        <w:rPr>
          <w:caps w:val="false"/>
          <w:smallCaps w:val="false"/>
        </w:rPr>
        <w:t> </w:t>
      </w:r>
    </w:p>
    <w:p>
      <w:pPr>
        <w:pStyle w:val="TextBody"/>
        <w:bidi w:val="0"/>
        <w:spacing w:before="0" w:after="0"/>
        <w:ind w:left="0" w:right="0" w:firstLine="147"/>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Uniti Group Inc. Announces Launch of Second Kinetic Fiber Securitization Notes Offering</w:t>
      </w:r>
    </w:p>
    <w:p>
      <w:pPr>
        <w:pStyle w:val="TextBody"/>
        <w:bidi w:val="0"/>
        <w:ind w:left="0" w:right="0" w:firstLine="147"/>
        <w:jc w:val="left"/>
        <w:rPr/>
      </w:pPr>
      <w:r>
        <w:rPr/>
        <w:t> </w:t>
      </w:r>
    </w:p>
    <w:p>
      <w:pPr>
        <w:pStyle w:val="TextBody"/>
        <w:bidi w:val="0"/>
        <w:spacing w:before="60" w:after="60"/>
        <w:jc w:val="center"/>
        <w:rPr>
          <w:bdr w:val="single" w:sz="12" w:space="1" w:color="000000"/>
        </w:rPr>
      </w:pPr>
      <w:r>
        <w:rPr>
          <w:bdr w:val="single" w:sz="12" w:space="1" w:color="000000"/>
        </w:rPr>
        <w:t> </w:t>
      </w:r>
    </w:p>
    <w:p>
      <w:pPr>
        <w:pStyle w:val="TextBody"/>
        <w:bidi w:val="0"/>
        <w:spacing w:before="0" w:after="0"/>
        <w:ind w:left="0" w:right="0" w:firstLine="147"/>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Uniti Group Inc. (the “Company,” “Uniti,” or “we”) (Nasdaq: UNIT) today announced that Kinetic ABS Issuer LLC, a limited-purpose, bankruptcy remote subsidiary of Uniti (the “Issuer”), has commenced an offering of $1,140,710,000 aggregate principal amount of secured fiber network revenue term notes (the “Notes”), the issuance and sale of which are subject to market conditions and other factors. The Notes are expected to have an anticipated repayment date in June 2033. The Notes are expected to be secured by certain residential fiber network assets and related customer agreements in the States of Texas, Arkansas, Kentucky, Ohio, Georgia, Iowa, Alabama, Florida, North Carolina and Oklahoma. Each of the Issuer and its direct parent entity and subsidiaries are designated as “unrestricted subsidiaries” under Uniti’s credit agreement and the indentures governing its outstanding senior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connection with the offering of the Notes, the Issuer expects to (i) increase the maximum commitment under its existing liquidity funding note facility to reflect the increase in the transaction’s liquidity reserve requirements that would result from the issuance of the Notes and (ii) extend the maturity of the existing liquidity note facility to align with the final maturity date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Uniti intends to use the net proceeds of the offering of the Notes for general corporate purposes, which may include success-based capital expenditures and/or repayment of outstanding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Notes will not be registered under the Securities Act of 1933, as amended (the “Securities Act”), or any state securities laws, and may not be offered or sold in the United States absent registration or an applicable exemption from registration under the Securities Act or any applicable state securities laws. The Notes will be offered only to persons reasonably believed to be qualified institutional buyers under Rule 144A under the Securities Act and outside the United States in compliance with Regulation 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press release does not constitute an offer to sell, or a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ABOUT UNITI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Uniti is a premier insurgent fiber provider dedicated to enabling mission-critical connectivity across the United States. We build, operate, and deliver fast and reliable communications services, empowering more than a million consumers and businesses in the digital economy. Our broad portfolio of services is offered through a suite of brands: Uniti Wholesale, Kinetic, Uniti Fiber, and Uniti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press release contains forward-looking statements within the meaning of the Private Securities Litigation Reform Act of 1995. Forward-looking statements are based on assumptions with respect to the future and management’s current expectations, involve certain risks and uncertainties, and are not guarantees. These forward-looking statements include, but are not limited to, statements regarding the proposed offering of the Notes and use of proceeds therefrom. The words “anticipates,” “believes,” “could,” “estimates,” “expects,” “intends,” “may,” “plans,” “projects,” “will,” “would,” “predicts” and similar expressions are intended to identify forward-looking statements, although not all forward-looking statements contain these identifying words. The Company may not actually achieve the plans, intentions or expectations disclosed in its forward-looking statements, and you should not place undue reliance on the forward-looking statements. Future results may differ materially from the plans, intentions and expectations disclosed in the forward-looking statements that the Company makes. These forward-looking statements involve risks and uncertainties, known and unknown, that could cause events and results to differ materially from those in the forward-looking statements, including, without limitation: the levels of demand for our residential fiber network services within the markets related to the Notes, general market conditions within such markets, our ability to maintain and grow our residential fiber network services within these markets, unanticipated difficulties or expenditures relating to the merger of Uniti and Windstream; competition and overbuilding in consumer service areas and general competition in business markets; risks related to Uniti’s indebtedness, which could reduce funds available for business purposes and operational flexibility; rapid changes in technology, which could affect its ability to compete; risks relating to information technology system failures, network disruptions, and failure to protect, loss of, or unauthorized access to, or release of, data; risks related to various forms of regulation from the Federal Communications Commission, state regulatory commissions and other government entities and effects of unfavorable legal proceedings, government investigations, and complex and changing laws; risks inherent in the communications industry and associated with general economic conditions; and additional risks set forth in the “Risk Factors” and “Management’s Discussion and Analysis of Financial Condition and Results of Operations” sections of Uniti’s most recently filed periodic reports on Form 10-K and Form 10-Q and subsequent filings with the U.S. Securities and Exchange Commission. The discussion of such risks is not an indication that any such risks have occurred at the time of this filing. The Company does not assume any obligation to update any forward-looking statements. Uniti expressly disclaims any obligation to release publicly any updates or revisions to any of the forward-looking statements set forth in this press release to reflect any change in its expectations or any change in events, conditions or circumstances on which any such statement is based.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7" w:right="0" w:hanging="147"/>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INVESTOR CONTACTS:</w:t>
      </w:r>
    </w:p>
    <w:p>
      <w:pPr>
        <w:pStyle w:val="TextBody"/>
        <w:bidi w:val="0"/>
        <w:spacing w:before="0" w:after="0"/>
        <w:ind w:left="147" w:right="0" w:hanging="147"/>
        <w:jc w:val="left"/>
        <w:rPr>
          <w:caps w:val="false"/>
          <w:smallCaps w:val="false"/>
        </w:rPr>
      </w:pPr>
      <w:r>
        <w:rPr>
          <w:caps w:val="false"/>
          <w:smallCaps w:val="false"/>
        </w:rPr>
        <w:t> </w:t>
      </w:r>
    </w:p>
    <w:p>
      <w:pPr>
        <w:pStyle w:val="TextBody"/>
        <w:bidi w:val="0"/>
        <w:spacing w:before="0" w:after="0"/>
        <w:ind w:left="360" w:right="0" w:hanging="274"/>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Paul Bullington, 251-662-1512 </w:t>
      </w:r>
    </w:p>
    <w:p>
      <w:pPr>
        <w:pStyle w:val="TextBody"/>
        <w:bidi w:val="0"/>
        <w:spacing w:before="0" w:after="0"/>
        <w:ind w:left="360" w:right="0" w:hanging="27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Senior Executive Vice President, Chief Financial Officer &amp; Treasurer </w:t>
      </w:r>
    </w:p>
    <w:p>
      <w:pPr>
        <w:pStyle w:val="TextBody"/>
        <w:bidi w:val="0"/>
        <w:spacing w:before="0" w:after="0"/>
        <w:ind w:left="360" w:right="0" w:hanging="270"/>
        <w:jc w:val="left"/>
        <w:rPr>
          <w:rFonts w:ascii="Arial;Helvetica;Sans-Serif" w:hAnsi="Arial;Helvetica;Sans-Serif"/>
          <w:b w:val="false"/>
          <w:i w:val="false"/>
          <w:caps w:val="false"/>
          <w:smallCaps w:val="false"/>
          <w:color w:val="0000FF"/>
          <w:sz w:val="20"/>
          <w:u w:val="single"/>
        </w:rPr>
      </w:pPr>
      <w:r>
        <w:rPr>
          <w:rFonts w:ascii="Arial;Helvetica;Sans-Serif" w:hAnsi="Arial;Helvetica;Sans-Serif"/>
          <w:b w:val="false"/>
          <w:i w:val="false"/>
          <w:caps w:val="false"/>
          <w:smallCaps w:val="false"/>
          <w:color w:val="0000FF"/>
          <w:sz w:val="20"/>
          <w:u w:val="single"/>
        </w:rPr>
        <w:t>paul.bullington@uniti.com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274"/>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Bill DiTullio, 501-850-0872 </w:t>
      </w:r>
    </w:p>
    <w:p>
      <w:pPr>
        <w:pStyle w:val="TextBody"/>
        <w:bidi w:val="0"/>
        <w:spacing w:before="0" w:after="0"/>
        <w:ind w:left="360" w:right="0" w:hanging="274"/>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Senior Vice President, Investor Relations &amp; Treasury </w:t>
      </w:r>
    </w:p>
    <w:p>
      <w:pPr>
        <w:pStyle w:val="TextBody"/>
        <w:bidi w:val="0"/>
        <w:spacing w:before="0" w:after="0"/>
        <w:ind w:left="360" w:right="0" w:hanging="270"/>
        <w:jc w:val="left"/>
        <w:rPr>
          <w:rFonts w:ascii="Arial;Helvetica;Sans-Serif" w:hAnsi="Arial;Helvetica;Sans-Serif"/>
          <w:b w:val="false"/>
          <w:i w:val="false"/>
          <w:caps w:val="false"/>
          <w:smallCaps w:val="false"/>
          <w:color w:val="0000FF"/>
          <w:sz w:val="20"/>
          <w:u w:val="single"/>
        </w:rPr>
      </w:pPr>
      <w:r>
        <w:rPr>
          <w:rFonts w:ascii="Arial;Helvetica;Sans-Serif" w:hAnsi="Arial;Helvetica;Sans-Serif"/>
          <w:b w:val="false"/>
          <w:i w:val="false"/>
          <w:caps w:val="false"/>
          <w:smallCaps w:val="false"/>
          <w:color w:val="0000FF"/>
          <w:sz w:val="20"/>
          <w:u w:val="single"/>
        </w:rPr>
        <w:t>bill.ditullio@uniti.com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MEDIA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Scott L. Morris </w:t>
      </w:r>
    </w:p>
    <w:p>
      <w:pPr>
        <w:pStyle w:val="TextBody"/>
        <w:bidi w:val="0"/>
        <w:spacing w:before="0" w:after="0"/>
        <w:ind w:left="9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Associate Director, Media &amp; External Communications </w:t>
      </w:r>
    </w:p>
    <w:p>
      <w:pPr>
        <w:pStyle w:val="TextBody"/>
        <w:bidi w:val="0"/>
        <w:spacing w:before="0" w:after="0"/>
        <w:ind w:left="9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501-580-4759 </w:t>
      </w:r>
    </w:p>
    <w:p>
      <w:pPr>
        <w:pStyle w:val="TextBody"/>
        <w:bidi w:val="0"/>
        <w:spacing w:before="0" w:after="0"/>
        <w:ind w:left="360" w:right="0" w:hanging="270"/>
        <w:jc w:val="left"/>
        <w:rPr>
          <w:rFonts w:ascii="Arial;Helvetica;Sans-Serif" w:hAnsi="Arial;Helvetica;Sans-Serif"/>
          <w:b w:val="false"/>
          <w:i w:val="false"/>
          <w:caps w:val="false"/>
          <w:smallCaps w:val="false"/>
          <w:color w:val="0000FF"/>
          <w:sz w:val="20"/>
          <w:u w:val="single"/>
        </w:rPr>
      </w:pPr>
      <w:r>
        <w:rPr>
          <w:rFonts w:ascii="Arial;Helvetica;Sans-Serif" w:hAnsi="Arial;Helvetica;Sans-Serif"/>
          <w:b w:val="false"/>
          <w:i w:val="false"/>
          <w:caps w:val="false"/>
          <w:smallCaps w:val="false"/>
          <w:color w:val="0000FF"/>
          <w:sz w:val="20"/>
          <w:u w:val="single"/>
        </w:rPr>
        <w:t>scott.l.morris@uniti.com</w:t>
      </w:r>
    </w:p>
    <w:p>
      <w:pPr>
        <w:pStyle w:val="TextBody"/>
        <w:bidi w:val="0"/>
        <w:spacing w:before="0" w:after="0"/>
        <w:ind w:left="90" w:right="0" w:hanging="0"/>
        <w:jc w:val="left"/>
        <w:rPr>
          <w:caps w:val="false"/>
          <w:smallCaps w:val="false"/>
        </w:rPr>
      </w:pPr>
      <w:r>
        <w:rPr>
          <w:caps w:val="false"/>
          <w:smallCaps w:val="false"/>
        </w:rPr>
        <w:t> </w:t>
      </w:r>
    </w:p>
    <w:p>
      <w:pPr>
        <w:pStyle w:val="TextBody"/>
        <w:bidi w:val="0"/>
        <w:spacing w:before="0" w:after="0"/>
        <w:ind w:left="9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Brandi Stafford </w:t>
      </w:r>
    </w:p>
    <w:p>
      <w:pPr>
        <w:pStyle w:val="TextBody"/>
        <w:bidi w:val="0"/>
        <w:spacing w:before="0" w:after="0"/>
        <w:ind w:left="9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Vice President, Corporate Communications </w:t>
      </w:r>
    </w:p>
    <w:p>
      <w:pPr>
        <w:pStyle w:val="TextBody"/>
        <w:bidi w:val="0"/>
        <w:spacing w:before="0" w:after="0"/>
        <w:ind w:left="9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501-351-0067 </w:t>
      </w:r>
    </w:p>
    <w:p>
      <w:pPr>
        <w:pStyle w:val="TextBody"/>
        <w:bidi w:val="0"/>
        <w:spacing w:before="0" w:after="0"/>
        <w:ind w:left="90" w:right="0" w:hanging="0"/>
        <w:jc w:val="left"/>
        <w:rPr>
          <w:rFonts w:ascii="Arial;Helvetica;Sans-Serif" w:hAnsi="Arial;Helvetica;Sans-Serif"/>
          <w:b w:val="false"/>
          <w:i w:val="false"/>
          <w:caps w:val="false"/>
          <w:smallCaps w:val="false"/>
          <w:color w:val="0000FF"/>
          <w:sz w:val="20"/>
          <w:u w:val="single"/>
        </w:rPr>
      </w:pPr>
      <w:r>
        <w:rPr>
          <w:rFonts w:ascii="Arial;Helvetica;Sans-Serif" w:hAnsi="Arial;Helvetica;Sans-Serif"/>
          <w:b w:val="false"/>
          <w:i w:val="false"/>
          <w:caps w:val="false"/>
          <w:smallCaps w:val="false"/>
          <w:color w:val="0000FF"/>
          <w:sz w:val="20"/>
          <w:u w:val="single"/>
        </w:rPr>
        <w:t>brandi.stafford@uniti.com</w:t>
      </w:r>
    </w:p>
    <w:p>
      <w:pPr>
        <w:pStyle w:val="TextBody"/>
        <w:bidi w:val="0"/>
        <w:spacing w:before="0" w:after="0"/>
        <w:ind w:left="9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2043</Words>
  <Characters>12000</Characters>
  <CharactersWithSpaces>14058</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