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 to _______</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001-36708</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w:t>
      </w:r>
    </w:p>
    <w:p>
      <w:pPr>
        <w:pStyle w:val="TextBody"/>
        <w:bidi w:val="0"/>
        <w:spacing w:lineRule="auto" w:line="288" w:before="60" w:after="283"/>
        <w:jc w:val="center"/>
        <w:rPr>
          <w:rFonts w:ascii="Times New Roman;sans-serif" w:hAnsi="Times New Roman;sans-serif"/>
          <w:b/>
          <w:color w:val="000000"/>
          <w:sz w:val="48"/>
        </w:rPr>
      </w:pPr>
      <w:r>
        <w:rPr>
          <w:rFonts w:ascii="Times New Roman;sans-serif" w:hAnsi="Times New Roman;sans-serif"/>
          <w:b/>
          <w:color w:val="000000"/>
          <w:sz w:val="48"/>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w:t>
      </w:r>
    </w:p>
    <w:tbl>
      <w:tblPr>
        <w:tblW w:w="4408" w:type="dxa"/>
        <w:jc w:val="center"/>
        <w:tblInd w:w="0" w:type="dxa"/>
        <w:tblLayout w:type="fixed"/>
        <w:tblCellMar>
          <w:top w:w="28" w:type="dxa"/>
          <w:left w:w="28" w:type="dxa"/>
          <w:bottom w:w="28" w:type="dxa"/>
          <w:right w:w="28" w:type="dxa"/>
        </w:tblCellMar>
      </w:tblPr>
      <w:tblGrid>
        <w:gridCol w:w="1057"/>
        <w:gridCol w:w="929"/>
        <w:gridCol w:w="938"/>
        <w:gridCol w:w="433"/>
        <w:gridCol w:w="433"/>
        <w:gridCol w:w="618"/>
      </w:tblGrid>
      <w:tr>
        <w:trPr/>
        <w:tc>
          <w:tcPr>
            <w:tcW w:w="105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46-5230630</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2101 Riverfront Drive, Suite A</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Little Rock, Arkansas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72202</w:t>
            </w:r>
          </w:p>
        </w:tc>
      </w:tr>
      <w:tr>
        <w:trPr/>
        <w:tc>
          <w:tcPr>
            <w:tcW w:w="2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(501) 850-0820</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w:t>
      </w:r>
    </w:p>
    <w:p>
      <w:pPr>
        <w:pStyle w:val="TextBody"/>
        <w:bidi w:val="0"/>
        <w:spacing w:lineRule="auto" w:line="288" w:before="60" w:after="283"/>
        <w:ind w:left="0" w:right="0" w:firstLine="556"/>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lineRule="auto" w:line="288" w:before="80" w:after="283"/>
        <w:ind w:left="0" w:right="0" w:firstLine="54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80" w:after="283"/>
        <w:ind w:left="0" w:right="0" w:firstLine="54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80" w:after="283"/>
        <w:ind w:left="0" w:right="0" w:firstLine="54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80" w:after="283"/>
        <w:ind w:left="0" w:right="0" w:firstLine="540"/>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July 27, 2023, the registrant had 238,688,604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settlement we have entered into with Windstream Holdings, Inc. (together with Windstream Holdings II, LLC, its successor in interest, and its subsidiaries, “Windstream”); the future prospects and financial health of Windstream; our expectations about our ability to maintain our status as a real estate investment trust (a “REIT”); including the potential need to perform an interim goodwill analysis and report an impairment charge related thereto; our expectations regarding the effect of tax-related legislation on our tax position; our expectations regarding the future growth and demand of the telecommunication industry, future financing plans, business strategies, growth prospects, operating and financial performance, and our future liquidity needs and access to capital; expectations regarding future deployment of fiber strand miles and small cell networks and recognition of revenue related thereto; expectations regarding levels of capital expenditures; expectations regarding the deductibility of goodwill for tax purposes; expectations regarding reclassification of accumulated other comprehensive income (loss) related to derivatives to interest expense; expectations regarding the amortization of intangible assets; and expectations regarding the payment of dividends.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future prospects of our largest customer, Windstream, following its emergence from bankruptcy;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adverse impacts of inflation and higher interest rates on our employees, our business, the business of our customers and other business partners and the global financial markets;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ability and willingness of our customers to meet and/or perform their obligations under any contractual arrangements entered into with us, including master lease arrangements;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ability and willingness of our customers to renew their leases with us upon their expiration, our ability to reach agreement on the price of such renewal or ability to obtain a satisfactory renewal rent from an independent appraisal, and the ability to reposition our properties on the same or better terms in the event of nonrenewal or in the event we replace an existing tenant;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availability of and our ability to identify suitable acquisition opportunities and our ability to acquire and lease the respective properties on favorable terms or operate and integrate the acquired businesses;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our ability to generate sufficient cash flows to service our outstanding indebtedness and fund our capital funding commitments;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our ability to access debt and equity capital markets;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impact on our business or the business of our customers as a result of credit rating downgrades and fluctuating interest rates;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our ability to retain our key management personnel;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our ability to maintain our status as a REIT;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changes in the U.S. tax law and other federal, state or local laws, whether or not specific to REITs;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covenants in our debt agreements that may limit our operational flexibility;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possibility that we may experience equipment failures, natural disasters, cyber-attacks or terrorist attacks for which our insurance may not provide adequate coverage;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risk that we fail to fully realize the potential benefits of or have difficulty in integrating the companies we acquire;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other risks inherent in the communications industry and in the ownership of communications distribution systems, including potential liability relating to environmental matters and illiquidity of real estate investments;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additional factors discussed in Part I, Item 2 “Management’s Discussion and Analysis of Financial Condition and Results of Operations” and Part II, Item 1A “Risk Factors” of this Quarterly Report on Form 10-Q and in Part I, Item 1A "Risk Factors" of our Annual Report on Form 10-K, as well as those described from time to time in our future reports filed with the U.S. Securities and Exchange Commission (the “SEC”).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of this Quarterly Report on Form 10-Q.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760" w:type="dxa"/>
        <w:jc w:val="center"/>
        <w:tblInd w:w="0" w:type="dxa"/>
        <w:tblLayout w:type="fixed"/>
        <w:tblCellMar>
          <w:top w:w="28" w:type="dxa"/>
          <w:left w:w="28" w:type="dxa"/>
          <w:bottom w:w="28" w:type="dxa"/>
          <w:right w:w="28" w:type="dxa"/>
        </w:tblCellMar>
      </w:tblPr>
      <w:tblGrid>
        <w:gridCol w:w="320"/>
        <w:gridCol w:w="281"/>
        <w:gridCol w:w="283"/>
        <w:gridCol w:w="2454"/>
        <w:gridCol w:w="2454"/>
        <w:gridCol w:w="2457"/>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3">
              <w:r>
                <w:rPr>
                  <w:rStyle w:val="InternetLink"/>
                  <w:rFonts w:ascii="Times New Roman;sans-serif" w:hAnsi="Times New Roman;sans-serif"/>
                  <w:b/>
                  <w:strike w:val="false"/>
                  <w:dstrike w:val="false"/>
                  <w:color w:val="000000"/>
                  <w:sz w:val="20"/>
                  <w:u w:val="none"/>
                  <w:effect w:val="none"/>
                </w:rPr>
                <w:t>PART 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3">
              <w:r>
                <w:rPr>
                  <w:rStyle w:val="InternetLink"/>
                  <w:rFonts w:ascii="Times New Roman;sans-serif" w:hAnsi="Times New Roman;sans-serif"/>
                  <w:b/>
                  <w:color w:val="0000FF"/>
                  <w:sz w:val="20"/>
                  <w:u w:val="single"/>
                </w:rPr>
                <w:t>FINANCIAL INFORMATION</w:t>
              </w:r>
            </w:hyperlink>
          </w:p>
        </w:tc>
        <w:tc>
          <w:tcPr>
            <w:tcW w:w="5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6">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6">
              <w:r>
                <w:rPr>
                  <w:rStyle w:val="InternetLink"/>
                  <w:rFonts w:ascii="Times New Roman;sans-serif" w:hAnsi="Times New Roman;sans-serif"/>
                  <w:b w:val="false"/>
                  <w:color w:val="0000FF"/>
                  <w:sz w:val="20"/>
                  <w:u w:val="single"/>
                </w:rPr>
                <w:t>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16">
              <w:r>
                <w:rPr>
                  <w:rStyle w:val="InternetLink"/>
                  <w:rFonts w:ascii="Times New Roman;sans-serif" w:hAnsi="Times New Roman;sans-serif"/>
                  <w:b w:val="false"/>
                  <w:strike w:val="false"/>
                  <w:dstrike w:val="false"/>
                  <w:color w:val="000000"/>
                  <w:sz w:val="20"/>
                  <w:u w:val="none"/>
                  <w:effect w:val="non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Uniti Group Inc.</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9">
              <w:r>
                <w:rPr>
                  <w:rStyle w:val="InternetLink"/>
                  <w:rFonts w:ascii="Times New Roman;sans-serif" w:hAnsi="Times New Roman;sans-serif"/>
                  <w:b w:val="false"/>
                  <w:color w:val="0000FF"/>
                  <w:sz w:val="20"/>
                  <w:u w:val="single"/>
                </w:rPr>
                <w:t>Condensed Consolidated Balance Sheets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19">
              <w:r>
                <w:rPr>
                  <w:rStyle w:val="InternetLink"/>
                  <w:rFonts w:ascii="Times New Roman;sans-serif" w:hAnsi="Times New Roman;sans-serif"/>
                  <w:b w:val="false"/>
                  <w:strike w:val="false"/>
                  <w:dstrike w:val="false"/>
                  <w:color w:val="000000"/>
                  <w:sz w:val="20"/>
                  <w:u w:val="none"/>
                  <w:effect w:val="non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22">
              <w:r>
                <w:rPr>
                  <w:rStyle w:val="InternetLink"/>
                  <w:rFonts w:ascii="Times New Roman;sans-serif" w:hAnsi="Times New Roman;sans-serif"/>
                  <w:b w:val="false"/>
                  <w:color w:val="0000FF"/>
                  <w:sz w:val="20"/>
                  <w:u w:val="single"/>
                </w:rPr>
                <w:t>Condensed Consolidated Statements of Income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22">
              <w:r>
                <w:rPr>
                  <w:rStyle w:val="InternetLink"/>
                  <w:rFonts w:ascii="Times New Roman;sans-serif" w:hAnsi="Times New Roman;sans-serif"/>
                  <w:b w:val="false"/>
                  <w:strike w:val="false"/>
                  <w:dstrike w:val="false"/>
                  <w:color w:val="000000"/>
                  <w:sz w:val="20"/>
                  <w:u w:val="none"/>
                  <w:effect w:val="none"/>
                </w:rPr>
                <w:t>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25">
              <w:r>
                <w:rPr>
                  <w:rStyle w:val="InternetLink"/>
                  <w:rFonts w:ascii="Times New Roman;sans-serif" w:hAnsi="Times New Roman;sans-serif"/>
                  <w:b w:val="false"/>
                  <w:color w:val="0000FF"/>
                  <w:sz w:val="20"/>
                  <w:u w:val="single"/>
                </w:rPr>
                <w:t>Condensed Consolidated Statements of Comprehensive Income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25">
              <w:r>
                <w:rPr>
                  <w:rStyle w:val="InternetLink"/>
                  <w:rFonts w:ascii="Times New Roman;sans-serif" w:hAnsi="Times New Roman;sans-serif"/>
                  <w:b w:val="false"/>
                  <w:strike w:val="false"/>
                  <w:dstrike w:val="false"/>
                  <w:color w:val="000000"/>
                  <w:sz w:val="20"/>
                  <w:u w:val="none"/>
                  <w:effect w:val="none"/>
                </w:rPr>
                <w:t>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28">
              <w:r>
                <w:rPr>
                  <w:rStyle w:val="InternetLink"/>
                  <w:rFonts w:ascii="Times New Roman;sans-serif" w:hAnsi="Times New Roman;sans-serif"/>
                  <w:b w:val="false"/>
                  <w:color w:val="0000FF"/>
                  <w:sz w:val="20"/>
                  <w:u w:val="single"/>
                </w:rPr>
                <w:t>Condensed Consolidated Statements of Shareholders’ Deficit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28">
              <w:r>
                <w:rPr>
                  <w:rStyle w:val="InternetLink"/>
                  <w:rFonts w:ascii="Times New Roman;sans-serif" w:hAnsi="Times New Roman;sans-serif"/>
                  <w:b w:val="false"/>
                  <w:strike w:val="false"/>
                  <w:dstrike w:val="false"/>
                  <w:color w:val="000000"/>
                  <w:sz w:val="20"/>
                  <w:u w:val="none"/>
                  <w:effect w:val="none"/>
                </w:rPr>
                <w:t>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31">
              <w:r>
                <w:rPr>
                  <w:rStyle w:val="InternetLink"/>
                  <w:rFonts w:ascii="Times New Roman;sans-serif" w:hAnsi="Times New Roman;sans-serif"/>
                  <w:b w:val="false"/>
                  <w:color w:val="0000FF"/>
                  <w:sz w:val="20"/>
                  <w:u w:val="single"/>
                </w:rPr>
                <w:t>Condensed 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31">
              <w:r>
                <w:rPr>
                  <w:rStyle w:val="InternetLink"/>
                  <w:rFonts w:ascii="Times New Roman;sans-serif" w:hAnsi="Times New Roman;sans-serif"/>
                  <w:b w:val="false"/>
                  <w:strike w:val="false"/>
                  <w:dstrike w:val="false"/>
                  <w:color w:val="000000"/>
                  <w:sz w:val="20"/>
                  <w:u w:val="none"/>
                  <w:effect w:val="none"/>
                </w:rPr>
                <w:t>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pPr>
            <w:hyperlink w:anchor="i03eceef3119f4cad87979fef1ca58b0e_34">
              <w:r>
                <w:rPr>
                  <w:rStyle w:val="InternetLink"/>
                  <w:rFonts w:ascii="Times New Roman;sans-serif" w:hAnsi="Times New Roman;sans-serif"/>
                  <w:b w:val="false"/>
                  <w:color w:val="0000FF"/>
                  <w:sz w:val="20"/>
                  <w:u w:val="single"/>
                </w:rPr>
                <w:t xml:space="preserve">Notes to Condensed Consolidated Financial Statements </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34">
              <w:r>
                <w:rPr>
                  <w:rStyle w:val="InternetLink"/>
                  <w:rFonts w:ascii="Times New Roman;sans-serif" w:hAnsi="Times New Roman;sans-serif"/>
                  <w:b w:val="false"/>
                  <w:strike w:val="false"/>
                  <w:dstrike w:val="false"/>
                  <w:color w:val="000000"/>
                  <w:sz w:val="20"/>
                  <w:u w:val="none"/>
                  <w:effect w:val="none"/>
                </w:rPr>
                <w:t>11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03eceef3119f4cad87979fef1ca58b0e_37">
              <w:r>
                <w:rPr>
                  <w:rStyle w:val="InternetLink"/>
                  <w:rFonts w:ascii="Times New Roman;sans-serif" w:hAnsi="Times New Roman;sans-serif"/>
                  <w:b w:val="false"/>
                  <w:strike w:val="false"/>
                  <w:dstrike w:val="false"/>
                  <w:color w:val="0000FF"/>
                  <w:sz w:val="20"/>
                  <w:u w:val="none"/>
                  <w:effect w:val="none"/>
                </w:rPr>
                <w:t>1.</w:t>
              </w:r>
            </w:hyperlink>
            <w:hyperlink w:anchor="i03eceef3119f4cad87979fef1ca58b0e_37">
              <w:r>
                <w:rPr>
                  <w:rStyle w:val="InternetLink"/>
                  <w:rFonts w:ascii="Times New Roman;sans-serif" w:hAnsi="Times New Roman;sans-serif"/>
                  <w:b w:val="false"/>
                  <w:color w:val="0000FF"/>
                  <w:sz w:val="20"/>
                  <w:u w:val="single"/>
                </w:rPr>
                <w:t>Organization and Description of Business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37">
              <w:r>
                <w:rPr>
                  <w:rStyle w:val="InternetLink"/>
                  <w:rFonts w:ascii="Times New Roman;sans-serif" w:hAnsi="Times New Roman;sans-serif"/>
                  <w:b w:val="false"/>
                  <w:strike w:val="false"/>
                  <w:dstrike w:val="false"/>
                  <w:color w:val="000000"/>
                  <w:sz w:val="20"/>
                  <w:u w:val="none"/>
                  <w:effect w:val="none"/>
                </w:rPr>
                <w:t>11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03eceef3119f4cad87979fef1ca58b0e_40">
              <w:r>
                <w:rPr>
                  <w:rStyle w:val="InternetLink"/>
                  <w:rFonts w:ascii="Times New Roman;sans-serif" w:hAnsi="Times New Roman;sans-serif"/>
                  <w:b w:val="false"/>
                  <w:strike w:val="false"/>
                  <w:dstrike w:val="false"/>
                  <w:color w:val="0000FF"/>
                  <w:sz w:val="20"/>
                  <w:u w:val="none"/>
                  <w:effect w:val="none"/>
                </w:rPr>
                <w:t>2.</w:t>
              </w:r>
            </w:hyperlink>
            <w:hyperlink w:anchor="i03eceef3119f4cad87979fef1ca58b0e_40">
              <w:r>
                <w:rPr>
                  <w:rStyle w:val="InternetLink"/>
                  <w:rFonts w:ascii="Times New Roman;sans-serif" w:hAnsi="Times New Roman;sans-serif"/>
                  <w:b w:val="false"/>
                  <w:color w:val="0000FF"/>
                  <w:sz w:val="20"/>
                  <w:u w:val="single"/>
                </w:rPr>
                <w:t>Basis of Presentation and Summary of Significant Accounting Policies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40">
              <w:r>
                <w:rPr>
                  <w:rStyle w:val="InternetLink"/>
                  <w:rFonts w:ascii="Times New Roman;sans-serif" w:hAnsi="Times New Roman;sans-serif"/>
                  <w:b w:val="false"/>
                  <w:strike w:val="false"/>
                  <w:dstrike w:val="false"/>
                  <w:color w:val="000000"/>
                  <w:sz w:val="20"/>
                  <w:u w:val="none"/>
                  <w:effect w:val="none"/>
                </w:rPr>
                <w:t>11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03eceef3119f4cad87979fef1ca58b0e_43">
              <w:r>
                <w:rPr>
                  <w:rStyle w:val="InternetLink"/>
                  <w:rFonts w:ascii="Times New Roman;sans-serif" w:hAnsi="Times New Roman;sans-serif"/>
                  <w:b w:val="false"/>
                  <w:strike w:val="false"/>
                  <w:dstrike w:val="false"/>
                  <w:color w:val="0000FF"/>
                  <w:sz w:val="20"/>
                  <w:u w:val="none"/>
                  <w:effect w:val="none"/>
                </w:rPr>
                <w:t>3.</w:t>
              </w:r>
            </w:hyperlink>
            <w:hyperlink w:anchor="i03eceef3119f4cad87979fef1ca58b0e_43">
              <w:r>
                <w:rPr>
                  <w:rStyle w:val="InternetLink"/>
                  <w:rFonts w:ascii="Times New Roman;sans-serif" w:hAnsi="Times New Roman;sans-serif"/>
                  <w:b w:val="false"/>
                  <w:color w:val="0000FF"/>
                  <w:sz w:val="20"/>
                  <w:u w:val="single"/>
                </w:rPr>
                <w:t>Revenues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43">
              <w:r>
                <w:rPr>
                  <w:rStyle w:val="InternetLink"/>
                  <w:rFonts w:ascii="Times New Roman;sans-serif" w:hAnsi="Times New Roman;sans-serif"/>
                  <w:b w:val="false"/>
                  <w:strike w:val="false"/>
                  <w:dstrike w:val="false"/>
                  <w:color w:val="000000"/>
                  <w:sz w:val="20"/>
                  <w:u w:val="none"/>
                  <w:effect w:val="none"/>
                </w:rPr>
                <w:t>13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03eceef3119f4cad87979fef1ca58b0e_46">
              <w:r>
                <w:rPr>
                  <w:rStyle w:val="InternetLink"/>
                  <w:rFonts w:ascii="Times New Roman;sans-serif" w:hAnsi="Times New Roman;sans-serif"/>
                  <w:b w:val="false"/>
                  <w:strike w:val="false"/>
                  <w:dstrike w:val="false"/>
                  <w:color w:val="0000FF"/>
                  <w:sz w:val="20"/>
                  <w:u w:val="none"/>
                  <w:effect w:val="none"/>
                </w:rPr>
                <w:t>4.</w:t>
              </w:r>
            </w:hyperlink>
            <w:hyperlink w:anchor="i03eceef3119f4cad87979fef1ca58b0e_46">
              <w:r>
                <w:rPr>
                  <w:rStyle w:val="InternetLink"/>
                  <w:rFonts w:ascii="Times New Roman;sans-serif" w:hAnsi="Times New Roman;sans-serif"/>
                  <w:b w:val="false"/>
                  <w:color w:val="0000FF"/>
                  <w:sz w:val="20"/>
                  <w:u w:val="single"/>
                </w:rPr>
                <w:t>Leases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46">
              <w:r>
                <w:rPr>
                  <w:rStyle w:val="InternetLink"/>
                  <w:rFonts w:ascii="Times New Roman;sans-serif" w:hAnsi="Times New Roman;sans-serif"/>
                  <w:b w:val="false"/>
                  <w:strike w:val="false"/>
                  <w:dstrike w:val="false"/>
                  <w:color w:val="000000"/>
                  <w:sz w:val="20"/>
                  <w:u w:val="none"/>
                  <w:effect w:val="none"/>
                </w:rPr>
                <w:t>14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03eceef3119f4cad87979fef1ca58b0e_49">
              <w:r>
                <w:rPr>
                  <w:rStyle w:val="InternetLink"/>
                  <w:rFonts w:ascii="Times New Roman;sans-serif" w:hAnsi="Times New Roman;sans-serif"/>
                  <w:b w:val="false"/>
                  <w:strike w:val="false"/>
                  <w:dstrike w:val="false"/>
                  <w:color w:val="0000FF"/>
                  <w:sz w:val="20"/>
                  <w:u w:val="none"/>
                  <w:effect w:val="none"/>
                </w:rPr>
                <w:t>5.</w:t>
              </w:r>
            </w:hyperlink>
            <w:hyperlink w:anchor="i03eceef3119f4cad87979fef1ca58b0e_49">
              <w:r>
                <w:rPr>
                  <w:rStyle w:val="InternetLink"/>
                  <w:rFonts w:ascii="Times New Roman;sans-serif" w:hAnsi="Times New Roman;sans-serif"/>
                  <w:b w:val="false"/>
                  <w:color w:val="0000FF"/>
                  <w:sz w:val="20"/>
                  <w:u w:val="single"/>
                </w:rPr>
                <w:t>Investments in Unconsolidated Entities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49">
              <w:r>
                <w:rPr>
                  <w:rStyle w:val="InternetLink"/>
                  <w:rFonts w:ascii="Times New Roman;sans-serif" w:hAnsi="Times New Roman;sans-serif"/>
                  <w:b w:val="false"/>
                  <w:strike w:val="false"/>
                  <w:dstrike w:val="false"/>
                  <w:color w:val="000000"/>
                  <w:sz w:val="20"/>
                  <w:u w:val="none"/>
                  <w:effect w:val="none"/>
                </w:rPr>
                <w:t>16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03eceef3119f4cad87979fef1ca58b0e_52">
              <w:r>
                <w:rPr>
                  <w:rStyle w:val="InternetLink"/>
                  <w:rFonts w:ascii="Times New Roman;sans-serif" w:hAnsi="Times New Roman;sans-serif"/>
                  <w:b w:val="false"/>
                  <w:strike w:val="false"/>
                  <w:dstrike w:val="false"/>
                  <w:color w:val="0000FF"/>
                  <w:sz w:val="20"/>
                  <w:u w:val="none"/>
                  <w:effect w:val="none"/>
                </w:rPr>
                <w:t>6.</w:t>
              </w:r>
            </w:hyperlink>
            <w:hyperlink w:anchor="i03eceef3119f4cad87979fef1ca58b0e_52">
              <w:r>
                <w:rPr>
                  <w:rStyle w:val="InternetLink"/>
                  <w:rFonts w:ascii="Times New Roman;sans-serif" w:hAnsi="Times New Roman;sans-serif"/>
                  <w:b w:val="false"/>
                  <w:color w:val="0000FF"/>
                  <w:sz w:val="20"/>
                  <w:u w:val="single"/>
                </w:rPr>
                <w:t>Fair Value of Financial Instruments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52">
              <w:r>
                <w:rPr>
                  <w:rStyle w:val="InternetLink"/>
                  <w:rFonts w:ascii="Times New Roman;sans-serif" w:hAnsi="Times New Roman;sans-serif"/>
                  <w:b w:val="false"/>
                  <w:strike w:val="false"/>
                  <w:dstrike w:val="false"/>
                  <w:color w:val="000000"/>
                  <w:sz w:val="20"/>
                  <w:u w:val="none"/>
                  <w:effect w:val="none"/>
                </w:rPr>
                <w:t>16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03eceef3119f4cad87979fef1ca58b0e_55">
              <w:r>
                <w:rPr>
                  <w:rStyle w:val="InternetLink"/>
                  <w:rFonts w:ascii="Times New Roman;sans-serif" w:hAnsi="Times New Roman;sans-serif"/>
                  <w:b w:val="false"/>
                  <w:strike w:val="false"/>
                  <w:dstrike w:val="false"/>
                  <w:color w:val="0000FF"/>
                  <w:sz w:val="20"/>
                  <w:u w:val="none"/>
                  <w:effect w:val="none"/>
                </w:rPr>
                <w:t>7.</w:t>
              </w:r>
            </w:hyperlink>
            <w:hyperlink w:anchor="i03eceef3119f4cad87979fef1ca58b0e_55">
              <w:r>
                <w:rPr>
                  <w:rStyle w:val="InternetLink"/>
                  <w:rFonts w:ascii="Times New Roman;sans-serif" w:hAnsi="Times New Roman;sans-serif"/>
                  <w:b w:val="false"/>
                  <w:color w:val="000080"/>
                  <w:sz w:val="20"/>
                  <w:u w:val="single"/>
                </w:rPr>
                <w:t>Property</w:t>
              </w:r>
            </w:hyperlink>
            <w:hyperlink w:anchor="i03eceef3119f4cad87979fef1ca58b0e_55">
              <w:r>
                <w:rPr>
                  <w:rStyle w:val="InternetLink"/>
                  <w:rFonts w:ascii="Times New Roman;sans-serif" w:hAnsi="Times New Roman;sans-serif"/>
                  <w:b w:val="false"/>
                  <w:color w:val="000080"/>
                  <w:sz w:val="20"/>
                  <w:u w:val="single"/>
                </w:rPr>
                <w:t>,</w:t>
              </w:r>
            </w:hyperlink>
            <w:hyperlink w:anchor="i03eceef3119f4cad87979fef1ca58b0e_55">
              <w:r>
                <w:rPr>
                  <w:rStyle w:val="InternetLink"/>
                  <w:rFonts w:ascii="Times New Roman;sans-serif" w:hAnsi="Times New Roman;sans-serif"/>
                  <w:b w:val="false"/>
                  <w:color w:val="000080"/>
                  <w:sz w:val="20"/>
                  <w:u w:val="single"/>
                </w:rPr>
                <w:t xml:space="preserve"> Plant and Equipment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55">
              <w:r>
                <w:rPr>
                  <w:rStyle w:val="InternetLink"/>
                  <w:rFonts w:ascii="Times New Roman;sans-serif" w:hAnsi="Times New Roman;sans-serif"/>
                  <w:b w:val="false"/>
                  <w:strike w:val="false"/>
                  <w:dstrike w:val="false"/>
                  <w:color w:val="000000"/>
                  <w:sz w:val="20"/>
                  <w:u w:val="none"/>
                  <w:effect w:val="none"/>
                </w:rPr>
                <w:t>18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03eceef3119f4cad87979fef1ca58b0e_58">
              <w:r>
                <w:rPr>
                  <w:rStyle w:val="InternetLink"/>
                  <w:rFonts w:ascii="Times New Roman;sans-serif" w:hAnsi="Times New Roman;sans-serif"/>
                  <w:b w:val="false"/>
                  <w:strike w:val="false"/>
                  <w:dstrike w:val="false"/>
                  <w:color w:val="0000FF"/>
                  <w:sz w:val="20"/>
                  <w:u w:val="none"/>
                  <w:effect w:val="none"/>
                </w:rPr>
                <w:t>8.</w:t>
              </w:r>
            </w:hyperlink>
            <w:hyperlink w:anchor="i03eceef3119f4cad87979fef1ca58b0e_58">
              <w:r>
                <w:rPr>
                  <w:rStyle w:val="InternetLink"/>
                  <w:rFonts w:ascii="Times New Roman;sans-serif" w:hAnsi="Times New Roman;sans-serif"/>
                  <w:b w:val="false"/>
                  <w:color w:val="0000FF"/>
                  <w:sz w:val="20"/>
                  <w:u w:val="single"/>
                </w:rPr>
                <w:t>Derivative Instruments and Hedging Activities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58">
              <w:r>
                <w:rPr>
                  <w:rStyle w:val="InternetLink"/>
                  <w:rFonts w:ascii="Times New Roman;sans-serif" w:hAnsi="Times New Roman;sans-serif"/>
                  <w:b w:val="false"/>
                  <w:strike w:val="false"/>
                  <w:dstrike w:val="false"/>
                  <w:color w:val="000000"/>
                  <w:sz w:val="20"/>
                  <w:u w:val="none"/>
                  <w:effect w:val="none"/>
                </w:rPr>
                <w:t>18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03eceef3119f4cad87979fef1ca58b0e_61">
              <w:r>
                <w:rPr>
                  <w:rStyle w:val="InternetLink"/>
                  <w:rFonts w:ascii="Times New Roman;sans-serif" w:hAnsi="Times New Roman;sans-serif"/>
                  <w:b w:val="false"/>
                  <w:strike w:val="false"/>
                  <w:dstrike w:val="false"/>
                  <w:color w:val="0000FF"/>
                  <w:sz w:val="20"/>
                  <w:u w:val="none"/>
                  <w:effect w:val="none"/>
                </w:rPr>
                <w:t>9.</w:t>
              </w:r>
            </w:hyperlink>
            <w:hyperlink w:anchor="i03eceef3119f4cad87979fef1ca58b0e_61">
              <w:r>
                <w:rPr>
                  <w:rStyle w:val="InternetLink"/>
                  <w:rFonts w:ascii="Times New Roman;sans-serif" w:hAnsi="Times New Roman;sans-serif"/>
                  <w:b w:val="false"/>
                  <w:color w:val="0000FF"/>
                  <w:sz w:val="20"/>
                  <w:u w:val="single"/>
                </w:rPr>
                <w:t xml:space="preserve">Goodwill and Intangible Assets and Liabilities </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61">
              <w:r>
                <w:rPr>
                  <w:rStyle w:val="InternetLink"/>
                  <w:rFonts w:ascii="Times New Roman;sans-serif" w:hAnsi="Times New Roman;sans-serif"/>
                  <w:b w:val="false"/>
                  <w:strike w:val="false"/>
                  <w:dstrike w:val="false"/>
                  <w:color w:val="000000"/>
                  <w:sz w:val="20"/>
                  <w:u w:val="none"/>
                  <w:effect w:val="none"/>
                </w:rPr>
                <w:t>19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03eceef3119f4cad87979fef1ca58b0e_64">
              <w:r>
                <w:rPr>
                  <w:rStyle w:val="InternetLink"/>
                  <w:rFonts w:ascii="Times New Roman;sans-serif" w:hAnsi="Times New Roman;sans-serif"/>
                  <w:b w:val="false"/>
                  <w:strike w:val="false"/>
                  <w:dstrike w:val="false"/>
                  <w:color w:val="0000FF"/>
                  <w:sz w:val="20"/>
                  <w:u w:val="none"/>
                  <w:effect w:val="none"/>
                </w:rPr>
                <w:t>10.</w:t>
              </w:r>
            </w:hyperlink>
            <w:hyperlink w:anchor="i03eceef3119f4cad87979fef1ca58b0e_64">
              <w:r>
                <w:rPr>
                  <w:rStyle w:val="InternetLink"/>
                  <w:rFonts w:ascii="Times New Roman;sans-serif" w:hAnsi="Times New Roman;sans-serif"/>
                  <w:b w:val="false"/>
                  <w:color w:val="0000FF"/>
                  <w:sz w:val="20"/>
                  <w:u w:val="single"/>
                </w:rPr>
                <w:t>Notes and Other Debt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64">
              <w:r>
                <w:rPr>
                  <w:rStyle w:val="InternetLink"/>
                  <w:rFonts w:ascii="Times New Roman;sans-serif" w:hAnsi="Times New Roman;sans-serif"/>
                  <w:b w:val="false"/>
                  <w:strike w:val="false"/>
                  <w:dstrike w:val="false"/>
                  <w:color w:val="000000"/>
                  <w:sz w:val="20"/>
                  <w:u w:val="none"/>
                  <w:effect w:val="none"/>
                </w:rPr>
                <w:t>20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03eceef3119f4cad87979fef1ca58b0e_70">
              <w:r>
                <w:rPr>
                  <w:rStyle w:val="InternetLink"/>
                  <w:rFonts w:ascii="Times New Roman;sans-serif" w:hAnsi="Times New Roman;sans-serif"/>
                  <w:b w:val="false"/>
                  <w:strike w:val="false"/>
                  <w:dstrike w:val="false"/>
                  <w:color w:val="0000FF"/>
                  <w:sz w:val="20"/>
                  <w:u w:val="none"/>
                  <w:effect w:val="none"/>
                </w:rPr>
                <w:t>11.</w:t>
              </w:r>
            </w:hyperlink>
            <w:hyperlink w:anchor="i03eceef3119f4cad87979fef1ca58b0e_70">
              <w:r>
                <w:rPr>
                  <w:rStyle w:val="InternetLink"/>
                  <w:rFonts w:ascii="Times New Roman;sans-serif" w:hAnsi="Times New Roman;sans-serif"/>
                  <w:b w:val="false"/>
                  <w:color w:val="0000FF"/>
                  <w:sz w:val="20"/>
                  <w:u w:val="single"/>
                </w:rPr>
                <w:t>Earnings Per Share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70">
              <w:r>
                <w:rPr>
                  <w:rStyle w:val="InternetLink"/>
                  <w:rFonts w:ascii="Times New Roman;sans-serif" w:hAnsi="Times New Roman;sans-serif"/>
                  <w:b w:val="false"/>
                  <w:strike w:val="false"/>
                  <w:dstrike w:val="false"/>
                  <w:color w:val="000000"/>
                  <w:sz w:val="20"/>
                  <w:u w:val="none"/>
                  <w:effect w:val="none"/>
                </w:rPr>
                <w:t>24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03eceef3119f4cad87979fef1ca58b0e_73">
              <w:r>
                <w:rPr>
                  <w:rStyle w:val="InternetLink"/>
                  <w:rFonts w:ascii="Times New Roman;sans-serif" w:hAnsi="Times New Roman;sans-serif"/>
                  <w:b w:val="false"/>
                  <w:strike w:val="false"/>
                  <w:dstrike w:val="false"/>
                  <w:color w:val="0000FF"/>
                  <w:sz w:val="20"/>
                  <w:u w:val="none"/>
                  <w:effect w:val="none"/>
                </w:rPr>
                <w:t>12.</w:t>
              </w:r>
            </w:hyperlink>
            <w:hyperlink w:anchor="i03eceef3119f4cad87979fef1ca58b0e_73">
              <w:r>
                <w:rPr>
                  <w:rStyle w:val="InternetLink"/>
                  <w:rFonts w:ascii="Times New Roman;sans-serif" w:hAnsi="Times New Roman;sans-serif"/>
                  <w:b w:val="false"/>
                  <w:color w:val="0000FF"/>
                  <w:sz w:val="20"/>
                  <w:u w:val="single"/>
                </w:rPr>
                <w:t>Segment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73">
              <w:r>
                <w:rPr>
                  <w:rStyle w:val="InternetLink"/>
                  <w:rFonts w:ascii="Times New Roman;sans-serif" w:hAnsi="Times New Roman;sans-serif"/>
                  <w:b w:val="false"/>
                  <w:strike w:val="false"/>
                  <w:dstrike w:val="false"/>
                  <w:color w:val="000000"/>
                  <w:sz w:val="20"/>
                  <w:u w:val="none"/>
                  <w:effect w:val="none"/>
                </w:rPr>
                <w:t>26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03eceef3119f4cad87979fef1ca58b0e_76">
              <w:r>
                <w:rPr>
                  <w:rStyle w:val="InternetLink"/>
                  <w:rFonts w:ascii="Times New Roman;sans-serif" w:hAnsi="Times New Roman;sans-serif"/>
                  <w:b w:val="false"/>
                  <w:strike w:val="false"/>
                  <w:dstrike w:val="false"/>
                  <w:color w:val="0000FF"/>
                  <w:sz w:val="20"/>
                  <w:u w:val="none"/>
                  <w:effect w:val="none"/>
                </w:rPr>
                <w:t>13.</w:t>
              </w:r>
            </w:hyperlink>
            <w:hyperlink w:anchor="i03eceef3119f4cad87979fef1ca58b0e_76">
              <w:r>
                <w:rPr>
                  <w:rStyle w:val="InternetLink"/>
                  <w:rFonts w:ascii="Times New Roman;sans-serif" w:hAnsi="Times New Roman;sans-serif"/>
                  <w:b w:val="false"/>
                  <w:color w:val="0000FF"/>
                  <w:sz w:val="20"/>
                  <w:u w:val="single"/>
                </w:rPr>
                <w:t>Commitments and Contingencies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76">
              <w:r>
                <w:rPr>
                  <w:rStyle w:val="InternetLink"/>
                  <w:rFonts w:ascii="Times New Roman;sans-serif" w:hAnsi="Times New Roman;sans-serif"/>
                  <w:b w:val="false"/>
                  <w:strike w:val="false"/>
                  <w:dstrike w:val="false"/>
                  <w:color w:val="000000"/>
                  <w:sz w:val="20"/>
                  <w:u w:val="none"/>
                  <w:effect w:val="none"/>
                </w:rPr>
                <w:t>29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03eceef3119f4cad87979fef1ca58b0e_79">
              <w:r>
                <w:rPr>
                  <w:rStyle w:val="InternetLink"/>
                  <w:rFonts w:ascii="Times New Roman;sans-serif" w:hAnsi="Times New Roman;sans-serif"/>
                  <w:b w:val="false"/>
                  <w:strike w:val="false"/>
                  <w:dstrike w:val="false"/>
                  <w:color w:val="0000FF"/>
                  <w:sz w:val="20"/>
                  <w:u w:val="none"/>
                  <w:effect w:val="none"/>
                </w:rPr>
                <w:t>14.</w:t>
              </w:r>
            </w:hyperlink>
            <w:hyperlink w:anchor="i03eceef3119f4cad87979fef1ca58b0e_79">
              <w:r>
                <w:rPr>
                  <w:rStyle w:val="InternetLink"/>
                  <w:rFonts w:ascii="Times New Roman;sans-serif" w:hAnsi="Times New Roman;sans-serif"/>
                  <w:b w:val="false"/>
                  <w:color w:val="0000FF"/>
                  <w:sz w:val="20"/>
                  <w:u w:val="single"/>
                </w:rPr>
                <w:t>Accumulated Other Comprehensive Loss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79">
              <w:r>
                <w:rPr>
                  <w:rStyle w:val="InternetLink"/>
                  <w:rFonts w:ascii="Times New Roman;sans-serif" w:hAnsi="Times New Roman;sans-serif"/>
                  <w:b w:val="false"/>
                  <w:strike w:val="false"/>
                  <w:dstrike w:val="false"/>
                  <w:color w:val="000000"/>
                  <w:sz w:val="20"/>
                  <w:u w:val="none"/>
                  <w:effect w:val="none"/>
                </w:rPr>
                <w:t>31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82">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82">
              <w:r>
                <w:rPr>
                  <w:rStyle w:val="InternetLink"/>
                  <w:rFonts w:ascii="Times New Roman;sans-serif" w:hAnsi="Times New Roman;sans-serif"/>
                  <w:b w:val="false"/>
                  <w:strike w:val="false"/>
                  <w:dstrike w:val="false"/>
                  <w:color w:val="000000"/>
                  <w:sz w:val="20"/>
                  <w:u w:val="none"/>
                  <w:effect w:val="none"/>
                </w:rPr>
                <w:t>31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03eceef3119f4cad87979fef1ca58b0e_85">
              <w:r>
                <w:rPr>
                  <w:rStyle w:val="InternetLink"/>
                  <w:rFonts w:ascii="Times New Roman;sans-serif" w:hAnsi="Times New Roman;sans-serif"/>
                  <w:b w:val="false"/>
                  <w:strike w:val="false"/>
                  <w:dstrike w:val="false"/>
                  <w:color w:val="0000FF"/>
                  <w:sz w:val="20"/>
                  <w:u w:val="none"/>
                  <w:effect w:val="none"/>
                </w:rPr>
                <w:t>1.</w:t>
              </w:r>
            </w:hyperlink>
            <w:hyperlink w:anchor="i03eceef3119f4cad87979fef1ca58b0e_85">
              <w:r>
                <w:rPr>
                  <w:rStyle w:val="InternetLink"/>
                  <w:rFonts w:ascii="Times New Roman;sans-serif" w:hAnsi="Times New Roman;sans-serif"/>
                  <w:b w:val="false"/>
                  <w:color w:val="0000FF"/>
                  <w:sz w:val="20"/>
                  <w:u w:val="single"/>
                </w:rPr>
                <w:t>Overview</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85">
              <w:r>
                <w:rPr>
                  <w:rStyle w:val="InternetLink"/>
                  <w:rFonts w:ascii="Times New Roman;sans-serif" w:hAnsi="Times New Roman;sans-serif"/>
                  <w:b w:val="false"/>
                  <w:strike w:val="false"/>
                  <w:dstrike w:val="false"/>
                  <w:color w:val="000000"/>
                  <w:sz w:val="20"/>
                  <w:u w:val="none"/>
                  <w:effect w:val="none"/>
                </w:rPr>
                <w:t>31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03eceef3119f4cad87979fef1ca58b0e_88">
              <w:r>
                <w:rPr>
                  <w:rStyle w:val="InternetLink"/>
                  <w:rFonts w:ascii="Times New Roman;sans-serif" w:hAnsi="Times New Roman;sans-serif"/>
                  <w:b w:val="false"/>
                  <w:strike w:val="false"/>
                  <w:dstrike w:val="false"/>
                  <w:color w:val="0000FF"/>
                  <w:sz w:val="20"/>
                  <w:u w:val="none"/>
                  <w:effect w:val="none"/>
                </w:rPr>
                <w:t>2.</w:t>
              </w:r>
            </w:hyperlink>
            <w:hyperlink w:anchor="i03eceef3119f4cad87979fef1ca58b0e_88">
              <w:r>
                <w:rPr>
                  <w:rStyle w:val="InternetLink"/>
                  <w:rFonts w:ascii="Times New Roman;sans-serif" w:hAnsi="Times New Roman;sans-serif"/>
                  <w:b w:val="false"/>
                  <w:color w:val="0000FF"/>
                  <w:sz w:val="20"/>
                  <w:u w:val="single"/>
                </w:rPr>
                <w:t>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88">
              <w:r>
                <w:rPr>
                  <w:rStyle w:val="InternetLink"/>
                  <w:rFonts w:ascii="Times New Roman;sans-serif" w:hAnsi="Times New Roman;sans-serif"/>
                  <w:b w:val="false"/>
                  <w:strike w:val="false"/>
                  <w:dstrike w:val="false"/>
                  <w:color w:val="000000"/>
                  <w:sz w:val="20"/>
                  <w:u w:val="none"/>
                  <w:effect w:val="none"/>
                </w:rPr>
                <w:t>32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03eceef3119f4cad87979fef1ca58b0e_91">
              <w:r>
                <w:rPr>
                  <w:rStyle w:val="InternetLink"/>
                  <w:rFonts w:ascii="Times New Roman;sans-serif" w:hAnsi="Times New Roman;sans-serif"/>
                  <w:b w:val="false"/>
                  <w:strike w:val="false"/>
                  <w:dstrike w:val="false"/>
                  <w:color w:val="0000FF"/>
                  <w:sz w:val="20"/>
                  <w:u w:val="none"/>
                  <w:effect w:val="none"/>
                </w:rPr>
                <w:t>3.</w:t>
              </w:r>
            </w:hyperlink>
            <w:hyperlink w:anchor="i03eceef3119f4cad87979fef1ca58b0e_91">
              <w:r>
                <w:rPr>
                  <w:rStyle w:val="InternetLink"/>
                  <w:rFonts w:ascii="Times New Roman;sans-serif" w:hAnsi="Times New Roman;sans-serif"/>
                  <w:b w:val="false"/>
                  <w:color w:val="0000FF"/>
                  <w:sz w:val="20"/>
                  <w:u w:val="single"/>
                </w:rPr>
                <w:t>Non-GAAP Financial Measures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91">
              <w:r>
                <w:rPr>
                  <w:rStyle w:val="InternetLink"/>
                  <w:rFonts w:ascii="Times New Roman;sans-serif" w:hAnsi="Times New Roman;sans-serif"/>
                  <w:b w:val="false"/>
                  <w:strike w:val="false"/>
                  <w:dstrike w:val="false"/>
                  <w:color w:val="000000"/>
                  <w:sz w:val="20"/>
                  <w:u w:val="none"/>
                  <w:effect w:val="none"/>
                </w:rPr>
                <w:t>37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03eceef3119f4cad87979fef1ca58b0e_94">
              <w:r>
                <w:rPr>
                  <w:rStyle w:val="InternetLink"/>
                  <w:rFonts w:ascii="Times New Roman;sans-serif" w:hAnsi="Times New Roman;sans-serif"/>
                  <w:b w:val="false"/>
                  <w:strike w:val="false"/>
                  <w:dstrike w:val="false"/>
                  <w:color w:val="0000FF"/>
                  <w:sz w:val="20"/>
                  <w:u w:val="none"/>
                  <w:effect w:val="none"/>
                </w:rPr>
                <w:t>4.</w:t>
              </w:r>
            </w:hyperlink>
            <w:hyperlink w:anchor="i03eceef3119f4cad87979fef1ca58b0e_94">
              <w:r>
                <w:rPr>
                  <w:rStyle w:val="InternetLink"/>
                  <w:rFonts w:ascii="Times New Roman;sans-serif" w:hAnsi="Times New Roman;sans-serif"/>
                  <w:b w:val="false"/>
                  <w:color w:val="0000FF"/>
                  <w:sz w:val="20"/>
                  <w:u w:val="single"/>
                </w:rPr>
                <w:t>Liquidity and Capital Resources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94">
              <w:r>
                <w:rPr>
                  <w:rStyle w:val="InternetLink"/>
                  <w:rFonts w:ascii="Times New Roman;sans-serif" w:hAnsi="Times New Roman;sans-serif"/>
                  <w:b w:val="false"/>
                  <w:strike w:val="false"/>
                  <w:dstrike w:val="false"/>
                  <w:color w:val="000000"/>
                  <w:sz w:val="20"/>
                  <w:u w:val="none"/>
                  <w:effect w:val="none"/>
                </w:rPr>
                <w:t>39</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09">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09">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109">
              <w:r>
                <w:rPr>
                  <w:rStyle w:val="InternetLink"/>
                  <w:rFonts w:ascii="Times New Roman;sans-serif" w:hAnsi="Times New Roman;sans-serif"/>
                  <w:b w:val="false"/>
                  <w:strike w:val="false"/>
                  <w:dstrike w:val="false"/>
                  <w:color w:val="000000"/>
                  <w:sz w:val="20"/>
                  <w:u w:val="none"/>
                  <w:effect w:val="none"/>
                </w:rPr>
                <w:t>44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12">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12">
              <w:r>
                <w:rPr>
                  <w:rStyle w:val="InternetLink"/>
                  <w:rFonts w:ascii="Times New Roman;sans-serif" w:hAnsi="Times New Roman;sans-serif"/>
                  <w:b w:val="false"/>
                  <w:color w:val="0000FF"/>
                  <w:sz w:val="20"/>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112">
              <w:r>
                <w:rPr>
                  <w:rStyle w:val="InternetLink"/>
                  <w:rFonts w:ascii="Times New Roman;sans-serif" w:hAnsi="Times New Roman;sans-serif"/>
                  <w:b w:val="false"/>
                  <w:strike w:val="false"/>
                  <w:dstrike w:val="false"/>
                  <w:color w:val="000000"/>
                  <w:sz w:val="20"/>
                  <w:u w:val="none"/>
                  <w:effect w:val="none"/>
                </w:rPr>
                <w:t>44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15">
              <w:r>
                <w:rPr>
                  <w:rStyle w:val="InternetLink"/>
                  <w:rFonts w:ascii="Times New Roman;sans-serif" w:hAnsi="Times New Roman;sans-serif"/>
                  <w:b/>
                  <w:strike w:val="false"/>
                  <w:dstrike w:val="false"/>
                  <w:color w:val="000000"/>
                  <w:sz w:val="20"/>
                  <w:u w:val="none"/>
                  <w:effect w:val="none"/>
                </w:rPr>
                <w:t>PART II.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15">
              <w:r>
                <w:rPr>
                  <w:rStyle w:val="InternetLink"/>
                  <w:rFonts w:ascii="Times New Roman;sans-serif" w:hAnsi="Times New Roman;sans-serif"/>
                  <w:b/>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18">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18">
              <w:r>
                <w:rPr>
                  <w:rStyle w:val="InternetLink"/>
                  <w:rFonts w:ascii="Times New Roman;sans-serif" w:hAnsi="Times New Roman;sans-serif"/>
                  <w:b w:val="false"/>
                  <w:color w:val="0000FF"/>
                  <w:sz w:val="20"/>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118">
              <w:r>
                <w:rPr>
                  <w:rStyle w:val="InternetLink"/>
                  <w:rFonts w:ascii="Times New Roman;sans-serif" w:hAnsi="Times New Roman;sans-serif"/>
                  <w:b w:val="false"/>
                  <w:strike w:val="false"/>
                  <w:dstrike w:val="false"/>
                  <w:color w:val="000000"/>
                  <w:sz w:val="20"/>
                  <w:u w:val="none"/>
                  <w:effect w:val="none"/>
                </w:rPr>
                <w:t>45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21">
              <w:r>
                <w:rPr>
                  <w:rStyle w:val="InternetLink"/>
                  <w:rFonts w:ascii="Times New Roman;sans-serif" w:hAnsi="Times New Roman;sans-serif"/>
                  <w:b w:val="false"/>
                  <w:strike w:val="false"/>
                  <w:dstrike w:val="false"/>
                  <w:color w:val="000000"/>
                  <w:sz w:val="20"/>
                  <w:u w:val="none"/>
                  <w:effect w:val="none"/>
                </w:rPr>
                <w:t>Item 1A.</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21">
              <w:r>
                <w:rPr>
                  <w:rStyle w:val="InternetLink"/>
                  <w:rFonts w:ascii="Times New Roman;sans-serif" w:hAnsi="Times New Roman;sans-serif"/>
                  <w:b w:val="false"/>
                  <w:color w:val="0000FF"/>
                  <w:sz w:val="20"/>
                  <w:u w:val="single"/>
                </w:rPr>
                <w:t>Risk Factors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121">
              <w:r>
                <w:rPr>
                  <w:rStyle w:val="InternetLink"/>
                  <w:rFonts w:ascii="Times New Roman;sans-serif" w:hAnsi="Times New Roman;sans-serif"/>
                  <w:b w:val="false"/>
                  <w:strike w:val="false"/>
                  <w:dstrike w:val="false"/>
                  <w:color w:val="000000"/>
                  <w:sz w:val="20"/>
                  <w:u w:val="none"/>
                  <w:effect w:val="none"/>
                </w:rPr>
                <w:t>45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24">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24">
              <w:r>
                <w:rPr>
                  <w:rStyle w:val="InternetLink"/>
                  <w:rFonts w:ascii="Times New Roman;sans-serif" w:hAnsi="Times New Roman;sans-serif"/>
                  <w:b w:val="false"/>
                  <w:color w:val="0000FF"/>
                  <w:sz w:val="20"/>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124">
              <w:r>
                <w:rPr>
                  <w:rStyle w:val="InternetLink"/>
                  <w:rFonts w:ascii="Times New Roman;sans-serif" w:hAnsi="Times New Roman;sans-serif"/>
                  <w:b w:val="false"/>
                  <w:strike w:val="false"/>
                  <w:dstrike w:val="false"/>
                  <w:color w:val="000000"/>
                  <w:sz w:val="20"/>
                  <w:u w:val="none"/>
                  <w:effect w:val="none"/>
                </w:rPr>
                <w:t>45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27">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27">
              <w:r>
                <w:rPr>
                  <w:rStyle w:val="InternetLink"/>
                  <w:rFonts w:ascii="Times New Roman;sans-serif" w:hAnsi="Times New Roman;sans-serif"/>
                  <w:b w:val="false"/>
                  <w:color w:val="0000FF"/>
                  <w:sz w:val="20"/>
                  <w:u w:val="single"/>
                </w:rPr>
                <w:t>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127">
              <w:r>
                <w:rPr>
                  <w:rStyle w:val="InternetLink"/>
                  <w:rFonts w:ascii="Times New Roman;sans-serif" w:hAnsi="Times New Roman;sans-serif"/>
                  <w:b w:val="false"/>
                  <w:strike w:val="false"/>
                  <w:dstrike w:val="false"/>
                  <w:color w:val="000000"/>
                  <w:sz w:val="20"/>
                  <w:u w:val="none"/>
                  <w:effect w:val="none"/>
                </w:rPr>
                <w:t>45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30">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30">
              <w:r>
                <w:rPr>
                  <w:rStyle w:val="InternetLink"/>
                  <w:rFonts w:ascii="Times New Roman;sans-serif" w:hAnsi="Times New Roman;sans-serif"/>
                  <w:b w:val="false"/>
                  <w:color w:val="0000FF"/>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130">
              <w:r>
                <w:rPr>
                  <w:rStyle w:val="InternetLink"/>
                  <w:rFonts w:ascii="Times New Roman;sans-serif" w:hAnsi="Times New Roman;sans-serif"/>
                  <w:b w:val="false"/>
                  <w:strike w:val="false"/>
                  <w:dstrike w:val="false"/>
                  <w:color w:val="000000"/>
                  <w:sz w:val="20"/>
                  <w:u w:val="none"/>
                  <w:effect w:val="none"/>
                </w:rPr>
                <w:t>45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33">
              <w:r>
                <w:rPr>
                  <w:rStyle w:val="InternetLink"/>
                  <w:rFonts w:ascii="Times New Roman;sans-serif" w:hAnsi="Times New Roman;sans-serif"/>
                  <w:b w:val="false"/>
                  <w:strike w:val="false"/>
                  <w:dstrike w:val="false"/>
                  <w:color w:val="000000"/>
                  <w:sz w:val="20"/>
                  <w:u w:val="none"/>
                  <w:effect w:val="none"/>
                </w:rPr>
                <w:t>Item 5.</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33">
              <w:r>
                <w:rPr>
                  <w:rStyle w:val="InternetLink"/>
                  <w:rFonts w:ascii="Times New Roman;sans-serif" w:hAnsi="Times New Roman;sans-serif"/>
                  <w:b w:val="false"/>
                  <w:color w:val="0000FF"/>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133">
              <w:r>
                <w:rPr>
                  <w:rStyle w:val="InternetLink"/>
                  <w:rFonts w:ascii="Times New Roman;sans-serif" w:hAnsi="Times New Roman;sans-serif"/>
                  <w:b w:val="false"/>
                  <w:strike w:val="false"/>
                  <w:dstrike w:val="false"/>
                  <w:color w:val="000000"/>
                  <w:sz w:val="20"/>
                  <w:u w:val="none"/>
                  <w:effect w:val="none"/>
                </w:rPr>
                <w:t>45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36">
              <w:r>
                <w:rPr>
                  <w:rStyle w:val="InternetLink"/>
                  <w:rFonts w:ascii="Times New Roman;sans-serif" w:hAnsi="Times New Roman;sans-serif"/>
                  <w:b w:val="false"/>
                  <w:strike w:val="false"/>
                  <w:dstrike w:val="false"/>
                  <w:color w:val="000000"/>
                  <w:sz w:val="20"/>
                  <w:u w:val="none"/>
                  <w:effect w:val="non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36">
              <w:r>
                <w:rPr>
                  <w:rStyle w:val="InternetLink"/>
                  <w:rFonts w:ascii="Times New Roman;sans-serif" w:hAnsi="Times New Roman;sans-serif"/>
                  <w:b w:val="false"/>
                  <w:color w:val="0000FF"/>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136">
              <w:r>
                <w:rPr>
                  <w:rStyle w:val="InternetLink"/>
                  <w:rFonts w:ascii="Times New Roman;sans-serif" w:hAnsi="Times New Roman;sans-serif"/>
                  <w:b w:val="false"/>
                  <w:strike w:val="false"/>
                  <w:dstrike w:val="false"/>
                  <w:color w:val="000000"/>
                  <w:sz w:val="20"/>
                  <w:u w:val="none"/>
                  <w:effect w:val="none"/>
                </w:rPr>
                <w:t>46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6"/>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03eceef3119f4cad87979fef1ca58b0e_139">
              <w:r>
                <w:rPr>
                  <w:rStyle w:val="InternetLink"/>
                  <w:rFonts w:ascii="Times New Roman;sans-serif" w:hAnsi="Times New Roman;sans-serif"/>
                  <w:b w:val="false"/>
                  <w:color w:val="0000FF"/>
                  <w:sz w:val="20"/>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03eceef3119f4cad87979fef1ca58b0e_139">
              <w:r>
                <w:rPr>
                  <w:rStyle w:val="InternetLink"/>
                  <w:rFonts w:ascii="Times New Roman;sans-serif" w:hAnsi="Times New Roman;sans-serif"/>
                  <w:b w:val="false"/>
                  <w:strike w:val="false"/>
                  <w:dstrike w:val="false"/>
                  <w:color w:val="000000"/>
                  <w:sz w:val="20"/>
                  <w:u w:val="none"/>
                  <w:effect w:val="non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583"/>
        <w:gridCol w:w="2188"/>
        <w:gridCol w:w="2194"/>
        <w:gridCol w:w="109"/>
        <w:gridCol w:w="109"/>
        <w:gridCol w:w="109"/>
        <w:gridCol w:w="196"/>
        <w:gridCol w:w="871"/>
        <w:gridCol w:w="109"/>
        <w:gridCol w:w="109"/>
        <w:gridCol w:w="109"/>
        <w:gridCol w:w="109"/>
        <w:gridCol w:w="226"/>
        <w:gridCol w:w="1004"/>
        <w:gridCol w:w="180"/>
      </w:tblGrid>
      <w:tr>
        <w:trPr/>
        <w:tc>
          <w:tcPr>
            <w:tcW w:w="2583"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3,895,206 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3,754,547 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43,803 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361,378 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334,846 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Straight-line revenue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68,595 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77,597 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38,656 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40,631 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5,034,570 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4,851,229 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122,195 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payable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251,098 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167,092 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1,190,041 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66,356 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and other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5,188,815 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7,365,814 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7,122,435 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Shareholders'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50,000 shares authorized; no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500,000 shares authorized; issued and outstanding: 236,431 shares at June 30, 2023 and 235,829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1,210,033 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in excess of accumulated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(3,483,634)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Uniti 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(2,333,586)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(2,273,577)</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Cumulative non-voting convertible preferred stock, $0.01 par value, 6 shares authorized, 3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(2,331,244)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(2,271,206)</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Shareholders'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5,034,570 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4,851,229 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87"/>
        <w:gridCol w:w="1239"/>
        <w:gridCol w:w="124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8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562,009 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 and equity in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106,427 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105,746 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Income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number of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267,361 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236,260 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267,045 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Comprehensive Income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04"/>
        <w:gridCol w:w="1485"/>
        <w:gridCol w:w="1498"/>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826"/>
        <w:gridCol w:w="155"/>
      </w:tblGrid>
      <w:tr>
        <w:trPr/>
        <w:tc>
          <w:tcPr>
            <w:tcW w:w="1704"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68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termination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112,075 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Shareholders’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4864" w:type="dxa"/>
        <w:jc w:val="center"/>
        <w:tblInd w:w="0" w:type="dxa"/>
        <w:tblLayout w:type="fixed"/>
        <w:tblCellMar>
          <w:top w:w="28" w:type="dxa"/>
          <w:left w:w="28" w:type="dxa"/>
          <w:bottom w:w="28" w:type="dxa"/>
          <w:right w:w="28" w:type="dxa"/>
        </w:tblCellMar>
      </w:tblPr>
      <w:tblGrid>
        <w:gridCol w:w="548"/>
        <w:gridCol w:w="311"/>
        <w:gridCol w:w="312"/>
        <w:gridCol w:w="109"/>
        <w:gridCol w:w="109"/>
        <w:gridCol w:w="109"/>
        <w:gridCol w:w="203"/>
        <w:gridCol w:w="203"/>
        <w:gridCol w:w="186"/>
        <w:gridCol w:w="109"/>
        <w:gridCol w:w="109"/>
        <w:gridCol w:w="109"/>
        <w:gridCol w:w="225"/>
        <w:gridCol w:w="225"/>
        <w:gridCol w:w="226"/>
        <w:gridCol w:w="109"/>
        <w:gridCol w:w="109"/>
        <w:gridCol w:w="109"/>
        <w:gridCol w:w="525"/>
        <w:gridCol w:w="526"/>
        <w:gridCol w:w="186"/>
        <w:gridCol w:w="109"/>
        <w:gridCol w:w="109"/>
        <w:gridCol w:w="109"/>
        <w:gridCol w:w="225"/>
        <w:gridCol w:w="225"/>
        <w:gridCol w:w="226"/>
        <w:gridCol w:w="109"/>
        <w:gridCol w:w="109"/>
        <w:gridCol w:w="109"/>
        <w:gridCol w:w="459"/>
        <w:gridCol w:w="412"/>
        <w:gridCol w:w="281"/>
        <w:gridCol w:w="109"/>
        <w:gridCol w:w="109"/>
        <w:gridCol w:w="109"/>
        <w:gridCol w:w="395"/>
        <w:gridCol w:w="395"/>
        <w:gridCol w:w="396"/>
        <w:gridCol w:w="109"/>
        <w:gridCol w:w="109"/>
        <w:gridCol w:w="109"/>
        <w:gridCol w:w="443"/>
        <w:gridCol w:w="443"/>
        <w:gridCol w:w="341"/>
        <w:gridCol w:w="109"/>
        <w:gridCol w:w="109"/>
        <w:gridCol w:w="109"/>
        <w:gridCol w:w="390"/>
        <w:gridCol w:w="390"/>
        <w:gridCol w:w="391"/>
        <w:gridCol w:w="109"/>
        <w:gridCol w:w="109"/>
        <w:gridCol w:w="109"/>
        <w:gridCol w:w="390"/>
        <w:gridCol w:w="390"/>
        <w:gridCol w:w="391"/>
        <w:gridCol w:w="109"/>
        <w:gridCol w:w="109"/>
        <w:gridCol w:w="109"/>
        <w:gridCol w:w="443"/>
        <w:gridCol w:w="443"/>
        <w:gridCol w:w="449"/>
      </w:tblGrid>
      <w:tr>
        <w:trPr/>
        <w:tc>
          <w:tcPr>
            <w:tcW w:w="5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6"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three months ended June 30, </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Preferred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w:t>
              <w:br/>
              <w:t>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Other</w:t>
              <w:br/>
              <w:t>Comprehensive</w:t>
              <w:br/>
              <w:t>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Distributions in</w:t>
              <w:br/>
              <w:t>Excess of</w:t>
              <w:br/>
              <w:t>Accumulated</w:t>
              <w:br/>
              <w:t>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Noncontrolling</w:t>
              <w:br/>
              <w:t>Interest - OP 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Noncontrolling</w:t>
              <w:br/>
              <w:t>Interest - Non-</w:t>
              <w:br/>
              <w:t>voting Preferred</w:t>
              <w:b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Shareholders'</w:t>
              <w:br/>
              <w:t>Deficit</w:t>
            </w:r>
          </w:p>
        </w:tc>
      </w:tr>
      <w:tr>
        <w:trPr/>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235,297,990 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1,220,039 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(6,341)</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(3,316,781)</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10,788 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(2,092,022)</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53,697 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53,774 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2,825 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2,829 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 declared ($0.15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(35,371)</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(35,371)</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86,949 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(4,620)</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(2,911)</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(2,911)</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314,574 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3,201 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235,699,513 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1,224,427 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(3,516)</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(3,298,455)</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2,072 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(2,075,198)</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236,427,250 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1,212,137 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(3,538,683)</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2,097 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(2,324,175)</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25,626 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25,638 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 declared ($0.15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(35,813)</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(35,813)</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3,130 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236,430,752 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1,215,260 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(3,548,870)</w:t>
            </w:r>
          </w:p>
        </w:tc>
        <w:tc>
          <w:tcPr>
            <w:tcW w:w="3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2,092 </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(2,331,244)</w:t>
            </w:r>
          </w:p>
        </w:tc>
        <w:tc>
          <w:tcPr>
            <w:tcW w:w="4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6" w:type="dxa"/>
            <w:gridSpan w:val="57"/>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Preferred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w:t>
              <w:br/>
              <w:t>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Other</w:t>
              <w:br/>
              <w:t>Comprehensive</w:t>
              <w:br/>
              <w:t>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Distributions in</w:t>
              <w:br/>
              <w:t>Excess of</w:t>
              <w:br/>
              <w:t>Accumulated</w:t>
              <w:br/>
              <w:t>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Noncontrolling</w:t>
              <w:br/>
              <w:t>Interest - OP 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Noncontrolling</w:t>
              <w:br/>
              <w:t>Interest - Non-</w:t>
              <w:br/>
              <w:t>voting Preferred</w:t>
              <w:b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Shareholders'</w:t>
              <w:br/>
              <w:t>Deficit</w:t>
            </w:r>
          </w:p>
        </w:tc>
      </w:tr>
      <w:tr>
        <w:trPr/>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234,779,247 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1,214,830 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(9,164)</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(3,333,481)</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13,893 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(2,113,774)</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106,427 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106,632 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5,648 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5,659 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 declared ($0.15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(71,276)</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(71,276)</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non-voting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244,682 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(11,877)</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(4,620)</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(4,436)</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(4,436)</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646,260 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6,513 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235,699,513 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1,224,427 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(3,516)</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(3,298,455)</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2,072 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(2,075,198)</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235,829,485 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1,210,033 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(3,483,634)</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2,121 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(2,271,206)</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6,427 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 declared ($0.15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(71,660)</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(71,660)</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settlement of common stock warrant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Termination of bond hedge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534,363 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6,260 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66,904 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236,430,752 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1,215,260 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(3,548,870)</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2,092 </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(2,331,244)</w:t>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723" w:type="dxa"/>
        <w:jc w:val="center"/>
        <w:tblInd w:w="0" w:type="dxa"/>
        <w:tblLayout w:type="fixed"/>
        <w:tblCellMar>
          <w:top w:w="28" w:type="dxa"/>
          <w:left w:w="28" w:type="dxa"/>
          <w:bottom w:w="28" w:type="dxa"/>
          <w:right w:w="28" w:type="dxa"/>
        </w:tblCellMar>
      </w:tblPr>
      <w:tblGrid>
        <w:gridCol w:w="2429"/>
        <w:gridCol w:w="2131"/>
        <w:gridCol w:w="2159"/>
        <w:gridCol w:w="109"/>
        <w:gridCol w:w="109"/>
        <w:gridCol w:w="109"/>
        <w:gridCol w:w="267"/>
        <w:gridCol w:w="783"/>
        <w:gridCol w:w="109"/>
        <w:gridCol w:w="109"/>
        <w:gridCol w:w="109"/>
        <w:gridCol w:w="109"/>
        <w:gridCol w:w="211"/>
        <w:gridCol w:w="826"/>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 June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6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termination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of cumulative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rate swap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revenues and amortization of below-market lease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unconsolidated entity (see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settlement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unconsolidated entity (see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 net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other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settlement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paid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exchange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under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settlement of common stock warrant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of bond hedge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related to the early 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tbl>
      <w:tblPr>
        <w:tblW w:w="8300" w:type="dxa"/>
        <w:jc w:val="center"/>
        <w:tblInd w:w="0" w:type="dxa"/>
        <w:tblLayout w:type="fixed"/>
        <w:tblCellMar>
          <w:top w:w="28" w:type="dxa"/>
          <w:left w:w="28" w:type="dxa"/>
          <w:bottom w:w="28" w:type="dxa"/>
          <w:right w:w="28" w:type="dxa"/>
        </w:tblCellMar>
      </w:tblPr>
      <w:tblGrid>
        <w:gridCol w:w="1995"/>
        <w:gridCol w:w="1756"/>
        <w:gridCol w:w="1768"/>
        <w:gridCol w:w="109"/>
        <w:gridCol w:w="109"/>
        <w:gridCol w:w="109"/>
        <w:gridCol w:w="211"/>
        <w:gridCol w:w="721"/>
        <w:gridCol w:w="109"/>
        <w:gridCol w:w="109"/>
        <w:gridCol w:w="109"/>
        <w:gridCol w:w="109"/>
        <w:gridCol w:w="211"/>
        <w:gridCol w:w="721"/>
        <w:gridCol w:w="154"/>
      </w:tblGrid>
      <w:tr>
        <w:trPr/>
        <w:tc>
          <w:tcPr>
            <w:tcW w:w="1995"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acquired but not yet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capital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Organization and Description of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Inc. (the “Company,” “Uniti,” “we,” “us,” or “our”) was incorporated in the state of Maryland on September 4, 2014. We are an independent internally managed real estate investment trust (“REIT”) engaged in the acquisition, construction and leasing of mission critical infrastructure in the communications industry. We are principally focused on acquiring and constructing fiber optic, copper and coaxial broadband networks and data centers. We manage our operations focused on our two primary lines of business: Uniti Fiber and Uniti Leasing.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through a customary “up-REIT” structure, pursuant to which we hold substantially all of our assets through a partnership, Uniti Group LP, a Delaware limited partnership (the “Operating Partnership”) that we control as general partner. The up-REIT structure is intended to facilitate future acquisition opportunities by providing the Company with the ability to use common units of the Operating Partnership as a tax-efficient acquisition currency. As of June 30, 2023, we are the sole general partner of the Operating Partnership and own approximately 99.96% of the partnership interests in the Operating Partnership.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 Basis of Presentation and Summary of Significant Accounting Policies</w:t>
      </w:r>
    </w:p>
    <w:p>
      <w:pPr>
        <w:pStyle w:val="TextBody"/>
        <w:bidi w:val="0"/>
        <w:spacing w:lineRule="auto" w:line="288" w:before="240" w:after="283"/>
        <w:jc w:val="left"/>
        <w:rPr/>
      </w:pPr>
      <w:r>
        <w:rPr>
          <w:rFonts w:ascii="Times New Roman;sans-serif" w:hAnsi="Times New Roman;sans-serif"/>
          <w:b w:val="false"/>
          <w:color w:val="000000"/>
          <w:sz w:val="20"/>
        </w:rPr>
        <w:t xml:space="preserve">The accompanying Condensed Consolidated Financial Statements include all accounts of the Company and its wholly-owned and/or controlled subsidiaries, including the Operating Partnership. Under the Accounting Standards Codification 810, </w:t>
      </w:r>
      <w:r>
        <w:rPr>
          <w:rFonts w:ascii="Times New Roman;sans-serif" w:hAnsi="Times New Roman;sans-serif"/>
          <w:b w:val="false"/>
          <w:i/>
          <w:color w:val="000000"/>
          <w:sz w:val="20"/>
        </w:rPr>
        <w:t>Consolidation</w:t>
      </w:r>
      <w:r>
        <w:rPr>
          <w:color w:val="000000"/>
        </w:rPr>
        <w:t xml:space="preserve"> </w:t>
      </w:r>
      <w:r>
        <w:rPr>
          <w:rFonts w:ascii="Times New Roman;sans-serif" w:hAnsi="Times New Roman;sans-serif"/>
          <w:b w:val="false"/>
          <w:color w:val="000000"/>
          <w:sz w:val="20"/>
        </w:rPr>
        <w:t>(“ASC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pStyle w:val="TextBody"/>
        <w:bidi w:val="0"/>
        <w:spacing w:lineRule="auto" w:line="288" w:before="240" w:after="283"/>
        <w:jc w:val="left"/>
        <w:rPr/>
      </w:pPr>
      <w:r>
        <w:rPr>
          <w:rFonts w:ascii="Times New Roman;sans-serif" w:hAnsi="Times New Roman;sans-serif"/>
          <w:b w:val="false"/>
          <w:color w:val="000000"/>
          <w:sz w:val="20"/>
        </w:rPr>
        <w:t xml:space="preserve">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(the “FASB”), and with the applicable rules and regulations of the Securities and Exchange Commission (the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filed with the SEC on </w:t>
      </w:r>
      <w:r>
        <w:rPr>
          <w:rFonts w:ascii="Times New Roman;sans-serif" w:hAnsi="Times New Roman;sans-serif"/>
          <w:b w:val="false"/>
          <w:color w:val="000000"/>
          <w:sz w:val="20"/>
          <w:shd w:fill="FFFFFF" w:val="clear"/>
        </w:rPr>
        <w:t>February 28, 2023</w:t>
      </w:r>
      <w:r>
        <w:rPr>
          <w:rFonts w:ascii="Times New Roman;sans-serif" w:hAnsi="Times New Roman;sans-serif"/>
          <w:b w:val="false"/>
          <w:color w:val="000000"/>
          <w:sz w:val="20"/>
        </w:rPr>
        <w:t xml:space="preserve">, as amended by Amendment No. 1 thereto filed on Form 10-K/A with the SEC on </w:t>
      </w:r>
      <w:r>
        <w:rPr>
          <w:rFonts w:ascii="Times New Roman;sans-serif" w:hAnsi="Times New Roman;sans-serif"/>
          <w:b w:val="false"/>
          <w:color w:val="000000"/>
          <w:sz w:val="20"/>
          <w:shd w:fill="FFFFFF" w:val="clear"/>
        </w:rPr>
        <w:t>March 29, 2023</w:t>
      </w:r>
      <w:r>
        <w:rPr>
          <w:color w:val="000000"/>
        </w:rPr>
        <w:t xml:space="preserve"> </w:t>
      </w:r>
      <w:r>
        <w:rPr>
          <w:rFonts w:ascii="Times New Roman;sans-serif" w:hAnsi="Times New Roman;sans-serif"/>
          <w:b w:val="false"/>
          <w:color w:val="000000"/>
          <w:sz w:val="20"/>
        </w:rPr>
        <w:t xml:space="preserve">(the “Annual Report”). Accordingly, significant accounting policies and other disclosures normally provided have been omitted from the accompanying Condensed Consolidated Financial Statements and related notes since such items are disclosed in our Annual Report. </w:t>
      </w:r>
    </w:p>
    <w:p>
      <w:pPr>
        <w:pStyle w:val="TextBody"/>
        <w:bidi w:val="0"/>
        <w:spacing w:lineRule="auto" w:line="288" w:before="240" w:after="283"/>
        <w:jc w:val="left"/>
        <w:rPr/>
      </w:pPr>
      <w:r>
        <w:rPr>
          <w:rFonts w:ascii="Times New Roman;sans-serif" w:hAnsi="Times New Roman;sans-serif"/>
          <w:b w:val="false"/>
          <w:color w:val="000000"/>
          <w:sz w:val="20"/>
          <w:u w:val="single"/>
          <w:shd w:fill="FFFFFF" w:val="clear"/>
        </w:rPr>
        <w:t>Concentration of Credit Risks</w:t>
      </w:r>
      <w:r>
        <w:rPr>
          <w:color w:val="000000"/>
          <w:shd w:fill="FFFFFF" w:val="clear"/>
        </w:rPr>
        <w:t>—</w:t>
      </w:r>
      <w:r>
        <w:rPr>
          <w:rFonts w:ascii="Times New Roman;sans-serif" w:hAnsi="Times New Roman;sans-serif"/>
          <w:b w:val="false"/>
          <w:color w:val="000000"/>
          <w:sz w:val="20"/>
          <w:shd w:fill="FFFFFF" w:val="clear"/>
        </w:rPr>
        <w:t xml:space="preserve">Prior to September 2020, we were party to a long-term exclusive triple-net lease (the “Master Lease”) with Windstream Holdings, Inc. (together with Windstream Holdings II, LLC, its successor in interest, and its subsidiaries, “Windstream”) pursuant to which a substantial portion of our real property was leased to Windstream and from which a substantial portion of our leasing revenues were derived. On September 18, 2020, Uniti and Windstream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consumer competitive local exchange carrier ("CLEC") operations. Revenue under the Windstream Leases provided 66.9% and 66.3% of our revenue for the six months ended June 30, 2023 and 2022, respectively. Because a substantial portion of our revenue and cash flows are derived from lease payments by Windstream pursuant to the Windstream Leases, there could be a material adverse impact on our consolidated results of operations, liquidity, financial condition and/or ability to pay dividends and service debt if Windstream were to default under the Windstream Leases or otherwise experiences operating or liquidity difficulties and becomes unable to generate sufficient cash to make payments to us.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the date of this Quarterly Report on Form 10-Q,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Both ratings remain current as of the date of this filing. In order to assist us in our continuing assessment of Windstream’s creditworthiness, we periodically receive certain confidential financial information and metrics from Windstream.</w:t>
      </w:r>
    </w:p>
    <w:p>
      <w:pPr>
        <w:pStyle w:val="TextBody"/>
        <w:bidi w:val="0"/>
        <w:spacing w:lineRule="auto" w:line="288"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Recently Adopted Accounting Pronouncements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March 2022, the FASB issued Accounting Standards Update ("ASU") 2022-02, </w:t>
      </w:r>
      <w:r>
        <w:rPr>
          <w:rFonts w:ascii="Times New Roman;sans-serif" w:hAnsi="Times New Roman;sans-serif"/>
          <w:b w:val="false"/>
          <w:i/>
          <w:color w:val="000000"/>
          <w:sz w:val="20"/>
          <w:shd w:fill="FFFFFF" w:val="clear"/>
        </w:rPr>
        <w:t>Financial Instruments—Credit Losses (Topic 326)</w:t>
      </w:r>
      <w:r>
        <w:rPr>
          <w:rFonts w:ascii="Times New Roman;sans-serif" w:hAnsi="Times New Roman;sans-serif"/>
          <w:b w:val="false"/>
          <w:color w:val="000000"/>
          <w:sz w:val="20"/>
          <w:shd w:fill="FFFFFF" w:val="clear"/>
        </w:rPr>
        <w:t xml:space="preserve">: Troubled Debt Restructurings and Vintage Disclosures ("ASU 2022-02"), which eliminates the accounting guidance for troubled debt restructurings and requires the disclosure of current-period gross write-offs of financing receivables and net investment in leases by year of origination. The Company adopted ASU 2022-02 on January 1, 2023, and the adoption had no impact on the Company's consolidated financial statements.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December 2022, the FASB issued ASU 2022-06, </w:t>
      </w:r>
      <w:r>
        <w:rPr>
          <w:rFonts w:ascii="Times New Roman;sans-serif" w:hAnsi="Times New Roman;sans-serif"/>
          <w:b w:val="false"/>
          <w:i/>
          <w:color w:val="000000"/>
          <w:sz w:val="20"/>
          <w:shd w:fill="FFFFFF" w:val="clear"/>
        </w:rPr>
        <w:t>Reference Rate Reform (Topic 848)</w:t>
      </w:r>
      <w:r>
        <w:rPr>
          <w:rFonts w:ascii="Times New Roman;sans-serif" w:hAnsi="Times New Roman;sans-serif"/>
          <w:b w:val="false"/>
          <w:color w:val="000000"/>
          <w:sz w:val="20"/>
          <w:shd w:fill="FFFFFF" w:val="clear"/>
        </w:rPr>
        <w:t>: Deferral of the Sunset Date of Topic 848 ("ASU 2022-06"), which provides additional relief for contract modifications completed after the December 31, 2022 LIBOR sunset date. The amendment allows for a deferral until December 31, 2024.</w:t>
      </w:r>
      <w:r>
        <w:rPr>
          <w:color w:val="000000"/>
        </w:rPr>
        <w:t xml:space="preserve"> </w:t>
      </w:r>
      <w:r>
        <w:rPr>
          <w:rFonts w:ascii="Times New Roman;sans-serif" w:hAnsi="Times New Roman;sans-serif"/>
          <w:b w:val="false"/>
          <w:color w:val="000000"/>
          <w:sz w:val="20"/>
        </w:rPr>
        <w:t>The Company adopted ASU 2022-06 at issuance, and the adoption had no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color w:val="000000"/>
          <w:sz w:val="20"/>
        </w:rPr>
        <w:t>Note 3. Revenues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Disaggregation of Revenues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revenues disaggregated by revenue stream.</w:t>
      </w:r>
    </w:p>
    <w:tbl>
      <w:tblPr>
        <w:tblW w:w="10205" w:type="dxa"/>
        <w:jc w:val="center"/>
        <w:tblInd w:w="0" w:type="dxa"/>
        <w:tblLayout w:type="fixed"/>
        <w:tblCellMar>
          <w:top w:w="28" w:type="dxa"/>
          <w:left w:w="28" w:type="dxa"/>
          <w:bottom w:w="28" w:type="dxa"/>
          <w:right w:w="28" w:type="dxa"/>
        </w:tblCellMar>
      </w:tblPr>
      <w:tblGrid>
        <w:gridCol w:w="1542"/>
        <w:gridCol w:w="1356"/>
        <w:gridCol w:w="1368"/>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54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2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disaggregated by revenue stream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 backhaul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 and wholesale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E-Rate and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115,466 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117,818 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accounted for under leasing guidance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407,903 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accounted for under leasing guidance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444,191 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562,009 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and December 31, 2022, lease receivables were $22.9 million and $26.2 million, respectively, and receivables from contracts with customers were $16.0 million and $16.1 million, respectively.</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Contract Assets (Unbilled Revenue) and Liabilities (Deferred Revenue)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primarily consist of unbilled construction revenue where we are utilizing our costs incurred as the measure of progress of satisfying our performance obligation. Contract assets are reported within accounts receivable, net on our Condensed Consolidated Balance Sheets.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three and six months ended June 30, 2023, we recognized revenues of $2.0 million and $2.6 million which was included in the December 31, 2022 contract liabilities balance.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contract assets and contract liabilities accounted for under ASC 606.</w:t>
      </w:r>
    </w:p>
    <w:tbl>
      <w:tblPr>
        <w:tblW w:w="6053" w:type="dxa"/>
        <w:jc w:val="center"/>
        <w:tblInd w:w="0" w:type="dxa"/>
        <w:tblLayout w:type="fixed"/>
        <w:tblCellMar>
          <w:top w:w="28" w:type="dxa"/>
          <w:left w:w="28" w:type="dxa"/>
          <w:bottom w:w="28" w:type="dxa"/>
          <w:right w:w="28" w:type="dxa"/>
        </w:tblCellMar>
      </w:tblPr>
      <w:tblGrid>
        <w:gridCol w:w="938"/>
        <w:gridCol w:w="826"/>
        <w:gridCol w:w="831"/>
        <w:gridCol w:w="109"/>
        <w:gridCol w:w="109"/>
        <w:gridCol w:w="109"/>
        <w:gridCol w:w="334"/>
        <w:gridCol w:w="738"/>
        <w:gridCol w:w="172"/>
        <w:gridCol w:w="109"/>
        <w:gridCol w:w="109"/>
        <w:gridCol w:w="109"/>
        <w:gridCol w:w="303"/>
        <w:gridCol w:w="1036"/>
        <w:gridCol w:w="221"/>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Contract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Contract Liabilities</w:t>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11,634 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Transaction Price Allocated to Remaining Performance Obligations</w:t>
      </w:r>
    </w:p>
    <w:p>
      <w:pPr>
        <w:pStyle w:val="TextBody"/>
        <w:bidi w:val="0"/>
        <w:spacing w:lineRule="auto" w:line="288" w:before="240" w:after="283"/>
        <w:jc w:val="left"/>
        <w:rPr/>
      </w:pPr>
      <w:r>
        <w:rPr>
          <w:rFonts w:ascii="Times New Roman;sans-serif" w:hAnsi="Times New Roman;sans-serif"/>
          <w:b w:val="false"/>
          <w:color w:val="000000"/>
          <w:sz w:val="20"/>
        </w:rPr>
        <w:t>Performance obligations within contracts to stand ready to provide services are typically satisfied over time or as those services are provided. Contract liabilities primarily relate to deferred revenue from upfront customer payments. The deferred revenue is recognized, and the liability reduced, over the contract term as the Company completes the performance obligation. As of June 30, 2023, our future revenues (i.e., transaction price related to remaining performance obligations) under contract accounted for under ASC 606 totaled $534.5 million, of which $466.1 million is related to contracts that are currently being invoiced and have an average remaining contract term of 2.3 years, while $68.4 million represents our backlog for sales bookings which have yet to be installed and have an average contract term of</w:t>
      </w:r>
      <w:r>
        <w:rPr>
          <w:color w:val="000000"/>
        </w:rPr>
        <w:t xml:space="preserve"> </w:t>
      </w:r>
      <w:r>
        <w:rPr>
          <w:rFonts w:ascii="Times New Roman;sans-serif" w:hAnsi="Times New Roman;sans-serif"/>
          <w:b w:val="false"/>
          <w:color w:val="000000"/>
          <w:sz w:val="20"/>
        </w:rPr>
        <w:t>5.2 years.</w:t>
      </w:r>
      <w:r>
        <w:rPr>
          <w:color w:val="000000"/>
        </w:rPr>
        <w:t xml:space="preserve"> </w:t>
      </w:r>
      <w:r>
        <w:rPr>
          <w:rFonts w:ascii="Times New Roman;sans-serif" w:hAnsi="Times New Roman;sans-serif"/>
          <w:b w:val="false"/>
          <w:color w:val="000000"/>
          <w:sz w:val="20"/>
        </w:rPr>
        <w:t>We do not disclose the value of unsatisfied performance obligations for contracts that have an original expected duration of one year or 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4. Leases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Lessor Accounting</w:t>
      </w:r>
    </w:p>
    <w:p>
      <w:pPr>
        <w:pStyle w:val="TextBody"/>
        <w:bidi w:val="0"/>
        <w:spacing w:lineRule="auto" w:line="288" w:before="240" w:after="283"/>
        <w:jc w:val="left"/>
        <w:rPr/>
      </w:pPr>
      <w:r>
        <w:rPr>
          <w:rFonts w:ascii="Times New Roman;sans-serif" w:hAnsi="Times New Roman;sans-serif"/>
          <w:b w:val="false"/>
          <w:color w:val="000000"/>
          <w:sz w:val="20"/>
        </w:rPr>
        <w:t>We lease communications towers, ground space, colocation space and dark fiber to tenants under operating leases. Our leases have initial lease terms ranging from less than one year to 35 years, most of which include options to extend or renew the leases for less than one year to 20 years (based on the satisfaction of certain conditions as defined in the lease agreements), and some of which may include options to terminate the leases within one to six months</w:t>
      </w:r>
      <w:r>
        <w:rPr>
          <w:rFonts w:ascii="Arial;sans-serif" w:hAnsi="Arial;sans-serif"/>
          <w:b w:val="false"/>
          <w:color w:val="000000"/>
          <w:sz w:val="24"/>
        </w:rPr>
        <w:t>.</w:t>
      </w:r>
      <w:r>
        <w:rPr>
          <w:color w:val="000000"/>
        </w:rPr>
        <w:t xml:space="preserve"> </w:t>
      </w:r>
      <w:r>
        <w:rPr>
          <w:rFonts w:ascii="Times New Roman;sans-serif" w:hAnsi="Times New Roman;sans-serif"/>
          <w:b w:val="false"/>
          <w:color w:val="000000"/>
          <w:sz w:val="20"/>
        </w:rPr>
        <w:t>Certain lease agreements contain provisions for future rent increases. Payments due under the lease contracts include fixed payments plus, for some of our leases, variable payments.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income for the three and six months ended June 30, 2023 and 2022, respectively, are as follows:</w:t>
      </w:r>
    </w:p>
    <w:tbl>
      <w:tblPr>
        <w:tblW w:w="8621" w:type="dxa"/>
        <w:jc w:val="center"/>
        <w:tblInd w:w="0" w:type="dxa"/>
        <w:tblLayout w:type="fixed"/>
        <w:tblCellMar>
          <w:top w:w="28" w:type="dxa"/>
          <w:left w:w="28" w:type="dxa"/>
          <w:bottom w:w="28" w:type="dxa"/>
          <w:right w:w="28" w:type="dxa"/>
        </w:tblCellMar>
      </w:tblPr>
      <w:tblGrid>
        <w:gridCol w:w="971"/>
        <w:gridCol w:w="851"/>
        <w:gridCol w:w="86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income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Lease payments to be received under non-cancellable operating leases where we are the lessor for the remainder of the lease terms as of June 30, 2023 are as follows:</w:t>
      </w:r>
    </w:p>
    <w:tbl>
      <w:tblPr>
        <w:tblW w:w="9133" w:type="dxa"/>
        <w:jc w:val="center"/>
        <w:tblInd w:w="0" w:type="dxa"/>
        <w:tblLayout w:type="fixed"/>
        <w:tblCellMar>
          <w:top w:w="28" w:type="dxa"/>
          <w:left w:w="28" w:type="dxa"/>
          <w:bottom w:w="28" w:type="dxa"/>
          <w:right w:w="28" w:type="dxa"/>
        </w:tblCellMar>
      </w:tblPr>
      <w:tblGrid>
        <w:gridCol w:w="1836"/>
        <w:gridCol w:w="1544"/>
        <w:gridCol w:w="1559"/>
        <w:gridCol w:w="274"/>
        <w:gridCol w:w="274"/>
        <w:gridCol w:w="274"/>
        <w:gridCol w:w="530"/>
        <w:gridCol w:w="2455"/>
        <w:gridCol w:w="387"/>
      </w:tblGrid>
      <w:tr>
        <w:trPr/>
        <w:tc>
          <w:tcPr>
            <w:tcW w:w="1836"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4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2023⁽¹⁾</w:t>
            </w:r>
          </w:p>
        </w:tc>
      </w:tr>
      <w:tr>
        <w:trPr/>
        <w:tc>
          <w:tcPr>
            <w:tcW w:w="4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391,429 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802,346 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807,463 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809,009 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809,987 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2,340,773 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receivables</w:t>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5,961,007 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33" w:type="dxa"/>
            <w:gridSpan w:val="9"/>
            <w:tcBorders/>
            <w:shd w:fill="FFFFFF" w:val="clear"/>
            <w:tcMar>
              <w:top w:w="0" w:type="dxa"/>
              <w:left w:w="0" w:type="dxa"/>
              <w:bottom w:w="0" w:type="dxa"/>
              <w:right w:w="0" w:type="dxa"/>
            </w:tcMar>
            <w:vAlign w:val="center"/>
          </w:tcPr>
          <w:p>
            <w:pPr>
              <w:pStyle w:val="TableContents"/>
              <w:bidi w:val="0"/>
              <w:spacing w:lineRule="auto" w:line="276" w:before="15"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Total future minimum lease payments to be received include $5.0 billion relating to the Windstream Leases.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underlying assets under operating leases where we are the lessor are summarized as follows:</w:t>
      </w:r>
    </w:p>
    <w:tbl>
      <w:tblPr>
        <w:tblW w:w="7260" w:type="dxa"/>
        <w:jc w:val="center"/>
        <w:tblInd w:w="0" w:type="dxa"/>
        <w:tblLayout w:type="fixed"/>
        <w:tblCellMar>
          <w:top w:w="28" w:type="dxa"/>
          <w:left w:w="28" w:type="dxa"/>
          <w:bottom w:w="28" w:type="dxa"/>
          <w:right w:w="28" w:type="dxa"/>
        </w:tblCellMar>
      </w:tblPr>
      <w:tblGrid>
        <w:gridCol w:w="1361"/>
        <w:gridCol w:w="1195"/>
        <w:gridCol w:w="1209"/>
        <w:gridCol w:w="109"/>
        <w:gridCol w:w="109"/>
        <w:gridCol w:w="109"/>
        <w:gridCol w:w="211"/>
        <w:gridCol w:w="976"/>
        <w:gridCol w:w="109"/>
        <w:gridCol w:w="109"/>
        <w:gridCol w:w="109"/>
        <w:gridCol w:w="109"/>
        <w:gridCol w:w="243"/>
        <w:gridCol w:w="1125"/>
        <w:gridCol w:w="177"/>
      </w:tblGrid>
      <w:tr>
        <w:trPr/>
        <w:tc>
          <w:tcPr>
            <w:tcW w:w="136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346,093 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296,941 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3,529,835 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3,964,439 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Conduit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89,963 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8,477,785 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8,294,214 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(5,542,726)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Underlying assets under operating leases,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2,861,014 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2,751,488 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the underlying assets under operating leases where we are the lessor for the three and six months ended June 30, 2023 and 2022, respectively, is summarized as follows:</w:t>
      </w:r>
    </w:p>
    <w:tbl>
      <w:tblPr>
        <w:tblW w:w="10205" w:type="dxa"/>
        <w:jc w:val="center"/>
        <w:tblInd w:w="0" w:type="dxa"/>
        <w:tblLayout w:type="fixed"/>
        <w:tblCellMar>
          <w:top w:w="28" w:type="dxa"/>
          <w:left w:w="28" w:type="dxa"/>
          <w:bottom w:w="28" w:type="dxa"/>
          <w:right w:w="28" w:type="dxa"/>
        </w:tblCellMar>
      </w:tblPr>
      <w:tblGrid>
        <w:gridCol w:w="1693"/>
        <w:gridCol w:w="1489"/>
        <w:gridCol w:w="1505"/>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693"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68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underlying assets under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Lessee Accounting</w:t>
      </w:r>
    </w:p>
    <w:p>
      <w:pPr>
        <w:pStyle w:val="TextBody"/>
        <w:bidi w:val="0"/>
        <w:spacing w:lineRule="auto" w:line="288" w:before="240" w:after="283"/>
        <w:jc w:val="left"/>
        <w:rPr/>
      </w:pPr>
      <w:r>
        <w:rPr>
          <w:rFonts w:ascii="Times New Roman;sans-serif" w:hAnsi="Times New Roman;sans-serif"/>
          <w:b w:val="false"/>
          <w:color w:val="000000"/>
          <w:sz w:val="20"/>
        </w:rPr>
        <w:t>We have commitments under operating leases for communications towers, ground space, colocation space, dark fiber and buildings. We also have finance leases for dark fiber and automobiles. Our leases have initial lease terms ranging from less than one year to 30 years, most of which include options to extend or renew the leases for less than one year to 20 years</w:t>
      </w:r>
      <w:r>
        <w:rPr>
          <w:rFonts w:ascii="Arial;sans-serif" w:hAnsi="Arial;sans-serif"/>
          <w:b w:val="false"/>
          <w:color w:val="000000"/>
          <w:sz w:val="24"/>
        </w:rPr>
        <w:t>,</w:t>
      </w:r>
      <w:r>
        <w:rPr>
          <w:color w:val="000000"/>
        </w:rPr>
        <w:t xml:space="preserve"> </w:t>
      </w:r>
      <w:r>
        <w:rPr>
          <w:rFonts w:ascii="Times New Roman;sans-serif" w:hAnsi="Times New Roman;sans-serif"/>
          <w:b w:val="false"/>
          <w:color w:val="000000"/>
          <w:sz w:val="20"/>
        </w:rPr>
        <w:t>and some of which may include options to terminate the leases within one to six months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Certain lease agreements contain provisions for future rent increases. Payments due under the lease contracts include fixed payments plus, for some of our leases, variable payments.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have short term lease commitments amounting to approximately $3.25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lease payments under non-cancellable leases as of June 30, 2023 are as follows:</w:t>
      </w:r>
    </w:p>
    <w:tbl>
      <w:tblPr>
        <w:tblW w:w="6322" w:type="dxa"/>
        <w:jc w:val="center"/>
        <w:tblInd w:w="0" w:type="dxa"/>
        <w:tblLayout w:type="fixed"/>
        <w:tblCellMar>
          <w:top w:w="28" w:type="dxa"/>
          <w:left w:w="28" w:type="dxa"/>
          <w:bottom w:w="28" w:type="dxa"/>
          <w:right w:w="28" w:type="dxa"/>
        </w:tblCellMar>
      </w:tblPr>
      <w:tblGrid>
        <w:gridCol w:w="1110"/>
        <w:gridCol w:w="933"/>
        <w:gridCol w:w="941"/>
        <w:gridCol w:w="109"/>
        <w:gridCol w:w="109"/>
        <w:gridCol w:w="109"/>
        <w:gridCol w:w="259"/>
        <w:gridCol w:w="1017"/>
        <w:gridCol w:w="134"/>
        <w:gridCol w:w="109"/>
        <w:gridCol w:w="109"/>
        <w:gridCol w:w="109"/>
        <w:gridCol w:w="247"/>
        <w:gridCol w:w="847"/>
        <w:gridCol w:w="180"/>
      </w:tblGrid>
      <w:tr>
        <w:trPr/>
        <w:tc>
          <w:tcPr>
            <w:tcW w:w="11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Operating Leases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Finance Leases </w:t>
            </w:r>
          </w:p>
        </w:tc>
      </w:tr>
      <w:tr>
        <w:trPr/>
        <w:tc>
          <w:tcPr>
            <w:tcW w:w="298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8,644 </w:t>
            </w:r>
          </w:p>
        </w:tc>
        <w:tc>
          <w:tcPr>
            <w:tcW w:w="13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8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160,743 </w:t>
            </w:r>
          </w:p>
        </w:tc>
        <w:tc>
          <w:tcPr>
            <w:tcW w:w="13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24,345 </w:t>
            </w:r>
          </w:p>
        </w:tc>
        <w:tc>
          <w:tcPr>
            <w:tcW w:w="18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82,151 </w:t>
            </w:r>
          </w:p>
        </w:tc>
        <w:tc>
          <w:tcPr>
            <w:tcW w:w="13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15,881 </w:t>
            </w:r>
          </w:p>
        </w:tc>
        <w:tc>
          <w:tcPr>
            <w:tcW w:w="18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Investments in Unconsolidated Entities</w:t>
      </w:r>
    </w:p>
    <w:p>
      <w:pPr>
        <w:pStyle w:val="TextBody"/>
        <w:bidi w:val="0"/>
        <w:spacing w:lineRule="auto" w:line="288" w:before="240" w:after="283"/>
        <w:jc w:val="left"/>
        <w:rPr>
          <w:rFonts w:ascii="Times New Roman;sans-serif" w:hAnsi="Times New Roman;sans-serif"/>
          <w:b w:val="false"/>
          <w:i/>
          <w:color w:val="212529"/>
          <w:sz w:val="20"/>
        </w:rPr>
      </w:pPr>
      <w:r>
        <w:rPr>
          <w:rFonts w:ascii="Times New Roman;sans-serif" w:hAnsi="Times New Roman;sans-serif"/>
          <w:b w:val="false"/>
          <w:i/>
          <w:color w:val="212529"/>
          <w:sz w:val="20"/>
        </w:rPr>
        <w:t>Fiber Holdings</w:t>
      </w:r>
    </w:p>
    <w:p>
      <w:pPr>
        <w:pStyle w:val="TextBody"/>
        <w:bidi w:val="0"/>
        <w:spacing w:lineRule="auto" w:line="288" w:before="240" w:after="283"/>
        <w:jc w:val="left"/>
        <w:rPr/>
      </w:pPr>
      <w:r>
        <w:rPr>
          <w:rFonts w:ascii="Times New Roman;sans-serif" w:hAnsi="Times New Roman;sans-serif"/>
          <w:b w:val="false"/>
          <w:color w:val="212529"/>
          <w:sz w:val="20"/>
        </w:rPr>
        <w:t>BB Fiber Holdings LLC (</w:t>
      </w:r>
      <w:r>
        <w:rPr>
          <w:color w:val="000000"/>
          <w:shd w:fill="FFFFFF" w:val="clear"/>
        </w:rPr>
        <w:t>“</w:t>
      </w:r>
      <w:r>
        <w:rPr>
          <w:rFonts w:ascii="Times New Roman;sans-serif" w:hAnsi="Times New Roman;sans-serif"/>
          <w:b w:val="false"/>
          <w:color w:val="000000"/>
          <w:sz w:val="20"/>
          <w:shd w:fill="FFFFFF" w:val="clear"/>
        </w:rPr>
        <w:t>Fiber Holdings”</w:t>
      </w:r>
      <w:r>
        <w:rPr>
          <w:rFonts w:ascii="Times New Roman;sans-serif" w:hAnsi="Times New Roman;sans-serif"/>
          <w:b w:val="false"/>
          <w:color w:val="212529"/>
          <w:sz w:val="20"/>
        </w:rPr>
        <w:t xml:space="preserve">) </w:t>
      </w:r>
      <w:r>
        <w:rPr>
          <w:rFonts w:ascii="Times New Roman;sans-serif" w:hAnsi="Times New Roman;sans-serif"/>
          <w:b w:val="false"/>
          <w:color w:val="000000"/>
          <w:sz w:val="20"/>
        </w:rPr>
        <w:t xml:space="preserve">was primarily established to develop fiber networks as real estate property for long-term investment. </w:t>
      </w:r>
      <w:r>
        <w:rPr>
          <w:rFonts w:ascii="Times New Roman;sans-serif" w:hAnsi="Times New Roman;sans-serif"/>
          <w:b w:val="false"/>
          <w:color w:val="000000"/>
          <w:sz w:val="20"/>
          <w:shd w:fill="FFFFFF" w:val="clear"/>
        </w:rPr>
        <w:t xml:space="preserve">On July 1, 2020, the Company completed the sale of an ownership stake in the entity that controls the Company’s Midwest fiber network assets (the “Propco”). </w:t>
      </w:r>
      <w:r>
        <w:rPr>
          <w:rFonts w:ascii="Times New Roman;sans-serif" w:hAnsi="Times New Roman;sans-serif"/>
          <w:b w:val="false"/>
          <w:color w:val="000000"/>
          <w:sz w:val="20"/>
        </w:rPr>
        <w:t xml:space="preserve">Fiber Holdings has a 47.5% ownership in the Propco that is under a long-term, triple net lease with our joint venture partner. Our ownership interest in Fiber Holdings represents approximately a 20% economic interest in the Propco. The Company’s current investment and maximum exposure to loss as a result of its involvement with </w:t>
      </w:r>
      <w:r>
        <w:rPr>
          <w:rFonts w:ascii="Times New Roman;sans-serif" w:hAnsi="Times New Roman;sans-serif"/>
          <w:b w:val="false"/>
          <w:color w:val="212529"/>
          <w:sz w:val="20"/>
        </w:rPr>
        <w:t>Fiber Holdings, an equity method unconsolidated entity,</w:t>
      </w:r>
      <w:r>
        <w:rPr>
          <w:color w:val="000000"/>
        </w:rPr>
        <w:t xml:space="preserve"> </w:t>
      </w:r>
      <w:r>
        <w:rPr>
          <w:rFonts w:ascii="Times New Roman;sans-serif" w:hAnsi="Times New Roman;sans-serif"/>
          <w:b w:val="false"/>
          <w:color w:val="000000"/>
          <w:sz w:val="20"/>
        </w:rPr>
        <w:t xml:space="preserve">was approximately $38.0 million as of June 30, 2023. The Company has not provided financial support to </w:t>
      </w:r>
      <w:r>
        <w:rPr>
          <w:rFonts w:ascii="Times New Roman;sans-serif" w:hAnsi="Times New Roman;sans-serif"/>
          <w:b w:val="false"/>
          <w:color w:val="212529"/>
          <w:sz w:val="20"/>
        </w:rPr>
        <w:t>Fiber Holdings.</w:t>
      </w:r>
    </w:p>
    <w:p>
      <w:pPr>
        <w:pStyle w:val="TextBody"/>
        <w:bidi w:val="0"/>
        <w:spacing w:lineRule="auto" w:line="288" w:before="240" w:after="283"/>
        <w:jc w:val="left"/>
        <w:rPr>
          <w:rFonts w:ascii="Times New Roman;sans-serif" w:hAnsi="Times New Roman;sans-serif"/>
          <w:b w:val="false"/>
          <w:i/>
          <w:color w:val="212529"/>
          <w:sz w:val="20"/>
        </w:rPr>
      </w:pPr>
      <w:r>
        <w:rPr>
          <w:rFonts w:ascii="Times New Roman;sans-serif" w:hAnsi="Times New Roman;sans-serif"/>
          <w:b w:val="false"/>
          <w:i/>
          <w:color w:val="212529"/>
          <w:sz w:val="20"/>
        </w:rPr>
        <w:t>Harmoni</w:t>
      </w:r>
    </w:p>
    <w:p>
      <w:pPr>
        <w:pStyle w:val="TextBody"/>
        <w:bidi w:val="0"/>
        <w:spacing w:lineRule="auto" w:line="288" w:before="240" w:after="283"/>
        <w:jc w:val="left"/>
        <w:rPr>
          <w:rFonts w:ascii="Times New Roman;sans-serif" w:hAnsi="Times New Roman;sans-serif"/>
          <w:b w:val="false"/>
          <w:color w:val="212529"/>
          <w:sz w:val="20"/>
        </w:rPr>
      </w:pPr>
      <w:r>
        <w:rPr>
          <w:rFonts w:ascii="Times New Roman;sans-serif" w:hAnsi="Times New Roman;sans-serif"/>
          <w:b w:val="false"/>
          <w:color w:val="212529"/>
          <w:sz w:val="20"/>
        </w:rPr>
        <w:t>On June 21, 2022, the Company completed the sale of its investment in Harmoni Towers LP to Palistar Communications Infrastructure GP LLC, our partner in the investment, for total cash consideration of $32.5 million. As a result of the transaction, during the second quarter of 2022 we recorded a pre-tax gain of $7.9 million within other expense (income), net and $6.7 million of income tax expense within our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6. Fair Value of Financial Instruments</w:t>
      </w:r>
    </w:p>
    <w:p>
      <w:pPr>
        <w:pStyle w:val="TextBody"/>
        <w:bidi w:val="0"/>
        <w:spacing w:lineRule="auto" w:line="288" w:before="240" w:after="283"/>
        <w:jc w:val="left"/>
        <w:rPr/>
      </w:pPr>
      <w:r>
        <w:rPr>
          <w:rFonts w:ascii="Times New Roman;sans-serif" w:hAnsi="Times New Roman;sans-serif"/>
          <w:b w:val="false"/>
          <w:color w:val="000000"/>
          <w:sz w:val="20"/>
        </w:rPr>
        <w:t xml:space="preserve">FASB ASC 820, </w:t>
      </w:r>
      <w:r>
        <w:rPr>
          <w:rFonts w:ascii="Times New Roman;sans-serif" w:hAnsi="Times New Roman;sans-serif"/>
          <w:b w:val="false"/>
          <w:i/>
          <w:color w:val="000000"/>
          <w:sz w:val="20"/>
        </w:rPr>
        <w:t>Fair Value</w:t>
      </w:r>
      <w:r>
        <w:rPr>
          <w:color w:val="000000"/>
        </w:rPr>
        <w:t xml:space="preserve"> </w:t>
      </w:r>
      <w:r>
        <w:rPr>
          <w:rFonts w:ascii="Times New Roman;sans-serif" w:hAnsi="Times New Roman;sans-serif"/>
          <w:b w:val="false"/>
          <w:i/>
          <w:color w:val="000000"/>
          <w:sz w:val="20"/>
        </w:rPr>
        <w:t>Measurements</w:t>
      </w:r>
      <w:r>
        <w:rPr>
          <w:rFonts w:ascii="Times New Roman;sans-serif" w:hAnsi="Times New Roman;sans-serif"/>
          <w:b w:val="false"/>
          <w:color w:val="000000"/>
          <w:sz w:val="20"/>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pStyle w:val="TextBody"/>
        <w:bidi w:val="0"/>
        <w:spacing w:lineRule="auto" w:line="288" w:before="120" w:after="283"/>
        <w:jc w:val="left"/>
        <w:rPr/>
      </w:pPr>
      <w:r>
        <w:rPr>
          <w:rFonts w:ascii="Times New Roman;sans-serif" w:hAnsi="Times New Roman;sans-serif"/>
          <w:b/>
          <w:i/>
          <w:color w:val="000000"/>
          <w:sz w:val="20"/>
        </w:rPr>
        <w:t>Level 1</w:t>
      </w:r>
      <w:r>
        <w:rPr>
          <w:color w:val="000000"/>
        </w:rPr>
        <w:t xml:space="preserve"> – </w:t>
      </w:r>
      <w:r>
        <w:rPr>
          <w:rFonts w:ascii="Times New Roman;sans-serif" w:hAnsi="Times New Roman;sans-serif"/>
          <w:b w:val="false"/>
          <w:color w:val="000000"/>
          <w:sz w:val="20"/>
        </w:rPr>
        <w:t>Quoted prices (unadjusted) in active markets for identical assets or liabilities that the reporting entity can access at the assessment date;</w:t>
      </w:r>
    </w:p>
    <w:p>
      <w:pPr>
        <w:pStyle w:val="TextBody"/>
        <w:bidi w:val="0"/>
        <w:spacing w:lineRule="auto" w:line="288" w:before="120" w:after="283"/>
        <w:jc w:val="left"/>
        <w:rPr/>
      </w:pPr>
      <w:r>
        <w:rPr>
          <w:rFonts w:ascii="Times New Roman;sans-serif" w:hAnsi="Times New Roman;sans-serif"/>
          <w:b/>
          <w:i/>
          <w:color w:val="000000"/>
          <w:sz w:val="20"/>
        </w:rPr>
        <w:t>Level 2</w:t>
      </w:r>
      <w:r>
        <w:rPr>
          <w:color w:val="000000"/>
        </w:rPr>
        <w:t xml:space="preserve"> – </w:t>
      </w:r>
      <w:r>
        <w:rPr>
          <w:rFonts w:ascii="Times New Roman;sans-serif" w:hAnsi="Times New Roman;sans-serif"/>
          <w:b w:val="false"/>
          <w:color w:val="000000"/>
          <w:sz w:val="20"/>
        </w:rPr>
        <w:t>Inputs other than quoted prices included within Level 1 that are observable for the asset or liability, either directly or indirectly; and</w:t>
      </w:r>
    </w:p>
    <w:p>
      <w:pPr>
        <w:pStyle w:val="TextBody"/>
        <w:bidi w:val="0"/>
        <w:spacing w:lineRule="auto" w:line="288" w:before="120" w:after="283"/>
        <w:jc w:val="left"/>
        <w:rPr/>
      </w:pPr>
      <w:r>
        <w:rPr>
          <w:rFonts w:ascii="Times New Roman;sans-serif" w:hAnsi="Times New Roman;sans-serif"/>
          <w:b/>
          <w:i/>
          <w:color w:val="000000"/>
          <w:sz w:val="20"/>
        </w:rPr>
        <w:t>Level 3</w:t>
      </w:r>
      <w:r>
        <w:rPr>
          <w:color w:val="000000"/>
        </w:rPr>
        <w:t xml:space="preserve"> – </w:t>
      </w:r>
      <w:r>
        <w:rPr>
          <w:rFonts w:ascii="Times New Roman;sans-serif" w:hAnsi="Times New Roman;sans-serif"/>
          <w:b w:val="false"/>
          <w:color w:val="000000"/>
          <w:sz w:val="20"/>
        </w:rPr>
        <w:t>Unobservable inputs for the asset or liability.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instruments consist of cash and cash equivalents, accounts and other receivables, our outstanding notes and other debt, settlement payable, interest and dividends payable.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our financial instruments at June 30, 2023 and December 31, 2022:</w:t>
      </w:r>
    </w:p>
    <w:tbl>
      <w:tblPr>
        <w:tblW w:w="10205" w:type="dxa"/>
        <w:jc w:val="center"/>
        <w:tblInd w:w="0" w:type="dxa"/>
        <w:tblLayout w:type="fixed"/>
        <w:tblCellMar>
          <w:top w:w="28" w:type="dxa"/>
          <w:left w:w="28" w:type="dxa"/>
          <w:bottom w:w="28" w:type="dxa"/>
          <w:right w:w="28" w:type="dxa"/>
        </w:tblCellMar>
      </w:tblPr>
      <w:tblGrid>
        <w:gridCol w:w="1320"/>
        <w:gridCol w:w="982"/>
        <w:gridCol w:w="985"/>
        <w:gridCol w:w="109"/>
        <w:gridCol w:w="109"/>
        <w:gridCol w:w="109"/>
        <w:gridCol w:w="211"/>
        <w:gridCol w:w="976"/>
        <w:gridCol w:w="109"/>
        <w:gridCol w:w="109"/>
        <w:gridCol w:w="109"/>
        <w:gridCol w:w="109"/>
        <w:gridCol w:w="335"/>
        <w:gridCol w:w="645"/>
        <w:gridCol w:w="173"/>
        <w:gridCol w:w="109"/>
        <w:gridCol w:w="109"/>
        <w:gridCol w:w="109"/>
        <w:gridCol w:w="274"/>
        <w:gridCol w:w="1272"/>
        <w:gridCol w:w="142"/>
        <w:gridCol w:w="109"/>
        <w:gridCol w:w="109"/>
        <w:gridCol w:w="109"/>
        <w:gridCol w:w="402"/>
        <w:gridCol w:w="773"/>
        <w:gridCol w:w="298"/>
      </w:tblGrid>
      <w:tr>
        <w:trPr/>
        <w:tc>
          <w:tcPr>
            <w:tcW w:w="13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28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Markets</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xml:space="preserve">Prices with Other Observable </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Inputs</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Prices with Unobservable</w:t>
              <w:br/>
              <w:t>Inputs (Level 3)</w:t>
            </w:r>
          </w:p>
        </w:tc>
      </w:tr>
      <w:tr>
        <w:trPr/>
        <w:tc>
          <w:tcPr>
            <w:tcW w:w="3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32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328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- 10.50%, due February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2,592,304 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- 4.75%, due April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473,089 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senior notes - 4.00%, due June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119,449 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- 7.50% due December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263,366 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- 6.50%, due February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774,370 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- 6.00%, due January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472,948 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variable rate, due December 10,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32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4,976,567 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29"/>
        <w:gridCol w:w="985"/>
        <w:gridCol w:w="990"/>
        <w:gridCol w:w="109"/>
        <w:gridCol w:w="109"/>
        <w:gridCol w:w="109"/>
        <w:gridCol w:w="211"/>
        <w:gridCol w:w="976"/>
        <w:gridCol w:w="109"/>
        <w:gridCol w:w="109"/>
        <w:gridCol w:w="109"/>
        <w:gridCol w:w="109"/>
        <w:gridCol w:w="335"/>
        <w:gridCol w:w="645"/>
        <w:gridCol w:w="173"/>
        <w:gridCol w:w="109"/>
        <w:gridCol w:w="109"/>
        <w:gridCol w:w="109"/>
        <w:gridCol w:w="271"/>
        <w:gridCol w:w="1258"/>
        <w:gridCol w:w="140"/>
        <w:gridCol w:w="109"/>
        <w:gridCol w:w="109"/>
        <w:gridCol w:w="109"/>
        <w:gridCol w:w="402"/>
        <w:gridCol w:w="773"/>
        <w:gridCol w:w="300"/>
      </w:tblGrid>
      <w:tr>
        <w:trPr/>
        <w:tc>
          <w:tcPr>
            <w:tcW w:w="132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33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Markets</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Prices with Other Observable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Inputs</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Prices with Unobservable</w:t>
              <w:br/>
              <w:t>Inputs (Level 3)</w:t>
            </w:r>
          </w:p>
        </w:tc>
      </w:tr>
      <w:tr>
        <w:trPr/>
        <w:tc>
          <w:tcPr>
            <w:tcW w:w="3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- 7.875%, due February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2,208,319 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- 4.75%, due April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469,740 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senior notes - 4.00%, due June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127,024 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- 6.50% , due February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759,917 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- 6.00%, due January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- 7.50%, due December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297,765 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secured revolving credit facility, variable rate, due December 10, 2024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187,981 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232,350 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4,750,497 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cash and cash equivalents, accounts and other receivables, and accounts, interest and dividends payable approximate fair values due to the short-term nature of these financial instruments.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principal balance of our outstanding notes and other debt was $5.50 billion at June 30, 2023, with a fair value of $4.78 billion. The estimated fair value of our outstanding notes and other debt was based on available external pricing data and current market rates for similar debt instruments, among other factors, which are classified as Level 2 inputs within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Uniti is required to make $490.1 million of cash payments to Windstream in equal installments over 20 consecutive quarters beginning October 2020 (the “Settlement Payable”). </w:t>
      </w:r>
      <w:hyperlink w:anchor="i03eceef3119f4cad87979fef1ca58b0e_76">
        <w:r>
          <w:rPr>
            <w:rStyle w:val="InternetLink"/>
            <w:rFonts w:ascii="Times New Roman;sans-serif" w:hAnsi="Times New Roman;sans-serif"/>
            <w:b w:val="false"/>
            <w:color w:val="0000FF"/>
            <w:sz w:val="20"/>
            <w:u w:val="single"/>
            <w:shd w:fill="FFFFFF" w:val="clear"/>
          </w:rPr>
          <w:t xml:space="preserve">See </w:t>
        </w:r>
      </w:hyperlink>
      <w:hyperlink w:anchor="i03eceef3119f4cad87979fef1ca58b0e_76">
        <w:r>
          <w:rPr>
            <w:rStyle w:val="InternetLink"/>
            <w:rFonts w:ascii="Times New Roman;sans-serif" w:hAnsi="Times New Roman;sans-serif"/>
            <w:b w:val="false"/>
            <w:color w:val="0000FF"/>
            <w:sz w:val="20"/>
            <w:u w:val="single"/>
          </w:rPr>
          <w:t>Note 13</w:t>
        </w:r>
      </w:hyperlink>
      <w:r>
        <w:rPr>
          <w:rFonts w:ascii="Times New Roman;sans-serif" w:hAnsi="Times New Roman;sans-serif"/>
          <w:b w:val="false"/>
          <w:color w:val="000000"/>
          <w:sz w:val="20"/>
          <w:shd w:fill="FFFFFF" w:val="clear"/>
        </w:rPr>
        <w:t xml:space="preserve">. The Settlement Payable was initially recorded at fair value, using the present value of future cash flows. The future cash flows are discounted using discount rate inputs based on observable market data. Accordingly, we classify inputs used as Level 2 in the fair value hierarchy. As of June 30, 2023, the remaining Settlement Payable is $207.9 million and is reported on our Condensed Consolidated Balance Sheets. </w:t>
      </w:r>
      <w:r>
        <w:rPr>
          <w:rFonts w:ascii="Times New Roman;sans-serif" w:hAnsi="Times New Roman;sans-serif"/>
          <w:b w:val="false"/>
          <w:color w:val="000000"/>
          <w:sz w:val="20"/>
        </w:rPr>
        <w:t>There have been no changes in the valuation methodologies used since the initial recording.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7. Property, Plant and Equipment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property, plant and equipment is as follows:</w:t>
      </w:r>
    </w:p>
    <w:tbl>
      <w:tblPr>
        <w:tblW w:w="8156" w:type="dxa"/>
        <w:jc w:val="center"/>
        <w:tblInd w:w="0" w:type="dxa"/>
        <w:tblLayout w:type="fixed"/>
        <w:tblCellMar>
          <w:top w:w="28" w:type="dxa"/>
          <w:left w:w="28" w:type="dxa"/>
          <w:bottom w:w="28" w:type="dxa"/>
          <w:right w:w="28" w:type="dxa"/>
        </w:tblCellMar>
      </w:tblPr>
      <w:tblGrid>
        <w:gridCol w:w="1051"/>
        <w:gridCol w:w="924"/>
        <w:gridCol w:w="935"/>
        <w:gridCol w:w="109"/>
        <w:gridCol w:w="109"/>
        <w:gridCol w:w="109"/>
        <w:gridCol w:w="474"/>
        <w:gridCol w:w="474"/>
        <w:gridCol w:w="476"/>
        <w:gridCol w:w="109"/>
        <w:gridCol w:w="109"/>
        <w:gridCol w:w="109"/>
        <w:gridCol w:w="211"/>
        <w:gridCol w:w="976"/>
        <w:gridCol w:w="109"/>
        <w:gridCol w:w="109"/>
        <w:gridCol w:w="109"/>
        <w:gridCol w:w="109"/>
        <w:gridCol w:w="243"/>
        <w:gridCol w:w="1125"/>
        <w:gridCol w:w="177"/>
      </w:tblGrid>
      <w:tr>
        <w:trPr/>
        <w:tc>
          <w:tcPr>
            <w:tcW w:w="10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Depreciable Lives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Indefinite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3 - 40 years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363,077 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296,941 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4,434,506 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5 - 7 years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399,473 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3,964,439 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Conduit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89,963 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15 - 20 years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3 - 7 years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9,728,177 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(6,097,614)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(5,973,630)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3,754,547 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See our Annual Report for property, plant and equipment accounting policies.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for the three and six months ended June 30, 2023 was $69.8 million and $139.2 million, respectively. Depreciation expense for the three and six months ended June 30, 2022 was $64.9 million and $128.9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8. Derivative Instruments and Hedging Activities</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Exchangeable Notes Hedge Transactions</w:t>
      </w:r>
    </w:p>
    <w:p>
      <w:pPr>
        <w:pStyle w:val="TextBody"/>
        <w:bidi w:val="0"/>
        <w:spacing w:lineRule="auto" w:line="288" w:before="240" w:after="283"/>
        <w:jc w:val="left"/>
        <w:rPr/>
      </w:pPr>
      <w:r>
        <w:rPr>
          <w:rFonts w:ascii="Times New Roman;sans-serif" w:hAnsi="Times New Roman;sans-serif"/>
          <w:b w:val="false"/>
          <w:color w:val="000000"/>
          <w:sz w:val="20"/>
        </w:rPr>
        <w:t xml:space="preserve">On June 25, 2019, concurrently with the pricing of the 4.00% Exchangeable Notes due June 15, 2024 (the "Exchangeable Notes"), and on June 27, 2019, concurrently with the exercise by the </w:t>
      </w:r>
      <w:r>
        <w:rPr>
          <w:rFonts w:ascii="Times New Roman;sans-serif" w:hAnsi="Times New Roman;sans-serif"/>
          <w:b w:val="false"/>
          <w:color w:val="000000"/>
          <w:sz w:val="20"/>
          <w:shd w:fill="FFFFFF" w:val="clear"/>
        </w:rPr>
        <w:t>initial purchasers involved in the offering of the Exchangeable Notes (the “Initial Purchasers”)</w:t>
      </w:r>
      <w:r>
        <w:rPr>
          <w:color w:val="000000"/>
        </w:rPr>
        <w:t xml:space="preserve"> </w:t>
      </w:r>
      <w:r>
        <w:rPr>
          <w:rFonts w:ascii="Times New Roman;sans-serif" w:hAnsi="Times New Roman;sans-serif"/>
          <w:b w:val="false"/>
          <w:color w:val="000000"/>
          <w:sz w:val="20"/>
        </w:rPr>
        <w:t xml:space="preserve">of their option to purchase additional Exchangeable Notes, Uniti Fiber Holdings Inc., the issuer of the Exchangeable Notes, entered into </w:t>
      </w:r>
      <w:r>
        <w:rPr>
          <w:rFonts w:ascii="Times New Roman;sans-serif" w:hAnsi="Times New Roman;sans-serif"/>
          <w:b w:val="false"/>
          <w:color w:val="000000"/>
          <w:sz w:val="20"/>
          <w:shd w:fill="FFFFFF" w:val="clear"/>
        </w:rPr>
        <w:t>exchangeable note hedge transactions with respect to the Company’s common stock (</w:t>
      </w:r>
      <w:r>
        <w:rPr>
          <w:rFonts w:ascii="Times New Roman;sans-serif" w:hAnsi="Times New Roman;sans-serif"/>
          <w:b w:val="false"/>
          <w:color w:val="000000"/>
          <w:sz w:val="20"/>
        </w:rPr>
        <w:t xml:space="preserve">the “Note Hedge Transactions”) with certain </w:t>
      </w:r>
      <w:r>
        <w:rPr>
          <w:rFonts w:ascii="Times New Roman;sans-serif" w:hAnsi="Times New Roman;sans-serif"/>
          <w:b w:val="false"/>
          <w:color w:val="000000"/>
          <w:sz w:val="20"/>
          <w:shd w:fill="FFFFFF" w:val="clear"/>
        </w:rPr>
        <w:t>of the Initial Purchasers or their respective affiliates (collectively, the “Counterparties”)</w:t>
      </w:r>
      <w:r>
        <w:rPr>
          <w:rFonts w:ascii="Times New Roman;sans-serif" w:hAnsi="Times New Roman;sans-serif"/>
          <w:b w:val="false"/>
          <w:color w:val="000000"/>
          <w:sz w:val="20"/>
        </w:rPr>
        <w:t>. The Note Hedge Transactions cover, subject to anti-dilution adjustments substantially similar to those applicable to the Exchangeable Notes, the same number of shares of the Company’s common stock that initially underlie the Exchangeable Notes in the aggregate and are exercisable upon exchange of the Exchangeable Notes. The Note Hedge Transactions have an initial strike price that corresponds to the initial exchange price of the Exchangeable Notes, subject to anti-dilution adjustments substantially similar to those applicable to the Exchangeable Notes. The Note Hedge Transactions will expire upon the maturity of the Exchangeable Notes, if not earlier exercised. The Note Hedge Transactions are intended to reduce potential dilution to the Company’s common stock upon any exchange of the Exchangeable Notes and/or offset any cash payments Uniti Fiber is required to make in excess of the principal amount of exchanged Exchangeable Notes, as the case may be, in the event that the market value per share of the Company’s common stock, as measured under the Note Hedge Transactions, at the time of exercise is greater than the strike price of the Note Hedge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 Hedge Transactions are separate transactions, entered into by Uniti Fiber Holdings Inc. with the Counterparties, and are not part of the terms of the Exchangeable Notes. Holders of the Exchangeable Notes will not have any rights with respect to the Note Hedge Transactions. The Note Hedge Transactions meet certain accounting criteria under GAAP, are recorded in additional paid-in capital on our Condensed Consolidated Balance Sheets and are not accounted for as derivatives that are remeasured each reporting period. </w:t>
      </w:r>
    </w:p>
    <w:p>
      <w:pPr>
        <w:pStyle w:val="TextBody"/>
        <w:bidi w:val="0"/>
        <w:spacing w:lineRule="auto" w:line="288" w:before="240" w:after="283"/>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Warrant Transactions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(the “Warrants”) to acquire, subject to anti-dilution adjustments, up to approximately 27.8 million shares of the Company’s common stock in the aggregate at an exercise price of approximately $16.42 per share. The initial maximum number of shares of the Company’s common stock that could be issued pursuant to the Warrants was approximately 55.5 million. The maximum number of shares of the Company's common stock that could be issued pursuant to the Warrants has subsequently decreased due to the partial unwind agreements that the Company entered into with the Counterparties in connection with each repurchase of Exchangeable Notes. The Company offered and sold the Warrants in reliance on the exemption from registration provided by Section 4(a)(2) of the Securities Act of 1933, as amended. If the market value per share of the Company’s common stock, as measured under the Warrants, at the time of exercise exceeds the strike price of the Warrants, the Warrants will have a dilutive effect on the Company’s common stock unless, subject to the terms of the Warrants, the Company elects to cash settle the Warrants. The Warrants will expire over a period beginning in September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are separate transactions, entered into by the Company with the Counterparties, and are not part of the terms of the Exchangeable Notes. Holders of the Exchangeable Notes will not have any rights with respect to the Warrants. The Warrants meet certain accounting criteria under GAAP, are recorded in additional paid-in capital on our Condensed Consolidated Balance Sheets and are not accounted for as derivatives that are remeasured each reporting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9. Goodwill and Intangible Assets and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carrying value of goodwill occurring during the six months ended June 30, 2023 are as follows:</w:t>
      </w:r>
    </w:p>
    <w:tbl>
      <w:tblPr>
        <w:tblW w:w="7865" w:type="dxa"/>
        <w:jc w:val="center"/>
        <w:tblInd w:w="0" w:type="dxa"/>
        <w:tblLayout w:type="fixed"/>
        <w:tblCellMar>
          <w:top w:w="28" w:type="dxa"/>
          <w:left w:w="28" w:type="dxa"/>
          <w:bottom w:w="28" w:type="dxa"/>
          <w:right w:w="28" w:type="dxa"/>
        </w:tblCellMar>
      </w:tblPr>
      <w:tblGrid>
        <w:gridCol w:w="1763"/>
        <w:gridCol w:w="1551"/>
        <w:gridCol w:w="1560"/>
        <w:gridCol w:w="109"/>
        <w:gridCol w:w="109"/>
        <w:gridCol w:w="109"/>
        <w:gridCol w:w="211"/>
        <w:gridCol w:w="826"/>
        <w:gridCol w:w="109"/>
        <w:gridCol w:w="109"/>
        <w:gridCol w:w="109"/>
        <w:gridCol w:w="109"/>
        <w:gridCol w:w="211"/>
        <w:gridCol w:w="826"/>
        <w:gridCol w:w="154"/>
      </w:tblGrid>
      <w:tr>
        <w:trPr/>
        <w:tc>
          <w:tcPr>
            <w:tcW w:w="1763"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charges 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charges as of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carrying value of intangible assets and liabilities occurring during the six months ended June 30, 2023 are as follows:</w:t>
      </w:r>
    </w:p>
    <w:tbl>
      <w:tblPr>
        <w:tblW w:w="8787" w:type="dxa"/>
        <w:jc w:val="center"/>
        <w:tblInd w:w="0" w:type="dxa"/>
        <w:tblLayout w:type="fixed"/>
        <w:tblCellMar>
          <w:top w:w="28" w:type="dxa"/>
          <w:left w:w="28" w:type="dxa"/>
          <w:bottom w:w="28" w:type="dxa"/>
          <w:right w:w="28" w:type="dxa"/>
        </w:tblCellMar>
      </w:tblPr>
      <w:tblGrid>
        <w:gridCol w:w="976"/>
        <w:gridCol w:w="859"/>
        <w:gridCol w:w="865"/>
        <w:gridCol w:w="109"/>
        <w:gridCol w:w="109"/>
        <w:gridCol w:w="109"/>
        <w:gridCol w:w="211"/>
        <w:gridCol w:w="826"/>
        <w:gridCol w:w="109"/>
        <w:gridCol w:w="109"/>
        <w:gridCol w:w="109"/>
        <w:gridCol w:w="109"/>
        <w:gridCol w:w="211"/>
        <w:gridCol w:w="901"/>
        <w:gridCol w:w="109"/>
        <w:gridCol w:w="109"/>
        <w:gridCol w:w="109"/>
        <w:gridCol w:w="109"/>
        <w:gridCol w:w="211"/>
        <w:gridCol w:w="826"/>
        <w:gridCol w:w="109"/>
        <w:gridCol w:w="109"/>
        <w:gridCol w:w="109"/>
        <w:gridCol w:w="109"/>
        <w:gridCol w:w="211"/>
        <w:gridCol w:w="901"/>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Original</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Original</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 life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Underlying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 life intangible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Below-market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 life intangible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Below-market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remaining weighted average amortization period of the Company’s intangible assets was 13.8 years.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three and six months ended June 30, 2023 was $7.4 million and $14.8 million, respectively. Amortization expense for the three and six months ended June 30, 2022 was $7.4 million and $14.8 million, respectively. Amortization expense is estimated to be $29.8 million for the full year of 2023, $29.7 million in 2024, $29.7 million in 2025, $29.7 million in 2026, and $29.7 million for 2027.</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amortization of below-market leases in revenue. Revenue related to the amortization of the below-market leases for the three and six months ended June 30, 2023 was $2.6 million and $5.3 million. Revenue related to the amortization of the below-market leases for the three and six months ended June 30, 2022, was $2.6 million and $5.3 million. As of June 30, 2023, the remaining weighted average amortization period of the Company’s intangible liabilities was 16.5 years. Revenue due to the amortization of the below-market leases is estimated to be $10.7 million for the full year of 2023, $10.7 million in 2024, $10.7 million in 2025, $10.7 million in 2026, and $10.7 million in 2027.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10. Notes and Other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debt, including the senior secured credit facility and notes described below, are obligations of the Operating Partnership and/or certain of its subsidiaries as discussed below. The Company is, however, a guarantor of such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other debt are as follows:</w:t>
      </w:r>
    </w:p>
    <w:tbl>
      <w:tblPr>
        <w:tblW w:w="10200" w:type="dxa"/>
        <w:jc w:val="center"/>
        <w:tblInd w:w="0" w:type="dxa"/>
        <w:tblLayout w:type="fixed"/>
        <w:tblCellMar>
          <w:top w:w="28" w:type="dxa"/>
          <w:left w:w="28" w:type="dxa"/>
          <w:bottom w:w="28" w:type="dxa"/>
          <w:right w:w="28" w:type="dxa"/>
        </w:tblCellMar>
      </w:tblPr>
      <w:tblGrid>
        <w:gridCol w:w="2426"/>
        <w:gridCol w:w="2133"/>
        <w:gridCol w:w="2146"/>
        <w:gridCol w:w="109"/>
        <w:gridCol w:w="109"/>
        <w:gridCol w:w="109"/>
        <w:gridCol w:w="211"/>
        <w:gridCol w:w="976"/>
        <w:gridCol w:w="109"/>
        <w:gridCol w:w="109"/>
        <w:gridCol w:w="109"/>
        <w:gridCol w:w="109"/>
        <w:gridCol w:w="243"/>
        <w:gridCol w:w="1125"/>
        <w:gridCol w:w="177"/>
      </w:tblGrid>
      <w:tr>
        <w:trPr/>
        <w:tc>
          <w:tcPr>
            <w:tcW w:w="242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70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5,495,442 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5,262,373 </w:t>
            </w:r>
          </w:p>
        </w:tc>
        <w:tc>
          <w:tcPr>
            <w:tcW w:w="17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premium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other debt less unamortized discount, premium and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5,392,536 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5,188,815 </w:t>
            </w:r>
          </w:p>
        </w:tc>
        <w:tc>
          <w:tcPr>
            <w:tcW w:w="17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other debt at June 30, 2023 and December 31, 2022 consisted of the following:</w:t>
      </w:r>
    </w:p>
    <w:tbl>
      <w:tblPr>
        <w:tblW w:w="10205" w:type="dxa"/>
        <w:jc w:val="center"/>
        <w:tblInd w:w="0" w:type="dxa"/>
        <w:tblLayout w:type="fixed"/>
        <w:tblCellMar>
          <w:top w:w="28" w:type="dxa"/>
          <w:left w:w="28" w:type="dxa"/>
          <w:bottom w:w="28" w:type="dxa"/>
          <w:right w:w="28" w:type="dxa"/>
        </w:tblCellMar>
      </w:tblPr>
      <w:tblGrid>
        <w:gridCol w:w="1481"/>
        <w:gridCol w:w="1241"/>
        <w:gridCol w:w="1256"/>
        <w:gridCol w:w="109"/>
        <w:gridCol w:w="109"/>
        <w:gridCol w:w="109"/>
        <w:gridCol w:w="211"/>
        <w:gridCol w:w="976"/>
        <w:gridCol w:w="109"/>
        <w:gridCol w:w="109"/>
        <w:gridCol w:w="109"/>
        <w:gridCol w:w="109"/>
        <w:gridCol w:w="211"/>
        <w:gridCol w:w="872"/>
        <w:gridCol w:w="109"/>
        <w:gridCol w:w="109"/>
        <w:gridCol w:w="109"/>
        <w:gridCol w:w="109"/>
        <w:gridCol w:w="211"/>
        <w:gridCol w:w="976"/>
        <w:gridCol w:w="109"/>
        <w:gridCol w:w="109"/>
        <w:gridCol w:w="109"/>
        <w:gridCol w:w="109"/>
        <w:gridCol w:w="211"/>
        <w:gridCol w:w="767"/>
        <w:gridCol w:w="157"/>
      </w:tblGrid>
      <w:tr>
        <w:trPr/>
        <w:tc>
          <w:tcPr>
            <w:tcW w:w="148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7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9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Unamortized</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Discount,</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Premium and</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Debt Issuance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Unamortized</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Discount,</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Premium and</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Debt Issuance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Costs</w:t>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- 7.875% due February 15, 2025</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8.38%)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secured notes - 10.50% due February 15, 2028 </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11.06%)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- 4.75%, due April 15, 2028</w:t>
            </w:r>
          </w:p>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senior notes - 4.00%, due June 15, 2024</w:t>
            </w:r>
          </w:p>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- 7.50%, due December 1, 2027</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- 6.00% due January 15, 2030</w:t>
            </w:r>
          </w:p>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- 6.50%, due February 15, 2029</w:t>
            </w:r>
          </w:p>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variable rate, due December 10,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5,495,442 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At June 30, 2023, notes and other debt included the following: (i) $86.0 million under the Revolving Credit Facility (as defined below) pursuant to that certain credit agreement, dated as of April 24, 2015, by and among the Operating Partnership, Uniti Group Finance 2019 Inc. and CSL Capital, LLC (hereinafter, the “Borrowers”), the guarantors party thereto, Bank of America, N.A., as administrative agent, collateral agent, swing line lender and an L/C issuer and certain other lenders named therein (the “Credit Agreement”); (ii) $2.6 billion aggregate principal amount of 10.50% Senior Secured Notes due February 15, 2028 (the “February 2028 Secured Notes”); (iii) $570.0 million aggregate principal amount of 4.75% Senior Secured Notes due April 15, 2028 (the “April 2028 Secured Notes”); (iv) $1.1 billion aggregate principal amount of 6.50% Senior Unsecured Notes due </w:t>
      </w:r>
      <w:r>
        <w:rPr>
          <w:rFonts w:ascii="Times New Roman;sans-serif" w:hAnsi="Times New Roman;sans-serif"/>
          <w:b w:val="false"/>
          <w:color w:val="000000"/>
          <w:sz w:val="20"/>
        </w:rPr>
        <w:t>February 15, 2029</w:t>
      </w:r>
      <w:r>
        <w:rPr>
          <w:color w:val="000000"/>
          <w:shd w:fill="FFFFFF" w:val="clear"/>
        </w:rPr>
        <w:t xml:space="preserve"> </w:t>
      </w:r>
      <w:r>
        <w:rPr>
          <w:rFonts w:ascii="Times New Roman;sans-serif" w:hAnsi="Times New Roman;sans-serif"/>
          <w:b w:val="false"/>
          <w:color w:val="000000"/>
          <w:sz w:val="20"/>
          <w:shd w:fill="FFFFFF" w:val="clear"/>
        </w:rPr>
        <w:t>(the “2029 Notes”); (v) $122.9 million aggregate principal amount of the Exchangeable Notes; (vi) $700.0 million aggregate principal amount of 6.00% Senior Unsecured Notes due January 15, 2030 (the “2030 Notes”); and (vii) $306.5 million aggregate principal amount of 7.50% Convertible Senior Notes due December 1, 2027 (the "Convertible 2027 Notes" and, together with the February 2028 Secured Notes, April 2028 Secured Notes, 2029 Notes, 2030 Notes and the Exchangeable Notes, the "Notes"). T</w:t>
      </w:r>
      <w:r>
        <w:rPr>
          <w:rFonts w:ascii="Times New Roman;sans-serif" w:hAnsi="Times New Roman;sans-serif"/>
          <w:b w:val="false"/>
          <w:color w:val="000000"/>
          <w:sz w:val="20"/>
        </w:rPr>
        <w:t>he terms of the Notes are as described in the Company’s Annual Report on Form 10-K for the year ended December 31, 2022.</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Credit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24, 2023, the Borrowers, each a subsidiary of Uniti Group Inc., entered into Amendment No. 8 (the “Amendment”) to the Credit Agreement.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receipt of certain routine regulatory approvals on July 25, 2023, the Amendment extended the maturity of the $500 million revolving credit facility to September 24, 2027 (the “Revolving Credit Facility”). The Amendment also transitioned the Revolving Credit Facility from LIBOR to Term SOFR, and in connection with that change, set the credit spread adjustment to ten basis points for all interest periods. All obligations under the Credit Agreement are guaranteed by (i) the Company and (ii) certain of the Operating Partnership’s subsidiaries (the “Subsidiary Guarantors”) and are secured by substantially all of the assets of the Borrowers and the Subsidiary Guarantors.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June 30, 2023, the Borrowers were in compliance with all of the covenants under the Credit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termination of either Windstream Lease would result in an “event of default” under the Credit Agreement if a replacement lease is not entered into within ninety (90) calendar days and we do not maintain pro forma compliance with a consolidated secured leverage ratio, as defined in the Credit Agreement, of 5.00 to 1.00.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Revolving Credit Facility bear interest at a rate equal to either a base rate plus an applicable margin ranging from 2.75% to 3.50% or a Term SOFR rate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Term SOFR borrowings and (B) the average amount available to be drawn under outstanding letters of credit during such quarter.</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Secured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2023, the Operating Partnership, CSL Capital, LLC, Uniti Group Finance 2019 Inc. and Uniti Fiber Holdings Inc. (collectively, the “Issuers”) issued $2.6 billion aggregate principal amount of the February 2028 Secured Notes. The Issuers used the net proceeds from the offering to fund the redemption in full of the Issuers’ outstanding 7.875% senior secured notes due 2025 (the "2025 Secured Notes"), to repay outstanding borrowings under the Revolving Credit Facility and to pay any related premiums, fees and expenses in connection with the foregoing. On February 14, 2023, the Issuers deposited the full redemption price for the 2025 Secured Notes with the trustee and satisfied and discharged their respective obligations with respect to the indenture governing the 2025 Secured Notes at such time. During the first quarter of 2023, we recorded $32.3 million of loss on the extinguishment of the 2025 Secured Notes within interest expense, net on the Condensed Consolidated Statements of Income, which included $10.3 million of non-cash interest expense for the write off of the unamortized discount and deferred financing costs and $22.0 million of cash interest expense for the redemption premium.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February 2028 Secured Notes were issued at an issue price of 100% of their principal amount pursuant to an indenture, dated as of February 14, 2023 (the “February 2028 Secured Notes Indenture”), among the Issuers, the guarantors named therein (collectively, the “Guarantors”) and Deutsche Bank Trust Company Americas, as trustee and as collateral agent. The February 2028 Secured Notes mature on February 15, 2028 and bear interest at a rate of 10.50% per year. Interest on the February 2028 Secured Notes is payable on March 15 and September 15 of each year, beginning on September 15, 2023.</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Issuers may redeem the February 2028 Secured Notes, in whole or in part, at any time prior to September 15, 2025 at a redemption price equal to 100% of the principal amount of the February 2028 Secured Notes redeemed plus accrued and unpaid interest thereon, if any, to, but not including, the redemption date, plus an applicable “make whole” premium described in the February 2028 Secured Notes Indenture.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Thereafter, the Issuers may redeem the February 2028 Secured Notes in whole or in part, at the redemption prices set forth in the February 2028 Secured Notes Indenture. In addition, prior to February 15, 2025, the Issuers may, on one or more occasions, redeem up to 10% of the aggregate principal amount of the February 2028 Secured Notes in any twelve month period at a redemption price equal to 103% of the principal amount thereof plus accrued and unpaid interest thereon, if any, to, but not including, the applicable redemption date. Notwithstanding the foregoing, the Issuers may not use the proceeds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any offering of Additional Notes (as defined in the February 2028 Secured Notes Indenture) with a price to investors equal to or in excess of 103% to finance any such optional redemption. Further, at any time on or prior to September 15, 2025, up to 40% of the aggregate principal amount of the February 2028 Secured Notes may be redeemed with the net cash proceeds of certain equity offerings at a redemption price of 110.50% of the principal amount plus accrued and unpaid interest, if any, to, but not including, the applicable redemption date; provided that at least 60% of aggregate principal amount of the originally issued February 2028 Secured Notes remains outstanding. If certain changes of control of the Operating Partnership occur, holders of the February 2028 Secured Notes will have the right to require the Issuers to offer to repurchase their Notes at 101% of their principal amount plus accrued and unpaid interest, if any, to, but not including, the repurchase date.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February 2028 Secured Notes are fully and unconditionally guaranteed, jointly and severally, on a senior unsecured basis by the Company and on a senior secured basis by each of the Operating Partnership’s existing and future domestic restricted subsidiaries (other than the Issuers) that guarantees indebtedness under the Company’s senior secured credit facilities and existing secured notes (the “Subsidiary Guarantors”). In addition, the Issuers will use commercially reasonable efforts to obtain necessary regulatory approval to allow certain non-guarantor subsidiaries of the Company to guarantee the February 2028 Secured Notes, including by making filings to obtain such approval within 60 days of the issuance of the February 2028 Secured Notes. The guarantees are subject to release under specified circumstances, including certain circumstances in which such guarantees may be automatically released without the consent of the holders of the February 2028 Secured Notes.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February 2028 Secured Notes and the related guarantees are the Issuers’ and the Subsidiary Guarantors’ senior secured obligations and rank equal in right of payment with all of the Issuers’ and the Subsidiary Guarantors’ existing and future unsubordinated obligations; effectively senior to all unsecured indebtedness of the Issuers and the Subsidiary Guarantors, including the Company’s existing senior unsecured notes, to the extent of the value of the collateral securing the February 2028 Secured Notes; effectively equal with all of the Issuers’ and the Subsidiary Guarantors’ existing and future indebtedness that is secured by first-priority liens on the collateral (including indebtedness under the Company’s senior secured credit facilities and existing secured notes); senior in right of payment to any of the Issuers’ and Subsidiary Guarantors’ subordinated indebtedness; and structurally subordinated to all existing and future liabilities (including trade payables) of the Company’s subsidiaries (other than the Issuers) that do not guarantee the February 2028 Secured Notes.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February 2028 Secured Notes Indenture contains customary high yield covenants limiting the ability of the Operating Partnership and its restricted subsidiaries to: incur or guarantee additional indebtedness; incur or guarantee secured indebtedness; pay dividends or distributions on, or redeem or repurchase, capital stock; make certain investments or other restricted payments; sell assets; transfer material intellectual property to unrestricted subsidiaries; enter into transactions with affiliates; merge or consolidate or sell all or substantially all of their assets; and create restrictions on the ability of the Issuers and their restricted subsidiaries to pay dividends or other amounts to the Issuers. These covenants are subject to a number of important and significant limitations, qualifications and exceptions. The February 2028 Secured Notes Indenture also contains customary events of default.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Exchangeable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21, 2023, the Company repurchased approximately $15.0 million of the Exchangeable Notes for total cash consideration of $13.7 million. During the first quarter of 2023, we recorded $1.1 million of gain on extinguishment of debt, net within interest expense on our Condensed Consolidated Statements of Income, which included $0.1 million of non-cash interest expense for the write off of the unamortized discount and deferred financing costs. In connection with these repurchases, the Company entered into partial unwind agreements with the Counterparties to unwind a portion of the Note Hedge Transactions and the Warrants described above (see Note 8). </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Deferred Financing Cost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financing costs were incurred in connection with the issuance of the Notes and the Revolving Credit Facility. These costs are amortized using the effective interest method over the term of the related indebtedness and are included in interest expense in our Condensed Consolidated Statements of Income. For the three and six months ended June 30, 2023, we recognized $4.4 million and $9.2 million, respectively, of non-cash interest expense related to the amortization of deferred financing costs. For the three and six months ended June 30, 2022, we recognized $4.3 million and $8.6 million, respectively, of non-cash interest expense related to the amortization of deferred financing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11. Earnings Per Share</w:t>
      </w:r>
    </w:p>
    <w:p>
      <w:pPr>
        <w:pStyle w:val="TextBody"/>
        <w:bidi w:val="0"/>
        <w:spacing w:lineRule="auto" w:line="288" w:before="240" w:after="283"/>
        <w:jc w:val="left"/>
        <w:rPr/>
      </w:pPr>
      <w:r>
        <w:rPr>
          <w:rFonts w:ascii="Times New Roman;sans-serif" w:hAnsi="Times New Roman;sans-serif"/>
          <w:b w:val="false"/>
          <w:color w:val="000000"/>
          <w:sz w:val="20"/>
        </w:rPr>
        <w:t xml:space="preserve">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Times New Roman;sans-serif" w:hAnsi="Times New Roman;sans-serif"/>
          <w:b w:val="false"/>
          <w:i/>
          <w:color w:val="000000"/>
          <w:sz w:val="20"/>
        </w:rPr>
        <w:t>Earnings per Share</w:t>
      </w:r>
      <w:r>
        <w:rPr>
          <w:color w:val="000000"/>
        </w:rPr>
        <w:t xml:space="preserve"> </w:t>
      </w:r>
      <w:r>
        <w:rPr>
          <w:rFonts w:ascii="Times New Roman;sans-serif" w:hAnsi="Times New Roman;sans-serif"/>
          <w:b w:val="false"/>
          <w:color w:val="000000"/>
          <w:sz w:val="20"/>
        </w:rPr>
        <w:t>(“ASC 260”).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pStyle w:val="TextBody"/>
        <w:bidi w:val="0"/>
        <w:spacing w:lineRule="auto" w:line="288" w:before="240" w:after="283"/>
        <w:jc w:val="left"/>
        <w:rPr/>
      </w:pPr>
      <w:r>
        <w:rPr>
          <w:rFonts w:ascii="Times New Roman;sans-serif" w:hAnsi="Times New Roman;sans-serif"/>
          <w:b w:val="false"/>
          <w:color w:val="000000"/>
          <w:sz w:val="20"/>
        </w:rPr>
        <w:t>The dilutive effect of the Exchangeable Notes and the Convertible 2027 Notes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number of weighted average shares. The dilutive effect of the Warrants (</w:t>
      </w:r>
      <w:hyperlink w:anchor="i03eceef3119f4cad87979fef1ca58b0e_58">
        <w:r>
          <w:rPr>
            <w:rStyle w:val="InternetLink"/>
            <w:rFonts w:ascii="Times New Roman;sans-serif" w:hAnsi="Times New Roman;sans-serif"/>
            <w:b w:val="false"/>
            <w:color w:val="0000FF"/>
            <w:sz w:val="20"/>
            <w:u w:val="single"/>
          </w:rPr>
          <w:t>see Note</w:t>
        </w:r>
      </w:hyperlink>
      <w:hyperlink w:anchor="i03eceef3119f4cad87979fef1ca58b0e_58">
        <w:r>
          <w:rPr>
            <w:rStyle w:val="InternetLink"/>
            <w:strike w:val="false"/>
            <w:dstrike w:val="false"/>
            <w:color w:val="0000FF"/>
            <w:u w:val="none"/>
            <w:effect w:val="none"/>
          </w:rPr>
          <w:t xml:space="preserve"> </w:t>
        </w:r>
      </w:hyperlink>
      <w:hyperlink w:anchor="i03eceef3119f4cad87979fef1ca58b0e_58">
        <w:r>
          <w:rPr>
            <w:rStyle w:val="InternetLink"/>
            <w:rFonts w:ascii="Times New Roman;sans-serif" w:hAnsi="Times New Roman;sans-serif"/>
            <w:b w:val="false"/>
            <w:color w:val="0000FF"/>
            <w:sz w:val="20"/>
            <w:u w:val="single"/>
          </w:rPr>
          <w:t>8</w:t>
        </w:r>
      </w:hyperlink>
      <w:r>
        <w:rPr>
          <w:rFonts w:ascii="Times New Roman;sans-serif" w:hAnsi="Times New Roman;sans-serif"/>
          <w:b w:val="false"/>
          <w:color w:val="000000"/>
          <w:sz w:val="20"/>
        </w:rPr>
        <w:t>) is calculated using the treasury-stock method. During the three and six months ended June 30, 2023 and 2022, the Warrants were excluded from diluted shares outstanding because the exercise price exceeded the average market price of our common stock for the reporting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the computation of basic and diluted earnings per share under the two-class method:</w:t>
      </w:r>
    </w:p>
    <w:tbl>
      <w:tblPr>
        <w:tblW w:w="9881" w:type="dxa"/>
        <w:jc w:val="center"/>
        <w:tblInd w:w="0" w:type="dxa"/>
        <w:tblLayout w:type="fixed"/>
        <w:tblCellMar>
          <w:top w:w="28" w:type="dxa"/>
          <w:left w:w="28" w:type="dxa"/>
          <w:bottom w:w="28" w:type="dxa"/>
          <w:right w:w="28" w:type="dxa"/>
        </w:tblCellMar>
      </w:tblPr>
      <w:tblGrid>
        <w:gridCol w:w="1579"/>
        <w:gridCol w:w="1391"/>
        <w:gridCol w:w="1394"/>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826"/>
        <w:gridCol w:w="154"/>
      </w:tblGrid>
      <w:tr>
        <w:trPr/>
        <w:tc>
          <w:tcPr>
            <w:tcW w:w="157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3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105,746 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67"/>
        <w:gridCol w:w="1458"/>
        <w:gridCol w:w="1461"/>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826"/>
        <w:gridCol w:w="156"/>
      </w:tblGrid>
      <w:tr>
        <w:trPr/>
        <w:tc>
          <w:tcPr>
            <w:tcW w:w="1767"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6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on if-converted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non-participating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on if-converted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for dilutive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267,045 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1,053,189 non-participating securities were excluded from the computation of earnings per share, as their performance conditions have not been met. For the three and six months ended June 30, 2023, we excluded 53,455,231 and 54,082,264 potential common shares related to the Exchangeable Notes and the Convertible Notes, respectively, from the computation of earnings per share, as their effect would have been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12. Segment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who is our chief operating decision maker, manages our operations as two reportable segments, in addition to our corporate operations, which include:</w:t>
      </w:r>
    </w:p>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rFonts w:ascii="Times New Roman;sans-serif" w:hAnsi="Times New Roman;sans-serif"/>
          <w:b w:val="false"/>
          <w:color w:val="000000"/>
          <w:sz w:val="20"/>
        </w:rPr>
        <w:t>: Represents the operations of our leasing business, Uniti Leasing, which is engaged in the acquisition and construction of mission-critical communications assets and leasing them to anchor customers on either an exclusive or shared-tenant basis, in addition to the leasing of dark fiber on our existing dark fiber network assets that we either constructed or acquired. While the Leasing segment represents our REIT operations, certain aspects of the Leasing segment are also operated through taxable REIT subsidiaries.</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rFonts w:ascii="Times New Roman;sans-serif" w:hAnsi="Times New Roman;sans-serif"/>
          <w:b w:val="false"/>
          <w:color w:val="000000"/>
          <w:sz w:val="20"/>
        </w:rPr>
        <w:t>: Represents the operations of our fiber business, Uniti Fiber, which is a leading provider of infrastructure solutions, including cell site backhaul and dark fiber, to the telecommunications industry.</w:t>
      </w:r>
    </w:p>
    <w:p>
      <w:pPr>
        <w:pStyle w:val="TextBody"/>
        <w:bidi w:val="0"/>
        <w:spacing w:lineRule="auto" w:line="288" w:before="240" w:after="283"/>
        <w:jc w:val="left"/>
        <w:rPr/>
      </w:pPr>
      <w:r>
        <w:rPr>
          <w:rFonts w:ascii="Times New Roman;sans-serif" w:hAnsi="Times New Roman;sans-serif"/>
          <w:b w:val="false"/>
          <w:i/>
          <w:color w:val="000000"/>
          <w:sz w:val="20"/>
          <w:u w:val="single"/>
        </w:rPr>
        <w:t>Corporate</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Represents our corporate office and shared service functions. Certain costs and expenses, primarily related to headcount, insurance, professional fees and similar charges, that are directly attributable to operations of our business segments are allocated to the respective segments.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executive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Selected financial data related to our segments is presented below for the three and six months ended June 30, 2023 and 2022:</w:t>
      </w:r>
    </w:p>
    <w:tbl>
      <w:tblPr>
        <w:tblW w:w="10205" w:type="dxa"/>
        <w:jc w:val="left"/>
        <w:tblInd w:w="0" w:type="dxa"/>
        <w:tblLayout w:type="fixed"/>
        <w:tblCellMar>
          <w:top w:w="28" w:type="dxa"/>
          <w:left w:w="28" w:type="dxa"/>
          <w:bottom w:w="28" w:type="dxa"/>
          <w:right w:w="28" w:type="dxa"/>
        </w:tblCellMar>
      </w:tblPr>
      <w:tblGrid>
        <w:gridCol w:w="1456"/>
        <w:gridCol w:w="1122"/>
        <w:gridCol w:w="1128"/>
        <w:gridCol w:w="109"/>
        <w:gridCol w:w="109"/>
        <w:gridCol w:w="109"/>
        <w:gridCol w:w="211"/>
        <w:gridCol w:w="826"/>
        <w:gridCol w:w="109"/>
        <w:gridCol w:w="109"/>
        <w:gridCol w:w="109"/>
        <w:gridCol w:w="109"/>
        <w:gridCol w:w="211"/>
        <w:gridCol w:w="721"/>
        <w:gridCol w:w="109"/>
        <w:gridCol w:w="109"/>
        <w:gridCol w:w="109"/>
        <w:gridCol w:w="109"/>
        <w:gridCol w:w="211"/>
        <w:gridCol w:w="666"/>
        <w:gridCol w:w="109"/>
        <w:gridCol w:w="109"/>
        <w:gridCol w:w="109"/>
        <w:gridCol w:w="109"/>
        <w:gridCol w:w="357"/>
        <w:gridCol w:w="1398"/>
        <w:gridCol w:w="263"/>
      </w:tblGrid>
      <w:tr>
        <w:trPr/>
        <w:tc>
          <w:tcPr>
            <w:tcW w:w="145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2"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3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Subtotal of Reportable Segments </w:t>
            </w:r>
          </w:p>
        </w:tc>
      </w:tr>
      <w:tr>
        <w:trPr/>
        <w:tc>
          <w:tcPr>
            <w:tcW w:w="3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283,698 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228,167 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25,638 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56"/>
        <w:gridCol w:w="1122"/>
        <w:gridCol w:w="1128"/>
        <w:gridCol w:w="109"/>
        <w:gridCol w:w="109"/>
        <w:gridCol w:w="109"/>
        <w:gridCol w:w="211"/>
        <w:gridCol w:w="826"/>
        <w:gridCol w:w="109"/>
        <w:gridCol w:w="109"/>
        <w:gridCol w:w="109"/>
        <w:gridCol w:w="109"/>
        <w:gridCol w:w="211"/>
        <w:gridCol w:w="721"/>
        <w:gridCol w:w="109"/>
        <w:gridCol w:w="109"/>
        <w:gridCol w:w="109"/>
        <w:gridCol w:w="109"/>
        <w:gridCol w:w="211"/>
        <w:gridCol w:w="666"/>
        <w:gridCol w:w="109"/>
        <w:gridCol w:w="109"/>
        <w:gridCol w:w="109"/>
        <w:gridCol w:w="109"/>
        <w:gridCol w:w="357"/>
        <w:gridCol w:w="1398"/>
        <w:gridCol w:w="263"/>
      </w:tblGrid>
      <w:tr>
        <w:trPr/>
        <w:tc>
          <w:tcPr>
            <w:tcW w:w="145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2"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3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Subtotal of Reportable Segments </w:t>
            </w:r>
          </w:p>
        </w:tc>
      </w:tr>
      <w:tr>
        <w:trPr/>
        <w:tc>
          <w:tcPr>
            <w:tcW w:w="3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283,975 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227,164 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96,377 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53,774 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473"/>
        <w:gridCol w:w="1142"/>
        <w:gridCol w:w="1148"/>
        <w:gridCol w:w="109"/>
        <w:gridCol w:w="109"/>
        <w:gridCol w:w="109"/>
        <w:gridCol w:w="211"/>
        <w:gridCol w:w="826"/>
        <w:gridCol w:w="109"/>
        <w:gridCol w:w="109"/>
        <w:gridCol w:w="109"/>
        <w:gridCol w:w="109"/>
        <w:gridCol w:w="413"/>
        <w:gridCol w:w="413"/>
        <w:gridCol w:w="248"/>
        <w:gridCol w:w="109"/>
        <w:gridCol w:w="109"/>
        <w:gridCol w:w="109"/>
        <w:gridCol w:w="264"/>
        <w:gridCol w:w="508"/>
        <w:gridCol w:w="131"/>
        <w:gridCol w:w="109"/>
        <w:gridCol w:w="109"/>
        <w:gridCol w:w="109"/>
        <w:gridCol w:w="355"/>
        <w:gridCol w:w="1393"/>
        <w:gridCol w:w="263"/>
      </w:tblGrid>
      <w:tr>
        <w:trPr/>
        <w:tc>
          <w:tcPr>
            <w:tcW w:w="147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37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Subtotal of Reportable Segments</w:t>
            </w:r>
          </w:p>
        </w:tc>
      </w:tr>
      <w:tr>
        <w:trPr/>
        <w:tc>
          <w:tcPr>
            <w:tcW w:w="3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150,259 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573,520 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459,368 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268,552 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154,042 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center"/>
        <w:rPr/>
      </w:pPr>
      <w:r>
        <w:rPr/>
      </w:r>
    </w:p>
    <w:tbl>
      <w:tblPr>
        <w:tblW w:w="10205" w:type="dxa"/>
        <w:jc w:val="center"/>
        <w:tblInd w:w="0" w:type="dxa"/>
        <w:tblLayout w:type="fixed"/>
        <w:tblCellMar>
          <w:top w:w="28" w:type="dxa"/>
          <w:left w:w="28" w:type="dxa"/>
          <w:bottom w:w="28" w:type="dxa"/>
          <w:right w:w="28" w:type="dxa"/>
        </w:tblCellMar>
      </w:tblPr>
      <w:tblGrid>
        <w:gridCol w:w="1418"/>
        <w:gridCol w:w="1074"/>
        <w:gridCol w:w="1080"/>
        <w:gridCol w:w="109"/>
        <w:gridCol w:w="109"/>
        <w:gridCol w:w="109"/>
        <w:gridCol w:w="211"/>
        <w:gridCol w:w="826"/>
        <w:gridCol w:w="109"/>
        <w:gridCol w:w="109"/>
        <w:gridCol w:w="109"/>
        <w:gridCol w:w="109"/>
        <w:gridCol w:w="211"/>
        <w:gridCol w:w="826"/>
        <w:gridCol w:w="109"/>
        <w:gridCol w:w="109"/>
        <w:gridCol w:w="109"/>
        <w:gridCol w:w="109"/>
        <w:gridCol w:w="211"/>
        <w:gridCol w:w="769"/>
        <w:gridCol w:w="109"/>
        <w:gridCol w:w="109"/>
        <w:gridCol w:w="109"/>
        <w:gridCol w:w="109"/>
        <w:gridCol w:w="344"/>
        <w:gridCol w:w="1347"/>
        <w:gridCol w:w="253"/>
      </w:tblGrid>
      <w:tr>
        <w:trPr/>
        <w:tc>
          <w:tcPr>
            <w:tcW w:w="141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35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Subtotal of Reportable Segments</w:t>
            </w:r>
          </w:p>
        </w:tc>
      </w:tr>
      <w:tr>
        <w:trPr/>
        <w:tc>
          <w:tcPr>
            <w:tcW w:w="35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562,009 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451,953 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192,549 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143,760 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(7,134)</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106,632 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13. Commitments and Contingencies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Windstream Commitments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consummation of our settlement agreement with Windstream, including entry into the Windstream Leases, we are obligated to make $490.1 million of cash payments to Windstream in equal installments over 20 consecutive quarters beginning in October 2020, and Uniti may prepay any installments due on or after the first anniversary of the settlement agreement (discounted at a 9% rate). As of June 30, 2023, the Company has made payments totaling $264.4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beginning in October 2020, we became obligated to reimburse Windstream for up to an aggregate of $1.75 billion for certain growth capital improvements in long-term fiber and related assets made by Windstream (“Growth Capital Improvements”) through 2029. Uniti’s reimbursement commitment for Growth Capital Improvements does not require Uniti to reimburse Windstream for maintenance or repair expenditures (except for costs incurred for fiber replacements to the property leased under the competitive local exchange carrier master lease agreement,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2022, and are limited to $225 million per year in 2023 and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During the six months ended June 30, 2023, Uniti reimbursed $158.8 million of Growth Capital Improvements, of which $35.1 million represented the reimbursement of capital improvements completed in 2022 that were previously classified as tenant funded capital improvements. As of the date of this Quarterly Report on Form 10-Q, we have reimbursed a total of $726.7 million of Growth Capital Improvements. Upon reimbursement, the Company reduced the unamortized portion of deferred revenue related to these capital improvements and capitalized the difference between the cash provided to Windstream and the unamortized deferred revenue as a lease incentive. This lease incentive, which is $0.7 million and reported within other assets on our Condensed Consolidated Balance Sheets as of June 30, 2023, will be amortized as a reduction to revenue over the initial term of the Windstream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No loans have been made under the Equipment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Litigation</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Beginning </w:t>
      </w:r>
      <w:r>
        <w:rPr>
          <w:rFonts w:ascii="Times New Roman;sans-serif" w:hAnsi="Times New Roman;sans-serif"/>
          <w:b w:val="false"/>
          <w:color w:val="000000"/>
          <w:sz w:val="20"/>
          <w:shd w:fill="FFFFFF" w:val="clear"/>
        </w:rPr>
        <w:t xml:space="preserve">on October 25, 2019, shareholders filed class action lawsuits that were consolidated into one case under the caption </w:t>
      </w:r>
      <w:r>
        <w:rPr>
          <w:rFonts w:ascii="Times New Roman;sans-serif" w:hAnsi="Times New Roman;sans-serif"/>
          <w:b w:val="false"/>
          <w:i/>
          <w:color w:val="000000"/>
          <w:sz w:val="20"/>
          <w:shd w:fill="FFFFFF" w:val="clear"/>
        </w:rPr>
        <w:t>In re Uniti Group Inc. Securities Litigation</w:t>
      </w:r>
      <w:r>
        <w:rPr>
          <w:color w:val="000000"/>
          <w:shd w:fill="FFFFFF" w:val="clear"/>
        </w:rPr>
        <w:t xml:space="preserve"> </w:t>
      </w:r>
      <w:r>
        <w:rPr>
          <w:rFonts w:ascii="Times New Roman;sans-serif" w:hAnsi="Times New Roman;sans-serif"/>
          <w:b w:val="false"/>
          <w:color w:val="000000"/>
          <w:sz w:val="20"/>
          <w:shd w:fill="FFFFFF" w:val="clear"/>
        </w:rPr>
        <w:t>(the "Class Action") in the U.S. District Court for the Eastern District of Arkansas against the Company and certain of our officers, alleging violations of the federal securities laws based on claims that the defendants improperly failed to disclose the risk that our spin-off from Windstream (the "Spin-Off") and entry into the Master Lease violated certain debt covenants of Windstream. The Class Action sought class certification, unspecified monetary damages, costs and attorneys’ fees and other relief. On March 25, 2022, the parties reached an agreement to settle the Class Action for $38.9 million, to be funded entirely by the Company’s insurance carriers, which was approved by the court on November 7, 2022. In accordance</w:t>
      </w:r>
      <w:r>
        <w:rPr>
          <w:color w:val="000000"/>
        </w:rPr>
        <w:t xml:space="preserve"> </w:t>
      </w:r>
      <w:r>
        <w:rPr>
          <w:rFonts w:ascii="Times New Roman;sans-serif" w:hAnsi="Times New Roman;sans-serif"/>
          <w:b w:val="false"/>
          <w:color w:val="000000"/>
          <w:sz w:val="20"/>
        </w:rPr>
        <w:t>with ASC 450, we recorded $38.9 million of settlement expense within general and administrative expense within our Condensed Consolidated Statements of Income during the first quarter of 2022 and accounts payable, accrued expenses and other liabilities, net within our Condensed Consolidated Balance Sheets as of March 31, 2022. Additionally, we recorded the probable insurance recovery of $38.9 million as a reduction to general and administrative expense during the three months ended March 31, 2022 within our Condensed Consolidated Statements of Income, and other assets within the Condensed Consolidated Balance Sheets as of March 31, 2022. The probable insurance recovery remains in other assets within the Condensed Consolidated Balance Sheets as of June 30, 2023.</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On August 17, 2021, shareholders filed a derivative action on behalf of the Company in the Circuit Court for Baltimore City, Maryland, under the caption </w:t>
      </w:r>
      <w:r>
        <w:rPr>
          <w:rFonts w:ascii="Times New Roman;sans-serif" w:hAnsi="Times New Roman;sans-serif"/>
          <w:b w:val="false"/>
          <w:i/>
          <w:color w:val="000000"/>
          <w:sz w:val="20"/>
          <w:shd w:fill="FFFFFF" w:val="clear"/>
        </w:rPr>
        <w:t xml:space="preserve">Mayer et al. v. Gunderman et al. </w:t>
      </w:r>
      <w:r>
        <w:rPr>
          <w:rFonts w:ascii="Times New Roman;sans-serif" w:hAnsi="Times New Roman;sans-serif"/>
          <w:b w:val="false"/>
          <w:color w:val="000000"/>
          <w:sz w:val="20"/>
          <w:shd w:fill="FFFFFF" w:val="clear"/>
        </w:rPr>
        <w:t xml:space="preserve">(the “Mayer Derivative Action”). On February 11, 2022, a shareholder filed a derivative action on behalf of the Company in the federal District Court for the District of Maryland, under the caption </w:t>
      </w:r>
      <w:r>
        <w:rPr>
          <w:rFonts w:ascii="Times New Roman;sans-serif" w:hAnsi="Times New Roman;sans-serif"/>
          <w:b w:val="false"/>
          <w:i/>
          <w:color w:val="000000"/>
          <w:sz w:val="20"/>
          <w:shd w:fill="FFFFFF" w:val="clear"/>
        </w:rPr>
        <w:t xml:space="preserve">Guzzo et al. v. Gunderman et al. </w:t>
      </w:r>
      <w:r>
        <w:rPr>
          <w:rFonts w:ascii="Times New Roman;sans-serif" w:hAnsi="Times New Roman;sans-serif"/>
          <w:b w:val="false"/>
          <w:color w:val="000000"/>
          <w:sz w:val="20"/>
          <w:shd w:fill="FFFFFF" w:val="clear"/>
        </w:rPr>
        <w:t>(the “Guzzo Derivative Action” and together, with the Mayer Derivative Action, the "Derivative Actions"). Various members of the Company's board of directors and management team were named as defendants in the Derivative Actions. The allegations in the Derivative Actions are similar to those in the Class Action, and both sought unspecified damages, equity relief and related costs and fees. On March 3, 2023, the parties to the Derivative Actions signed a stipulation of settlement agreeing to settle the actions in exchange for non-monetary damages, and also agreeing to an award of attorney’s fees and expenses to plaintiffs’ counsel in both actions in the amount of $0.8 million.</w:t>
      </w:r>
      <w:r>
        <w:rPr>
          <w:color w:val="000000"/>
        </w:rPr>
        <w:t xml:space="preserve"> </w:t>
      </w:r>
      <w:r>
        <w:rPr>
          <w:rFonts w:ascii="Times New Roman;sans-serif" w:hAnsi="Times New Roman;sans-serif"/>
          <w:b w:val="false"/>
          <w:color w:val="000000"/>
          <w:sz w:val="20"/>
          <w:shd w:fill="FFFFFF" w:val="clear"/>
        </w:rPr>
        <w:t>The court in the Mayer Derivative Action granted final approval to the settlement on May 9, 2023 and dismissed the action. On May 11, 2023, the parties to the Guzzo Derivative Action filed a stipulation and order of dismissal in the action based on the final approval of the settlement in the Mayer Derivative Action, which was entered on May 25, 2023.</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maintain insurance policies that would provide coverage to various degrees for potential liabilities arising from the legal proceedings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03eceef3119f4cad87979fef1ca58b0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14. Accumulated Other Comprehensive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accumulated other comprehensive loss by component is as follows for the three and six months ended June 30, 2023 and 2022:</w:t>
      </w:r>
    </w:p>
    <w:tbl>
      <w:tblPr>
        <w:tblW w:w="10205" w:type="dxa"/>
        <w:jc w:val="center"/>
        <w:tblInd w:w="0" w:type="dxa"/>
        <w:tblLayout w:type="fixed"/>
        <w:tblCellMar>
          <w:top w:w="28" w:type="dxa"/>
          <w:left w:w="28" w:type="dxa"/>
          <w:bottom w:w="28" w:type="dxa"/>
          <w:right w:w="28" w:type="dxa"/>
        </w:tblCellMar>
      </w:tblPr>
      <w:tblGrid>
        <w:gridCol w:w="1801"/>
        <w:gridCol w:w="1484"/>
        <w:gridCol w:w="1494"/>
        <w:gridCol w:w="211"/>
        <w:gridCol w:w="779"/>
        <w:gridCol w:w="109"/>
        <w:gridCol w:w="109"/>
        <w:gridCol w:w="109"/>
        <w:gridCol w:w="109"/>
        <w:gridCol w:w="211"/>
        <w:gridCol w:w="779"/>
        <w:gridCol w:w="109"/>
        <w:gridCol w:w="109"/>
        <w:gridCol w:w="109"/>
        <w:gridCol w:w="109"/>
        <w:gridCol w:w="211"/>
        <w:gridCol w:w="779"/>
        <w:gridCol w:w="109"/>
        <w:gridCol w:w="109"/>
        <w:gridCol w:w="109"/>
        <w:gridCol w:w="109"/>
        <w:gridCol w:w="211"/>
        <w:gridCol w:w="779"/>
        <w:gridCol w:w="158"/>
      </w:tblGrid>
      <w:tr>
        <w:trPr/>
        <w:tc>
          <w:tcPr>
            <w:tcW w:w="180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25"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1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 changes in fair value:</w:t>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 attributable to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 attributable to shareholders</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termination:</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 attributable to shareholders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comprehensive income attributable to noncontrolling interest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 attributable to shareholders</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of financial condition and results of operations describes the principal factors affecting the results of our operations, financial condition, and changes in financial condition for the three and six months ended June 30, 2023. This discussion should be read in conjunction with the accompanying Condensed Consolidated Financial Statements, and the notes thereto set forth in Part I, Item 1 of this Quarterly Report on Form 10-Q and our Annual Report on Form 10-K filed with the U.S. Securities and Exchange Commission (“SEC”) on February 28, 2023, as amended by Amendment No. 1 thereto filed on Form 10-K/A with the SEC on March 29, 2023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Company Description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copper and coaxial broadband networks and data centers.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24, 2015, we were separated and spun-off (the “Spin-Off”) from Windstream Holdings, Inc. (“Windstream Holdings” and together with Windstream Holdings II, LLC, its successor in interest, and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CLEC operations.</w:t>
      </w:r>
    </w:p>
    <w:p>
      <w:pPr>
        <w:pStyle w:val="TextBody"/>
        <w:bidi w:val="0"/>
        <w:spacing w:lineRule="auto" w:line="288" w:before="240" w:after="283"/>
        <w:jc w:val="left"/>
        <w:rPr/>
      </w:pPr>
      <w:r>
        <w:rPr>
          <w:rFonts w:ascii="Times New Roman;sans-serif" w:hAnsi="Times New Roman;sans-serif"/>
          <w:b w:val="false"/>
          <w:color w:val="000000"/>
          <w:sz w:val="20"/>
        </w:rPr>
        <w:t xml:space="preserve">Uniti operates as a REIT for U.S. federal income tax purposes. As a REIT, the Company is generally not subject to U.S. federal income taxes on income generated by its REIT operations, which includes income derived from the </w:t>
      </w:r>
      <w:r>
        <w:rPr>
          <w:rFonts w:ascii="Times New Roman;sans-serif" w:hAnsi="Times New Roman;sans-serif"/>
          <w:b w:val="false"/>
          <w:color w:val="000000"/>
          <w:sz w:val="20"/>
          <w:shd w:fill="FFFFFF" w:val="clear"/>
        </w:rPr>
        <w:t>Windstream Leases</w:t>
      </w:r>
      <w:r>
        <w:rPr>
          <w:rFonts w:ascii="Times New Roman;sans-serif" w:hAnsi="Times New Roman;sans-serif"/>
          <w:b w:val="false"/>
          <w:color w:val="000000"/>
          <w:sz w:val="20"/>
        </w:rPr>
        <w:t>. We have elected to treat the subsidiaries through which we operate our fiber business, Uniti Fiber, certain aspects of our leasing business, Uniti Leasing, certain aspects of our former towers business, and Talk America Services, LLC, which operated our former Consumer CLEC Business, as taxable REIT subsidiaries (“TRSs”). TRSs enable us to engage in activities that result in income that does not constitute qualifying income for a REIT. Our TRSs are subject to U.S. federal, state and local corporate income taxes.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June 30, 2023, we are the sole general partner of the Operating Partnership and own approximately 99.96% of the partnership interests in the Operating Partnership. In addition, we have undertaken a series of transactions to permit us to hold certain assets through subsidiaries that are taxed as REITs, which may also facilitate future acquisition opportunities.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aim to grow and diversify our portfolio and tenant base by pursuing a range of transaction structures with communication service providers, including (i) sale-leaseback transactions, whereby we acquire existing infrastructure assets from third parties, including communication service providers, and lease them back on a long-term triple-net basis; (ii) leasing of dark fiber and selling of lit services on our existing fiber network assets that we either constructed or acquired; (iii) whole company acquisitions, which may include the use of one or more TRSs that are permitted under the tax laws to acquire and operate non-REIT businesses and assets subject to certain limitations; (iv) capital investment financing, whereby we offer communication service providers a cost efficient method of raising funds for discrete capital investments to upgrade or expand their network; and (v) mergers and acquisitions financing, whereby we facilitate mergers and acquisition transactions as a capital partner, including through operating company-property company (“OpCo-PropCo”) structures.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240" w:after="283"/>
        <w:jc w:val="left"/>
        <w:rPr/>
      </w:pPr>
      <w:r>
        <w:rPr>
          <w:rFonts w:ascii="Times New Roman;sans-serif" w:hAnsi="Times New Roman;sans-serif"/>
          <w:b w:val="false"/>
          <w:color w:val="000000"/>
          <w:sz w:val="20"/>
        </w:rPr>
        <w:t>We manage our operations as</w:t>
      </w:r>
      <w:r>
        <w:rPr>
          <w:color w:val="000000"/>
          <w:shd w:fill="FFFFFF" w:val="clear"/>
        </w:rPr>
        <w:t xml:space="preserve"> </w:t>
      </w:r>
      <w:r>
        <w:rPr>
          <w:rFonts w:ascii="Times New Roman;sans-serif" w:hAnsi="Times New Roman;sans-serif"/>
          <w:b w:val="false"/>
          <w:color w:val="000000"/>
          <w:sz w:val="20"/>
        </w:rPr>
        <w:t>two</w:t>
      </w:r>
      <w:r>
        <w:rPr>
          <w:color w:val="000000"/>
          <w:shd w:fill="FFFFFF" w:val="clear"/>
        </w:rPr>
        <w:t xml:space="preserve"> </w:t>
      </w:r>
      <w:r>
        <w:rPr>
          <w:rFonts w:ascii="Times New Roman;sans-serif" w:hAnsi="Times New Roman;sans-serif"/>
          <w:b w:val="false"/>
          <w:color w:val="000000"/>
          <w:sz w:val="20"/>
          <w:shd w:fill="FFFFFF" w:val="clear"/>
        </w:rPr>
        <w:t>reportable business segments, in addition to our corporate operations, which include:</w:t>
      </w:r>
    </w:p>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rFonts w:ascii="Times New Roman;sans-serif" w:hAnsi="Times New Roman;sans-serif"/>
          <w:b w:val="false"/>
          <w:color w:val="000000"/>
          <w:sz w:val="20"/>
        </w:rPr>
        <w:t>: Represents the operations of our leasing business, Uniti Leasing, which is engaged in the acquisition and construction of mission-critical communications assets and leasing them to anchor customers on either an exclusive or shared-tenant basis, in addition to the leasing of dark fiber on our existing fiber network assets that we either constructed or acquired. While the Leasing segment represents our REIT operations, certain aspects of the Leasing segment are also operated through TRSs.</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rFonts w:ascii="Times New Roman;sans-serif" w:hAnsi="Times New Roman;sans-serif"/>
          <w:b w:val="false"/>
          <w:color w:val="000000"/>
          <w:sz w:val="20"/>
        </w:rPr>
        <w:t>: Represents the operations of our fiber business, Uniti Fiber, which is a leading provider of infrastructure solutions, including cell site backhaul and dark fiber, to the telecommunications industry.</w:t>
      </w:r>
    </w:p>
    <w:p>
      <w:pPr>
        <w:pStyle w:val="TextBody"/>
        <w:bidi w:val="0"/>
        <w:spacing w:lineRule="auto" w:line="288" w:before="240" w:after="283"/>
        <w:jc w:val="left"/>
        <w:rPr/>
      </w:pPr>
      <w:r>
        <w:rPr>
          <w:rFonts w:ascii="Times New Roman;sans-serif" w:hAnsi="Times New Roman;sans-serif"/>
          <w:b w:val="false"/>
          <w:i/>
          <w:color w:val="000000"/>
          <w:sz w:val="20"/>
          <w:u w:val="single"/>
        </w:rPr>
        <w:t>Corporate</w:t>
      </w:r>
      <w:r>
        <w:rPr>
          <w:rFonts w:ascii="Times New Roman;sans-serif" w:hAnsi="Times New Roman;sans-serif"/>
          <w:b w:val="false"/>
          <w:color w:val="000000"/>
          <w:sz w:val="20"/>
        </w:rPr>
        <w:t xml:space="preserve">: Represents our corporate office and shared service functions. Certain costs and expenses, primarily related to headcount, information technology systems, insurance, professional fees and similar charges, that are directly attributable to operations of our business segments are allocated to the respective segments. </w:t>
      </w:r>
    </w:p>
    <w:p>
      <w:pPr>
        <w:pStyle w:val="TextBody"/>
        <w:bidi w:val="0"/>
        <w:spacing w:lineRule="auto" w:line="288" w:before="240" w:after="283"/>
        <w:jc w:val="left"/>
        <w:rPr/>
      </w:pPr>
      <w:r>
        <w:rPr>
          <w:rFonts w:ascii="Times New Roman;sans-serif" w:hAnsi="Times New Roman;sans-serif"/>
          <w:b w:val="false"/>
          <w:color w:val="000000"/>
          <w:sz w:val="20"/>
        </w:rPr>
        <w:t>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executive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w:t>
      </w:r>
      <w:r>
        <w:rPr>
          <w:rFonts w:ascii="Times New Roman;sans-serif" w:hAnsi="Times New Roman;sans-serif"/>
          <w:b w:val="false"/>
          <w:color w:val="000000"/>
          <w:sz w:val="20"/>
          <w:shd w:fill="FFFFFF" w:val="clear"/>
        </w:rPr>
        <w:t xml:space="preserve">. For more information on Adjusted EBITDA, see “Non-GAAP Financial Measures.” </w:t>
      </w:r>
      <w:r>
        <w:rPr>
          <w:rFonts w:ascii="Times New Roman;sans-serif" w:hAnsi="Times New Roman;sans-serif"/>
          <w:b w:val="false"/>
          <w:color w:val="000000"/>
          <w:sz w:val="20"/>
        </w:rPr>
        <w:t>Detailed information about our segments can be found in Note 12 to our accompanying Condensed Consolidated Financial Statements contained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03eceef3119f4cad87979fef1ca58b0e_10">
        <w:r>
          <w:rPr>
            <w:rStyle w:val="InternetLink"/>
          </w:rPr>
          <w:t>Table of Cont</w:t>
        </w:r>
      </w:hyperlink>
      <w:hyperlink w:anchor="i03eceef3119f4cad87979fef1ca58b0e_10">
        <w:r>
          <w:rPr>
            <w:rStyle w:val="InternetLink"/>
          </w:rPr>
          <w: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June 30, 2023 and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expressed as dollars and as a percentage of total revenues for the periods indicated:</w:t>
      </w:r>
    </w:p>
    <w:tbl>
      <w:tblPr>
        <w:tblW w:w="10205" w:type="dxa"/>
        <w:jc w:val="center"/>
        <w:tblInd w:w="0" w:type="dxa"/>
        <w:tblLayout w:type="fixed"/>
        <w:tblCellMar>
          <w:top w:w="28" w:type="dxa"/>
          <w:left w:w="28" w:type="dxa"/>
          <w:bottom w:w="28" w:type="dxa"/>
          <w:right w:w="28" w:type="dxa"/>
        </w:tblCellMar>
      </w:tblPr>
      <w:tblGrid>
        <w:gridCol w:w="1764"/>
        <w:gridCol w:w="1378"/>
        <w:gridCol w:w="1390"/>
        <w:gridCol w:w="109"/>
        <w:gridCol w:w="109"/>
        <w:gridCol w:w="109"/>
        <w:gridCol w:w="211"/>
        <w:gridCol w:w="826"/>
        <w:gridCol w:w="109"/>
        <w:gridCol w:w="109"/>
        <w:gridCol w:w="109"/>
        <w:gridCol w:w="109"/>
        <w:gridCol w:w="337"/>
        <w:gridCol w:w="337"/>
        <w:gridCol w:w="339"/>
        <w:gridCol w:w="109"/>
        <w:gridCol w:w="109"/>
        <w:gridCol w:w="109"/>
        <w:gridCol w:w="211"/>
        <w:gridCol w:w="826"/>
        <w:gridCol w:w="109"/>
        <w:gridCol w:w="109"/>
        <w:gridCol w:w="109"/>
        <w:gridCol w:w="109"/>
        <w:gridCol w:w="310"/>
        <w:gridCol w:w="310"/>
        <w:gridCol w:w="440"/>
      </w:tblGrid>
      <w:tr>
        <w:trPr/>
        <w:tc>
          <w:tcPr>
            <w:tcW w:w="176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4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4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Revenues</w:t>
            </w:r>
          </w:p>
        </w:tc>
      </w:tr>
      <w:tr>
        <w:trPr/>
        <w:tc>
          <w:tcPr>
            <w:tcW w:w="4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72.4%</w:t>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27.6%</w:t>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34.0%</w:t>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w:t>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79.5%</w:t>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 and 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w:t>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18.9%</w:t>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18.9%</w:t>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18.8%</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revenues, Adjusted EBITDA and net income of our reportable segments for the three months ended June 30, 2023 and 2022:</w:t>
      </w:r>
    </w:p>
    <w:tbl>
      <w:tblPr>
        <w:tblW w:w="10205" w:type="dxa"/>
        <w:jc w:val="center"/>
        <w:tblInd w:w="0" w:type="dxa"/>
        <w:tblLayout w:type="fixed"/>
        <w:tblCellMar>
          <w:top w:w="28" w:type="dxa"/>
          <w:left w:w="28" w:type="dxa"/>
          <w:bottom w:w="28" w:type="dxa"/>
          <w:right w:w="28" w:type="dxa"/>
        </w:tblCellMar>
      </w:tblPr>
      <w:tblGrid>
        <w:gridCol w:w="1456"/>
        <w:gridCol w:w="1122"/>
        <w:gridCol w:w="1128"/>
        <w:gridCol w:w="109"/>
        <w:gridCol w:w="109"/>
        <w:gridCol w:w="109"/>
        <w:gridCol w:w="211"/>
        <w:gridCol w:w="826"/>
        <w:gridCol w:w="109"/>
        <w:gridCol w:w="109"/>
        <w:gridCol w:w="109"/>
        <w:gridCol w:w="109"/>
        <w:gridCol w:w="211"/>
        <w:gridCol w:w="721"/>
        <w:gridCol w:w="109"/>
        <w:gridCol w:w="109"/>
        <w:gridCol w:w="109"/>
        <w:gridCol w:w="109"/>
        <w:gridCol w:w="211"/>
        <w:gridCol w:w="666"/>
        <w:gridCol w:w="109"/>
        <w:gridCol w:w="109"/>
        <w:gridCol w:w="109"/>
        <w:gridCol w:w="109"/>
        <w:gridCol w:w="357"/>
        <w:gridCol w:w="1398"/>
        <w:gridCol w:w="263"/>
      </w:tblGrid>
      <w:tr>
        <w:trPr/>
        <w:tc>
          <w:tcPr>
            <w:tcW w:w="145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3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Subtotal of Reportable Segments </w:t>
            </w:r>
          </w:p>
        </w:tc>
      </w:tr>
      <w:tr>
        <w:trPr/>
        <w:tc>
          <w:tcPr>
            <w:tcW w:w="3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283,698 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228,167 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25,638 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56"/>
        <w:gridCol w:w="1122"/>
        <w:gridCol w:w="1128"/>
        <w:gridCol w:w="109"/>
        <w:gridCol w:w="109"/>
        <w:gridCol w:w="109"/>
        <w:gridCol w:w="211"/>
        <w:gridCol w:w="826"/>
        <w:gridCol w:w="109"/>
        <w:gridCol w:w="109"/>
        <w:gridCol w:w="109"/>
        <w:gridCol w:w="109"/>
        <w:gridCol w:w="211"/>
        <w:gridCol w:w="721"/>
        <w:gridCol w:w="109"/>
        <w:gridCol w:w="109"/>
        <w:gridCol w:w="109"/>
        <w:gridCol w:w="109"/>
        <w:gridCol w:w="211"/>
        <w:gridCol w:w="666"/>
        <w:gridCol w:w="109"/>
        <w:gridCol w:w="109"/>
        <w:gridCol w:w="109"/>
        <w:gridCol w:w="109"/>
        <w:gridCol w:w="357"/>
        <w:gridCol w:w="1398"/>
        <w:gridCol w:w="263"/>
      </w:tblGrid>
      <w:tr>
        <w:trPr/>
        <w:tc>
          <w:tcPr>
            <w:tcW w:w="145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3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Subtotal of Reportable Segments </w:t>
            </w:r>
          </w:p>
        </w:tc>
      </w:tr>
      <w:tr>
        <w:trPr/>
        <w:tc>
          <w:tcPr>
            <w:tcW w:w="3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283,975 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227,164 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96,377 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53,774 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Summary of Operating Metrics</w:t>
      </w:r>
    </w:p>
    <w:tbl>
      <w:tblPr>
        <w:tblW w:w="7039" w:type="dxa"/>
        <w:jc w:val="center"/>
        <w:tblInd w:w="0" w:type="dxa"/>
        <w:tblLayout w:type="fixed"/>
        <w:tblCellMar>
          <w:top w:w="28" w:type="dxa"/>
          <w:left w:w="28" w:type="dxa"/>
          <w:bottom w:w="28" w:type="dxa"/>
          <w:right w:w="28" w:type="dxa"/>
        </w:tblCellMar>
      </w:tblPr>
      <w:tblGrid>
        <w:gridCol w:w="700"/>
        <w:gridCol w:w="615"/>
        <w:gridCol w:w="619"/>
        <w:gridCol w:w="109"/>
        <w:gridCol w:w="109"/>
        <w:gridCol w:w="109"/>
        <w:gridCol w:w="488"/>
        <w:gridCol w:w="488"/>
        <w:gridCol w:w="156"/>
        <w:gridCol w:w="109"/>
        <w:gridCol w:w="109"/>
        <w:gridCol w:w="109"/>
        <w:gridCol w:w="488"/>
        <w:gridCol w:w="488"/>
        <w:gridCol w:w="156"/>
        <w:gridCol w:w="109"/>
        <w:gridCol w:w="109"/>
        <w:gridCol w:w="109"/>
        <w:gridCol w:w="544"/>
        <w:gridCol w:w="544"/>
        <w:gridCol w:w="772"/>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Metrics</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 / (Decrease)</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 strand miles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Copper strand miles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 strand miles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connections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bl>
      <w:tblPr>
        <w:tblW w:w="9313" w:type="dxa"/>
        <w:jc w:val="center"/>
        <w:tblInd w:w="0" w:type="dxa"/>
        <w:tblLayout w:type="fixed"/>
        <w:tblCellMar>
          <w:top w:w="28" w:type="dxa"/>
          <w:left w:w="28" w:type="dxa"/>
          <w:bottom w:w="28" w:type="dxa"/>
          <w:right w:w="28" w:type="dxa"/>
        </w:tblCellMar>
      </w:tblPr>
      <w:tblGrid>
        <w:gridCol w:w="477"/>
        <w:gridCol w:w="419"/>
        <w:gridCol w:w="423"/>
        <w:gridCol w:w="109"/>
        <w:gridCol w:w="109"/>
        <w:gridCol w:w="109"/>
        <w:gridCol w:w="211"/>
        <w:gridCol w:w="826"/>
        <w:gridCol w:w="109"/>
        <w:gridCol w:w="109"/>
        <w:gridCol w:w="109"/>
        <w:gridCol w:w="109"/>
        <w:gridCol w:w="724"/>
        <w:gridCol w:w="724"/>
        <w:gridCol w:w="726"/>
        <w:gridCol w:w="109"/>
        <w:gridCol w:w="109"/>
        <w:gridCol w:w="109"/>
        <w:gridCol w:w="211"/>
        <w:gridCol w:w="826"/>
        <w:gridCol w:w="109"/>
        <w:gridCol w:w="109"/>
        <w:gridCol w:w="109"/>
        <w:gridCol w:w="109"/>
        <w:gridCol w:w="650"/>
        <w:gridCol w:w="650"/>
        <w:gridCol w:w="920"/>
      </w:tblGrid>
      <w:tr>
        <w:trPr/>
        <w:tc>
          <w:tcPr>
            <w:tcW w:w="4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r>
      <w:tr>
        <w:trPr/>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72.4%</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27.6%</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 xml:space="preserve">Uniti Leasing revenues are primarily attributable to rental revenue from leasing our Distribution Systems to Windstream pursuant to the Windstream Leases (and historically, the Master Lease). Under the Windstream Leases, </w:t>
      </w:r>
      <w:r>
        <w:rPr>
          <w:rFonts w:ascii="Times New Roman;sans-serif" w:hAnsi="Times New Roman;sans-serif"/>
          <w:b w:val="false"/>
          <w:color w:val="000000"/>
          <w:sz w:val="20"/>
          <w:shd w:fill="FFFFFF" w:val="clear"/>
        </w:rPr>
        <w:t xml:space="preserve">Windstream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initial term of the Windstream Leases expires on April 30, 2030. Annual rent under the Windstream Leases for the full year 2023 is </w:t>
      </w:r>
      <w:r>
        <w:rPr>
          <w:rFonts w:ascii="Times New Roman;sans-serif" w:hAnsi="Times New Roman;sans-serif"/>
          <w:b w:val="false"/>
          <w:color w:val="000000"/>
          <w:sz w:val="20"/>
        </w:rPr>
        <w:t>$672.2 million</w:t>
      </w:r>
      <w:r>
        <w:rPr>
          <w:color w:val="000000"/>
          <w:shd w:fill="FFFFFF" w:val="clear"/>
        </w:rPr>
        <w:t xml:space="preserve"> </w:t>
      </w:r>
      <w:r>
        <w:rPr>
          <w:rFonts w:ascii="Times New Roman;sans-serif" w:hAnsi="Times New Roman;sans-serif"/>
          <w:b w:val="false"/>
          <w:color w:val="000000"/>
          <w:sz w:val="20"/>
          <w:shd w:fill="FFFFFF" w:val="clear"/>
        </w:rPr>
        <w:t>and is subject to annual escalation at a rate of 0.5%. For a description of the Windstream Leases, see “Liquidity and Capital Resources— Windstream Leases” below.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rent for the first year of each renewal term will be an amount agreed to by us and Windstream. While the agreement requires that the renewal rent be “Fair Market Rent,” if we are unable to agree, the renewal Fair Market Rent will be determined by an independent appraisal process. Commencing with the second year of each renewal term, the renewal rent will increase at an escalation rate of 0.5%.</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Pursuant to the Windstream Leases, Windstream (or any successor tenant under a Windstream Lease) has the right to cause Uniti to reimburse up to an aggregate $1.75 billion for certain growth capital improvements in long-term value accretive fiber and related assets made by Windstream (or the applicable tenant under the Windstream Lease) to certain ILEC and CLEC properties (the “Growth Capital Improvements” or “GCIs”). Uniti’s total annual reimbursement commitments to Windstream for the Growth Capital Improvements is discussed below in “Liquidity and Capital Resources—Windstream Leases.”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Starting on the first anniversary of each installment of reimbursement for a Growth Capital Improvement, the rent payable by Windstream under the applicable Windstream Lease will increase by an amount equal to 8.0% (the “Rent</w:t>
      </w:r>
      <w:r>
        <w:rPr>
          <w:color w:val="000000"/>
          <w:shd w:fill="FFFFFF" w:val="clear"/>
        </w:rPr>
        <w:t xml:space="preserve"> </w:t>
      </w:r>
      <w:r>
        <w:rPr>
          <w:rFonts w:ascii="Times New Roman;sans-serif" w:hAnsi="Times New Roman;sans-serif"/>
          <w:b w:val="false"/>
          <w:color w:val="000000"/>
          <w:sz w:val="20"/>
          <w:shd w:fill="FFFFFF" w:val="clear"/>
        </w:rPr>
        <w:t xml:space="preserve">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pStyle w:val="TextBody"/>
        <w:bidi w:val="0"/>
        <w:spacing w:lineRule="auto" w:line="288" w:before="240" w:after="283"/>
        <w:jc w:val="left"/>
        <w:rPr/>
      </w:pPr>
      <w:r>
        <w:rPr>
          <w:rFonts w:ascii="Times New Roman;sans-serif" w:hAnsi="Times New Roman;sans-serif"/>
          <w:b w:val="false"/>
          <w:color w:val="000000"/>
          <w:sz w:val="20"/>
        </w:rPr>
        <w:t xml:space="preserve">The </w:t>
      </w:r>
      <w:r>
        <w:rPr>
          <w:rFonts w:ascii="Times New Roman;sans-serif" w:hAnsi="Times New Roman;sans-serif"/>
          <w:b w:val="false"/>
          <w:color w:val="000000"/>
          <w:sz w:val="20"/>
          <w:shd w:fill="FFFFFF" w:val="clear"/>
        </w:rPr>
        <w:t>Windstream Leases provide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property, plant, and equipment and deferred revenue. We depreciate the property, plant, and equipment over their estimated useful lives and amortize the deferred revenue as additional leasing revenues over the same depreciable life of the TCI assets. TCIs exclude Growth Capital Improvements as and when reimbursed by Uniti</w:t>
      </w:r>
      <w:r>
        <w:rPr>
          <w:rFonts w:ascii="Times New Roman;sans-serif" w:hAnsi="Times New Roman;sans-serif"/>
          <w:b w:val="false"/>
          <w:color w:val="000000"/>
          <w:sz w:val="20"/>
        </w:rPr>
        <w:t>.</w:t>
      </w:r>
    </w:p>
    <w:tbl>
      <w:tblPr>
        <w:tblW w:w="9808" w:type="dxa"/>
        <w:jc w:val="center"/>
        <w:tblInd w:w="0" w:type="dxa"/>
        <w:tblLayout w:type="fixed"/>
        <w:tblCellMar>
          <w:top w:w="28" w:type="dxa"/>
          <w:left w:w="28" w:type="dxa"/>
          <w:bottom w:w="28" w:type="dxa"/>
          <w:right w:w="28" w:type="dxa"/>
        </w:tblCellMar>
      </w:tblPr>
      <w:tblGrid>
        <w:gridCol w:w="895"/>
        <w:gridCol w:w="787"/>
        <w:gridCol w:w="792"/>
        <w:gridCol w:w="109"/>
        <w:gridCol w:w="109"/>
        <w:gridCol w:w="109"/>
        <w:gridCol w:w="211"/>
        <w:gridCol w:w="826"/>
        <w:gridCol w:w="109"/>
        <w:gridCol w:w="109"/>
        <w:gridCol w:w="109"/>
        <w:gridCol w:w="109"/>
        <w:gridCol w:w="614"/>
        <w:gridCol w:w="614"/>
        <w:gridCol w:w="616"/>
        <w:gridCol w:w="109"/>
        <w:gridCol w:w="109"/>
        <w:gridCol w:w="109"/>
        <w:gridCol w:w="211"/>
        <w:gridCol w:w="826"/>
        <w:gridCol w:w="109"/>
        <w:gridCol w:w="109"/>
        <w:gridCol w:w="109"/>
        <w:gridCol w:w="109"/>
        <w:gridCol w:w="554"/>
        <w:gridCol w:w="554"/>
        <w:gridCol w:w="782"/>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r>
      <w:tr>
        <w:trPr/>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Uniti Leasing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Windstream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81.3%</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GCI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82.7%</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TCI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GCI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straight-line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Windstream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90.9%</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Uniti Leasing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TCI revenue is attributable to continued investment by Windstream. As of June 30, 2023 and 2022, the total amount invested in TCIs by Windstream since the inception of the Windstream Leases and Master Lease was $1.1 billion and $1.0 billion,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GCI revenue is attributable to Uniti’s continued reimbursement of Growth Capital Improvements. During the three months ended June 30, 2023, Uniti reimbursed $91.2 million of Growth Capital Improvements. Subsequent to June 30, 2023, Windstream requested, and we reimbursed $23.7 million of qualifying Growth Capital Improvements. As of the date of this Quarterly Report on Form 10-Q, we have reimbursed a total of $726.7 million of Growth Capital Improvements.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$19.7 million and $18.7 million of revenues from other services including non-Windstream triple-net leasing and dark fiber indefeasible rights of use (“IRU”) arrangements for the three months ended June 30, 2023 and 2022, respectively. The increase is primarily due to revenues from new customer arrangements.</w:t>
      </w:r>
    </w:p>
    <w:p>
      <w:pPr>
        <w:pStyle w:val="TextBody"/>
        <w:bidi w:val="0"/>
        <w:spacing w:lineRule="auto" w:line="288" w:before="240" w:after="283"/>
        <w:jc w:val="left"/>
        <w:rPr/>
      </w:pPr>
      <w:r>
        <w:rPr>
          <w:rFonts w:ascii="Times New Roman;sans-serif" w:hAnsi="Times New Roman;sans-serif"/>
          <w:b w:val="false"/>
          <w:color w:val="000000"/>
          <w:sz w:val="20"/>
        </w:rPr>
        <w:t xml:space="preserve">Because </w:t>
      </w:r>
      <w:r>
        <w:rPr>
          <w:rFonts w:ascii="Times New Roman;sans-serif" w:hAnsi="Times New Roman;sans-serif"/>
          <w:b w:val="false"/>
          <w:color w:val="000000"/>
          <w:sz w:val="20"/>
          <w:shd w:fill="FFFFFF" w:val="clear"/>
        </w:rPr>
        <w:t>a substantial portion of our revenue and cash flows are derived from lease payments by Windstream pursuant to the Windstream Leases, there could be a material adverse impact on our consolidated results of operations, liquidity, financial condition and/or ability to maintain our status as a REIT and service debt if Windstream were to become unable to generate sufficient cash to make payments to us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business, (iv) conducting research to ascertain industry trends potentially affecting Windstream, (v) monitoring Windstream’s compliance with the terms of the Windstream Leases and (vi) monitoring the timeliness of its payments under the Windstream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Quarterly Report on Form 10-Q, Windstream is current on all lease payments. Moody's Investor Service's current corporate family rating for Windstream is B3 with a stable outlook. S&amp;P Global Ratings' current issuer rating for Windstream is B- with a stable outlook. In addition, in order to assist us in our continuing assessment of Windstream’s creditworthiness, we periodically receive certain confidential financial information and metrics from Windstream.</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 </w:t>
      </w:r>
      <w:r>
        <w:rPr>
          <w:rFonts w:ascii="Times New Roman;sans-serif" w:hAnsi="Times New Roman;sans-serif"/>
          <w:b w:val="false"/>
          <w:color w:val="000000"/>
          <w:sz w:val="20"/>
        </w:rPr>
        <w:t>Uniti Fiber revenues for the three months ended June 30, 2023 and 2022 consisted of the following:</w:t>
      </w:r>
    </w:p>
    <w:tbl>
      <w:tblPr>
        <w:tblW w:w="9373" w:type="dxa"/>
        <w:jc w:val="center"/>
        <w:tblInd w:w="0" w:type="dxa"/>
        <w:tblLayout w:type="fixed"/>
        <w:tblCellMar>
          <w:top w:w="28" w:type="dxa"/>
          <w:left w:w="28" w:type="dxa"/>
          <w:bottom w:w="28" w:type="dxa"/>
          <w:right w:w="28" w:type="dxa"/>
        </w:tblCellMar>
      </w:tblPr>
      <w:tblGrid>
        <w:gridCol w:w="814"/>
        <w:gridCol w:w="715"/>
        <w:gridCol w:w="720"/>
        <w:gridCol w:w="109"/>
        <w:gridCol w:w="109"/>
        <w:gridCol w:w="109"/>
        <w:gridCol w:w="211"/>
        <w:gridCol w:w="721"/>
        <w:gridCol w:w="109"/>
        <w:gridCol w:w="109"/>
        <w:gridCol w:w="109"/>
        <w:gridCol w:w="109"/>
        <w:gridCol w:w="614"/>
        <w:gridCol w:w="614"/>
        <w:gridCol w:w="616"/>
        <w:gridCol w:w="109"/>
        <w:gridCol w:w="109"/>
        <w:gridCol w:w="109"/>
        <w:gridCol w:w="211"/>
        <w:gridCol w:w="721"/>
        <w:gridCol w:w="109"/>
        <w:gridCol w:w="109"/>
        <w:gridCol w:w="109"/>
        <w:gridCol w:w="109"/>
        <w:gridCol w:w="554"/>
        <w:gridCol w:w="554"/>
        <w:gridCol w:w="782"/>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Uniti Fiber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 backhaul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 and wholesale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26.8%</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E-Rate and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23.6%</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Dark fiber and small cells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Uniti Fiber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Uniti Fiber revenues totaled $71.2 million as compared to $78.4 million for the three months ended June 30, 2022. The decrease in Uniti Fiber revenues of $7.1 million is primarily due to decreases in E-Rate and government revenues of $4.4 million, driven primarily by lower equipment sales and installation, and Dark fiber and small cells revenues of $4.7 million, driven primarily by lower one-time cancellation fees, partially offset by higher Enterprise and wholesale revenues of $2.4 million, driven primarily by increased customer connections.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 net</w:t>
      </w:r>
    </w:p>
    <w:tbl>
      <w:tblPr>
        <w:tblW w:w="9708" w:type="dxa"/>
        <w:jc w:val="center"/>
        <w:tblInd w:w="0" w:type="dxa"/>
        <w:tblLayout w:type="fixed"/>
        <w:tblCellMar>
          <w:top w:w="28" w:type="dxa"/>
          <w:left w:w="28" w:type="dxa"/>
          <w:bottom w:w="28" w:type="dxa"/>
          <w:right w:w="28" w:type="dxa"/>
        </w:tblCellMar>
      </w:tblPr>
      <w:tblGrid>
        <w:gridCol w:w="1770"/>
        <w:gridCol w:w="1554"/>
        <w:gridCol w:w="1566"/>
        <w:gridCol w:w="109"/>
        <w:gridCol w:w="109"/>
        <w:gridCol w:w="109"/>
        <w:gridCol w:w="211"/>
        <w:gridCol w:w="826"/>
        <w:gridCol w:w="109"/>
        <w:gridCol w:w="109"/>
        <w:gridCol w:w="109"/>
        <w:gridCol w:w="109"/>
        <w:gridCol w:w="211"/>
        <w:gridCol w:w="721"/>
        <w:gridCol w:w="109"/>
        <w:gridCol w:w="109"/>
        <w:gridCol w:w="109"/>
        <w:gridCol w:w="109"/>
        <w:gridCol w:w="320"/>
        <w:gridCol w:w="1096"/>
        <w:gridCol w:w="234"/>
      </w:tblGrid>
      <w:tr>
        <w:trPr/>
        <w:tc>
          <w:tcPr>
            <w:tcW w:w="177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1"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4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 variable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termination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23,689 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debt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23,312 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three months ended June 30, 2023 increased by $23.3 million compared to the three months ended June 30, 2022. The increase is primarily due to higher cash interest on our secured and unsecured notes of $27.5 million, partially offset by a decrease in interest rate swap termination interest of $2.8 million that ceased October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Depreciation and Amortization Expense</w:t>
      </w:r>
    </w:p>
    <w:tbl>
      <w:tblPr>
        <w:tblW w:w="9197" w:type="dxa"/>
        <w:jc w:val="center"/>
        <w:tblInd w:w="0" w:type="dxa"/>
        <w:tblLayout w:type="fixed"/>
        <w:tblCellMar>
          <w:top w:w="28" w:type="dxa"/>
          <w:left w:w="28" w:type="dxa"/>
          <w:bottom w:w="28" w:type="dxa"/>
          <w:right w:w="28" w:type="dxa"/>
        </w:tblCellMar>
      </w:tblPr>
      <w:tblGrid>
        <w:gridCol w:w="1621"/>
        <w:gridCol w:w="1424"/>
        <w:gridCol w:w="1439"/>
        <w:gridCol w:w="109"/>
        <w:gridCol w:w="109"/>
        <w:gridCol w:w="109"/>
        <w:gridCol w:w="211"/>
        <w:gridCol w:w="721"/>
        <w:gridCol w:w="109"/>
        <w:gridCol w:w="109"/>
        <w:gridCol w:w="109"/>
        <w:gridCol w:w="109"/>
        <w:gridCol w:w="211"/>
        <w:gridCol w:w="721"/>
        <w:gridCol w:w="109"/>
        <w:gridCol w:w="109"/>
        <w:gridCol w:w="109"/>
        <w:gridCol w:w="109"/>
        <w:gridCol w:w="355"/>
        <w:gridCol w:w="1036"/>
        <w:gridCol w:w="259"/>
      </w:tblGrid>
      <w:tr>
        <w:trPr/>
        <w:tc>
          <w:tcPr>
            <w:tcW w:w="162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6"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4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 expense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 xml:space="preserve">Uniti Leasing depreciation expense increased $2.2 million for the three months ended June 30, 2023 compared to the three months ended June 30, 2022. The increase is primarily due to asset additions since June 30, 2022. </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 </w:t>
      </w:r>
      <w:r>
        <w:rPr>
          <w:rFonts w:ascii="Times New Roman;sans-serif" w:hAnsi="Times New Roman;sans-serif"/>
          <w:b w:val="false"/>
          <w:color w:val="000000"/>
          <w:sz w:val="20"/>
        </w:rPr>
        <w:t>Uniti Fiber depreciation expense increased $2.8 million for the three months ended June 30, 2023 compared to the three months ended June 30, 2022. The increase is primarily due to asset additions since June 30,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includes compensation costs, including stock-based compensation awards, professional and legal services, corporate office costs and other costs associated with administrative activities of our segments.</w:t>
      </w:r>
    </w:p>
    <w:tbl>
      <w:tblPr>
        <w:tblW w:w="10205" w:type="dxa"/>
        <w:jc w:val="center"/>
        <w:tblInd w:w="0" w:type="dxa"/>
        <w:tblLayout w:type="fixed"/>
        <w:tblCellMar>
          <w:top w:w="28" w:type="dxa"/>
          <w:left w:w="28" w:type="dxa"/>
          <w:bottom w:w="28" w:type="dxa"/>
          <w:right w:w="28" w:type="dxa"/>
        </w:tblCellMar>
      </w:tblPr>
      <w:tblGrid>
        <w:gridCol w:w="1161"/>
        <w:gridCol w:w="1020"/>
        <w:gridCol w:w="1029"/>
        <w:gridCol w:w="109"/>
        <w:gridCol w:w="109"/>
        <w:gridCol w:w="109"/>
        <w:gridCol w:w="211"/>
        <w:gridCol w:w="721"/>
        <w:gridCol w:w="109"/>
        <w:gridCol w:w="109"/>
        <w:gridCol w:w="109"/>
        <w:gridCol w:w="109"/>
        <w:gridCol w:w="592"/>
        <w:gridCol w:w="592"/>
        <w:gridCol w:w="594"/>
        <w:gridCol w:w="109"/>
        <w:gridCol w:w="109"/>
        <w:gridCol w:w="109"/>
        <w:gridCol w:w="211"/>
        <w:gridCol w:w="721"/>
        <w:gridCol w:w="109"/>
        <w:gridCol w:w="109"/>
        <w:gridCol w:w="109"/>
        <w:gridCol w:w="109"/>
        <w:gridCol w:w="534"/>
        <w:gridCol w:w="534"/>
        <w:gridCol w:w="759"/>
      </w:tblGrid>
      <w:tr>
        <w:trPr/>
        <w:tc>
          <w:tcPr>
            <w:tcW w:w="116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General and administrative expense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Uniti Leasing general and administrative expense decreased $0.6 million for the three months ended June 30, 2023 compared to the three months ended June 30, 2022, which is primarily due to a decrease in personnel expense of $0.4 million.</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 </w:t>
      </w:r>
      <w:r>
        <w:rPr>
          <w:rFonts w:ascii="Times New Roman;sans-serif" w:hAnsi="Times New Roman;sans-serif"/>
          <w:b w:val="false"/>
          <w:color w:val="000000"/>
          <w:sz w:val="20"/>
        </w:rPr>
        <w:t>Uniti Fiber general and administrative expense increased $2.3 million for the three months ended June 30, 2023 compared to the three months ended June 30, 2022, which is primarily due to an increase in personnel expense of $1.2 million, insurance expense of $0.5 million, and regulatory expense, driven predominantly by universal service fees, of $0.5 million.</w:t>
      </w:r>
    </w:p>
    <w:p>
      <w:pPr>
        <w:pStyle w:val="TextBody"/>
        <w:bidi w:val="0"/>
        <w:spacing w:lineRule="auto" w:line="288" w:before="240" w:after="283"/>
        <w:jc w:val="left"/>
        <w:rPr/>
      </w:pPr>
      <w:r>
        <w:rPr>
          <w:rFonts w:ascii="Times New Roman;sans-serif" w:hAnsi="Times New Roman;sans-serif"/>
          <w:b w:val="false"/>
          <w:i/>
          <w:color w:val="000000"/>
          <w:sz w:val="20"/>
          <w:u w:val="single"/>
        </w:rPr>
        <w:t>Corporate</w:t>
      </w:r>
      <w:r>
        <w:rPr>
          <w:color w:val="000000"/>
        </w:rPr>
        <w:t xml:space="preserve"> – </w:t>
      </w:r>
      <w:r>
        <w:rPr>
          <w:rFonts w:ascii="Times New Roman;sans-serif" w:hAnsi="Times New Roman;sans-serif"/>
          <w:b w:val="false"/>
          <w:color w:val="000000"/>
          <w:sz w:val="20"/>
        </w:rPr>
        <w:t xml:space="preserve">Corporate general and administrative expense decreased $3.3 million for the three months ended June 30, 2023 compared to the three months ended June 30, 2022, which is primarily due to a decrease in legal fees of $2.6 million.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Operating expense consists of network related costs, such as dark fiber and tower rents, lit service and maintenance expense and costs associated with our construction activities.</w:t>
      </w:r>
    </w:p>
    <w:tbl>
      <w:tblPr>
        <w:tblW w:w="10205" w:type="dxa"/>
        <w:jc w:val="center"/>
        <w:tblInd w:w="0" w:type="dxa"/>
        <w:tblLayout w:type="fixed"/>
        <w:tblCellMar>
          <w:top w:w="28" w:type="dxa"/>
          <w:left w:w="28" w:type="dxa"/>
          <w:bottom w:w="28" w:type="dxa"/>
          <w:right w:w="28" w:type="dxa"/>
        </w:tblCellMar>
      </w:tblPr>
      <w:tblGrid>
        <w:gridCol w:w="939"/>
        <w:gridCol w:w="827"/>
        <w:gridCol w:w="835"/>
        <w:gridCol w:w="109"/>
        <w:gridCol w:w="109"/>
        <w:gridCol w:w="109"/>
        <w:gridCol w:w="211"/>
        <w:gridCol w:w="721"/>
        <w:gridCol w:w="109"/>
        <w:gridCol w:w="109"/>
        <w:gridCol w:w="109"/>
        <w:gridCol w:w="109"/>
        <w:gridCol w:w="693"/>
        <w:gridCol w:w="693"/>
        <w:gridCol w:w="695"/>
        <w:gridCol w:w="109"/>
        <w:gridCol w:w="109"/>
        <w:gridCol w:w="109"/>
        <w:gridCol w:w="211"/>
        <w:gridCol w:w="721"/>
        <w:gridCol w:w="109"/>
        <w:gridCol w:w="109"/>
        <w:gridCol w:w="109"/>
        <w:gridCol w:w="109"/>
        <w:gridCol w:w="623"/>
        <w:gridCol w:w="623"/>
        <w:gridCol w:w="887"/>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r>
      <w:tr>
        <w:trPr/>
        <w:tc>
          <w:tcPr>
            <w:tcW w:w="2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2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 xml:space="preserve">Uniti Leasing operating expense increased $1.1 million for the </w:t>
      </w:r>
      <w:r>
        <w:rPr>
          <w:rFonts w:ascii="Times New Roman;sans-serif" w:hAnsi="Times New Roman;sans-serif"/>
          <w:b w:val="false"/>
          <w:color w:val="000000"/>
          <w:sz w:val="20"/>
          <w:shd w:fill="FFFFFF" w:val="clear"/>
        </w:rPr>
        <w:t xml:space="preserve">three months ended June 30, 2023 compared to the three months ended June 30, 2022, which is </w:t>
      </w:r>
      <w:r>
        <w:rPr>
          <w:rFonts w:ascii="Times New Roman;sans-serif" w:hAnsi="Times New Roman;sans-serif"/>
          <w:b w:val="false"/>
          <w:color w:val="000000"/>
          <w:sz w:val="20"/>
        </w:rPr>
        <w:t>primarily due to increased leased asset costs of $0.7 million and other network related charges of $0.3 million.</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w:t>
      </w:r>
      <w:r>
        <w:rPr>
          <w:color w:val="000000"/>
          <w:shd w:fill="FFFFFF" w:val="clear"/>
        </w:rPr>
        <w:t xml:space="preserve">– </w:t>
      </w:r>
      <w:r>
        <w:rPr>
          <w:rFonts w:ascii="Times New Roman;sans-serif" w:hAnsi="Times New Roman;sans-serif"/>
          <w:b w:val="false"/>
          <w:color w:val="000000"/>
          <w:sz w:val="20"/>
          <w:shd w:fill="FFFFFF" w:val="clear"/>
        </w:rPr>
        <w:t xml:space="preserve">Uniti Fiber operating expenses remained consistent for the three months ended June 30, 2023 compared to the three months ended June 30, 2022.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Transaction Related and Other Costs</w:t>
      </w:r>
    </w:p>
    <w:p>
      <w:pPr>
        <w:pStyle w:val="TextBody"/>
        <w:bidi w:val="0"/>
        <w:spacing w:lineRule="auto" w:line="288" w:before="240" w:after="283"/>
        <w:jc w:val="left"/>
        <w:rPr/>
      </w:pPr>
      <w:r>
        <w:rPr>
          <w:rFonts w:ascii="Times New Roman;sans-serif" w:hAnsi="Times New Roman;sans-serif"/>
          <w:b w:val="false"/>
          <w:color w:val="000000"/>
          <w:sz w:val="20"/>
        </w:rPr>
        <w:t xml:space="preserve">Transaction related and other costs during the three months ended June 30, 2023 and 2022 included acquisition, pursuit, transaction, and integration costs (including unsuccessful acquisition pursuit costs). For the three months ended June 30, 2023, we incurred $5.6 million of transaction related and other costs, compared to $3.2 million of such costs during the </w:t>
      </w:r>
      <w:r>
        <w:rPr>
          <w:rFonts w:ascii="Times New Roman;sans-serif" w:hAnsi="Times New Roman;sans-serif"/>
          <w:b w:val="false"/>
          <w:color w:val="000000"/>
          <w:sz w:val="20"/>
          <w:shd w:fill="FFFFFF" w:val="clear"/>
        </w:rPr>
        <w:t>three months ended June 30, 2022</w:t>
      </w:r>
      <w:r>
        <w:rPr>
          <w:rFonts w:ascii="Times New Roman;sans-serif" w:hAnsi="Times New Roman;sans-serif"/>
          <w:b w:val="false"/>
          <w:color w:val="000000"/>
          <w:sz w:val="2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 (Benefit)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(benefit) expense recorded for the three months ended June 30, 2023 and 2022, respectively, is related to the tax impact of the following:</w:t>
      </w:r>
    </w:p>
    <w:tbl>
      <w:tblPr>
        <w:tblW w:w="6201" w:type="dxa"/>
        <w:jc w:val="center"/>
        <w:tblInd w:w="0" w:type="dxa"/>
        <w:tblLayout w:type="fixed"/>
        <w:tblCellMar>
          <w:top w:w="28" w:type="dxa"/>
          <w:left w:w="28" w:type="dxa"/>
          <w:bottom w:w="28" w:type="dxa"/>
          <w:right w:w="28" w:type="dxa"/>
        </w:tblCellMar>
      </w:tblPr>
      <w:tblGrid>
        <w:gridCol w:w="1259"/>
        <w:gridCol w:w="1107"/>
        <w:gridCol w:w="1114"/>
        <w:gridCol w:w="109"/>
        <w:gridCol w:w="109"/>
        <w:gridCol w:w="109"/>
        <w:gridCol w:w="211"/>
        <w:gridCol w:w="691"/>
        <w:gridCol w:w="109"/>
        <w:gridCol w:w="109"/>
        <w:gridCol w:w="109"/>
        <w:gridCol w:w="109"/>
        <w:gridCol w:w="211"/>
        <w:gridCol w:w="691"/>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loss (Uniti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unconsolidated entity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undistributed REIT taxable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REIT state and local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six months ended June 30, 2023 and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expressed as dollars and as a percentage of total revenues for the periods indicated:</w:t>
      </w:r>
    </w:p>
    <w:tbl>
      <w:tblPr>
        <w:tblW w:w="10205" w:type="dxa"/>
        <w:jc w:val="center"/>
        <w:tblInd w:w="0" w:type="dxa"/>
        <w:tblLayout w:type="fixed"/>
        <w:tblCellMar>
          <w:top w:w="28" w:type="dxa"/>
          <w:left w:w="28" w:type="dxa"/>
          <w:bottom w:w="28" w:type="dxa"/>
          <w:right w:w="28" w:type="dxa"/>
        </w:tblCellMar>
      </w:tblPr>
      <w:tblGrid>
        <w:gridCol w:w="1665"/>
        <w:gridCol w:w="1266"/>
        <w:gridCol w:w="1277"/>
        <w:gridCol w:w="109"/>
        <w:gridCol w:w="109"/>
        <w:gridCol w:w="109"/>
        <w:gridCol w:w="211"/>
        <w:gridCol w:w="826"/>
        <w:gridCol w:w="109"/>
        <w:gridCol w:w="109"/>
        <w:gridCol w:w="109"/>
        <w:gridCol w:w="109"/>
        <w:gridCol w:w="318"/>
        <w:gridCol w:w="298"/>
        <w:gridCol w:w="549"/>
        <w:gridCol w:w="109"/>
        <w:gridCol w:w="109"/>
        <w:gridCol w:w="109"/>
        <w:gridCol w:w="211"/>
        <w:gridCol w:w="826"/>
        <w:gridCol w:w="109"/>
        <w:gridCol w:w="109"/>
        <w:gridCol w:w="109"/>
        <w:gridCol w:w="109"/>
        <w:gridCol w:w="307"/>
        <w:gridCol w:w="309"/>
        <w:gridCol w:w="616"/>
      </w:tblGrid>
      <w:tr>
        <w:trPr/>
        <w:tc>
          <w:tcPr>
            <w:tcW w:w="166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Revenues</w:t>
            </w:r>
          </w:p>
        </w:tc>
      </w:tr>
      <w:tr>
        <w:trPr/>
        <w:tc>
          <w:tcPr>
            <w:tcW w:w="42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5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5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5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5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5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5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 and 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5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5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5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revenues, Adjusted EBITDA and net income of our reportable segments for the six months ended June 30,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03eceef3119f4cad87979fef1ca58b0e_10">
        <w:r>
          <w:rPr>
            <w:rStyle w:val="InternetLink"/>
          </w:rPr>
          <w:t>Table of Cont</w:t>
        </w:r>
      </w:hyperlink>
      <w:hyperlink w:anchor="i03eceef3119f4cad87979fef1ca58b0e_10">
        <w:r>
          <w:rPr>
            <w:rStyle w:val="InternetLink"/>
          </w:rPr>
          <w:t>ents</w:t>
        </w:r>
      </w:hyperlink>
    </w:p>
    <w:tbl>
      <w:tblPr>
        <w:tblW w:w="10205" w:type="dxa"/>
        <w:jc w:val="center"/>
        <w:tblInd w:w="0" w:type="dxa"/>
        <w:tblLayout w:type="fixed"/>
        <w:tblCellMar>
          <w:top w:w="28" w:type="dxa"/>
          <w:left w:w="28" w:type="dxa"/>
          <w:bottom w:w="28" w:type="dxa"/>
          <w:right w:w="28" w:type="dxa"/>
        </w:tblCellMar>
      </w:tblPr>
      <w:tblGrid>
        <w:gridCol w:w="1418"/>
        <w:gridCol w:w="1074"/>
        <w:gridCol w:w="1080"/>
        <w:gridCol w:w="109"/>
        <w:gridCol w:w="109"/>
        <w:gridCol w:w="109"/>
        <w:gridCol w:w="211"/>
        <w:gridCol w:w="826"/>
        <w:gridCol w:w="109"/>
        <w:gridCol w:w="109"/>
        <w:gridCol w:w="109"/>
        <w:gridCol w:w="109"/>
        <w:gridCol w:w="211"/>
        <w:gridCol w:w="826"/>
        <w:gridCol w:w="109"/>
        <w:gridCol w:w="109"/>
        <w:gridCol w:w="109"/>
        <w:gridCol w:w="109"/>
        <w:gridCol w:w="211"/>
        <w:gridCol w:w="769"/>
        <w:gridCol w:w="109"/>
        <w:gridCol w:w="109"/>
        <w:gridCol w:w="109"/>
        <w:gridCol w:w="109"/>
        <w:gridCol w:w="344"/>
        <w:gridCol w:w="1347"/>
        <w:gridCol w:w="253"/>
      </w:tblGrid>
      <w:tr>
        <w:trPr/>
        <w:tc>
          <w:tcPr>
            <w:tcW w:w="141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35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Subtotal of Reportable Segments</w:t>
            </w:r>
          </w:p>
        </w:tc>
      </w:tr>
      <w:tr>
        <w:trPr/>
        <w:tc>
          <w:tcPr>
            <w:tcW w:w="35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573,520 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459,368 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268,552 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154,042 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8,364 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18"/>
        <w:gridCol w:w="1074"/>
        <w:gridCol w:w="1080"/>
        <w:gridCol w:w="109"/>
        <w:gridCol w:w="109"/>
        <w:gridCol w:w="109"/>
        <w:gridCol w:w="211"/>
        <w:gridCol w:w="826"/>
        <w:gridCol w:w="109"/>
        <w:gridCol w:w="109"/>
        <w:gridCol w:w="109"/>
        <w:gridCol w:w="109"/>
        <w:gridCol w:w="211"/>
        <w:gridCol w:w="826"/>
        <w:gridCol w:w="109"/>
        <w:gridCol w:w="109"/>
        <w:gridCol w:w="109"/>
        <w:gridCol w:w="109"/>
        <w:gridCol w:w="211"/>
        <w:gridCol w:w="769"/>
        <w:gridCol w:w="109"/>
        <w:gridCol w:w="109"/>
        <w:gridCol w:w="109"/>
        <w:gridCol w:w="109"/>
        <w:gridCol w:w="344"/>
        <w:gridCol w:w="1347"/>
        <w:gridCol w:w="253"/>
      </w:tblGrid>
      <w:tr>
        <w:trPr/>
        <w:tc>
          <w:tcPr>
            <w:tcW w:w="141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35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Subtotal of Reportable Segments</w:t>
            </w:r>
          </w:p>
        </w:tc>
      </w:tr>
      <w:tr>
        <w:trPr/>
        <w:tc>
          <w:tcPr>
            <w:tcW w:w="35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562,009 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451,953 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192,549 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143,760 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(7,134)</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106,632 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bl>
      <w:tblPr>
        <w:tblW w:w="9312" w:type="dxa"/>
        <w:jc w:val="center"/>
        <w:tblInd w:w="0" w:type="dxa"/>
        <w:tblLayout w:type="fixed"/>
        <w:tblCellMar>
          <w:top w:w="28" w:type="dxa"/>
          <w:left w:w="28" w:type="dxa"/>
          <w:bottom w:w="28" w:type="dxa"/>
          <w:right w:w="28" w:type="dxa"/>
        </w:tblCellMar>
      </w:tblPr>
      <w:tblGrid>
        <w:gridCol w:w="477"/>
        <w:gridCol w:w="419"/>
        <w:gridCol w:w="423"/>
        <w:gridCol w:w="109"/>
        <w:gridCol w:w="109"/>
        <w:gridCol w:w="109"/>
        <w:gridCol w:w="211"/>
        <w:gridCol w:w="826"/>
        <w:gridCol w:w="109"/>
        <w:gridCol w:w="109"/>
        <w:gridCol w:w="109"/>
        <w:gridCol w:w="109"/>
        <w:gridCol w:w="724"/>
        <w:gridCol w:w="724"/>
        <w:gridCol w:w="726"/>
        <w:gridCol w:w="109"/>
        <w:gridCol w:w="109"/>
        <w:gridCol w:w="109"/>
        <w:gridCol w:w="211"/>
        <w:gridCol w:w="826"/>
        <w:gridCol w:w="109"/>
        <w:gridCol w:w="109"/>
        <w:gridCol w:w="109"/>
        <w:gridCol w:w="109"/>
        <w:gridCol w:w="451"/>
        <w:gridCol w:w="451"/>
        <w:gridCol w:w="1317"/>
      </w:tblGrid>
      <w:tr>
        <w:trPr/>
        <w:tc>
          <w:tcPr>
            <w:tcW w:w="4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r>
      <w:tr>
        <w:trPr/>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3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3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Uniti Leasing revenues for the six months ended June 30, 2023 and 2022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03eceef3119f4cad87979fef1ca58b0e_10">
        <w:r>
          <w:rPr>
            <w:rStyle w:val="InternetLink"/>
          </w:rPr>
          <w:t>Table of Cont</w:t>
        </w:r>
      </w:hyperlink>
      <w:hyperlink w:anchor="i03eceef3119f4cad87979fef1ca58b0e_10">
        <w:r>
          <w:rPr>
            <w:rStyle w:val="InternetLink"/>
          </w:rPr>
          <w:t>ents</w:t>
        </w:r>
      </w:hyperlink>
    </w:p>
    <w:tbl>
      <w:tblPr>
        <w:tblW w:w="9808" w:type="dxa"/>
        <w:jc w:val="center"/>
        <w:tblInd w:w="0" w:type="dxa"/>
        <w:tblLayout w:type="fixed"/>
        <w:tblCellMar>
          <w:top w:w="28" w:type="dxa"/>
          <w:left w:w="28" w:type="dxa"/>
          <w:bottom w:w="28" w:type="dxa"/>
          <w:right w:w="28" w:type="dxa"/>
        </w:tblCellMar>
      </w:tblPr>
      <w:tblGrid>
        <w:gridCol w:w="895"/>
        <w:gridCol w:w="787"/>
        <w:gridCol w:w="792"/>
        <w:gridCol w:w="109"/>
        <w:gridCol w:w="109"/>
        <w:gridCol w:w="109"/>
        <w:gridCol w:w="211"/>
        <w:gridCol w:w="826"/>
        <w:gridCol w:w="109"/>
        <w:gridCol w:w="109"/>
        <w:gridCol w:w="109"/>
        <w:gridCol w:w="109"/>
        <w:gridCol w:w="614"/>
        <w:gridCol w:w="614"/>
        <w:gridCol w:w="616"/>
        <w:gridCol w:w="109"/>
        <w:gridCol w:w="109"/>
        <w:gridCol w:w="109"/>
        <w:gridCol w:w="211"/>
        <w:gridCol w:w="826"/>
        <w:gridCol w:w="109"/>
        <w:gridCol w:w="109"/>
        <w:gridCol w:w="109"/>
        <w:gridCol w:w="109"/>
        <w:gridCol w:w="554"/>
        <w:gridCol w:w="554"/>
        <w:gridCol w:w="782"/>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r>
      <w:tr>
        <w:trPr/>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Uniti Leasing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Windstream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81.4%</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GCI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82.6%</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TCI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GCI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straight-line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Windstream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90.9%</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Uniti Leasing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TCI revenue is attributable to continued investment by Windstream. As of June 30, 2023 and 2022, the total amount invested in TCIs by Windstream since the inception of the Windstream Leases and Master Lease was $1.1 billion and $1.0 billion,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GCI revenue is attributable to Uniti’s continued reimbursement of Growth Capital Improvements. During the six months ended June 30, 2023, Uniti reimbursed $158.8 million of Growth Capital Improvements. Subsequent to June 30, 2023, Windstream requested, and we reimbursed $23.7 million of qualifying Growth Capital Improvements. As of the date of this Quarterly Report on Form 10-Q, we have reimbursed a total of $726.7 million of Growth Capital Improvements.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$39.4 million and $37.4 million of revenues from non-Windstream triple-net leasing, dark fiber IRU arrangements, and other services for the six months ended June 30, 2023 and 2022, respectively. The increase is primarily due to revenues from new customer arrangements.</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 </w:t>
      </w:r>
      <w:r>
        <w:rPr>
          <w:rFonts w:ascii="Times New Roman;sans-serif" w:hAnsi="Times New Roman;sans-serif"/>
          <w:b w:val="false"/>
          <w:color w:val="000000"/>
          <w:sz w:val="20"/>
        </w:rPr>
        <w:t>Uniti Fiber revenues for the six months ended June 30, 2023 and 2022 consisted of the following:</w:t>
      </w:r>
    </w:p>
    <w:tbl>
      <w:tblPr>
        <w:tblW w:w="9583" w:type="dxa"/>
        <w:jc w:val="center"/>
        <w:tblInd w:w="0" w:type="dxa"/>
        <w:tblLayout w:type="fixed"/>
        <w:tblCellMar>
          <w:top w:w="28" w:type="dxa"/>
          <w:left w:w="28" w:type="dxa"/>
          <w:bottom w:w="28" w:type="dxa"/>
          <w:right w:w="28" w:type="dxa"/>
        </w:tblCellMar>
      </w:tblPr>
      <w:tblGrid>
        <w:gridCol w:w="814"/>
        <w:gridCol w:w="715"/>
        <w:gridCol w:w="720"/>
        <w:gridCol w:w="109"/>
        <w:gridCol w:w="109"/>
        <w:gridCol w:w="109"/>
        <w:gridCol w:w="211"/>
        <w:gridCol w:w="826"/>
        <w:gridCol w:w="109"/>
        <w:gridCol w:w="109"/>
        <w:gridCol w:w="109"/>
        <w:gridCol w:w="109"/>
        <w:gridCol w:w="614"/>
        <w:gridCol w:w="614"/>
        <w:gridCol w:w="616"/>
        <w:gridCol w:w="109"/>
        <w:gridCol w:w="109"/>
        <w:gridCol w:w="109"/>
        <w:gridCol w:w="211"/>
        <w:gridCol w:w="826"/>
        <w:gridCol w:w="109"/>
        <w:gridCol w:w="109"/>
        <w:gridCol w:w="109"/>
        <w:gridCol w:w="109"/>
        <w:gridCol w:w="554"/>
        <w:gridCol w:w="554"/>
        <w:gridCol w:w="782"/>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Uniti Fiber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 backhaul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 and wholesale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27.6%</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E-Rate and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21.6%</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Dark fiber and small cells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23.9%</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Uniti Fiber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Uniti Fiber revenues totaled $150.3 million as compared to $151.8 million for the six months ended June 30, 2022. The decrease in revenues of $1.5 million is primarily due to a decrease in E-Rate and government revenues of $4.8 million, driven primarily by lower equipment sales and installation, partially offset by higher Enterprise and wholesale revenues of $4.0 million, driven primarily by increased customer connections.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03eceef3119f4cad87979fef1ca58b0e_10">
        <w:r>
          <w:rPr>
            <w:rStyle w:val="InternetLink"/>
          </w:rPr>
          <w:t>Table of Cont</w:t>
        </w:r>
      </w:hyperlink>
      <w:hyperlink w:anchor="i03eceef3119f4cad87979fef1ca58b0e_10">
        <w:r>
          <w:rPr>
            <w:rStyle w:val="InternetLink"/>
          </w:rPr>
          <w: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 net</w:t>
      </w:r>
    </w:p>
    <w:tbl>
      <w:tblPr>
        <w:tblW w:w="9813" w:type="dxa"/>
        <w:jc w:val="center"/>
        <w:tblInd w:w="0" w:type="dxa"/>
        <w:tblLayout w:type="fixed"/>
        <w:tblCellMar>
          <w:top w:w="28" w:type="dxa"/>
          <w:left w:w="28" w:type="dxa"/>
          <w:bottom w:w="28" w:type="dxa"/>
          <w:right w:w="28" w:type="dxa"/>
        </w:tblCellMar>
      </w:tblPr>
      <w:tblGrid>
        <w:gridCol w:w="1770"/>
        <w:gridCol w:w="1554"/>
        <w:gridCol w:w="1566"/>
        <w:gridCol w:w="109"/>
        <w:gridCol w:w="109"/>
        <w:gridCol w:w="109"/>
        <w:gridCol w:w="211"/>
        <w:gridCol w:w="826"/>
        <w:gridCol w:w="109"/>
        <w:gridCol w:w="109"/>
        <w:gridCol w:w="109"/>
        <w:gridCol w:w="109"/>
        <w:gridCol w:w="211"/>
        <w:gridCol w:w="826"/>
        <w:gridCol w:w="109"/>
        <w:gridCol w:w="109"/>
        <w:gridCol w:w="109"/>
        <w:gridCol w:w="109"/>
        <w:gridCol w:w="320"/>
        <w:gridCol w:w="1096"/>
        <w:gridCol w:w="234"/>
      </w:tblGrid>
      <w:tr>
        <w:trPr/>
        <w:tc>
          <w:tcPr>
            <w:tcW w:w="177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6"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4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66,075 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 variable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termination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66,785 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debt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off of deferred financing costs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settlement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9,218 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268,552 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192,549 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76,003 </w:t>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six months ended June 30, 2023 increased $76.0 million compared to the six months ended June 30, 2022. The increase is primarily due to a loss on extinguishment of debt of $32.3 million on the 2025 Secured Notes, which included $10.3 million of non-cash interest expense for the write off of the unamortized discount and deferred financing costs and $22.0 million of cash interest expense for the redemption premium, and an increase in cash interest on secured and unsecured notes of $51.2 million, partially offset by a decrease in interest rate swap termination interest of $5.7 million that ceased October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Depreciation and Amortization Expense</w:t>
      </w:r>
    </w:p>
    <w:tbl>
      <w:tblPr>
        <w:tblW w:w="9407" w:type="dxa"/>
        <w:jc w:val="center"/>
        <w:tblInd w:w="0" w:type="dxa"/>
        <w:tblLayout w:type="fixed"/>
        <w:tblCellMar>
          <w:top w:w="28" w:type="dxa"/>
          <w:left w:w="28" w:type="dxa"/>
          <w:bottom w:w="28" w:type="dxa"/>
          <w:right w:w="28" w:type="dxa"/>
        </w:tblCellMar>
      </w:tblPr>
      <w:tblGrid>
        <w:gridCol w:w="1621"/>
        <w:gridCol w:w="1424"/>
        <w:gridCol w:w="1439"/>
        <w:gridCol w:w="109"/>
        <w:gridCol w:w="109"/>
        <w:gridCol w:w="109"/>
        <w:gridCol w:w="211"/>
        <w:gridCol w:w="826"/>
        <w:gridCol w:w="109"/>
        <w:gridCol w:w="109"/>
        <w:gridCol w:w="109"/>
        <w:gridCol w:w="109"/>
        <w:gridCol w:w="211"/>
        <w:gridCol w:w="826"/>
        <w:gridCol w:w="109"/>
        <w:gridCol w:w="109"/>
        <w:gridCol w:w="109"/>
        <w:gridCol w:w="109"/>
        <w:gridCol w:w="320"/>
        <w:gridCol w:w="1096"/>
        <w:gridCol w:w="234"/>
      </w:tblGrid>
      <w:tr>
        <w:trPr/>
        <w:tc>
          <w:tcPr>
            <w:tcW w:w="162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6"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4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 expense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10,296 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10,282 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Uniti Leasing depreciation expense increased $4.2 million for the six months ended June 30, 2023 compared to the six months ended June 30, 2022. The increase is primarily due to asset additions since June 30, 2022.</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 </w:t>
      </w:r>
      <w:r>
        <w:rPr>
          <w:rFonts w:ascii="Times New Roman;sans-serif" w:hAnsi="Times New Roman;sans-serif"/>
          <w:b w:val="false"/>
          <w:color w:val="000000"/>
          <w:sz w:val="20"/>
        </w:rPr>
        <w:t>Uniti Fiber depreciation expense increased $6.1 million for the six months ended June 30, 2023 compared to the six months ended June 30, 2022. The increase is primarily due to asset additions since June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03eceef3119f4cad87979fef1ca58b0e_10">
        <w:r>
          <w:rPr>
            <w:rStyle w:val="InternetLink"/>
          </w:rPr>
          <w:t>Table of Cont</w:t>
        </w:r>
      </w:hyperlink>
      <w:hyperlink w:anchor="i03eceef3119f4cad87979fef1ca58b0e_10">
        <w:r>
          <w:rPr>
            <w:rStyle w:val="InternetLink"/>
          </w:rPr>
          <w: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include compensation costs, including stock-based compensation awards, professional and legal services, corporate office costs and other costs associated with administrative activities of our segments.</w:t>
      </w:r>
    </w:p>
    <w:tbl>
      <w:tblPr>
        <w:tblW w:w="10205" w:type="dxa"/>
        <w:jc w:val="center"/>
        <w:tblInd w:w="0" w:type="dxa"/>
        <w:tblLayout w:type="fixed"/>
        <w:tblCellMar>
          <w:top w:w="28" w:type="dxa"/>
          <w:left w:w="28" w:type="dxa"/>
          <w:bottom w:w="28" w:type="dxa"/>
          <w:right w:w="28" w:type="dxa"/>
        </w:tblCellMar>
      </w:tblPr>
      <w:tblGrid>
        <w:gridCol w:w="1161"/>
        <w:gridCol w:w="1020"/>
        <w:gridCol w:w="1029"/>
        <w:gridCol w:w="109"/>
        <w:gridCol w:w="109"/>
        <w:gridCol w:w="109"/>
        <w:gridCol w:w="211"/>
        <w:gridCol w:w="721"/>
        <w:gridCol w:w="109"/>
        <w:gridCol w:w="109"/>
        <w:gridCol w:w="109"/>
        <w:gridCol w:w="109"/>
        <w:gridCol w:w="396"/>
        <w:gridCol w:w="396"/>
        <w:gridCol w:w="987"/>
        <w:gridCol w:w="109"/>
        <w:gridCol w:w="109"/>
        <w:gridCol w:w="109"/>
        <w:gridCol w:w="211"/>
        <w:gridCol w:w="721"/>
        <w:gridCol w:w="109"/>
        <w:gridCol w:w="109"/>
        <w:gridCol w:w="109"/>
        <w:gridCol w:w="109"/>
        <w:gridCol w:w="370"/>
        <w:gridCol w:w="370"/>
        <w:gridCol w:w="1086"/>
      </w:tblGrid>
      <w:tr>
        <w:trPr/>
        <w:tc>
          <w:tcPr>
            <w:tcW w:w="116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General and administrative expense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Uniti Leasing general and administrative expense decreased $0.5 million for the six months ended June 30, 2023 compared to the six months ended June 30, 2022, which is primarily due to decreased personnel costs of $0.6 million.</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 </w:t>
      </w:r>
      <w:r>
        <w:rPr>
          <w:rFonts w:ascii="Times New Roman;sans-serif" w:hAnsi="Times New Roman;sans-serif"/>
          <w:b w:val="false"/>
          <w:color w:val="000000"/>
          <w:sz w:val="20"/>
        </w:rPr>
        <w:t>Uniti Fiber general and administrative expense increased $5.3 million for the six months ended June 30, 2023 compared to the six months ended June 30, 2022, which is primarily due to increases in personnel expense of $2.2 million, insurance expense of $1.0 million, and regulatory expense, driven predominantly by universal service fees, of $1.0 million.</w:t>
      </w:r>
    </w:p>
    <w:p>
      <w:pPr>
        <w:pStyle w:val="TextBody"/>
        <w:bidi w:val="0"/>
        <w:spacing w:lineRule="auto" w:line="288" w:before="240" w:after="283"/>
        <w:jc w:val="left"/>
        <w:rPr/>
      </w:pPr>
      <w:r>
        <w:rPr>
          <w:rFonts w:ascii="Times New Roman;sans-serif" w:hAnsi="Times New Roman;sans-serif"/>
          <w:b w:val="false"/>
          <w:i/>
          <w:color w:val="000000"/>
          <w:sz w:val="20"/>
          <w:u w:val="single"/>
        </w:rPr>
        <w:t>Corporate</w:t>
      </w:r>
      <w:r>
        <w:rPr>
          <w:color w:val="000000"/>
        </w:rPr>
        <w:t xml:space="preserve"> – </w:t>
      </w:r>
      <w:r>
        <w:rPr>
          <w:rFonts w:ascii="Times New Roman;sans-serif" w:hAnsi="Times New Roman;sans-serif"/>
          <w:b w:val="false"/>
          <w:color w:val="000000"/>
          <w:sz w:val="20"/>
        </w:rPr>
        <w:t xml:space="preserve">Corporate general and administrative expense decreased $1.9 million for the six months ended June 30, 2023 compared to the six months ended June 30, 2022, which is primarily due to a decrease in legal fees of $2.3 million.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consists of network related costs, such as dark fiber and tower rents, lit service and maintenance expense and costs associated with our construction activities.</w:t>
      </w:r>
    </w:p>
    <w:tbl>
      <w:tblPr>
        <w:tblW w:w="10205" w:type="dxa"/>
        <w:jc w:val="center"/>
        <w:tblInd w:w="0" w:type="dxa"/>
        <w:tblLayout w:type="fixed"/>
        <w:tblCellMar>
          <w:top w:w="28" w:type="dxa"/>
          <w:left w:w="28" w:type="dxa"/>
          <w:bottom w:w="28" w:type="dxa"/>
          <w:right w:w="28" w:type="dxa"/>
        </w:tblCellMar>
      </w:tblPr>
      <w:tblGrid>
        <w:gridCol w:w="939"/>
        <w:gridCol w:w="827"/>
        <w:gridCol w:w="835"/>
        <w:gridCol w:w="109"/>
        <w:gridCol w:w="109"/>
        <w:gridCol w:w="109"/>
        <w:gridCol w:w="211"/>
        <w:gridCol w:w="721"/>
        <w:gridCol w:w="109"/>
        <w:gridCol w:w="109"/>
        <w:gridCol w:w="109"/>
        <w:gridCol w:w="109"/>
        <w:gridCol w:w="693"/>
        <w:gridCol w:w="693"/>
        <w:gridCol w:w="695"/>
        <w:gridCol w:w="109"/>
        <w:gridCol w:w="109"/>
        <w:gridCol w:w="109"/>
        <w:gridCol w:w="211"/>
        <w:gridCol w:w="721"/>
        <w:gridCol w:w="109"/>
        <w:gridCol w:w="109"/>
        <w:gridCol w:w="109"/>
        <w:gridCol w:w="109"/>
        <w:gridCol w:w="623"/>
        <w:gridCol w:w="623"/>
        <w:gridCol w:w="887"/>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r>
      <w:tr>
        <w:trPr/>
        <w:tc>
          <w:tcPr>
            <w:tcW w:w="2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2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Uniti Leasing operating expense increased $1.3 million for the six months ended June 30, 2023</w:t>
      </w:r>
      <w:r>
        <w:rPr>
          <w:color w:val="000000"/>
          <w:shd w:fill="FFFFFF" w:val="clear"/>
        </w:rPr>
        <w:t xml:space="preserve"> </w:t>
      </w:r>
      <w:r>
        <w:rPr>
          <w:rFonts w:ascii="Times New Roman;sans-serif" w:hAnsi="Times New Roman;sans-serif"/>
          <w:b w:val="false"/>
          <w:color w:val="000000"/>
          <w:sz w:val="20"/>
          <w:shd w:fill="FFFFFF" w:val="clear"/>
        </w:rPr>
        <w:t>compared to the six months ended June 30, 2022</w:t>
      </w:r>
      <w:r>
        <w:rPr>
          <w:rFonts w:ascii="Times New Roman;sans-serif" w:hAnsi="Times New Roman;sans-serif"/>
          <w:b w:val="false"/>
          <w:color w:val="000000"/>
          <w:sz w:val="20"/>
        </w:rPr>
        <w:t>. The increase is primarily due to increased leased asset cost of $1.2 million.</w:t>
      </w:r>
    </w:p>
    <w:p>
      <w:pPr>
        <w:pStyle w:val="TextBody"/>
        <w:bidi w:val="0"/>
        <w:spacing w:lineRule="auto" w:line="288" w:before="240" w:after="283"/>
        <w:jc w:val="left"/>
        <w:rPr/>
      </w:pPr>
      <w:r>
        <w:rPr>
          <w:rFonts w:ascii="Times New Roman;sans-serif" w:hAnsi="Times New Roman;sans-serif"/>
          <w:b w:val="false"/>
          <w:i/>
          <w:color w:val="000000"/>
          <w:sz w:val="20"/>
          <w:u w:val="single"/>
          <w:shd w:fill="FFFFFF" w:val="clear"/>
        </w:rPr>
        <w:t>Uniti Fiber</w:t>
      </w:r>
      <w:r>
        <w:rPr>
          <w:color w:val="000000"/>
          <w:shd w:fill="FFFFFF" w:val="clear"/>
        </w:rPr>
        <w:t xml:space="preserve"> – </w:t>
      </w:r>
      <w:r>
        <w:rPr>
          <w:rFonts w:ascii="Times New Roman;sans-serif" w:hAnsi="Times New Roman;sans-serif"/>
          <w:b w:val="false"/>
          <w:color w:val="000000"/>
          <w:sz w:val="20"/>
          <w:shd w:fill="FFFFFF" w:val="clear"/>
        </w:rPr>
        <w:t xml:space="preserve">Uniti Fiber operating expenses remained consistent for the six months ended June 30, 2023 compared to the </w:t>
      </w:r>
      <w:r>
        <w:rPr>
          <w:rFonts w:ascii="Times New Roman;sans-serif" w:hAnsi="Times New Roman;sans-serif"/>
          <w:b w:val="false"/>
          <w:color w:val="000000"/>
          <w:sz w:val="20"/>
        </w:rPr>
        <w:t>six months ended June 30, 2022</w:t>
      </w:r>
      <w:r>
        <w:rPr>
          <w:rFonts w:ascii="Times New Roman;sans-serif" w:hAnsi="Times New Roman;sans-serif"/>
          <w:b w:val="false"/>
          <w:color w:val="000000"/>
          <w:sz w:val="20"/>
          <w:shd w:fill="FFFFFF" w:val="clear"/>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Transaction Related and Other Costs</w:t>
      </w:r>
    </w:p>
    <w:p>
      <w:pPr>
        <w:pStyle w:val="TextBody"/>
        <w:bidi w:val="0"/>
        <w:spacing w:lineRule="auto" w:line="288" w:before="240" w:after="283"/>
        <w:jc w:val="left"/>
        <w:rPr/>
      </w:pPr>
      <w:r>
        <w:rPr>
          <w:rFonts w:ascii="Times New Roman;sans-serif" w:hAnsi="Times New Roman;sans-serif"/>
          <w:b w:val="false"/>
          <w:color w:val="000000"/>
          <w:sz w:val="20"/>
        </w:rPr>
        <w:t xml:space="preserve">Transaction related and other costs during the six months ended June 30, 2023 and 2022 included acquisition, pursuit, transaction and integration costs (including unsuccessful acquisition pursuit costs). For the six months ended June 30, 2023, we incurred $8.4 million of transaction related and other costs, compared to $4.9 million of such costs during the </w:t>
      </w:r>
      <w:r>
        <w:rPr>
          <w:rFonts w:ascii="Times New Roman;sans-serif" w:hAnsi="Times New Roman;sans-serif"/>
          <w:b w:val="false"/>
          <w:color w:val="000000"/>
          <w:sz w:val="20"/>
          <w:shd w:fill="FFFFFF" w:val="clear"/>
        </w:rPr>
        <w:t>six months ended June 30, 2022</w:t>
      </w:r>
      <w:r>
        <w:rPr>
          <w:rFonts w:ascii="Times New Roman;sans-serif" w:hAnsi="Times New Roman;sans-serif"/>
          <w:b w:val="false"/>
          <w:color w:val="000000"/>
          <w:sz w:val="20"/>
        </w:rPr>
        <w:t xml:space="preserve">. </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03eceef3119f4cad87979fef1ca58b0e_10">
        <w:r>
          <w:rPr>
            <w:rStyle w:val="InternetLink"/>
          </w:rPr>
          <w:t>Table of Cont</w:t>
        </w:r>
      </w:hyperlink>
      <w:hyperlink w:anchor="i03eceef3119f4cad87979fef1ca58b0e_10">
        <w:r>
          <w:rPr>
            <w:rStyle w:val="InternetLink"/>
          </w:rPr>
          <w:t>ents</w:t>
        </w:r>
      </w:hyperlink>
    </w:p>
    <w:p>
      <w:pPr>
        <w:pStyle w:val="TextBody"/>
        <w:bidi w:val="0"/>
        <w:spacing w:lineRule="auto" w:line="268" w:before="0" w:after="0"/>
        <w:jc w:val="left"/>
        <w:rPr/>
      </w:pPr>
      <w:r>
        <w:rPr>
          <w:rFonts w:ascii="Times New Roman;sans-serif" w:hAnsi="Times New Roman;sans-serif"/>
          <w:b/>
          <w:i/>
          <w:color w:val="000000"/>
          <w:sz w:val="20"/>
        </w:rPr>
        <w:t>Other Expense (Income), ne</w:t>
      </w:r>
      <w:r>
        <w:rPr>
          <w:rFonts w:ascii="Times New Roman;sans-serif" w:hAnsi="Times New Roman;sans-serif"/>
          <w:b w:val="false"/>
          <w:color w:val="000000"/>
          <w:sz w:val="20"/>
        </w:rPr>
        <w:t>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for the six months ended June 30, 2023 totaled $19.9 million, which included $20.6 million of costs related to the issuance of the February 2028 Secured Notes.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Income Tax (Benefit)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(benefit) expense recorded for the six months ended June 30, 2023 and 2022, respectively, is related to the tax impact of the following:</w:t>
      </w:r>
    </w:p>
    <w:tbl>
      <w:tblPr>
        <w:tblW w:w="6201" w:type="dxa"/>
        <w:jc w:val="center"/>
        <w:tblInd w:w="0" w:type="dxa"/>
        <w:tblLayout w:type="fixed"/>
        <w:tblCellMar>
          <w:top w:w="28" w:type="dxa"/>
          <w:left w:w="28" w:type="dxa"/>
          <w:bottom w:w="28" w:type="dxa"/>
          <w:right w:w="28" w:type="dxa"/>
        </w:tblCellMar>
      </w:tblPr>
      <w:tblGrid>
        <w:gridCol w:w="1259"/>
        <w:gridCol w:w="1107"/>
        <w:gridCol w:w="1114"/>
        <w:gridCol w:w="109"/>
        <w:gridCol w:w="109"/>
        <w:gridCol w:w="109"/>
        <w:gridCol w:w="211"/>
        <w:gridCol w:w="691"/>
        <w:gridCol w:w="109"/>
        <w:gridCol w:w="109"/>
        <w:gridCol w:w="109"/>
        <w:gridCol w:w="109"/>
        <w:gridCol w:w="211"/>
        <w:gridCol w:w="691"/>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loss (Uniti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unconsolidated entity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undistributed REIT taxable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REIT state and local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240" w:after="283"/>
        <w:jc w:val="left"/>
        <w:rPr/>
      </w:pPr>
      <w:r>
        <w:rPr>
          <w:rFonts w:ascii="Times New Roman;sans-serif" w:hAnsi="Times New Roman;sans-serif"/>
          <w:b w:val="false"/>
          <w:color w:val="000000"/>
          <w:sz w:val="20"/>
        </w:rPr>
        <w:t xml:space="preserve">We </w:t>
      </w:r>
      <w:r>
        <w:rPr>
          <w:rFonts w:ascii="Times New Roman;sans-serif" w:hAnsi="Times New Roman;sans-serif"/>
          <w:b w:val="false"/>
          <w:color w:val="000000"/>
          <w:sz w:val="20"/>
          <w:shd w:fill="FFFFFF" w:val="clear"/>
        </w:rPr>
        <w:t>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We</w:t>
      </w:r>
      <w:r>
        <w:rPr>
          <w:color w:val="000000"/>
          <w:shd w:fill="FFFFFF" w:val="clear"/>
        </w:rPr>
        <w:t xml:space="preserve"> </w:t>
      </w:r>
      <w:r>
        <w:rPr>
          <w:rFonts w:ascii="Times New Roman;sans-serif" w:hAnsi="Times New Roman;sans-serif"/>
          <w:b w:val="false"/>
          <w:color w:val="000000"/>
          <w:sz w:val="20"/>
          <w:shd w:fill="FFFFFF" w:val="clear"/>
        </w:rPr>
        <w:t>define “EBITDA” as net income, as defined by GAAP, before interest expense, provision for income taxes and depreciation and amortization. We define “Adjusted EBITDA” as EBITDA before stock-based compensation expense and the impact, which may be recurring in nature, of incremental acquisition, pursuit, transaction and integration costs (including unsuccessful acquisition pursuit costs), costs associated with Windstream’s bankruptcy, costs associated with litigation claims made against us, and costs associated with the implementation of our enterprise resource planning system, (collectively, “Transaction Related and Other Costs”), costs related to the settlement with Windstream, goodwill impairment charges, executive severance costs,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and includes adjustments to reflect the Company’s share of FFO from unconsolidated entities. We compute FFO in accordance with NAREIT’s definition.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03eceef3119f4cad87979fef1ca58b0e_10">
        <w:r>
          <w:rPr>
            <w:rStyle w:val="InternetLink"/>
          </w:rPr>
          <w:t>Table of Cont</w:t>
        </w:r>
      </w:hyperlink>
      <w:hyperlink w:anchor="i03eceef3119f4cad87979fef1ca58b0e_10">
        <w:r>
          <w:rPr>
            <w:rStyle w:val="InternetLink"/>
          </w:rPr>
          <w: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The Company defines AFFO, as FFO excluding (i) Transaction Related and Other Costs; (ii) costs related to the litigation settlement with Windstream, accretion on our settlement obligation, and gains on prepayment of our settlement obligation as these items are not reflective of ongoing operating performance; (iii) goodwill impairment charges; (iv) certain non-cash revenues and expenses such as stock-based compensation expense, amortization of debt and equity discounts, amortization of deferred financing costs, depreciation and amortization of non-real estate assets, amortization of non-cash rights-of-use assets, straight line revenues, non-cash income taxes, and the amortization of other non-cash revenues to the extent that cash has not been received, such as revenue associated with the amortization of TCIs; and (v) the impact, which may be recurring in nature, of the write-off of unamortized deferred financing fees, additional costs incurred as a result of the early repayment of debt, including early tender and redemption premiums and costs associated with the termination of related hedging activities, executive severance costs,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r>
        <w:rPr>
          <w:rFonts w:ascii="Times New Roman;sans-serif" w:hAnsi="Times New Roman;sans-serif"/>
          <w:b w:val="false"/>
          <w:color w:val="000000"/>
          <w:sz w:val="24"/>
          <w:shd w:fill="FFFFFF" w:val="clear"/>
        </w:rPr>
        <w:t xml:space="preserve">. </w:t>
      </w:r>
    </w:p>
    <w:p>
      <w:pPr>
        <w:pStyle w:val="TextBody"/>
        <w:bidi w:val="0"/>
        <w:spacing w:lineRule="auto" w:line="288" w:before="240" w:after="283"/>
        <w:jc w:val="left"/>
        <w:rPr/>
      </w:pPr>
      <w:r>
        <w:rPr>
          <w:rFonts w:ascii="Times New Roman;sans-serif" w:hAnsi="Times New Roman;sans-serif"/>
          <w:b w:val="false"/>
          <w:color w:val="000000"/>
          <w:sz w:val="20"/>
        </w:rPr>
        <w:t xml:space="preserve">Further, </w:t>
      </w:r>
      <w:r>
        <w:rPr>
          <w:rFonts w:ascii="Times New Roman;sans-serif" w:hAnsi="Times New Roman;sans-serif"/>
          <w:b w:val="false"/>
          <w:color w:val="000000"/>
          <w:sz w:val="20"/>
          <w:shd w:fill="FFFFFF" w:val="clear"/>
        </w:rPr>
        <w:t>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 of our net income to EBITDA and Adjusted EBITDA and of our net income attributable to common shareholders to FFO and AFFO for the three and six months ended June 30, 2023 and 2022 is as follows:</w:t>
      </w:r>
    </w:p>
    <w:tbl>
      <w:tblPr>
        <w:tblW w:w="10205" w:type="dxa"/>
        <w:jc w:val="center"/>
        <w:tblInd w:w="0" w:type="dxa"/>
        <w:tblLayout w:type="fixed"/>
        <w:tblCellMar>
          <w:top w:w="28" w:type="dxa"/>
          <w:left w:w="28" w:type="dxa"/>
          <w:bottom w:w="28" w:type="dxa"/>
          <w:right w:w="28" w:type="dxa"/>
        </w:tblCellMar>
      </w:tblPr>
      <w:tblGrid>
        <w:gridCol w:w="1684"/>
        <w:gridCol w:w="1447"/>
        <w:gridCol w:w="146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8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451,953 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03eceef3119f4cad87979fef1ca58b0e_10">
        <w:r>
          <w:rPr>
            <w:rStyle w:val="InternetLink"/>
          </w:rPr>
          <w:t>Table of Cont</w:t>
        </w:r>
      </w:hyperlink>
      <w:hyperlink w:anchor="i03eceef3119f4cad87979fef1ca58b0e_10">
        <w:r>
          <w:rPr>
            <w:rStyle w:val="InternetLink"/>
          </w:rPr>
          <w:t>ents</w:t>
        </w:r>
      </w:hyperlink>
    </w:p>
    <w:tbl>
      <w:tblPr>
        <w:tblW w:w="10205" w:type="dxa"/>
        <w:jc w:val="left"/>
        <w:tblInd w:w="0" w:type="dxa"/>
        <w:tblLayout w:type="fixed"/>
        <w:tblCellMar>
          <w:top w:w="28" w:type="dxa"/>
          <w:left w:w="28" w:type="dxa"/>
          <w:bottom w:w="28" w:type="dxa"/>
          <w:right w:w="28" w:type="dxa"/>
        </w:tblCellMar>
      </w:tblPr>
      <w:tblGrid>
        <w:gridCol w:w="1732"/>
        <w:gridCol w:w="1475"/>
        <w:gridCol w:w="1491"/>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3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 assets,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FFO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 and amortization from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FFO attributable to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debt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off of deferred financing costs and debt discount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related to the early repayment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unconsolidated entity,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Non-real estate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revenues and amortization of below-market lease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AFFO attributable to common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227,239 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liquidity needs are to fund operating expenses, meet debt service obligations, fund investment activities, including capital expenditures, and make dividend distributions. Furthermore, following consummation of our settlement agreement with Windstream, including entry into the Windstream Leases, we are obligated (i) to make $490.1 million of cash payments to Windstream in equal installments over 20 consecutive quarters beginning in October 2020 and (ii) to reimburse Windstream for up to an aggregate of $1.75 billion for Growth Capital Improvements in long-term value accretive fiber and related assets made by Windstream through 2029. To date, we have paid $264.4 million of the $490.1 million due to Windstream under the settlement agreement.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2022, and are limited to $225 million per year in 2023 and 2024; $175 million per year in 2025 and 2026; and $125 million per year in 2027 through 2029.</w:t>
      </w:r>
    </w:p>
    <w:p>
      <w:pPr>
        <w:pStyle w:val="TextBody"/>
        <w:bidi w:val="0"/>
        <w:spacing w:lineRule="auto" w:line="288" w:before="240" w:after="283"/>
        <w:jc w:val="left"/>
        <w:rPr/>
      </w:pPr>
      <w:r>
        <w:rPr>
          <w:rFonts w:ascii="Times New Roman;sans-serif" w:hAnsi="Times New Roman;sans-serif"/>
          <w:b w:val="false"/>
          <w:color w:val="000000"/>
          <w:sz w:val="20"/>
        </w:rPr>
        <w:t xml:space="preserve">Our </w:t>
      </w:r>
      <w:r>
        <w:rPr>
          <w:rFonts w:ascii="Times New Roman;sans-serif" w:hAnsi="Times New Roman;sans-serif"/>
          <w:b w:val="false"/>
          <w:color w:val="000000"/>
          <w:sz w:val="20"/>
          <w:shd w:fill="FFFFFF" w:val="clear"/>
        </w:rPr>
        <w:t>primary sources of liquidity and capital resources are cash on hand, cash provided by operating activities (primarily from the Windstream Leases), available borrowings under our credit agreement by and among the Operating Partnership, CSL Capital, LLC and Uniti Group Finance 2019 Inc., the guarantors party thereto, Bank of America, N.A., as administrative agent, collateral agent, swing line lender and an L/C issuer and certain other lenders named therein (the "Credit Agreement"), and proceeds from the issuance of debt and equity securities</w:t>
      </w:r>
      <w:r>
        <w:rPr>
          <w:rFonts w:ascii="Times New Roman;sans-serif" w:hAnsi="Times New Roman;sans-serif"/>
          <w:b w:val="false"/>
          <w:color w:val="000000"/>
          <w:sz w:val="20"/>
        </w:rPr>
        <w:t>.</w:t>
      </w:r>
    </w:p>
    <w:p>
      <w:pPr>
        <w:pStyle w:val="TextBody"/>
        <w:bidi w:val="0"/>
        <w:spacing w:lineRule="auto" w:line="288" w:before="240" w:after="283"/>
        <w:jc w:val="left"/>
        <w:rPr/>
      </w:pPr>
      <w:r>
        <w:rPr>
          <w:rFonts w:ascii="Times New Roman;sans-serif" w:hAnsi="Times New Roman;sans-serif"/>
          <w:b w:val="false"/>
          <w:color w:val="000000"/>
          <w:sz w:val="20"/>
        </w:rPr>
        <w:t xml:space="preserve">As of June 30, 2023, we had cash and cash equivalents of $38.1 million and approximately $414.0 million of borrowing availability under our Revolving Credit Facility under the Credit Agreement (subject to customary borrowing conditions). Subsequent to June 30, 2023, other than $23.7 million of Growth Capital Improvements </w:t>
      </w:r>
      <w:r>
        <w:rPr>
          <w:rFonts w:ascii="Times New Roman;sans-serif" w:hAnsi="Times New Roman;sans-serif"/>
          <w:b w:val="false"/>
          <w:color w:val="000000"/>
          <w:sz w:val="20"/>
          <w:shd w:fill="FFFFFF" w:val="clear"/>
        </w:rPr>
        <w:t xml:space="preserve">(see </w:t>
      </w:r>
      <w:r>
        <w:rPr>
          <w:color w:val="000000"/>
          <w:shd w:fill="FFFFFF" w:val="clear"/>
        </w:rPr>
        <w:t>“</w:t>
      </w:r>
      <w:r>
        <w:rPr>
          <w:rFonts w:ascii="Times New Roman;sans-serif" w:hAnsi="Times New Roman;sans-serif"/>
          <w:b w:val="false"/>
          <w:i/>
          <w:color w:val="000000"/>
          <w:sz w:val="20"/>
          <w:shd w:fill="FFFFFF" w:val="clear"/>
        </w:rPr>
        <w:t>Result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03eceef3119f4cad87979fef1ca58b0e_10">
        <w:r>
          <w:rPr>
            <w:rStyle w:val="InternetLink"/>
          </w:rPr>
          <w:t>Table of Cont</w:t>
        </w:r>
      </w:hyperlink>
      <w:hyperlink w:anchor="i03eceef3119f4cad87979fef1ca58b0e_10">
        <w:r>
          <w:rPr>
            <w:rStyle w:val="InternetLink"/>
          </w:rPr>
          <w:t>ents</w:t>
        </w:r>
      </w:hyperlink>
    </w:p>
    <w:p>
      <w:pPr>
        <w:pStyle w:val="TextBody"/>
        <w:bidi w:val="0"/>
        <w:spacing w:lineRule="auto" w:line="288" w:before="240" w:after="283"/>
        <w:jc w:val="left"/>
        <w:rPr/>
      </w:pPr>
      <w:r>
        <w:rPr>
          <w:rFonts w:ascii="Times New Roman;sans-serif" w:hAnsi="Times New Roman;sans-serif"/>
          <w:b w:val="false"/>
          <w:i/>
          <w:color w:val="000000"/>
          <w:sz w:val="20"/>
          <w:shd w:fill="FFFFFF" w:val="clear"/>
        </w:rPr>
        <w:t>Revenues”</w:t>
      </w:r>
      <w:r>
        <w:rPr>
          <w:color w:val="000000"/>
          <w:shd w:fill="FFFFFF" w:val="clear"/>
        </w:rPr>
        <w:t xml:space="preserve"> </w:t>
      </w:r>
      <w:r>
        <w:rPr>
          <w:rFonts w:ascii="Times New Roman;sans-serif" w:hAnsi="Times New Roman;sans-serif"/>
          <w:b w:val="false"/>
          <w:color w:val="000000"/>
          <w:sz w:val="20"/>
          <w:shd w:fill="FFFFFF" w:val="clear"/>
        </w:rPr>
        <w:t>above),</w:t>
      </w:r>
      <w:r>
        <w:rPr>
          <w:color w:val="000000"/>
        </w:rPr>
        <w:t xml:space="preserve"> </w:t>
      </w:r>
      <w:r>
        <w:rPr>
          <w:rFonts w:ascii="Times New Roman;sans-serif" w:hAnsi="Times New Roman;sans-serif"/>
          <w:b w:val="false"/>
          <w:color w:val="000000"/>
          <w:sz w:val="20"/>
        </w:rPr>
        <w:t>there have been no material outlays of funds outside of our scheduled interest and dividend payments. Availability under our Revolving Credit Facility is subject to various conditions, including a maximum secured leverage ratio of 5.0:1. In addition, if we incur debt under our Revolving Credit Facility or otherwise such that our total leverage ratio exceeds 6.5:1, our Revolving Credit Facility would impose significant restrictions on our ability to pay dividends. See “—Dividends.”</w:t>
      </w:r>
    </w:p>
    <w:tbl>
      <w:tblPr>
        <w:tblW w:w="6455" w:type="dxa"/>
        <w:jc w:val="center"/>
        <w:tblInd w:w="0" w:type="dxa"/>
        <w:tblLayout w:type="fixed"/>
        <w:tblCellMar>
          <w:top w:w="28" w:type="dxa"/>
          <w:left w:w="28" w:type="dxa"/>
          <w:bottom w:w="28" w:type="dxa"/>
          <w:right w:w="28" w:type="dxa"/>
        </w:tblCellMar>
      </w:tblPr>
      <w:tblGrid>
        <w:gridCol w:w="1253"/>
        <w:gridCol w:w="1102"/>
        <w:gridCol w:w="1109"/>
        <w:gridCol w:w="109"/>
        <w:gridCol w:w="109"/>
        <w:gridCol w:w="109"/>
        <w:gridCol w:w="211"/>
        <w:gridCol w:w="826"/>
        <w:gridCol w:w="109"/>
        <w:gridCol w:w="109"/>
        <w:gridCol w:w="109"/>
        <w:gridCol w:w="109"/>
        <w:gridCol w:w="211"/>
        <w:gridCol w:w="82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is primarily attributable to our leasing activities, which includes the leasing of mission-critical communications assets to anchor customers on either an exclusive or shared-tenant basis, in addition to the leasing of dark fiber network assets to the telecommunications industry. Cash used in operating activities includes compensation and related costs, interest payments, and other changes in working capital. Net cash provided by operating activities was $199.8 million and $234.6 million for the six months ended June 30, 2023 and 2022, respectively. The decrease in net cash provided by operating activities during the six months ended June 30, 2023 is primarily attributable to increases in cash interest expense, related to the issuance of the February 2028 Secured Notes, and changes in working capital, including the timing of interest payments associated with debt activities occurring in 2023.</w:t>
      </w:r>
    </w:p>
    <w:tbl>
      <w:tblPr>
        <w:tblW w:w="7805" w:type="dxa"/>
        <w:jc w:val="left"/>
        <w:tblInd w:w="0" w:type="dxa"/>
        <w:tblLayout w:type="fixed"/>
        <w:tblCellMar>
          <w:top w:w="28" w:type="dxa"/>
          <w:left w:w="28" w:type="dxa"/>
          <w:bottom w:w="28" w:type="dxa"/>
          <w:right w:w="28" w:type="dxa"/>
        </w:tblCellMar>
      </w:tblPr>
      <w:tblGrid>
        <w:gridCol w:w="1687"/>
        <w:gridCol w:w="1484"/>
        <w:gridCol w:w="1493"/>
        <w:gridCol w:w="109"/>
        <w:gridCol w:w="109"/>
        <w:gridCol w:w="109"/>
        <w:gridCol w:w="211"/>
        <w:gridCol w:w="901"/>
        <w:gridCol w:w="109"/>
        <w:gridCol w:w="109"/>
        <w:gridCol w:w="109"/>
        <w:gridCol w:w="109"/>
        <w:gridCol w:w="211"/>
        <w:gridCol w:w="901"/>
        <w:gridCol w:w="154"/>
      </w:tblGrid>
      <w:tr>
        <w:trPr/>
        <w:tc>
          <w:tcPr>
            <w:tcW w:w="1687"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unconsolidated entity (see Note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 net of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other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(246,100)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(150,756)</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Net cash used in investing activities increased $95.3 million for the six months ended June 30, 2023 </w:t>
      </w:r>
      <w:r>
        <w:rPr>
          <w:rFonts w:ascii="Times New Roman;sans-serif" w:hAnsi="Times New Roman;sans-serif"/>
          <w:b w:val="false"/>
          <w:color w:val="000000"/>
          <w:sz w:val="20"/>
          <w:shd w:fill="FFFFFF" w:val="clear"/>
        </w:rPr>
        <w:t>compared to the three months ended June 30, 2022</w:t>
      </w:r>
      <w:r>
        <w:rPr>
          <w:rFonts w:ascii="Times New Roman;sans-serif" w:hAnsi="Times New Roman;sans-serif"/>
          <w:b w:val="false"/>
          <w:color w:val="000000"/>
          <w:sz w:val="20"/>
        </w:rPr>
        <w:t>, primarily driven by an increase in Growth Capital Improvements of $67.1 million, which we classify as success-based capital expenditures. Capital expenditures are primarily related to our Uniti Fiber and Uniti Leasing businesses for deployment of network assets, as described below under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03eceef3119f4cad87979fef1ca58b0e_10">
        <w:r>
          <w:rPr>
            <w:rStyle w:val="InternetLink"/>
          </w:rPr>
          <w:t>Table of Cont</w:t>
        </w:r>
      </w:hyperlink>
      <w:hyperlink w:anchor="i03eceef3119f4cad87979fef1ca58b0e_10">
        <w:r>
          <w:rPr>
            <w:rStyle w:val="InternetLink"/>
          </w:rPr>
          <w:t>ents</w:t>
        </w:r>
      </w:hyperlink>
    </w:p>
    <w:tbl>
      <w:tblPr>
        <w:tblW w:w="8705" w:type="dxa"/>
        <w:jc w:val="center"/>
        <w:tblInd w:w="0" w:type="dxa"/>
        <w:tblLayout w:type="fixed"/>
        <w:tblCellMar>
          <w:top w:w="28" w:type="dxa"/>
          <w:left w:w="28" w:type="dxa"/>
          <w:bottom w:w="28" w:type="dxa"/>
          <w:right w:w="28" w:type="dxa"/>
        </w:tblCellMar>
      </w:tblPr>
      <w:tblGrid>
        <w:gridCol w:w="1996"/>
        <w:gridCol w:w="1757"/>
        <w:gridCol w:w="1766"/>
        <w:gridCol w:w="109"/>
        <w:gridCol w:w="109"/>
        <w:gridCol w:w="109"/>
        <w:gridCol w:w="211"/>
        <w:gridCol w:w="1051"/>
        <w:gridCol w:w="109"/>
        <w:gridCol w:w="109"/>
        <w:gridCol w:w="109"/>
        <w:gridCol w:w="109"/>
        <w:gridCol w:w="211"/>
        <w:gridCol w:w="796"/>
        <w:gridCol w:w="154"/>
      </w:tblGrid>
      <w:tr>
        <w:trPr/>
        <w:tc>
          <w:tcPr>
            <w:tcW w:w="1996"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paid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exchange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under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settlement of common stock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of bond hedge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related to the early repayment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(81,350)</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Net cash provided by financing activities was $40.6 million for the six months ended June 30, 2023, while net cash</w:t>
      </w:r>
      <w:r>
        <w:rPr>
          <w:color w:val="000000"/>
          <w:shd w:fill="FFFFFF" w:val="clear"/>
        </w:rPr>
        <w:t xml:space="preserve"> </w:t>
      </w:r>
      <w:r>
        <w:rPr>
          <w:rFonts w:ascii="Times New Roman;sans-serif" w:hAnsi="Times New Roman;sans-serif"/>
          <w:b w:val="false"/>
          <w:color w:val="000000"/>
          <w:sz w:val="20"/>
          <w:shd w:fill="FFFFFF" w:val="clear"/>
        </w:rPr>
        <w:t xml:space="preserve">used in financing activities was $81.4 million for the six months ended June 30, 2022. The change is </w:t>
      </w:r>
      <w:r>
        <w:rPr>
          <w:rFonts w:ascii="Times New Roman;sans-serif" w:hAnsi="Times New Roman;sans-serif"/>
          <w:b w:val="false"/>
          <w:color w:val="000000"/>
          <w:sz w:val="20"/>
        </w:rPr>
        <w:t>primarily related to proceeds from the issuance of the February 2028 Secured Notes of $2.6 billion, offset by the repayment of the 2025 Secured Notes of $2.3 billion, repayment of the settlement payable of $49.0 million, costs related to the early repayment of the 2025 Secured Notes of $44.3 million, payments for financing costs related to the February 2028 Secured Notes of $27.0 million,</w:t>
      </w:r>
      <w:r>
        <w:rPr>
          <w:color w:val="212529"/>
          <w:shd w:fill="FFFFFF" w:val="clear"/>
        </w:rPr>
        <w:t xml:space="preserve"> </w:t>
      </w:r>
      <w:r>
        <w:rPr>
          <w:rFonts w:ascii="Times New Roman;sans-serif" w:hAnsi="Times New Roman;sans-serif"/>
          <w:b w:val="false"/>
          <w:color w:val="212529"/>
          <w:sz w:val="20"/>
          <w:shd w:fill="FFFFFF" w:val="clear"/>
        </w:rPr>
        <w:t>and net payments under the Revolving Credit Facility of $102.0 million.</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Windstream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term of the Windstream Leases expires on April 30, 2030. The aggregate initial annual rent under the Windstream Leases is $663.0 million.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October 2020, pursuant to the Windstream Leases, Windstream (or any successor tenant under a Windstream Lease) has the right to cause Uniti to reimburse up to an aggregate $1.75 billion of Growth Capital Improvements through 2029.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2022, and are limited to $225 million in 2023 and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240" w:after="283"/>
        <w:jc w:val="left"/>
        <w:rPr/>
      </w:pPr>
      <w:hyperlink w:anchor="i03eceef3119f4cad87979fef1ca58b0e_10">
        <w:r>
          <w:rPr>
            <w:rStyle w:val="InternetLink"/>
          </w:rPr>
          <w:t>Table of Cont</w:t>
        </w:r>
      </w:hyperlink>
      <w:hyperlink w:anchor="i03eceef3119f4cad87979fef1ca58b0e_10">
        <w:r>
          <w:rPr>
            <w:rStyle w:val="InternetLink"/>
          </w:rPr>
          <w: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No such loans have been made as of June 30, 2023.</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UPREIT Operating Partnership Units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Outlook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continuing to invest in our network infrastructure across our Uniti Leasing and Uniti Fiber portfolios. We anticipate that we will partially finance these needs, as well as operating expenses (including our debt service obligations), from our cash on hand and cash flows provided by operating activities. As of June 30, 2023, we had $414.0 million in borrowing availability under our Revolving Credit Facility (subject to customary borrowing conditions), however, we may need to access the capital markets to generate additional funds in an amount sufficient to fund our business operations, announced investment activities, capital expenditures, including reimbursement commitments for Growth Capital Improvements, debt service and distributions to our shareholders. We are closely monitoring the equity and debt markets and may seek to access them promptly if and when we determine market conditions are appropriate.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circumstances warrant, we may take measures to conserve cash as we anticipate that it will be more difficult for us to access the capital markets at attractive rates until such uncertainty is clarified.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03eceef3119f4cad87979fef1ca58b0e_10">
        <w:r>
          <w:rPr>
            <w:rStyle w:val="InternetLink"/>
          </w:rPr>
          <w:t>Table of Cont</w:t>
        </w:r>
      </w:hyperlink>
      <w:hyperlink w:anchor="i03eceef3119f4cad87979fef1ca58b0e_10">
        <w:r>
          <w:rPr>
            <w:rStyle w:val="InternetLink"/>
          </w:rPr>
          <w: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bl>
      <w:tblPr>
        <w:tblW w:w="10205" w:type="dxa"/>
        <w:jc w:val="center"/>
        <w:tblInd w:w="0" w:type="dxa"/>
        <w:tblLayout w:type="fixed"/>
        <w:tblCellMar>
          <w:top w:w="28" w:type="dxa"/>
          <w:left w:w="28" w:type="dxa"/>
          <w:bottom w:w="28" w:type="dxa"/>
          <w:right w:w="28" w:type="dxa"/>
        </w:tblCellMar>
      </w:tblPr>
      <w:tblGrid>
        <w:gridCol w:w="1601"/>
        <w:gridCol w:w="1405"/>
        <w:gridCol w:w="1421"/>
        <w:gridCol w:w="109"/>
        <w:gridCol w:w="109"/>
        <w:gridCol w:w="109"/>
        <w:gridCol w:w="211"/>
        <w:gridCol w:w="826"/>
        <w:gridCol w:w="109"/>
        <w:gridCol w:w="109"/>
        <w:gridCol w:w="109"/>
        <w:gridCol w:w="109"/>
        <w:gridCol w:w="233"/>
        <w:gridCol w:w="681"/>
        <w:gridCol w:w="122"/>
        <w:gridCol w:w="109"/>
        <w:gridCol w:w="109"/>
        <w:gridCol w:w="109"/>
        <w:gridCol w:w="294"/>
        <w:gridCol w:w="649"/>
        <w:gridCol w:w="153"/>
        <w:gridCol w:w="109"/>
        <w:gridCol w:w="109"/>
        <w:gridCol w:w="109"/>
        <w:gridCol w:w="211"/>
        <w:gridCol w:w="826"/>
        <w:gridCol w:w="155"/>
      </w:tblGrid>
      <w:tr>
        <w:trPr/>
        <w:tc>
          <w:tcPr>
            <w:tcW w:w="1601"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4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Success 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Maintenance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Non-Network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4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 excluding growth capital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 capital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247,269 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We categorize our capital expenditures as either (i) success-based, (ii) maintenance, or (iii) corporate and non-network. We define success-based capital expenditures as those related to installing existing or anticipated contractual customer service orders. Maintenance capital expenditures are those necessary to keep existing network elements fully operational. We anticipate continuing to invest in our network infrastructure across our Uniti Leasing and Uniti Fiber businesses and expect that cash on hand and cash flows provided by operating activities will be sufficient to support these investments. </w:t>
      </w:r>
      <w:r>
        <w:rPr>
          <w:rFonts w:ascii="Times New Roman;sans-serif" w:hAnsi="Times New Roman;sans-serif"/>
          <w:b w:val="false"/>
          <w:color w:val="000000"/>
          <w:sz w:val="20"/>
          <w:shd w:fill="FFFFFF" w:val="clear"/>
        </w:rPr>
        <w:t xml:space="preserve">We have the right, but not the obligation (except for Growth Capital Improvements), to </w:t>
      </w:r>
      <w:r>
        <w:rPr>
          <w:rFonts w:ascii="Times New Roman;sans-serif" w:hAnsi="Times New Roman;sans-serif"/>
          <w:b w:val="false"/>
          <w:color w:val="000000"/>
          <w:sz w:val="20"/>
        </w:rPr>
        <w:t>reimburse</w:t>
      </w:r>
      <w:r>
        <w:rPr>
          <w:color w:val="000000"/>
          <w:shd w:fill="FFFFFF" w:val="clear"/>
        </w:rPr>
        <w:t xml:space="preserve"> </w:t>
      </w:r>
      <w:r>
        <w:rPr>
          <w:rFonts w:ascii="Times New Roman;sans-serif" w:hAnsi="Times New Roman;sans-serif"/>
          <w:b w:val="false"/>
          <w:color w:val="000000"/>
          <w:sz w:val="20"/>
          <w:shd w:fill="FFFFFF" w:val="clear"/>
        </w:rPr>
        <w:t>growth capital expenditures in certain of our lease arrangements where we are the lessor.</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Uniti’s total annual reimbursement commitments to Windstream for the Growth Capital Improvements is discussed above in this Part I, Item 2 “Management’s Discussion and Analysis of Financial Condition and Results of Operations” in “Liquidity and Capital Resources—Windstream Leases.” Growth Capital Improvements are treated as success-based capital improvements based on the rents paid with respect to such amounts.</w:t>
      </w:r>
    </w:p>
    <w:p>
      <w:pPr>
        <w:pStyle w:val="TextBody"/>
        <w:bidi w:val="0"/>
        <w:spacing w:lineRule="auto" w:line="288" w:before="240" w:after="283"/>
        <w:jc w:val="left"/>
        <w:rPr/>
      </w:pPr>
      <w:r>
        <w:rPr>
          <w:rFonts w:ascii="Times New Roman;sans-serif" w:hAnsi="Times New Roman;sans-serif"/>
          <w:b w:val="false"/>
          <w:color w:val="000000"/>
          <w:sz w:val="20"/>
        </w:rPr>
        <w:t xml:space="preserve">If circumstances warrant, </w:t>
      </w:r>
      <w:r>
        <w:rPr>
          <w:rFonts w:ascii="Times New Roman;sans-serif" w:hAnsi="Times New Roman;sans-serif"/>
          <w:b w:val="false"/>
          <w:color w:val="000000"/>
          <w:sz w:val="20"/>
          <w:shd w:fill="FFFFFF" w:val="clear"/>
        </w:rPr>
        <w:t xml:space="preserve">we may need to take measures to conserve cash, which may include a suspension, delay or reduction in success-based capital expenditures.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240" w:after="283"/>
        <w:jc w:val="left"/>
        <w:rPr/>
      </w:pPr>
      <w:r>
        <w:rPr>
          <w:rFonts w:ascii="Times New Roman;sans-serif" w:hAnsi="Times New Roman;sans-serif"/>
          <w:b w:val="false"/>
          <w:color w:val="000000"/>
          <w:sz w:val="20"/>
        </w:rPr>
        <w:t xml:space="preserve">We </w:t>
      </w:r>
      <w:r>
        <w:rPr>
          <w:rFonts w:ascii="Times New Roman;sans-serif" w:hAnsi="Times New Roman;sans-serif"/>
          <w:b w:val="false"/>
          <w:color w:val="000000"/>
          <w:sz w:val="20"/>
          <w:shd w:fill="FFFFFF" w:val="clear"/>
        </w:rPr>
        <w:t>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out details regarding our cash dividends on our common stock:</w:t>
      </w:r>
    </w:p>
    <w:tbl>
      <w:tblPr>
        <w:tblW w:w="8387" w:type="dxa"/>
        <w:jc w:val="center"/>
        <w:tblInd w:w="0" w:type="dxa"/>
        <w:tblLayout w:type="fixed"/>
        <w:tblCellMar>
          <w:top w:w="28" w:type="dxa"/>
          <w:left w:w="28" w:type="dxa"/>
          <w:bottom w:w="28" w:type="dxa"/>
          <w:right w:w="28" w:type="dxa"/>
        </w:tblCellMar>
      </w:tblPr>
      <w:tblGrid>
        <w:gridCol w:w="1032"/>
        <w:gridCol w:w="903"/>
        <w:gridCol w:w="914"/>
        <w:gridCol w:w="109"/>
        <w:gridCol w:w="109"/>
        <w:gridCol w:w="109"/>
        <w:gridCol w:w="429"/>
        <w:gridCol w:w="429"/>
        <w:gridCol w:w="431"/>
        <w:gridCol w:w="109"/>
        <w:gridCol w:w="109"/>
        <w:gridCol w:w="109"/>
        <w:gridCol w:w="464"/>
        <w:gridCol w:w="1125"/>
        <w:gridCol w:w="240"/>
        <w:gridCol w:w="109"/>
        <w:gridCol w:w="109"/>
        <w:gridCol w:w="109"/>
        <w:gridCol w:w="421"/>
        <w:gridCol w:w="421"/>
        <w:gridCol w:w="597"/>
      </w:tblGrid>
      <w:tr>
        <w:trPr/>
        <w:tc>
          <w:tcPr>
            <w:tcW w:w="103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Cash 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Record Date</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2023 -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16, 2023</w:t>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Any </w:t>
      </w:r>
      <w:r>
        <w:rPr>
          <w:rFonts w:ascii="Times New Roman;sans-serif" w:hAnsi="Times New Roman;sans-serif"/>
          <w:b w:val="false"/>
          <w:color w:val="000000"/>
          <w:sz w:val="20"/>
          <w:shd w:fill="FFFFFF" w:val="clear"/>
        </w:rPr>
        <w:t xml:space="preserve">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240" w:after="283"/>
        <w:jc w:val="left"/>
        <w:rPr/>
      </w:pPr>
      <w:hyperlink w:anchor="i03eceef3119f4cad87979fef1ca58b0e_10">
        <w:r>
          <w:rPr>
            <w:rStyle w:val="InternetLink"/>
          </w:rPr>
          <w:t>Table of Cont</w:t>
        </w:r>
      </w:hyperlink>
      <w:hyperlink w:anchor="i03eceef3119f4cad87979fef1ca58b0e_10">
        <w:r>
          <w:rPr>
            <w:rStyle w:val="InternetLink"/>
          </w:rPr>
          <w: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the impairment of property, plant and equipment, goodwill impairment and business combinations as critical accounting estimates, as they are the most important to our financial statement presentation and require difficult, subjective and complex judgments.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 have a material adverse effect on our consolidated results of operations and, in certain situations, could have a material adverse effect on our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information on our critical accounting estimates, see “Management’s Discussion and Analysis of Financial Condition and Results of Operations” and the notes to our audited financial statements included in our Annual Report. As of June 30, 2023, there has been no material change to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Guidance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accounting rules and disclosures can impact our reported results and comparability of our financial statements. See Note 2 of Notes to Condensed Consolidated Financial Statements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information reported under Item 7A of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Disclosure Controls and Procedures</w:t>
      </w:r>
    </w:p>
    <w:p>
      <w:pPr>
        <w:pStyle w:val="TextBody"/>
        <w:bidi w:val="0"/>
        <w:spacing w:lineRule="auto" w:line="288" w:before="240" w:after="283"/>
        <w:jc w:val="left"/>
        <w:rPr/>
      </w:pPr>
      <w:r>
        <w:rPr>
          <w:rFonts w:ascii="Times New Roman;sans-serif" w:hAnsi="Times New Roman;sans-serif"/>
          <w:b w:val="false"/>
          <w:color w:val="000000"/>
          <w:sz w:val="20"/>
        </w:rPr>
        <w:t xml:space="preserve">We </w:t>
      </w:r>
      <w:r>
        <w:rPr>
          <w:rFonts w:ascii="Times New Roman;sans-serif" w:hAnsi="Times New Roman;sans-serif"/>
          <w:b w:val="false"/>
          <w:color w:val="000000"/>
          <w:sz w:val="20"/>
          <w:shd w:fill="FFFFFF" w:val="clear"/>
        </w:rPr>
        <w:t>have established disclosure controls and procedures, as such term is defined in Rule 13a-15(e)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r>
        <w:rPr>
          <w:rFonts w:ascii="Times New Roman;sans-serif" w:hAnsi="Times New Roman;sans-serif"/>
          <w:b w:val="false"/>
          <w:color w:val="000000"/>
          <w:sz w:val="20"/>
        </w:rPr>
        <w:t>.</w:t>
      </w:r>
    </w:p>
    <w:p>
      <w:pPr>
        <w:pStyle w:val="TextBody"/>
        <w:bidi w:val="0"/>
        <w:spacing w:lineRule="auto" w:line="288" w:before="240" w:after="283"/>
        <w:jc w:val="left"/>
        <w:rPr/>
      </w:pPr>
      <w:r>
        <w:rPr>
          <w:rFonts w:ascii="Times New Roman;sans-serif" w:hAnsi="Times New Roman;sans-serif"/>
          <w:b w:val="false"/>
          <w:color w:val="000000"/>
          <w:sz w:val="20"/>
        </w:rPr>
        <w:t xml:space="preserve">Our </w:t>
      </w:r>
      <w:r>
        <w:rPr>
          <w:rFonts w:ascii="Times New Roman;sans-serif" w:hAnsi="Times New Roman;sans-serif"/>
          <w:b w:val="false"/>
          <w:color w:val="000000"/>
          <w:sz w:val="20"/>
          <w:shd w:fill="FFFFFF" w:val="clear"/>
        </w:rPr>
        <w:t>management, with the participation of our principal executive officer and principal financial officer, evaluated the effectiveness of our disclosure controls and procedures as of June 30, 2023, and based on this evaluation, our principal executive officer and principal financial officer concluded that our disclosure controls and procedures were effective as of June 30, 2023.</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240" w:after="283"/>
        <w:jc w:val="left"/>
        <w:rPr/>
      </w:pPr>
      <w:r>
        <w:rPr>
          <w:rFonts w:ascii="Times New Roman;sans-serif" w:hAnsi="Times New Roman;sans-serif"/>
          <w:b w:val="false"/>
          <w:color w:val="000000"/>
          <w:sz w:val="20"/>
        </w:rPr>
        <w:t xml:space="preserve">There </w:t>
      </w:r>
      <w:r>
        <w:rPr>
          <w:rFonts w:ascii="Times New Roman;sans-serif" w:hAnsi="Times New Roman;sans-serif"/>
          <w:b w:val="false"/>
          <w:color w:val="000000"/>
          <w:sz w:val="20"/>
          <w:shd w:fill="FFFFFF" w:val="clear"/>
        </w:rPr>
        <w:t>were no changes in our internal control over financial reporting, as such term is defined in Rule 13a-15(f) under the Exchange Act, that occurred during the quarter ended June 30, 2023 that has materially affected, or is reasonably likely to materially affect, our internal control over financial reporting</w:t>
      </w:r>
      <w:r>
        <w:rPr>
          <w:rFonts w:ascii="Times New Roman;sans-serif" w:hAnsi="Times New Roman;sans-serif"/>
          <w:b w:val="false"/>
          <w:color w:val="000000"/>
          <w:sz w:val="20"/>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240" w:after="283"/>
        <w:jc w:val="left"/>
        <w:rPr/>
      </w:pPr>
      <w:hyperlink w:anchor="i03eceef3119f4cad87979fef1ca58b0e_10">
        <w:r>
          <w:rPr>
            <w:rStyle w:val="InternetLink"/>
          </w:rPr>
          <w:t>Table of Cont</w:t>
        </w:r>
      </w:hyperlink>
      <w:hyperlink w:anchor="i03eceef3119f4cad87979fef1ca58b0e_10">
        <w:r>
          <w:rPr>
            <w:rStyle w:val="InternetLink"/>
          </w:rPr>
          <w: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A </w:t>
      </w:r>
      <w:r>
        <w:rPr>
          <w:rFonts w:ascii="Times New Roman;sans-serif" w:hAnsi="Times New Roman;sans-serif"/>
          <w:b w:val="false"/>
          <w:color w:val="000000"/>
          <w:sz w:val="20"/>
        </w:rPr>
        <w:t xml:space="preserve">description of legal proceedings can be found in Note 13 </w:t>
      </w:r>
      <w:r>
        <w:rPr>
          <w:rFonts w:ascii="Times New Roman;sans-serif" w:hAnsi="Times New Roman;sans-serif"/>
          <w:b w:val="false"/>
          <w:color w:val="000000"/>
          <w:sz w:val="20"/>
          <w:shd w:fill="FFFFFF" w:val="clear"/>
        </w:rPr>
        <w:t>- Commitments and Contingencies</w:t>
      </w:r>
      <w:r>
        <w:rPr>
          <w:color w:val="000000"/>
        </w:rPr>
        <w:t xml:space="preserve"> </w:t>
      </w:r>
      <w:r>
        <w:rPr>
          <w:rFonts w:ascii="Times New Roman;sans-serif" w:hAnsi="Times New Roman;sans-serif"/>
          <w:b w:val="false"/>
          <w:color w:val="000000"/>
          <w:sz w:val="20"/>
        </w:rPr>
        <w:t>to our Condensed Consolidated Financial Statements, included in this report at Part I, Item 1- Financial Statements, and is incorporated by reference into this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affecting our business that were discussed in Part I, “Item 1A. Risk Factors”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r>
        <w:rPr>
          <w:rFonts w:ascii="Times New Roman;sans-serif" w:hAnsi="Times New Roman;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428"/>
        <w:gridCol w:w="374"/>
        <w:gridCol w:w="378"/>
        <w:gridCol w:w="109"/>
        <w:gridCol w:w="109"/>
        <w:gridCol w:w="109"/>
        <w:gridCol w:w="460"/>
        <w:gridCol w:w="460"/>
        <w:gridCol w:w="461"/>
        <w:gridCol w:w="109"/>
        <w:gridCol w:w="109"/>
        <w:gridCol w:w="109"/>
        <w:gridCol w:w="327"/>
        <w:gridCol w:w="793"/>
        <w:gridCol w:w="168"/>
        <w:gridCol w:w="109"/>
        <w:gridCol w:w="109"/>
        <w:gridCol w:w="109"/>
        <w:gridCol w:w="834"/>
        <w:gridCol w:w="834"/>
        <w:gridCol w:w="836"/>
        <w:gridCol w:w="109"/>
        <w:gridCol w:w="109"/>
        <w:gridCol w:w="109"/>
        <w:gridCol w:w="743"/>
        <w:gridCol w:w="743"/>
        <w:gridCol w:w="1058"/>
      </w:tblGrid>
      <w:tr>
        <w:trPr/>
        <w:tc>
          <w:tcPr>
            <w:tcW w:w="42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Average Price Paid per Share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Number of Shares that May Yet Be Purchased Under the Plans or Programs</w:t>
            </w:r>
          </w:p>
        </w:tc>
      </w:tr>
      <w:tr>
        <w:trPr/>
        <w:tc>
          <w:tcPr>
            <w:tcW w:w="1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2023 to April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2023 to May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2023 to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240" w:after="283"/>
        <w:jc w:val="left"/>
        <w:rPr/>
      </w:pPr>
      <w:r>
        <w:rPr>
          <w:rFonts w:ascii="Times New Roman;sans-serif" w:hAnsi="Times New Roman;sans-serif"/>
          <w:b w:val="false"/>
          <w:color w:val="000000"/>
          <w:sz w:val="16"/>
          <w:shd w:fill="FFFFFF" w:val="clear"/>
        </w:rPr>
        <w:t>(1)</w:t>
      </w:r>
      <w:r>
        <w:rPr>
          <w:color w:val="000000"/>
          <w:shd w:fill="FFFFFF" w:val="clear"/>
        </w:rPr>
        <w:t xml:space="preserve"> </w:t>
      </w:r>
      <w:r>
        <w:rPr>
          <w:rFonts w:ascii="Times New Roman;sans-serif" w:hAnsi="Times New Roman;sans-serif"/>
          <w:b w:val="false"/>
          <w:color w:val="000000"/>
          <w:sz w:val="20"/>
          <w:shd w:fill="FFFFFF" w:val="clear"/>
        </w:rPr>
        <w:t>The average price paid per share is the weighted average of the fair market prices at which we calculated the number of shares withheld to cover tax withholdings for the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 During the three months ended June 30, 2023, none of the Company’s directors or officers (as defined in Rule 16a-1(f) under the Exchange Act) adopted or terminated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3eceef3119f4cad87979fef1ca58b0e_10">
        <w:r>
          <w:rPr>
            <w:rStyle w:val="InternetLink"/>
          </w:rPr>
          <w:t>Table of Cont</w:t>
        </w:r>
      </w:hyperlink>
      <w:hyperlink w:anchor="i03eceef3119f4cad87979fef1ca58b0e_10">
        <w:r>
          <w:rPr>
            <w:rStyle w:val="InternetLink"/>
          </w:rPr>
          <w: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79"/>
        <w:gridCol w:w="246"/>
        <w:gridCol w:w="247"/>
        <w:gridCol w:w="109"/>
        <w:gridCol w:w="109"/>
        <w:gridCol w:w="109"/>
        <w:gridCol w:w="2728"/>
        <w:gridCol w:w="2621"/>
        <w:gridCol w:w="3757"/>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76" w:before="0" w:after="0"/>
              <w:jc w:val="left"/>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7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ans-serif" w:hAnsi="Times New Roman;sans-serif"/>
                  <w:b w:val="false"/>
                  <w:color w:val="0000FF"/>
                  <w:sz w:val="20"/>
                  <w:u w:val="single"/>
                </w:rPr>
                <w:t>Uniti Group Inc. 2015 Equity Incentive Plan, as amended and restated April 11, 2023 (incorporated by reference to Exhibit 10.2 to the Company’s Quarterly Report on Form 10-Q dated and filed with the SEC as of May 5, 2023 (File No. 001-36708))</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unit-exx311111.htm">
              <w:r>
                <w:rPr>
                  <w:rStyle w:val="InternetLink"/>
                  <w:rFonts w:ascii="Times New Roman;sans-serif" w:hAnsi="Times New Roman;sans-serif"/>
                  <w:b w:val="false"/>
                  <w:color w:val="0000EE"/>
                  <w:sz w:val="20"/>
                  <w:u w:val="single"/>
                </w:rPr>
                <w:t>Certification of Principal Executive Officer Pursuant to Rules 13a-14(a) and 15d-14(a) under the Securities Exchange Act of 1934, as Adopted Pursuant to Section 302 of the Sarbanes-Oxley Act of 2002.</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unit-exx312111.htm">
              <w:r>
                <w:rPr>
                  <w:rStyle w:val="InternetLink"/>
                  <w:rFonts w:ascii="Times New Roman;sans-serif" w:hAnsi="Times New Roman;sans-serif"/>
                  <w:b w:val="false"/>
                  <w:color w:val="0000EE"/>
                  <w:sz w:val="20"/>
                  <w:u w:val="single"/>
                </w:rPr>
                <w:t>Certification of Principal Financial Officer Pursuant to Rules 13a-14(a) and 15d-14(a) under the Securities Exchange Act of 1934, as Adopted Pursuant to Section 302 of the Sarbanes-Oxley Act of 2002.</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unit-exx321111.htm">
              <w:r>
                <w:rPr>
                  <w:rStyle w:val="InternetLink"/>
                  <w:rFonts w:ascii="Times New Roman;sans-serif" w:hAnsi="Times New Roman;sans-serif"/>
                  <w:b w:val="false"/>
                  <w:color w:val="0000EE"/>
                  <w:sz w:val="20"/>
                  <w:u w:val="single"/>
                </w:rPr>
                <w:t>Certification of Principal Executive Officer Pursuant to 18 U.S.C. Section 1350, as Adopted Pursuant to Section 906 of the Sarbanes-Oxley Act of 2002.</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7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unit-exx322111.htm">
              <w:r>
                <w:rPr>
                  <w:rStyle w:val="InternetLink"/>
                  <w:rFonts w:ascii="Times New Roman;sans-serif" w:hAnsi="Times New Roman;sans-serif"/>
                  <w:b w:val="false"/>
                  <w:color w:val="0000EE"/>
                  <w:sz w:val="20"/>
                  <w:u w:val="single"/>
                </w:rPr>
                <w:t>Certification of Principal Financial Officer Pursuant to 18 U.S.C. Section 1350, as Adopted Pursuant to Section 906 of the Sarbanes-Oxley Act of 2002.</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7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XBRL tags are embedded within the Inline XBRL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7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7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7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7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7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240" w:after="283"/>
        <w:jc w:val="left"/>
        <w:rPr/>
      </w:pPr>
      <w:hyperlink w:anchor="i03eceef3119f4cad87979fef1ca58b0e_10">
        <w:r>
          <w:rPr>
            <w:rStyle w:val="InternetLink"/>
          </w:rPr>
          <w:t>Table of Cont</w:t>
        </w:r>
      </w:hyperlink>
      <w:hyperlink w:anchor="i03eceef3119f4cad87979fef1ca58b0e_10">
        <w:r>
          <w:rPr>
            <w:rStyle w:val="InternetLink"/>
          </w:rPr>
          <w: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613"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838"/>
        <w:gridCol w:w="838"/>
        <w:gridCol w:w="838"/>
        <w:gridCol w:w="838"/>
        <w:gridCol w:w="838"/>
        <w:gridCol w:w="11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UNITI GROUP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E. Bullington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Paul E. Bullington</w:t>
              <w:br/>
              <w:t>Senior Vice President – Chief Financial Officer and Treasurer</w:t>
              <w:b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T. Black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Travis T. Black</w:t>
              <w:br/>
              <w:t>Vice President – Chief Accounting Officer</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Kenneth A. Gunderman,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Uniti Group Inc.;</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577"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975"/>
        <w:gridCol w:w="975"/>
        <w:gridCol w:w="137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/s/Kenneth A. Gunderman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Kenneth A. Gunderman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0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Paul E. Bullington,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Uniti Group Inc.;</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313"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1187"/>
        <w:gridCol w:w="1187"/>
        <w:gridCol w:w="169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Paul E. Bullington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Paul E. Bullington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Senior Vice President –Chief Financial Officer</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ind w:left="0" w:right="0" w:firstLine="556"/>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Uniti Group Inc. (the “Company”) for the period ending June 30, 2023 as filed with the Securities and Exchange Commission on the date hereof (the “Report”), I certify, pursuant to 18 U.S.C. § 1350, as adopted pursuant to § 906 of the Sarbanes-Oxley Act of 2002, to my knowledge, that: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578"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975"/>
        <w:gridCol w:w="975"/>
        <w:gridCol w:w="138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Kenneth A. Gunderman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Kenneth A. Gunderman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Uniti Group Inc. (the “Company”) for the period ending June 30, 2023 as filed with the Securities and Exchange Commission on the date hereof (the “Report”), I certify, pursuant to 18 U.S.C. § 1350, as adopted pursuant to § 906 of the Sarbanes-Oxley Act of 2002, to my knowledge, that: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6358"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1200"/>
        <w:gridCol w:w="1200"/>
        <w:gridCol w:w="171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c>
        <w:tc>
          <w:tcPr>
            <w:tcW w:w="404"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imes New Roman;sans-serif" w:hAnsi="Times New Roman;sans-serif"/>
                <w:b w:val="false"/>
                <w:color w:val="000000"/>
                <w:sz w:val="20"/>
              </w:rPr>
              <w:t>By</w:t>
            </w:r>
            <w:r>
              <w:rPr>
                <w:rFonts w:ascii="Arial;sans-serif" w:hAnsi="Arial;sans-serif"/>
                <w:b w:val="false"/>
                <w:color w:val="222222"/>
                <w:sz w:val="20"/>
              </w:rPr>
              <w:t>:</w:t>
            </w:r>
          </w:p>
        </w:tc>
        <w:tc>
          <w:tcPr>
            <w:tcW w:w="41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Paul E. Bullington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Paul E. Bullington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Senior Vice President – Chief Financial Officer</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and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0280/000162828023015742/ex-102unitigroupx2015equit.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24911</Words>
  <Characters>140387</Characters>
  <CharactersWithSpaces>163250</CharactersWithSpaces>
  <Paragraphs>4097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