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Arial;Helvetica;Sans-Serif" w:hAnsi="Arial;Helvetica;Sans-Serif"/>
          <w:b w:val="false"/>
          <w:i w:val="false"/>
          <w:caps w:val="false"/>
          <w:smallCaps w:val="false"/>
          <w:sz w:val="20"/>
        </w:rPr>
      </w:pPr>
      <w:bookmarkStart w:id="0" w:name="dp210886_425.htm"/>
      <w:bookmarkStart w:id="1" w:name="ksdp210886_425"/>
      <w:bookmarkEnd w:id="0"/>
      <w:bookmarkEnd w:id="1"/>
      <w:r>
        <w:rPr>
          <w:rFonts w:ascii="Arial;Helvetica;Sans-Serif" w:hAnsi="Arial;Helvetica;Sans-Serif"/>
          <w:b w:val="false"/>
          <w:i w:val="false"/>
          <w:caps w:val="false"/>
          <w:smallCaps w:val="false"/>
          <w:sz w:val="20"/>
        </w:rPr>
        <w:t>Filed by Uniti Group Inc.</w:t>
      </w:r>
    </w:p>
    <w:p>
      <w:pPr>
        <w:pStyle w:val="TextBody"/>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 File No.: 001-36708)</w:t>
      </w:r>
    </w:p>
    <w:p>
      <w:pPr>
        <w:pStyle w:val="TextBody"/>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Rule 425 of the Securities Act of 1933</w:t>
      </w:r>
    </w:p>
    <w:p>
      <w:pPr>
        <w:pStyle w:val="TextBody"/>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and deemed filed pursuant to Rule 14a-12</w:t>
      </w:r>
    </w:p>
    <w:p>
      <w:pPr>
        <w:pStyle w:val="TextBody"/>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of the 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Company: Uniti Group Inc.</w:t>
      </w:r>
    </w:p>
    <w:p>
      <w:pPr>
        <w:pStyle w:val="TextBody"/>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 File No.: 001-36708)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May 3, 2024, Kenny Gunderman, the Chief Executive Officer of Uniti Group Inc. (“Uniti”), sent the following email to certain of Uniti's customers regarding Uniti's contemplated transaction (the "Transaction") with Windstream Holdings II, LLC (“Windstream”).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5486400" cy="3533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0" cy="3533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Dear Valued Customer,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Today, we are excited to announce Uniti Group has entered into an agreement to merge with Windstream (</w:t>
      </w:r>
      <w:r>
        <w:rPr>
          <w:rFonts w:ascii="Arial;Helvetica;Sans-Serif" w:hAnsi="Arial;Helvetica;Sans-Serif"/>
          <w:b w:val="false"/>
          <w:i w:val="false"/>
          <w:caps w:val="false"/>
          <w:smallCaps w:val="false"/>
          <w:color w:val="2880BB"/>
          <w:sz w:val="20"/>
          <w:u w:val="single"/>
        </w:rPr>
        <w:t>click here for the official announcement</w:t>
      </w:r>
      <w:r>
        <w:rPr>
          <w:rFonts w:ascii="Arial;Helvetica;Sans-Serif" w:hAnsi="Arial;Helvetica;Sans-Serif"/>
          <w:b w:val="false"/>
          <w:i w:val="false"/>
          <w:caps w:val="false"/>
          <w:smallCaps w:val="false"/>
          <w:sz w:val="20"/>
        </w:rPr>
        <w:t>). We believe the merging of these two companies will support Uniti’s continued commitment to network growth, while delivering enhanced fiber solutions to a broader base and increasing customer happiness.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Once the closing is complete, Uniti will be one of the premier insurgent fiber providers in the U.S., with a network spanning more than 217K fiber route miles and access to 150K+ fiber-fed buildings across approximately 300 metro markets. By combining assets, we expect customers to benefit from faster broadband speeds at competitive prices, while having access to a broader solutions portfolio. We believe the core competencies of each company will complement one another, making the combined organization even stronger.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While we are excited about today’s news, it is still early in the process. For now, things are business as usual. Uniti and Windstream will continue to operate separately until the closing of the transaction, which we expect to occur in the second half of 2025.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Following the close of the transaction, I will continue to lead the combined company as CEO and Paul Bullington will continue to serve as CFO. Certain key members of Windstream’s management team are expected to remain with the combined company as well. The combined company will retain the Uniti name, trading under the UNIT ticker symbol, and will remain headquartered in Little Rock, Arkansas.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Your day-to-day Uniti and Windstream contacts remain the same for now. As we navigate toward closing and then integration, we will provide periodic updates regarding system or process enhancements and other important milestones. Our top priority remains serving customers to the best of our ability, and we are committed to ensuring this transaction is as seamless as possible for our customers.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If you have any questions regarding this announcement, please reach out to your current account representative or </w:t>
      </w:r>
      <w:r>
        <w:rPr>
          <w:rFonts w:ascii="Arial;Helvetica;Sans-Serif" w:hAnsi="Arial;Helvetica;Sans-Serif"/>
          <w:b w:val="false"/>
          <w:i w:val="false"/>
          <w:caps w:val="false"/>
          <w:smallCaps w:val="false"/>
          <w:color w:val="2880BB"/>
          <w:sz w:val="20"/>
          <w:u w:val="single"/>
        </w:rPr>
        <w:t>click here</w:t>
      </w:r>
      <w:r>
        <w:rPr>
          <w:rFonts w:ascii="Arial;Helvetica;Sans-Serif" w:hAnsi="Arial;Helvetica;Sans-Serif"/>
          <w:b w:val="false"/>
          <w:i w:val="false"/>
          <w:caps w:val="false"/>
          <w:smallCaps w:val="false"/>
          <w:sz w:val="20"/>
        </w:rPr>
        <w:t xml:space="preserve"> for merger-related updates. </w:t>
      </w:r>
      <w:r>
        <w:rPr>
          <w:rFonts w:ascii="Arial;Helvetica;Sans-Serif" w:hAnsi="Arial;Helvetica;Sans-Serif"/>
          <w:b w:val="false"/>
          <w:i/>
          <w:caps w:val="false"/>
          <w:smallCaps w:val="false"/>
          <w:color w:val="0000FF"/>
          <w:sz w:val="20"/>
          <w:u w:val="single"/>
        </w:rPr>
        <w:t>https://unitireimagined.com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always, we value your partnership and loyalty, and we look forward to continuing our relationship in the years to come.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Sincerely,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drawing>
          <wp:inline distT="0" distB="0" distL="0" distR="0">
            <wp:extent cx="1781175"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81175" cy="504825"/>
                    </a:xfrm>
                    <a:prstGeom prst="rect">
                      <a:avLst/>
                    </a:prstGeom>
                  </pic:spPr>
                </pic:pic>
              </a:graphicData>
            </a:graphic>
          </wp:inline>
        </w:drawing>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Kenny Gunderman, </w:t>
        <w:br/>
        <w:t>President &amp; CEO</w:t>
        <w:br/>
        <w:t>Uniti Group Inc.</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and the information contained in it are provided for information purposes only and are not intended to be and shall not constitute a solicitation of any vote or approval, or an offer to sell or solicitation of an offer to buy, or an invitation or recommendation to subscribe for, acquire or buy securities of Uniti, Windstream or the proposed combined company (“New Uniti”) or any other financial products or securities, in any place or jurisdiction,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(the “Securities Act”), or pursuant to an exemption from, or in a transaction not subject to, such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Uniti and Windstream plan to file relevant materials with the Securities and Exchange Commission (the “SEC”) in connection with the contemplated Transaction, including a registration statement on Form S-4 with the SEC that contains a proxy statement/prospectus and other documents. Uniti will mail the proxy statement/prospectus contained in the Form S-4 to its stockholders. This communication is not a substitute for any registration statement, proxy statement/prospectus or other documents that may be filed with the SEC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PROXY STATEMENT/PROSPECTUS AND OTHER DOCUMENTS FILED WITH THE SEC IN CONNECTION WITH THE TRANSACTION WILL CONTAIN IMPORTANT INFORMATION ABOUT UNITI, WINDSTREAM, NEW UNITI, THE TRANSACTION AND RELATED MATTERS. INVESTORS SHOULD READ THE PROXY STATEMENT/PROSPECTUS AND SUCH OTHER DOCUMENTS FILED WITH THE SEC CAREFULLY AND IN THEIR ENTIRETY, AS WELL AS ANY AMENDMENTS OR SUPPLEMENTS TO THE PROXY STATEMENT/PROSPECTUS AND SUCH DOCUMENTS, BEFORE THEY MAKE ANY DECISION WITH RESPECT TO THE TRANSACTION. The proxy statement/prospectus, any amendments or supplements thereto and all other documents filed with the SEC in connection with the Transaction will be available when filed free of charge on the SEC’s website (at </w:t>
      </w:r>
      <w:r>
        <w:rPr>
          <w:rFonts w:ascii="Times New Roman;Times;Serif" w:hAnsi="Times New Roman;Times;Serif"/>
          <w:b w:val="false"/>
          <w:i w:val="false"/>
          <w:caps w:val="false"/>
          <w:smallCaps w:val="false"/>
          <w:color w:val="0000FF"/>
          <w:sz w:val="20"/>
          <w:u w:val="single"/>
        </w:rPr>
        <w:t>www.sec.gov</w:t>
      </w:r>
      <w:r>
        <w:rPr>
          <w:rFonts w:ascii="Times New Roman;Times;Serif" w:hAnsi="Times New Roman;Times;Serif"/>
          <w:b w:val="false"/>
          <w:i w:val="false"/>
          <w:caps w:val="false"/>
          <w:smallCaps w:val="false"/>
          <w:sz w:val="20"/>
        </w:rPr>
        <w:t xml:space="preserve">). Copies of documents filed with the SEC by Uniti will be made available free of charge on Uniti's investor relations website (at </w:t>
      </w:r>
      <w:r>
        <w:rPr>
          <w:rFonts w:ascii="Times New Roman;Times;Serif" w:hAnsi="Times New Roman;Times;Serif"/>
          <w:b w:val="false"/>
          <w:i w:val="false"/>
          <w:caps w:val="false"/>
          <w:smallCaps w:val="false"/>
          <w:color w:val="0000FF"/>
          <w:sz w:val="20"/>
          <w:u w:val="single"/>
        </w:rPr>
        <w:t>https://investor.uniti.com/financial-information/sec-filings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Uniti, Windstream and their respective directors and certain of their executive officers and other employees may be deemed to be participants in the solicitation of proxies from Uniti’s stockholders in connection with the Transaction. Information about Uniti’s directors and executive officers is set forth in the sections titled “Proposal No. 1 Election of Directors” and “Security Ownership of Certain Beneficial Owners and Management” included in Uniti’s proxy statement for its 2024 annual meeting of stockholders, which was filed with the SEC on April 11, 2024 (and which is available at </w:t>
      </w:r>
      <w:hyperlink r:id="rId4">
        <w:r>
          <w:rPr>
            <w:rStyle w:val="InternetLink"/>
            <w:rFonts w:ascii="Times New Roman;Times;Serif" w:hAnsi="Times New Roman;Times;Serif"/>
            <w:b w:val="false"/>
            <w:i w:val="false"/>
            <w:caps w:val="false"/>
            <w:smallCaps w:val="false"/>
            <w:sz w:val="20"/>
          </w:rPr>
          <w:t>https://www.sec.gov/Archives/edgar/data/1620280/000110465924046100/0001104659-24-046100-index.htm</w:t>
        </w:r>
      </w:hyperlink>
      <w:r>
        <w:rPr>
          <w:rFonts w:ascii="Times New Roman;Times;Serif" w:hAnsi="Times New Roman;Times;Serif"/>
          <w:b w:val="false"/>
          <w:i w:val="false"/>
          <w:caps w:val="false"/>
          <w:smallCaps w:val="false"/>
          <w:sz w:val="20"/>
        </w:rPr>
        <w:t xml:space="preserve">), the section titled “Directors, Executive Officers and Corporate Governance” included in its Annual Report on Form 10-K for the fiscal year ended December 31, 2023, which was filed with the SEC on February 29, 2024 (and which is available at </w:t>
      </w:r>
      <w:hyperlink r:id="rId5">
        <w:r>
          <w:rPr>
            <w:rStyle w:val="InternetLink"/>
            <w:rFonts w:ascii="Times New Roman;Times;Serif" w:hAnsi="Times New Roman;Times;Serif"/>
            <w:b w:val="false"/>
            <w:i w:val="false"/>
            <w:caps w:val="false"/>
            <w:smallCaps w:val="false"/>
            <w:sz w:val="20"/>
          </w:rPr>
          <w:t>https://www.sec.gov/ix?doc=/Archives/edgar/data/1620280/000162828024008054/unit-20231231.htm</w:t>
        </w:r>
      </w:hyperlink>
      <w:r>
        <w:rPr>
          <w:rFonts w:ascii="Times New Roman;Times;Serif" w:hAnsi="Times New Roman;Times;Serif"/>
          <w:b w:val="false"/>
          <w:i w:val="false"/>
          <w:caps w:val="false"/>
          <w:smallCaps w:val="false"/>
          <w:sz w:val="20"/>
        </w:rPr>
        <w:t>), and subsequent statements of beneficial ownership on file with the SEC and other filings made from time to time with the SEC. Additional information regarding the persons who may, under the rules of the SEC, be deemed participants in the solicitation of Uniti stockholders in connection with the Transaction, including a description of their direct or indirect interests, by security holdings or otherwise, will be set forth in the proxy statement/prospectus and other relevant materials when they are filed with the SEC. These documents can be obtained free of charge from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including within the meaning of the Private Securities Litigation Reform Act of 1995. Forward-looking statements can often be identified by terms such as “may,” “will,” “appears,” “should,” “expects,” “plans,” “anticipates,” “could,” “intends,” “target,” “projects,” “contemplates,” “believes,” “estimates,” “predicts,” “potential,” or “continue,” or the negative of these words or other similar terms or expressions that concern expectations, strategy, plans, or intentions. However, the absence of these words or similar terms does not mean that a statement is not forward-looking. All forward-looking statements are based on information and estimates available to Uniti and Windstream at the time of this communication and are not guarantees of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Examples of forward-looking statements in this communication (made at the date of this communication unless otherwise indicated) include, among others, statements regarding our merger with Windstream and the future performance of New Uniti (together with Windstream and Uniti, the “Merged Group”), the perceived and potential synergies and other benefits of the Transaction, and expectations around the financial impact of the Transaction on the Merged Group’s financials. In addition, this communication contains statements concerning the intentions, beliefs and expectations, plans, strategies and objectives of the directors and management of Uniti and Windstream for Uniti and Windstream, respectively, and the Merged Group, the anticipated timing for and outcome and effects of the Transaction (including expected benefits to shareholders of Uniti), expectations for the ongoing development and growth potential of the Merged Group and the future operation of Uniti, Windstream and the Merged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Transaction; the ability of the parties to complete the Transaction considering the various closing conditions; the expected benefits of the Transaction, such as improved operations, enhanced revenues and cash flow, synergies, growth potential, market profile, business plans, expanded portfolio and financial strength; the competitive ability and position of New Uniti following completion of the Transaction; and anticipated growth strategies and anticipated trends in Uniti’s, Windstream’s and, following the expected completion of the Transaction, New Uniti’s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other factors related to the Transaction that contribute to the uncertain nature of the forward-looking statements and that could cause actual results and financial condition to differ materially from those expressed or implied include, but are not limited to: the satisfaction of the conditions precedent to the consummation of the Transaction, including, without limitation, the receipt of shareholder and regulatory approvals on the terms desired or anticipated; unanticipated difficulties or expenditures relating to the Transaction, including, without limitation, difficulties that result in the failure to realize expected synergies, efficiencies and cost savings from the Transaction within the expected time period (if at all); potential difficulties in Uniti’s and Windstream’s ability to retain employees as a result of the announcement and pendency of the Transaction; risks relating to the value of New Uniti’s securities to be issued in the Transaction; disruptions of Uniti’s and Windstream’s current plans, operations and relationships with customers caused by the announcement and pendency of the Transaction; legal proceedings that may be instituted against Uniti or Windstream following announcement of the Transaction; funding requirements; regulatory restrictions (including changes in regulatory restrictions or regulatory policy) and risks associated with general 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that could cause actual results, level of activity, performance or achievements to differ materially from the results, level of activity, performance or achievements expressed or implied by the forward-looking statements are detailed in the filings with the SEC, including Uniti’s annual report on Form 10-K, periodic quarterly reports on Form 10-Q, periodic current reports on Form 8-K and other documents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Transaction will be implemented or that plans of the respective directors and management of Uniti and Windstream for the Merged Group will proceed as currently expected or will ultimately be successful. Investors are strongly cautioned not to place undue reliance on forward-looking statements, including in respect of the financial or operating outlook for Uniti, Windstream or the Merged Group (including the realization of any expected synergies).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applicable law, Uniti does not assume any obligation to, and expressly disclaims any duty to, provide any additional or updated information or to update any forward-looking statements, whether as a result of new information, future events or results, or otherwise. Nothing in this communication will, under any circumstances (including by reason of this communication remaining available and not being superseded or replaced by any other presentation or publication with respect to Uniti, Windstream or the Merged Group, or the subject matter of this communication), create an implication that there has been no change in the affairs of Uniti or Windstream since the date of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620280/000110465924046100/0001104659-24-046100-index.htm" TargetMode="External"/><Relationship Id="rId5" Type="http://schemas.openxmlformats.org/officeDocument/2006/relationships/hyperlink" Target="https://www.sec.gov/ix?doc=/Archives/edgar/data/1620280/000162828024008054/unit-202312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1867</Words>
  <Characters>10975</Characters>
  <CharactersWithSpaces>12855</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