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26, 2026</w:t>
      </w:r>
    </w:p>
    <w:p>
      <w:pPr>
        <w:spacing w:after="0" w:line="3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38100</wp:posOffset>
            </wp:positionV>
            <wp:extent cx="71335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71755</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UNDER THE SECURITIES ACT OF 1933</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Uniti Group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tbl>
      <w:tblPr>
        <w:tblLayout w:type="fixed"/>
        <w:tblInd w:w="1160" w:type="dxa"/>
        <w:tblCellMar>
          <w:top w:w="0" w:type="dxa"/>
          <w:left w:w="0" w:type="dxa"/>
          <w:bottom w:w="0" w:type="dxa"/>
          <w:right w:w="0" w:type="dxa"/>
        </w:tblCellMar>
      </w:tblPr>
      <w:tr>
        <w:trPr>
          <w:trHeight w:val="218"/>
        </w:trPr>
        <w:tc>
          <w:tcPr>
            <w:tcW w:w="4580" w:type="dxa"/>
            <w:vAlign w:val="bottom"/>
          </w:tcPr>
          <w:p>
            <w:pPr>
              <w:jc w:val="center"/>
              <w:ind w:right="117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200" w:type="dxa"/>
            <w:vAlign w:val="bottom"/>
          </w:tcPr>
          <w:p>
            <w:pPr>
              <w:jc w:val="right"/>
              <w:ind w:right="931"/>
              <w:spacing w:after="0"/>
              <w:rPr>
                <w:sz w:val="20"/>
                <w:szCs w:val="20"/>
                <w:color w:val="auto"/>
              </w:rPr>
            </w:pPr>
            <w:r>
              <w:rPr>
                <w:rFonts w:ascii="Times New Roman" w:cs="Times New Roman" w:eastAsia="Times New Roman" w:hAnsi="Times New Roman"/>
                <w:sz w:val="18"/>
                <w:szCs w:val="18"/>
                <w:b w:val="1"/>
                <w:bCs w:val="1"/>
                <w:color w:val="auto"/>
              </w:rPr>
              <w:t>85-2262564</w:t>
            </w:r>
          </w:p>
        </w:tc>
      </w:tr>
      <w:tr>
        <w:trPr>
          <w:trHeight w:val="21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(State or other jurisdiction of incorporation or</w:t>
            </w:r>
          </w:p>
        </w:tc>
        <w:tc>
          <w:tcPr>
            <w:tcW w:w="4200" w:type="dxa"/>
            <w:vAlign w:val="bottom"/>
          </w:tcPr>
          <w:p>
            <w:pPr>
              <w:jc w:val="center"/>
              <w:ind w:left="1211"/>
              <w:spacing w:after="0"/>
              <w:rPr>
                <w:sz w:val="20"/>
                <w:szCs w:val="20"/>
                <w:color w:val="auto"/>
              </w:rPr>
            </w:pPr>
            <w:r>
              <w:rPr>
                <w:rFonts w:ascii="Times New Roman" w:cs="Times New Roman" w:eastAsia="Times New Roman" w:hAnsi="Times New Roman"/>
                <w:sz w:val="18"/>
                <w:szCs w:val="18"/>
                <w:color w:val="auto"/>
                <w:w w:val="98"/>
              </w:rPr>
              <w:t>(I.R.S. Employer Identification Number)</w:t>
            </w:r>
          </w:p>
        </w:tc>
      </w:tr>
      <w:tr>
        <w:trPr>
          <w:trHeight w:val="210"/>
        </w:trPr>
        <w:tc>
          <w:tcPr>
            <w:tcW w:w="4580" w:type="dxa"/>
            <w:vAlign w:val="bottom"/>
          </w:tcPr>
          <w:p>
            <w:pPr>
              <w:jc w:val="center"/>
              <w:ind w:right="1171"/>
              <w:spacing w:after="0"/>
              <w:rPr>
                <w:sz w:val="20"/>
                <w:szCs w:val="20"/>
                <w:color w:val="auto"/>
              </w:rPr>
            </w:pPr>
            <w:r>
              <w:rPr>
                <w:rFonts w:ascii="Times New Roman" w:cs="Times New Roman" w:eastAsia="Times New Roman" w:hAnsi="Times New Roman"/>
                <w:sz w:val="18"/>
                <w:szCs w:val="18"/>
                <w:color w:val="auto"/>
                <w:w w:val="99"/>
              </w:rPr>
              <w:t>organization)</w:t>
            </w:r>
          </w:p>
        </w:tc>
        <w:tc>
          <w:tcPr>
            <w:tcW w:w="4200" w:type="dxa"/>
            <w:vAlign w:val="bottom"/>
          </w:tcPr>
          <w:p>
            <w:pPr>
              <w:spacing w:after="0"/>
              <w:rPr>
                <w:sz w:val="18"/>
                <w:szCs w:val="18"/>
                <w:color w:val="auto"/>
              </w:rPr>
            </w:pPr>
          </w:p>
        </w:tc>
      </w:tr>
      <w:tr>
        <w:trPr>
          <w:trHeight w:val="214"/>
        </w:trPr>
        <w:tc>
          <w:tcPr>
            <w:tcW w:w="4580" w:type="dxa"/>
            <w:vAlign w:val="bottom"/>
          </w:tcPr>
          <w:p>
            <w:pPr>
              <w:jc w:val="center"/>
              <w:ind w:right="1171"/>
              <w:spacing w:after="0"/>
              <w:rPr>
                <w:sz w:val="20"/>
                <w:szCs w:val="20"/>
                <w:color w:val="auto"/>
              </w:rPr>
            </w:pPr>
            <w:r>
              <w:rPr>
                <w:rFonts w:ascii="Times New Roman" w:cs="Times New Roman" w:eastAsia="Times New Roman" w:hAnsi="Times New Roman"/>
                <w:sz w:val="18"/>
                <w:szCs w:val="18"/>
                <w:b w:val="1"/>
                <w:bCs w:val="1"/>
                <w:color w:val="auto"/>
                <w:w w:val="98"/>
              </w:rPr>
              <w:t>2101 Riverfront Drive, Suite A</w:t>
            </w:r>
          </w:p>
        </w:tc>
        <w:tc>
          <w:tcPr>
            <w:tcW w:w="4200" w:type="dxa"/>
            <w:vAlign w:val="bottom"/>
          </w:tcPr>
          <w:p>
            <w:pPr>
              <w:spacing w:after="0"/>
              <w:rPr>
                <w:sz w:val="18"/>
                <w:szCs w:val="18"/>
                <w:color w:val="auto"/>
              </w:rPr>
            </w:pPr>
          </w:p>
        </w:tc>
      </w:tr>
      <w:tr>
        <w:trPr>
          <w:trHeight w:val="218"/>
        </w:trPr>
        <w:tc>
          <w:tcPr>
            <w:tcW w:w="4580" w:type="dxa"/>
            <w:vAlign w:val="bottom"/>
          </w:tcPr>
          <w:p>
            <w:pPr>
              <w:jc w:val="center"/>
              <w:ind w:right="1171"/>
              <w:spacing w:after="0"/>
              <w:rPr>
                <w:sz w:val="20"/>
                <w:szCs w:val="20"/>
                <w:color w:val="auto"/>
              </w:rPr>
            </w:pPr>
            <w:r>
              <w:rPr>
                <w:rFonts w:ascii="Times New Roman" w:cs="Times New Roman" w:eastAsia="Times New Roman" w:hAnsi="Times New Roman"/>
                <w:sz w:val="18"/>
                <w:szCs w:val="18"/>
                <w:b w:val="1"/>
                <w:bCs w:val="1"/>
                <w:color w:val="auto"/>
                <w:w w:val="99"/>
              </w:rPr>
              <w:t>Little Rock, Arkansas</w:t>
            </w:r>
          </w:p>
        </w:tc>
        <w:tc>
          <w:tcPr>
            <w:tcW w:w="4200" w:type="dxa"/>
            <w:vAlign w:val="bottom"/>
          </w:tcPr>
          <w:p>
            <w:pPr>
              <w:jc w:val="right"/>
              <w:ind w:right="1131"/>
              <w:spacing w:after="0"/>
              <w:rPr>
                <w:sz w:val="20"/>
                <w:szCs w:val="20"/>
                <w:color w:val="auto"/>
              </w:rPr>
            </w:pPr>
            <w:r>
              <w:rPr>
                <w:rFonts w:ascii="Times New Roman" w:cs="Times New Roman" w:eastAsia="Times New Roman" w:hAnsi="Times New Roman"/>
                <w:sz w:val="18"/>
                <w:szCs w:val="18"/>
                <w:b w:val="1"/>
                <w:bCs w:val="1"/>
                <w:color w:val="auto"/>
              </w:rPr>
              <w:t>72202</w:t>
            </w:r>
          </w:p>
        </w:tc>
      </w:tr>
      <w:tr>
        <w:trPr>
          <w:trHeight w:val="233"/>
        </w:trPr>
        <w:tc>
          <w:tcPr>
            <w:tcW w:w="4580" w:type="dxa"/>
            <w:vAlign w:val="bottom"/>
          </w:tcPr>
          <w:p>
            <w:pPr>
              <w:jc w:val="center"/>
              <w:ind w:right="1171"/>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4200" w:type="dxa"/>
            <w:vAlign w:val="bottom"/>
          </w:tcPr>
          <w:p>
            <w:pPr>
              <w:jc w:val="center"/>
              <w:ind w:left="1211"/>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Uniti Group Inc. 2025 Equity Incentive Plan</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Daniel L. Heard</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Senior Executive Vice President, General Counsel &amp; Secretary</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2101 Riverfront Drive, Suite A</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Little Rock, Arkansas 72202</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(501) 850-0820</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Copies of all correspondence to:</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Geoffrey Neal</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Kutak Rock LLP</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124 West Capitol Avenue, Suite 2000</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Little Rock, Arkansas 72201</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(501) 975-3000</w:t>
      </w:r>
    </w:p>
    <w:p>
      <w:pPr>
        <w:spacing w:after="0" w:line="202" w:lineRule="exact"/>
        <w:rPr>
          <w:sz w:val="24"/>
          <w:szCs w:val="24"/>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64" w:right="339" w:bottom="1440" w:gutter="0" w:footer="0" w:header="0"/>
        </w:sectPr>
      </w:pPr>
    </w:p>
    <w:p>
      <w:pPr>
        <w:spacing w:after="0" w:line="17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 xml:space="preserve">Large accelerated filer </w:t>
      </w:r>
      <w:r>
        <w:rPr>
          <w:rFonts w:ascii="Wingdings" w:cs="Wingdings" w:eastAsia="Wingdings" w:hAnsi="Wingdings"/>
          <w:sz w:val="17"/>
          <w:szCs w:val="17"/>
          <w:b w:val="1"/>
          <w:bCs w:val="1"/>
          <w:color w:val="auto"/>
        </w:rPr>
        <w:t>x</w:t>
      </w:r>
    </w:p>
    <w:p>
      <w:pPr>
        <w:spacing w:after="0" w:line="3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Non-accelerated filer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Accelerated filer </w:t>
      </w:r>
      <w:r>
        <w:rPr>
          <w:rFonts w:ascii="Wingdings" w:cs="Wingdings" w:eastAsia="Wingdings" w:hAnsi="Wingdings"/>
          <w:sz w:val="18"/>
          <w:szCs w:val="18"/>
          <w:b w:val="1"/>
          <w:bCs w:val="1"/>
          <w:color w:val="auto"/>
        </w:rPr>
        <w:t>o</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Smaller reporting company </w:t>
      </w:r>
      <w:r>
        <w:rPr>
          <w:rFonts w:ascii="Wingdings" w:cs="Wingdings" w:eastAsia="Wingdings" w:hAnsi="Wingdings"/>
          <w:sz w:val="17"/>
          <w:szCs w:val="17"/>
          <w:b w:val="1"/>
          <w:bCs w:val="1"/>
          <w:color w:val="auto"/>
        </w:rPr>
        <w:t>o</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o</w:t>
      </w:r>
    </w:p>
    <w:p>
      <w:pPr>
        <w:spacing w:after="0" w:line="200" w:lineRule="exact"/>
        <w:rPr>
          <w:sz w:val="24"/>
          <w:szCs w:val="24"/>
          <w:color w:val="auto"/>
        </w:rPr>
      </w:pPr>
    </w:p>
    <w:p>
      <w:pPr>
        <w:sectPr>
          <w:pgSz w:w="11900" w:h="16838" w:orient="portrait"/>
          <w:cols w:equalWidth="0" w:num="2">
            <w:col w:w="6940" w:space="720"/>
            <w:col w:w="3580"/>
          </w:cols>
          <w:pgMar w:left="320" w:top="464" w:right="339" w:bottom="1440" w:gutter="0" w:footer="0" w:header="0"/>
          <w:type w:val="continuous"/>
        </w:sectPr>
      </w:pPr>
    </w:p>
    <w:p>
      <w:pPr>
        <w:spacing w:after="0" w:line="13" w:lineRule="exact"/>
        <w:rPr>
          <w:sz w:val="24"/>
          <w:szCs w:val="24"/>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149225</wp:posOffset>
            </wp:positionV>
            <wp:extent cx="7133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174625</wp:posOffset>
            </wp:positionV>
            <wp:extent cx="71335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649605</wp:posOffset>
            </wp:positionV>
            <wp:extent cx="7133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464" w:right="3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4" w:lineRule="exact"/>
        <w:rPr>
          <w:sz w:val="20"/>
          <w:szCs w:val="20"/>
          <w:color w:val="auto"/>
        </w:rPr>
      </w:pPr>
    </w:p>
    <w:p>
      <w:pPr>
        <w:ind w:right="160" w:firstLine="641"/>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Registration Statement on Form S-8 is filed pursuant to General Instruction E to Form S-8 for the purpose of registering an additional 16,750,000 shares of common stock, $0.0001 par value per share (“Common Stock”), of Uniti Group Inc., a Delaware corporation (the “Company” or the “Registrant”), to be issued pursuant to the Uniti Group Inc. 2025 Equity Incentive Plan (the “Plan”). Accordingly, the contents of the earlier registration statement on </w:t>
      </w:r>
      <w:hyperlink r:id="rId13">
        <w:r>
          <w:rPr>
            <w:rFonts w:ascii="Times New Roman" w:cs="Times New Roman" w:eastAsia="Times New Roman" w:hAnsi="Times New Roman"/>
            <w:sz w:val="18"/>
            <w:szCs w:val="18"/>
            <w:u w:val="single" w:color="auto"/>
            <w:color w:val="0000EE"/>
          </w:rPr>
          <w:t>Form S-8 (File No. 333-289200) filed with the Securities and Exchange Commission (the “Commission”) on August 4,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are incorporated by reference in this Registration Statement to the extent not modified hereby.</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documents previously filed by the Company with the Commission are incorporated herein by reference:</w:t>
      </w:r>
    </w:p>
    <w:p>
      <w:pPr>
        <w:spacing w:after="0" w:line="220" w:lineRule="exact"/>
        <w:rPr>
          <w:sz w:val="20"/>
          <w:szCs w:val="20"/>
          <w:color w:val="auto"/>
        </w:rPr>
      </w:pPr>
    </w:p>
    <w:p>
      <w:pPr>
        <w:ind w:left="640" w:hanging="313"/>
        <w:spacing w:after="0"/>
        <w:tabs>
          <w:tab w:leader="none" w:pos="640" w:val="left"/>
        </w:tabs>
        <w:numPr>
          <w:ilvl w:val="0"/>
          <w:numId w:val="1"/>
        </w:numPr>
        <w:rPr>
          <w:rFonts w:ascii="Times New Roman" w:cs="Times New Roman" w:eastAsia="Times New Roman" w:hAnsi="Times New Roman"/>
          <w:sz w:val="18"/>
          <w:szCs w:val="18"/>
          <w:u w:val="single" w:color="auto"/>
          <w:color w:val="0000EE"/>
        </w:rPr>
      </w:pPr>
      <w:hyperlink r:id="rId14">
        <w:r>
          <w:rPr>
            <w:rFonts w:ascii="Times New Roman" w:cs="Times New Roman" w:eastAsia="Times New Roman" w:hAnsi="Times New Roman"/>
            <w:sz w:val="18"/>
            <w:szCs w:val="18"/>
            <w:u w:val="single" w:color="auto"/>
            <w:color w:val="0000EE"/>
          </w:rPr>
          <w:t>Annual Report on Form 10-K for the fiscal year ended December 31, 2025, filed with the Commission on March 2, 2026 (the “Annual Report”);</w:t>
        </w:r>
      </w:hyperlink>
    </w:p>
    <w:p>
      <w:pPr>
        <w:spacing w:after="0" w:line="220" w:lineRule="exact"/>
        <w:rPr>
          <w:rFonts w:ascii="Times New Roman" w:cs="Times New Roman" w:eastAsia="Times New Roman" w:hAnsi="Times New Roman"/>
          <w:sz w:val="18"/>
          <w:szCs w:val="18"/>
          <w:u w:val="single" w:color="auto"/>
          <w:color w:val="0000EE"/>
        </w:rPr>
      </w:pPr>
    </w:p>
    <w:p>
      <w:pPr>
        <w:ind w:left="640" w:right="420" w:hanging="313"/>
        <w:spacing w:after="0" w:line="277"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by the Company pursuant to Section 13(a) or 15(d) of the Securities Exchange Act of 1934, as amended (the “Exchange Act”), since the end of the fiscal year covered by the Annual Report; and</w:t>
      </w:r>
    </w:p>
    <w:p>
      <w:pPr>
        <w:spacing w:after="0" w:line="163" w:lineRule="exact"/>
        <w:rPr>
          <w:rFonts w:ascii="Times New Roman" w:cs="Times New Roman" w:eastAsia="Times New Roman" w:hAnsi="Times New Roman"/>
          <w:sz w:val="18"/>
          <w:szCs w:val="18"/>
          <w:color w:val="auto"/>
        </w:rPr>
      </w:pPr>
    </w:p>
    <w:p>
      <w:pPr>
        <w:ind w:left="640" w:right="220" w:hanging="313"/>
        <w:spacing w:after="0" w:line="277"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Company’s Common Stock contained in </w:t>
      </w:r>
      <w:hyperlink r:id="rId15">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including any amendments or reports filed with the Commission for the purpose of updating such description.</w:t>
      </w:r>
    </w:p>
    <w:p>
      <w:pPr>
        <w:spacing w:after="0" w:line="163" w:lineRule="exact"/>
        <w:rPr>
          <w:rFonts w:ascii="Times New Roman" w:cs="Times New Roman" w:eastAsia="Times New Roman" w:hAnsi="Times New Roman"/>
          <w:sz w:val="18"/>
          <w:szCs w:val="18"/>
          <w:color w:val="auto"/>
        </w:rPr>
      </w:pPr>
    </w:p>
    <w:p>
      <w:pPr>
        <w:ind w:firstLine="321"/>
        <w:spacing w:after="0" w:line="262" w:lineRule="auto"/>
        <w:rPr>
          <w:sz w:val="20"/>
          <w:szCs w:val="20"/>
          <w:color w:val="auto"/>
        </w:rPr>
      </w:pPr>
      <w:r>
        <w:rPr>
          <w:rFonts w:ascii="Times New Roman" w:cs="Times New Roman" w:eastAsia="Times New Roman" w:hAnsi="Times New Roman"/>
          <w:sz w:val="18"/>
          <w:szCs w:val="18"/>
          <w:color w:val="auto"/>
        </w:rPr>
        <w:t>All documents subsequently filed by the Company pursuant to Sections 13(a), 13(c), 14 and 15(d) of the Exchange Act at any time prior to the filing of a post-effective amendment that indicates that all securities offered have been sold or that deregisters all securities then remaining unsold, shall be deemed to be incorporated by reference in this Registration Statement and to be a part hereof from the date of filing such documents.</w:t>
      </w:r>
    </w:p>
    <w:p>
      <w:pPr>
        <w:spacing w:after="0" w:line="177" w:lineRule="exact"/>
        <w:rPr>
          <w:rFonts w:ascii="Times New Roman" w:cs="Times New Roman" w:eastAsia="Times New Roman" w:hAnsi="Times New Roman"/>
          <w:sz w:val="18"/>
          <w:szCs w:val="18"/>
          <w:color w:val="auto"/>
        </w:rPr>
      </w:pPr>
    </w:p>
    <w:p>
      <w:pPr>
        <w:ind w:firstLine="321"/>
        <w:spacing w:after="0" w:line="257"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4445</wp:posOffset>
            </wp:positionH>
            <wp:positionV relativeFrom="paragraph">
              <wp:posOffset>415925</wp:posOffset>
            </wp:positionV>
            <wp:extent cx="71335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20"/>
          </w:cols>
          <w:pgMar w:left="320" w:top="892"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furnished as a part of this registration statement are listed below:</w:t>
      </w:r>
    </w:p>
    <w:p>
      <w:pPr>
        <w:spacing w:after="0" w:line="216" w:lineRule="exact"/>
        <w:rPr>
          <w:sz w:val="20"/>
          <w:szCs w:val="20"/>
          <w:color w:val="auto"/>
        </w:rPr>
      </w:pPr>
    </w:p>
    <w:p>
      <w:pPr>
        <w:spacing w:after="0"/>
        <w:tabs>
          <w:tab w:leader="none" w:pos="582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71335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10" w:lineRule="exact"/>
        <w:rPr>
          <w:sz w:val="20"/>
          <w:szCs w:val="20"/>
          <w:color w:val="auto"/>
        </w:rPr>
      </w:pPr>
    </w:p>
    <w:p>
      <w:pPr>
        <w:ind w:left="1020" w:right="540" w:hanging="671"/>
        <w:spacing w:after="0" w:line="255" w:lineRule="auto"/>
        <w:tabs>
          <w:tab w:leader="none" w:pos="1000" w:val="left"/>
        </w:tabs>
        <w:rPr>
          <w:rFonts w:ascii="Times New Roman" w:cs="Times New Roman" w:eastAsia="Times New Roman" w:hAnsi="Times New Roman"/>
          <w:sz w:val="18"/>
          <w:szCs w:val="18"/>
          <w:u w:val="single" w:color="auto"/>
          <w:color w:val="0000EE"/>
        </w:rPr>
      </w:pPr>
      <w:hyperlink r:id="rId18">
        <w:r>
          <w:rPr>
            <w:rFonts w:ascii="Times New Roman" w:cs="Times New Roman" w:eastAsia="Times New Roman" w:hAnsi="Times New Roman"/>
            <w:sz w:val="18"/>
            <w:szCs w:val="18"/>
            <w:u w:val="single" w:color="auto"/>
            <w:color w:val="0000EE"/>
          </w:rPr>
          <w:t>4.1</w:t>
        </w:r>
      </w:hyperlink>
      <w:r>
        <w:rPr>
          <w:rFonts w:ascii="Times New Roman" w:cs="Times New Roman" w:eastAsia="Times New Roman" w:hAnsi="Times New Roman"/>
          <w:sz w:val="18"/>
          <w:szCs w:val="18"/>
          <w:u w:val="single" w:color="auto"/>
          <w:color w:val="0000EE"/>
        </w:rPr>
        <w:tab/>
      </w:r>
      <w:hyperlink r:id="rId18">
        <w:r>
          <w:rPr>
            <w:rFonts w:ascii="Times New Roman" w:cs="Times New Roman" w:eastAsia="Times New Roman" w:hAnsi="Times New Roman"/>
            <w:sz w:val="18"/>
            <w:szCs w:val="18"/>
            <w:u w:val="single" w:color="auto"/>
            <w:color w:val="0000EE"/>
          </w:rPr>
          <w:t>Second Amended and Restated Certificate of Incorporation, dated as of August 1, 2025 (incorporated by reference to Exhibit 3.1 to the</w:t>
        </w:r>
      </w:hyperlink>
      <w:r>
        <w:rPr>
          <w:rFonts w:ascii="Times New Roman" w:cs="Times New Roman" w:eastAsia="Times New Roman" w:hAnsi="Times New Roman"/>
          <w:sz w:val="18"/>
          <w:szCs w:val="18"/>
          <w:u w:val="single" w:color="auto"/>
          <w:color w:val="0000EE"/>
        </w:rPr>
        <w:t xml:space="preserve"> </w:t>
      </w:r>
      <w:hyperlink r:id="rId18">
        <w:r>
          <w:rPr>
            <w:rFonts w:ascii="Times New Roman" w:cs="Times New Roman" w:eastAsia="Times New Roman" w:hAnsi="Times New Roman"/>
            <w:sz w:val="18"/>
            <w:szCs w:val="18"/>
            <w:u w:val="single" w:color="auto"/>
            <w:color w:val="0000EE"/>
          </w:rPr>
          <w:t>Company's Current Report on Form 8-K filed with the Commission as of August 1, 2025 (File No. 001-42779)).</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020" w:hanging="671"/>
        <w:spacing w:after="0" w:line="247" w:lineRule="auto"/>
        <w:tabs>
          <w:tab w:leader="none" w:pos="1000" w:val="left"/>
        </w:tabs>
        <w:rPr>
          <w:rFonts w:ascii="Times New Roman" w:cs="Times New Roman" w:eastAsia="Times New Roman" w:hAnsi="Times New Roman"/>
          <w:sz w:val="18"/>
          <w:szCs w:val="18"/>
          <w:u w:val="single" w:color="auto"/>
          <w:color w:val="0000EE"/>
        </w:rPr>
      </w:pPr>
      <w:hyperlink r:id="rId19">
        <w:r>
          <w:rPr>
            <w:rFonts w:ascii="Times New Roman" w:cs="Times New Roman" w:eastAsia="Times New Roman" w:hAnsi="Times New Roman"/>
            <w:sz w:val="18"/>
            <w:szCs w:val="18"/>
            <w:u w:val="single" w:color="auto"/>
            <w:color w:val="0000EE"/>
          </w:rPr>
          <w:t>4.2</w:t>
        </w:r>
      </w:hyperlink>
      <w:r>
        <w:rPr>
          <w:rFonts w:ascii="Times New Roman" w:cs="Times New Roman" w:eastAsia="Times New Roman" w:hAnsi="Times New Roman"/>
          <w:sz w:val="18"/>
          <w:szCs w:val="18"/>
          <w:u w:val="single" w:color="auto"/>
          <w:color w:val="0000EE"/>
        </w:rPr>
        <w:tab/>
      </w:r>
      <w:hyperlink r:id="rId19">
        <w:r>
          <w:rPr>
            <w:rFonts w:ascii="Times New Roman" w:cs="Times New Roman" w:eastAsia="Times New Roman" w:hAnsi="Times New Roman"/>
            <w:sz w:val="18"/>
            <w:szCs w:val="18"/>
            <w:u w:val="single" w:color="auto"/>
            <w:color w:val="0000EE"/>
          </w:rPr>
          <w:t>Certificate of Amendment to the Second Amended and Restated Certificate of Incorporation of Uniti Group Inc., as filed with the Secretary of</w:t>
        </w:r>
      </w:hyperlink>
      <w:r>
        <w:rPr>
          <w:rFonts w:ascii="Times New Roman" w:cs="Times New Roman" w:eastAsia="Times New Roman" w:hAnsi="Times New Roman"/>
          <w:sz w:val="18"/>
          <w:szCs w:val="18"/>
          <w:u w:val="single" w:color="auto"/>
          <w:color w:val="0000EE"/>
        </w:rPr>
        <w:t xml:space="preserve"> </w:t>
      </w:r>
      <w:hyperlink r:id="rId19">
        <w:r>
          <w:rPr>
            <w:rFonts w:ascii="Times New Roman" w:cs="Times New Roman" w:eastAsia="Times New Roman" w:hAnsi="Times New Roman"/>
            <w:sz w:val="18"/>
            <w:szCs w:val="18"/>
            <w:u w:val="single" w:color="auto"/>
            <w:color w:val="0000EE"/>
          </w:rPr>
          <w:t>State of the State of Delaware on April 13, 2026 (incorporated by reference to Exhibit 3.1 to the Company’s Current Report on Form 8-K filed</w:t>
        </w:r>
      </w:hyperlink>
      <w:r>
        <w:rPr>
          <w:rFonts w:ascii="Times New Roman" w:cs="Times New Roman" w:eastAsia="Times New Roman" w:hAnsi="Times New Roman"/>
          <w:sz w:val="18"/>
          <w:szCs w:val="18"/>
          <w:u w:val="single" w:color="auto"/>
          <w:color w:val="0000EE"/>
        </w:rPr>
        <w:t xml:space="preserve"> </w:t>
      </w:r>
      <w:hyperlink r:id="rId19">
        <w:r>
          <w:rPr>
            <w:rFonts w:ascii="Times New Roman" w:cs="Times New Roman" w:eastAsia="Times New Roman" w:hAnsi="Times New Roman"/>
            <w:sz w:val="18"/>
            <w:szCs w:val="18"/>
            <w:u w:val="single" w:color="auto"/>
            <w:color w:val="0000EE"/>
          </w:rPr>
          <w:t>with the Commission as of April 14, 2026 (File No. 001-42779)).</w:t>
        </w:r>
      </w:hyperlink>
    </w:p>
    <w:p>
      <w:pPr>
        <w:spacing w:after="0" w:line="2" w:lineRule="exact"/>
        <w:rPr>
          <w:rFonts w:ascii="Times New Roman" w:cs="Times New Roman" w:eastAsia="Times New Roman" w:hAnsi="Times New Roman"/>
          <w:sz w:val="18"/>
          <w:szCs w:val="18"/>
          <w:u w:val="single" w:color="auto"/>
          <w:color w:val="0000EE"/>
        </w:rPr>
      </w:pPr>
    </w:p>
    <w:p>
      <w:pPr>
        <w:ind w:left="1020" w:right="300" w:hanging="671"/>
        <w:spacing w:after="0" w:line="247" w:lineRule="auto"/>
        <w:tabs>
          <w:tab w:leader="none" w:pos="1000" w:val="left"/>
        </w:tabs>
        <w:rPr>
          <w:rFonts w:ascii="Times New Roman" w:cs="Times New Roman" w:eastAsia="Times New Roman" w:hAnsi="Times New Roman"/>
          <w:sz w:val="18"/>
          <w:szCs w:val="18"/>
          <w:u w:val="single" w:color="auto"/>
          <w:color w:val="0000EE"/>
        </w:rPr>
      </w:pPr>
      <w:hyperlink r:id="rId20">
        <w:r>
          <w:rPr>
            <w:rFonts w:ascii="Times New Roman" w:cs="Times New Roman" w:eastAsia="Times New Roman" w:hAnsi="Times New Roman"/>
            <w:sz w:val="18"/>
            <w:szCs w:val="18"/>
            <w:u w:val="single" w:color="auto"/>
            <w:color w:val="0000EE"/>
          </w:rPr>
          <w:t>4.3</w:t>
        </w:r>
      </w:hyperlink>
      <w:r>
        <w:rPr>
          <w:rFonts w:ascii="Times New Roman" w:cs="Times New Roman" w:eastAsia="Times New Roman" w:hAnsi="Times New Roman"/>
          <w:sz w:val="18"/>
          <w:szCs w:val="18"/>
          <w:u w:val="single" w:color="auto"/>
          <w:color w:val="0000EE"/>
        </w:rPr>
        <w:tab/>
      </w:r>
      <w:hyperlink r:id="rId20">
        <w:r>
          <w:rPr>
            <w:rFonts w:ascii="Times New Roman" w:cs="Times New Roman" w:eastAsia="Times New Roman" w:hAnsi="Times New Roman"/>
            <w:sz w:val="18"/>
            <w:szCs w:val="18"/>
            <w:u w:val="single" w:color="auto"/>
            <w:color w:val="0000EE"/>
          </w:rPr>
          <w:t>Bylaws, dated as of August 1, 2025 (incorporated by reference to Exhibit 3.2 to the Company's Current Report on Form 8-K filed with the</w:t>
        </w:r>
      </w:hyperlink>
      <w:r>
        <w:rPr>
          <w:rFonts w:ascii="Times New Roman" w:cs="Times New Roman" w:eastAsia="Times New Roman" w:hAnsi="Times New Roman"/>
          <w:sz w:val="18"/>
          <w:szCs w:val="18"/>
          <w:u w:val="single" w:color="auto"/>
          <w:color w:val="0000EE"/>
        </w:rPr>
        <w:t xml:space="preserve"> </w:t>
      </w:r>
      <w:hyperlink r:id="rId20">
        <w:r>
          <w:rPr>
            <w:rFonts w:ascii="Times New Roman" w:cs="Times New Roman" w:eastAsia="Times New Roman" w:hAnsi="Times New Roman"/>
            <w:sz w:val="18"/>
            <w:szCs w:val="18"/>
            <w:u w:val="single" w:color="auto"/>
            <w:color w:val="0000EE"/>
          </w:rPr>
          <w:t>Commission as of August 1, 2025 (File No. 001-42779)).</w:t>
        </w:r>
      </w:hyperlink>
    </w:p>
    <w:p>
      <w:pPr>
        <w:spacing w:after="0" w:line="1" w:lineRule="exact"/>
        <w:rPr>
          <w:rFonts w:ascii="Times New Roman" w:cs="Times New Roman" w:eastAsia="Times New Roman" w:hAnsi="Times New Roman"/>
          <w:sz w:val="18"/>
          <w:szCs w:val="18"/>
          <w:u w:val="single" w:color="auto"/>
          <w:color w:val="0000EE"/>
        </w:rPr>
      </w:pPr>
    </w:p>
    <w:p>
      <w:pPr>
        <w:ind w:left="300"/>
        <w:spacing w:after="0"/>
        <w:tabs>
          <w:tab w:leader="none" w:pos="1000" w:val="left"/>
        </w:tabs>
        <w:rPr>
          <w:sz w:val="20"/>
          <w:szCs w:val="20"/>
          <w:color w:val="auto"/>
        </w:rPr>
      </w:pPr>
      <w:r>
        <w:rPr>
          <w:rFonts w:ascii="Times New Roman" w:cs="Times New Roman" w:eastAsia="Times New Roman" w:hAnsi="Times New Roman"/>
          <w:sz w:val="18"/>
          <w:szCs w:val="18"/>
          <w:u w:val="single" w:color="auto"/>
          <w:color w:val="0000EE"/>
        </w:rPr>
        <w:t>5.1*</w:t>
      </w:r>
      <w:r>
        <w:rPr>
          <w:sz w:val="20"/>
          <w:szCs w:val="20"/>
          <w:color w:val="auto"/>
        </w:rPr>
        <w:tab/>
      </w:r>
      <w:r>
        <w:rPr>
          <w:rFonts w:ascii="Times New Roman" w:cs="Times New Roman" w:eastAsia="Times New Roman" w:hAnsi="Times New Roman"/>
          <w:sz w:val="17"/>
          <w:szCs w:val="17"/>
          <w:u w:val="single" w:color="auto"/>
          <w:color w:val="0000EE"/>
        </w:rPr>
        <w:t>Opinion of Kutak Rock LLP</w:t>
      </w:r>
    </w:p>
    <w:p>
      <w:pPr>
        <w:spacing w:after="0" w:line="7" w:lineRule="exact"/>
        <w:rPr>
          <w:rFonts w:ascii="Times New Roman" w:cs="Times New Roman" w:eastAsia="Times New Roman" w:hAnsi="Times New Roman"/>
          <w:sz w:val="18"/>
          <w:szCs w:val="18"/>
          <w:u w:val="single" w:color="auto"/>
          <w:color w:val="0000EE"/>
        </w:rPr>
      </w:pPr>
    </w:p>
    <w:p>
      <w:pPr>
        <w:ind w:left="260"/>
        <w:spacing w:after="0"/>
        <w:tabs>
          <w:tab w:leader="none" w:pos="1000" w:val="left"/>
        </w:tabs>
        <w:rPr>
          <w:sz w:val="20"/>
          <w:szCs w:val="20"/>
          <w:color w:val="auto"/>
        </w:rPr>
      </w:pPr>
      <w:r>
        <w:rPr>
          <w:rFonts w:ascii="Times New Roman" w:cs="Times New Roman" w:eastAsia="Times New Roman" w:hAnsi="Times New Roman"/>
          <w:sz w:val="18"/>
          <w:szCs w:val="18"/>
          <w:u w:val="single" w:color="auto"/>
          <w:color w:val="0000EE"/>
        </w:rPr>
        <w:t>23.1*</w:t>
      </w:r>
      <w:r>
        <w:rPr>
          <w:sz w:val="20"/>
          <w:szCs w:val="20"/>
          <w:color w:val="auto"/>
        </w:rPr>
        <w:tab/>
      </w:r>
      <w:r>
        <w:rPr>
          <w:rFonts w:ascii="Times New Roman" w:cs="Times New Roman" w:eastAsia="Times New Roman" w:hAnsi="Times New Roman"/>
          <w:sz w:val="17"/>
          <w:szCs w:val="17"/>
          <w:u w:val="single" w:color="auto"/>
          <w:color w:val="0000EE"/>
        </w:rPr>
        <w:t>Consent of Kutak Rock LLP (contained in its opinion filed as Exhibit 5)</w:t>
      </w:r>
    </w:p>
    <w:p>
      <w:pPr>
        <w:spacing w:after="0" w:line="7" w:lineRule="exact"/>
        <w:rPr>
          <w:rFonts w:ascii="Times New Roman" w:cs="Times New Roman" w:eastAsia="Times New Roman" w:hAnsi="Times New Roman"/>
          <w:sz w:val="18"/>
          <w:szCs w:val="18"/>
          <w:u w:val="single" w:color="auto"/>
          <w:color w:val="0000EE"/>
        </w:rPr>
      </w:pPr>
    </w:p>
    <w:p>
      <w:pPr>
        <w:ind w:left="260"/>
        <w:spacing w:after="0"/>
        <w:tabs>
          <w:tab w:leader="none" w:pos="1000" w:val="left"/>
        </w:tabs>
        <w:rPr>
          <w:sz w:val="20"/>
          <w:szCs w:val="20"/>
          <w:color w:val="auto"/>
        </w:rPr>
      </w:pPr>
      <w:r>
        <w:rPr>
          <w:rFonts w:ascii="Times New Roman" w:cs="Times New Roman" w:eastAsia="Times New Roman" w:hAnsi="Times New Roman"/>
          <w:sz w:val="18"/>
          <w:szCs w:val="18"/>
          <w:u w:val="single" w:color="auto"/>
          <w:color w:val="0000EE"/>
        </w:rPr>
        <w:t>23.2*</w:t>
      </w:r>
      <w:r>
        <w:rPr>
          <w:sz w:val="20"/>
          <w:szCs w:val="20"/>
          <w:color w:val="auto"/>
        </w:rPr>
        <w:tab/>
      </w:r>
      <w:r>
        <w:rPr>
          <w:rFonts w:ascii="Times New Roman" w:cs="Times New Roman" w:eastAsia="Times New Roman" w:hAnsi="Times New Roman"/>
          <w:sz w:val="17"/>
          <w:szCs w:val="17"/>
          <w:u w:val="single" w:color="auto"/>
          <w:color w:val="0000EE"/>
        </w:rPr>
        <w:t>Consent of PricewaterhouseCoopers LLP, independent registered public accounting firm</w:t>
      </w:r>
    </w:p>
    <w:p>
      <w:pPr>
        <w:spacing w:after="0" w:line="7" w:lineRule="exact"/>
        <w:rPr>
          <w:rFonts w:ascii="Times New Roman" w:cs="Times New Roman" w:eastAsia="Times New Roman" w:hAnsi="Times New Roman"/>
          <w:sz w:val="18"/>
          <w:szCs w:val="18"/>
          <w:u w:val="single" w:color="auto"/>
          <w:color w:val="0000EE"/>
        </w:rPr>
      </w:pPr>
    </w:p>
    <w:p>
      <w:pPr>
        <w:ind w:left="260"/>
        <w:spacing w:after="0"/>
        <w:tabs>
          <w:tab w:leader="none" w:pos="1000" w:val="left"/>
        </w:tabs>
        <w:rPr>
          <w:sz w:val="20"/>
          <w:szCs w:val="20"/>
          <w:color w:val="auto"/>
        </w:rPr>
      </w:pPr>
      <w:r>
        <w:rPr>
          <w:rFonts w:ascii="Times New Roman" w:cs="Times New Roman" w:eastAsia="Times New Roman" w:hAnsi="Times New Roman"/>
          <w:sz w:val="18"/>
          <w:szCs w:val="18"/>
          <w:u w:val="single" w:color="auto"/>
          <w:color w:val="0000EE"/>
        </w:rPr>
        <w:t>23.3*</w:t>
      </w:r>
      <w:r>
        <w:rPr>
          <w:sz w:val="20"/>
          <w:szCs w:val="20"/>
          <w:color w:val="auto"/>
        </w:rPr>
        <w:tab/>
      </w:r>
      <w:r>
        <w:rPr>
          <w:rFonts w:ascii="Times New Roman" w:cs="Times New Roman" w:eastAsia="Times New Roman" w:hAnsi="Times New Roman"/>
          <w:sz w:val="17"/>
          <w:szCs w:val="17"/>
          <w:u w:val="single" w:color="auto"/>
          <w:color w:val="0000EE"/>
        </w:rPr>
        <w:t>Consent of KPMG LLP, independent registered public accounting firm</w:t>
      </w:r>
    </w:p>
    <w:p>
      <w:pPr>
        <w:spacing w:after="0" w:line="7" w:lineRule="exact"/>
        <w:rPr>
          <w:rFonts w:ascii="Times New Roman" w:cs="Times New Roman" w:eastAsia="Times New Roman" w:hAnsi="Times New Roman"/>
          <w:sz w:val="18"/>
          <w:szCs w:val="18"/>
          <w:u w:val="single" w:color="auto"/>
          <w:color w:val="0000EE"/>
        </w:rPr>
      </w:pPr>
    </w:p>
    <w:p>
      <w:pPr>
        <w:ind w:left="260"/>
        <w:spacing w:after="0"/>
        <w:tabs>
          <w:tab w:leader="none" w:pos="1000" w:val="left"/>
        </w:tabs>
        <w:rPr>
          <w:sz w:val="20"/>
          <w:szCs w:val="20"/>
          <w:color w:val="auto"/>
        </w:rPr>
      </w:pPr>
      <w:r>
        <w:rPr>
          <w:rFonts w:ascii="Times New Roman" w:cs="Times New Roman" w:eastAsia="Times New Roman" w:hAnsi="Times New Roman"/>
          <w:sz w:val="18"/>
          <w:szCs w:val="18"/>
          <w:u w:val="single" w:color="auto"/>
          <w:color w:val="0000EE"/>
        </w:rPr>
        <w:t>24.1*</w:t>
      </w:r>
      <w:r>
        <w:rPr>
          <w:sz w:val="20"/>
          <w:szCs w:val="20"/>
          <w:color w:val="auto"/>
        </w:rPr>
        <w:tab/>
      </w:r>
      <w:r>
        <w:rPr>
          <w:rFonts w:ascii="Times New Roman" w:cs="Times New Roman" w:eastAsia="Times New Roman" w:hAnsi="Times New Roman"/>
          <w:sz w:val="17"/>
          <w:szCs w:val="17"/>
          <w:u w:val="single" w:color="auto"/>
          <w:color w:val="0000EE"/>
        </w:rPr>
        <w:t>Power of Attorney</w:t>
      </w:r>
    </w:p>
    <w:p>
      <w:pPr>
        <w:spacing w:after="0" w:line="7" w:lineRule="exact"/>
        <w:rPr>
          <w:rFonts w:ascii="Times New Roman" w:cs="Times New Roman" w:eastAsia="Times New Roman" w:hAnsi="Times New Roman"/>
          <w:sz w:val="18"/>
          <w:szCs w:val="18"/>
          <w:u w:val="single" w:color="auto"/>
          <w:color w:val="0000EE"/>
        </w:rPr>
      </w:pPr>
    </w:p>
    <w:p>
      <w:pPr>
        <w:ind w:left="1020" w:right="320" w:hanging="716"/>
        <w:spacing w:after="0" w:line="247" w:lineRule="auto"/>
        <w:tabs>
          <w:tab w:leader="none" w:pos="1000" w:val="left"/>
        </w:tabs>
        <w:rPr>
          <w:rFonts w:ascii="Times New Roman" w:cs="Times New Roman" w:eastAsia="Times New Roman" w:hAnsi="Times New Roman"/>
          <w:sz w:val="18"/>
          <w:szCs w:val="18"/>
          <w:u w:val="single" w:color="auto"/>
          <w:color w:val="0000EE"/>
        </w:rPr>
      </w:pPr>
      <w:hyperlink r:id="rId21">
        <w:r>
          <w:rPr>
            <w:rFonts w:ascii="Times New Roman" w:cs="Times New Roman" w:eastAsia="Times New Roman" w:hAnsi="Times New Roman"/>
            <w:sz w:val="18"/>
            <w:szCs w:val="18"/>
            <w:u w:val="single" w:color="auto"/>
            <w:color w:val="0000EE"/>
          </w:rPr>
          <w:t>99.1</w:t>
        </w:r>
      </w:hyperlink>
      <w:r>
        <w:rPr>
          <w:rFonts w:ascii="Times New Roman" w:cs="Times New Roman" w:eastAsia="Times New Roman" w:hAnsi="Times New Roman"/>
          <w:sz w:val="18"/>
          <w:szCs w:val="18"/>
          <w:u w:val="single" w:color="auto"/>
          <w:color w:val="0000EE"/>
        </w:rPr>
        <w:tab/>
      </w:r>
      <w:hyperlink r:id="rId21">
        <w:r>
          <w:rPr>
            <w:rFonts w:ascii="Times New Roman" w:cs="Times New Roman" w:eastAsia="Times New Roman" w:hAnsi="Times New Roman"/>
            <w:sz w:val="18"/>
            <w:szCs w:val="18"/>
            <w:u w:val="single" w:color="auto"/>
            <w:color w:val="0000EE"/>
          </w:rPr>
          <w:t>Uniti Group Inc. 2025 Equity Incentive Plan, as amended and restated February 26, 2026 (incorporated by reference to Exhibit 10.1 to the</w:t>
        </w:r>
      </w:hyperlink>
      <w:r>
        <w:rPr>
          <w:rFonts w:ascii="Times New Roman" w:cs="Times New Roman" w:eastAsia="Times New Roman" w:hAnsi="Times New Roman"/>
          <w:sz w:val="18"/>
          <w:szCs w:val="18"/>
          <w:u w:val="single" w:color="auto"/>
          <w:color w:val="0000EE"/>
        </w:rPr>
        <w:t xml:space="preserve"> </w:t>
      </w:r>
      <w:hyperlink r:id="rId21">
        <w:r>
          <w:rPr>
            <w:rFonts w:ascii="Times New Roman" w:cs="Times New Roman" w:eastAsia="Times New Roman" w:hAnsi="Times New Roman"/>
            <w:sz w:val="18"/>
            <w:szCs w:val="18"/>
            <w:u w:val="single" w:color="auto"/>
            <w:color w:val="0000EE"/>
          </w:rPr>
          <w:t>Company’s Current Report on Form 8-K filed with the Commission as of May 22, 2026 (File No. 001-42779)).</w:t>
        </w:r>
      </w:hyperlink>
    </w:p>
    <w:p>
      <w:pPr>
        <w:spacing w:after="0" w:line="1" w:lineRule="exact"/>
        <w:rPr>
          <w:rFonts w:ascii="Times New Roman" w:cs="Times New Roman" w:eastAsia="Times New Roman" w:hAnsi="Times New Roman"/>
          <w:sz w:val="18"/>
          <w:szCs w:val="18"/>
          <w:u w:val="single" w:color="auto"/>
          <w:color w:val="0000EE"/>
        </w:rPr>
      </w:pPr>
    </w:p>
    <w:p>
      <w:pPr>
        <w:ind w:left="280"/>
        <w:spacing w:after="0"/>
        <w:tabs>
          <w:tab w:leader="none" w:pos="1000" w:val="left"/>
        </w:tabs>
        <w:rPr>
          <w:sz w:val="20"/>
          <w:szCs w:val="20"/>
          <w:color w:val="auto"/>
        </w:rPr>
      </w:pPr>
      <w:r>
        <w:rPr>
          <w:rFonts w:ascii="Times New Roman" w:cs="Times New Roman" w:eastAsia="Times New Roman" w:hAnsi="Times New Roman"/>
          <w:sz w:val="18"/>
          <w:szCs w:val="18"/>
          <w:u w:val="single" w:color="auto"/>
          <w:color w:val="0000EE"/>
        </w:rPr>
        <w:t>107*</w:t>
      </w:r>
      <w:r>
        <w:rPr>
          <w:sz w:val="20"/>
          <w:szCs w:val="20"/>
          <w:color w:val="auto"/>
        </w:rPr>
        <w:tab/>
      </w:r>
      <w:r>
        <w:rPr>
          <w:rFonts w:ascii="Times New Roman" w:cs="Times New Roman" w:eastAsia="Times New Roman" w:hAnsi="Times New Roman"/>
          <w:sz w:val="18"/>
          <w:szCs w:val="18"/>
          <w:u w:val="single" w:color="auto"/>
          <w:color w:val="0000EE"/>
        </w:rPr>
        <w:t>Filing Fee Table</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4445</wp:posOffset>
            </wp:positionH>
            <wp:positionV relativeFrom="paragraph">
              <wp:posOffset>173355</wp:posOffset>
            </wp:positionV>
            <wp:extent cx="1781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315"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4445</wp:posOffset>
            </wp:positionH>
            <wp:positionV relativeFrom="paragraph">
              <wp:posOffset>448310</wp:posOffset>
            </wp:positionV>
            <wp:extent cx="71335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180"/>
          </w:cols>
          <w:pgMar w:left="320" w:top="892" w:right="3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ind w:right="40" w:firstLine="641"/>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Little Rock, State of Arkansas, on May 26, 2026.</w:t>
      </w:r>
    </w:p>
    <w:p>
      <w:pPr>
        <w:spacing w:after="0" w:line="1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L. Heard</w:t>
            </w:r>
          </w:p>
        </w:tc>
      </w:tr>
      <w:tr>
        <w:trPr>
          <w:trHeight w:val="189"/>
        </w:trPr>
        <w:tc>
          <w:tcPr>
            <w:tcW w:w="6200" w:type="dxa"/>
            <w:vAlign w:val="bottom"/>
          </w:tcPr>
          <w:p>
            <w:pPr>
              <w:ind w:left="5640"/>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Daniel L. Heard</w:t>
            </w:r>
          </w:p>
        </w:tc>
      </w:tr>
      <w:tr>
        <w:trPr>
          <w:trHeight w:val="233"/>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Executive Vice President, General Counsel &amp; Secretary</w:t>
            </w:r>
          </w:p>
        </w:tc>
      </w:tr>
      <w:tr>
        <w:trPr>
          <w:trHeight w:val="667"/>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2" w:right="339" w:bottom="1440" w:gutter="0" w:footer="0" w:header="0"/>
        </w:sectPr>
      </w:pPr>
    </w:p>
    <w:bookmarkStart w:id="4" w:name="page5"/>
    <w:bookmarkEnd w:id="4"/>
    <w:p>
      <w:pPr>
        <w:ind w:right="280" w:firstLine="641"/>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348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20" w:type="dxa"/>
            <w:vAlign w:val="bottom"/>
          </w:tcPr>
          <w:p>
            <w:pPr>
              <w:spacing w:after="0"/>
              <w:rPr>
                <w:sz w:val="20"/>
                <w:szCs w:val="20"/>
                <w:color w:val="auto"/>
              </w:rPr>
            </w:pPr>
          </w:p>
        </w:tc>
        <w:tc>
          <w:tcPr>
            <w:tcW w:w="5300" w:type="dxa"/>
            <w:vAlign w:val="bottom"/>
            <w:tcBorders>
              <w:bottom w:val="single" w:sz="8" w:color="auto"/>
            </w:tcBorders>
          </w:tcPr>
          <w:p>
            <w:pPr>
              <w:ind w:left="24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00" w:type="dxa"/>
            <w:vAlign w:val="bottom"/>
          </w:tcPr>
          <w:p>
            <w:pPr>
              <w:spacing w:after="0"/>
              <w:rPr>
                <w:sz w:val="20"/>
                <w:szCs w:val="20"/>
                <w:color w:val="auto"/>
              </w:rPr>
            </w:pPr>
          </w:p>
        </w:tc>
        <w:tc>
          <w:tcPr>
            <w:tcW w:w="20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07"/>
        </w:trPr>
        <w:tc>
          <w:tcPr>
            <w:tcW w:w="2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Kenneth A. Gunderman</w:t>
            </w:r>
          </w:p>
        </w:tc>
        <w:tc>
          <w:tcPr>
            <w:tcW w:w="2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President, Chief Executive Officer and Director </w:t>
            </w:r>
            <w:r>
              <w:rPr>
                <w:rFonts w:ascii="Times New Roman" w:cs="Times New Roman" w:eastAsia="Times New Roman" w:hAnsi="Times New Roman"/>
                <w:sz w:val="18"/>
                <w:szCs w:val="18"/>
                <w:i w:val="1"/>
                <w:iCs w:val="1"/>
                <w:color w:val="auto"/>
              </w:rPr>
              <w:t>(Principal Executive</w:t>
            </w:r>
          </w:p>
        </w:tc>
        <w:tc>
          <w:tcPr>
            <w:tcW w:w="20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May 26, 2026</w:t>
            </w:r>
          </w:p>
        </w:tc>
      </w:tr>
      <w:tr>
        <w:trPr>
          <w:trHeight w:val="189"/>
        </w:trPr>
        <w:tc>
          <w:tcPr>
            <w:tcW w:w="35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Kenneth A. Gunderman</w:t>
            </w:r>
          </w:p>
        </w:tc>
        <w:tc>
          <w:tcPr>
            <w:tcW w:w="552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i w:val="1"/>
                <w:iCs w:val="1"/>
                <w:color w:val="auto"/>
              </w:rPr>
              <w:t>Officer)</w:t>
            </w:r>
          </w:p>
        </w:tc>
        <w:tc>
          <w:tcPr>
            <w:tcW w:w="20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232"/>
        </w:trPr>
        <w:tc>
          <w:tcPr>
            <w:tcW w:w="3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Paul E. Bullington</w:t>
            </w:r>
          </w:p>
        </w:tc>
        <w:tc>
          <w:tcPr>
            <w:tcW w:w="5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Senior Executive Vice President, Chief Financial Officer &amp; Treasurer</w:t>
            </w:r>
          </w:p>
        </w:tc>
        <w:tc>
          <w:tcPr>
            <w:tcW w:w="2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May 26, 2026</w:t>
            </w:r>
          </w:p>
        </w:tc>
      </w:tr>
      <w:tr>
        <w:trPr>
          <w:trHeight w:val="187"/>
        </w:trPr>
        <w:tc>
          <w:tcPr>
            <w:tcW w:w="3500" w:type="dxa"/>
            <w:vAlign w:val="bottom"/>
            <w:gridSpan w:val="2"/>
          </w:tcPr>
          <w:p>
            <w:pPr>
              <w:spacing w:after="0" w:line="187" w:lineRule="exact"/>
              <w:rPr>
                <w:sz w:val="20"/>
                <w:szCs w:val="20"/>
                <w:color w:val="auto"/>
              </w:rPr>
            </w:pPr>
            <w:r>
              <w:rPr>
                <w:rFonts w:ascii="Times New Roman" w:cs="Times New Roman" w:eastAsia="Times New Roman" w:hAnsi="Times New Roman"/>
                <w:sz w:val="18"/>
                <w:szCs w:val="18"/>
                <w:color w:val="auto"/>
              </w:rPr>
              <w:t>Paul E. Bullington</w:t>
            </w:r>
          </w:p>
        </w:tc>
        <w:tc>
          <w:tcPr>
            <w:tcW w:w="5520" w:type="dxa"/>
            <w:vAlign w:val="bottom"/>
            <w:gridSpan w:val="2"/>
          </w:tcPr>
          <w:p>
            <w:pPr>
              <w:ind w:left="220"/>
              <w:spacing w:after="0" w:line="187" w:lineRule="exact"/>
              <w:rPr>
                <w:sz w:val="20"/>
                <w:szCs w:val="20"/>
                <w:color w:val="auto"/>
              </w:rPr>
            </w:pPr>
            <w:r>
              <w:rPr>
                <w:rFonts w:ascii="Times New Roman" w:cs="Times New Roman" w:eastAsia="Times New Roman" w:hAnsi="Times New Roman"/>
                <w:sz w:val="18"/>
                <w:szCs w:val="18"/>
                <w:i w:val="1"/>
                <w:iCs w:val="1"/>
                <w:color w:val="auto"/>
              </w:rPr>
              <w:t>(Principal Financial Officer)</w:t>
            </w:r>
          </w:p>
        </w:tc>
        <w:tc>
          <w:tcPr>
            <w:tcW w:w="20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234"/>
        </w:trPr>
        <w:tc>
          <w:tcPr>
            <w:tcW w:w="3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Travis T. Black</w:t>
            </w:r>
          </w:p>
        </w:tc>
        <w:tc>
          <w:tcPr>
            <w:tcW w:w="5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9"/>
              </w:rPr>
              <w:t xml:space="preserve">Senior Vice President &amp; Chief Accounting Officer </w:t>
            </w:r>
            <w:r>
              <w:rPr>
                <w:rFonts w:ascii="Times New Roman" w:cs="Times New Roman" w:eastAsia="Times New Roman" w:hAnsi="Times New Roman"/>
                <w:sz w:val="18"/>
                <w:szCs w:val="18"/>
                <w:i w:val="1"/>
                <w:iCs w:val="1"/>
                <w:color w:val="auto"/>
                <w:w w:val="99"/>
              </w:rPr>
              <w:t>(Principal Accounting</w:t>
            </w:r>
          </w:p>
        </w:tc>
        <w:tc>
          <w:tcPr>
            <w:tcW w:w="2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May 26, 2026</w:t>
            </w:r>
          </w:p>
        </w:tc>
      </w:tr>
      <w:tr>
        <w:trPr>
          <w:trHeight w:val="189"/>
        </w:trPr>
        <w:tc>
          <w:tcPr>
            <w:tcW w:w="35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Travis T. Black</w:t>
            </w:r>
          </w:p>
        </w:tc>
        <w:tc>
          <w:tcPr>
            <w:tcW w:w="552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i w:val="1"/>
                <w:iCs w:val="1"/>
                <w:color w:val="auto"/>
              </w:rPr>
              <w:t>Officer)</w:t>
            </w:r>
          </w:p>
        </w:tc>
        <w:tc>
          <w:tcPr>
            <w:tcW w:w="20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232"/>
        </w:trPr>
        <w:tc>
          <w:tcPr>
            <w:tcW w:w="3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Francis X. Frantz*</w:t>
            </w:r>
          </w:p>
        </w:tc>
        <w:tc>
          <w:tcPr>
            <w:tcW w:w="5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Chairman and Director</w:t>
            </w:r>
          </w:p>
        </w:tc>
        <w:tc>
          <w:tcPr>
            <w:tcW w:w="2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May 26, 2026</w:t>
            </w:r>
          </w:p>
        </w:tc>
      </w:tr>
      <w:tr>
        <w:trPr>
          <w:trHeight w:val="189"/>
        </w:trPr>
        <w:tc>
          <w:tcPr>
            <w:tcW w:w="35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Francis X. Frantz</w:t>
            </w:r>
          </w:p>
        </w:tc>
        <w:tc>
          <w:tcPr>
            <w:tcW w:w="2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232"/>
        </w:trPr>
        <w:tc>
          <w:tcPr>
            <w:tcW w:w="3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Jarrett Appleby*</w:t>
            </w:r>
          </w:p>
        </w:tc>
        <w:tc>
          <w:tcPr>
            <w:tcW w:w="5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May 26, 2026</w:t>
            </w:r>
          </w:p>
        </w:tc>
      </w:tr>
      <w:tr>
        <w:trPr>
          <w:trHeight w:val="189"/>
        </w:trPr>
        <w:tc>
          <w:tcPr>
            <w:tcW w:w="35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Jarrett Appleby</w:t>
            </w:r>
          </w:p>
        </w:tc>
        <w:tc>
          <w:tcPr>
            <w:tcW w:w="2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232"/>
        </w:trPr>
        <w:tc>
          <w:tcPr>
            <w:tcW w:w="3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Scott G. Bruce*</w:t>
            </w:r>
          </w:p>
        </w:tc>
        <w:tc>
          <w:tcPr>
            <w:tcW w:w="5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May 26, 2026</w:t>
            </w:r>
          </w:p>
        </w:tc>
      </w:tr>
      <w:tr>
        <w:trPr>
          <w:trHeight w:val="189"/>
        </w:trPr>
        <w:tc>
          <w:tcPr>
            <w:tcW w:w="35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Scott G. Bruce</w:t>
            </w:r>
          </w:p>
        </w:tc>
        <w:tc>
          <w:tcPr>
            <w:tcW w:w="2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232"/>
        </w:trPr>
        <w:tc>
          <w:tcPr>
            <w:tcW w:w="3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Mary McLaughlin*</w:t>
            </w:r>
          </w:p>
        </w:tc>
        <w:tc>
          <w:tcPr>
            <w:tcW w:w="5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May 26, 2026</w:t>
            </w:r>
          </w:p>
        </w:tc>
      </w:tr>
      <w:tr>
        <w:trPr>
          <w:trHeight w:val="189"/>
        </w:trPr>
        <w:tc>
          <w:tcPr>
            <w:tcW w:w="35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Mary McLaughlin</w:t>
            </w:r>
          </w:p>
        </w:tc>
        <w:tc>
          <w:tcPr>
            <w:tcW w:w="2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232"/>
        </w:trPr>
        <w:tc>
          <w:tcPr>
            <w:tcW w:w="3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Joe Natale*</w:t>
            </w:r>
          </w:p>
        </w:tc>
        <w:tc>
          <w:tcPr>
            <w:tcW w:w="5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May 26, 2026</w:t>
            </w:r>
          </w:p>
        </w:tc>
      </w:tr>
      <w:tr>
        <w:trPr>
          <w:trHeight w:val="189"/>
        </w:trPr>
        <w:tc>
          <w:tcPr>
            <w:tcW w:w="35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Joe Natale</w:t>
            </w:r>
          </w:p>
        </w:tc>
        <w:tc>
          <w:tcPr>
            <w:tcW w:w="2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232"/>
        </w:trPr>
        <w:tc>
          <w:tcPr>
            <w:tcW w:w="3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Carmen Perez-Carlton*</w:t>
            </w:r>
          </w:p>
        </w:tc>
        <w:tc>
          <w:tcPr>
            <w:tcW w:w="5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May 26, 2026</w:t>
            </w:r>
          </w:p>
        </w:tc>
      </w:tr>
      <w:tr>
        <w:trPr>
          <w:trHeight w:val="189"/>
        </w:trPr>
        <w:tc>
          <w:tcPr>
            <w:tcW w:w="35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Carmen Perez-Carlton</w:t>
            </w:r>
          </w:p>
        </w:tc>
        <w:tc>
          <w:tcPr>
            <w:tcW w:w="2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232"/>
        </w:trPr>
        <w:tc>
          <w:tcPr>
            <w:tcW w:w="3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Johannes Weber*</w:t>
            </w:r>
          </w:p>
        </w:tc>
        <w:tc>
          <w:tcPr>
            <w:tcW w:w="5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May 26, 2026</w:t>
            </w:r>
          </w:p>
        </w:tc>
      </w:tr>
      <w:tr>
        <w:trPr>
          <w:trHeight w:val="189"/>
        </w:trPr>
        <w:tc>
          <w:tcPr>
            <w:tcW w:w="35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Johannes Weber</w:t>
            </w:r>
          </w:p>
        </w:tc>
        <w:tc>
          <w:tcPr>
            <w:tcW w:w="2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232"/>
        </w:trPr>
        <w:tc>
          <w:tcPr>
            <w:tcW w:w="3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Harold Zeitz*</w:t>
            </w:r>
          </w:p>
        </w:tc>
        <w:tc>
          <w:tcPr>
            <w:tcW w:w="5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May 26, 2026</w:t>
            </w:r>
          </w:p>
        </w:tc>
      </w:tr>
      <w:tr>
        <w:trPr>
          <w:trHeight w:val="22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Harold Zeitz</w:t>
            </w:r>
          </w:p>
        </w:tc>
        <w:tc>
          <w:tcPr>
            <w:tcW w:w="2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Daniel L.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15875</wp:posOffset>
            </wp:positionV>
            <wp:extent cx="68453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6845300" cy="8255"/>
                    </a:xfrm>
                    <a:prstGeom prst="rect">
                      <a:avLst/>
                    </a:prstGeom>
                    <a:noFill/>
                  </pic:spPr>
                </pic:pic>
              </a:graphicData>
            </a:graphic>
          </wp:anchor>
        </w:drawing>
      </w:r>
    </w:p>
    <w:p>
      <w:pPr>
        <w:spacing w:after="0" w:line="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Daniel L. Heard,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436245</wp:posOffset>
            </wp:positionV>
            <wp:extent cx="71335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OPINION OF KUTAK ROCK LLP</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26,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Group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2101 Riverfront Drive, Suite 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Little Rock, Arkansas 72202</w:t>
      </w:r>
    </w:p>
    <w:p>
      <w:pPr>
        <w:spacing w:after="0" w:line="202"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Registration on Form S-8 of Shares of Common Stock, $0.0001 Par Value Per Share, of Uniti Group Inc.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0"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7"/>
          <w:szCs w:val="17"/>
          <w:color w:val="auto"/>
        </w:rPr>
        <w:t>We have acted as counsel to Uniti Group Inc., a Delaware corporation (the “Company”), in connection with the preparation of a Registration Statement on Form S-8 (the “Registration Statement”) under the Securities Act of 1933, as amended (the “Securities Act”), for the registration of 16,750,000 shares of Common Stock, $0.0001 par value per share, of the Company (the “Shares”) issuable under the Uniti Group Inc. 2025 Equity Incentive Plan of Uniti Group Inc., as amended by an amendment (the “Amendment”) adopted by the Board of Directors of the Company on February 26, 2026 (the “Plan”).</w:t>
      </w:r>
    </w:p>
    <w:p>
      <w:pPr>
        <w:spacing w:after="0" w:line="166"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We have examined such documents, records, and matters of law as we have deemed necessary for purposes of this opinion. Based on such examination and on the assumptions set forth below, we are of the opinion that the Shares to be offered and sold have been duly authorized and, when issued and delivered in accordance with the terms and provisions of the Plan, against receipt of the consideration provided for therein, will be validly issued, fully paid, and nonassessable.</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rendering this opinion, we have (i) assumed and have not independently verified (a) the due authorization, execution and delivery of the Plan,</w:t>
      </w:r>
    </w:p>
    <w:p>
      <w:pPr>
        <w:spacing w:after="0" w:line="26" w:lineRule="exact"/>
        <w:rPr>
          <w:sz w:val="20"/>
          <w:szCs w:val="20"/>
          <w:color w:val="auto"/>
        </w:rPr>
      </w:pPr>
    </w:p>
    <w:p>
      <w:pPr>
        <w:jc w:val="both"/>
        <w:ind w:firstLine="7"/>
        <w:spacing w:after="0" w:line="248" w:lineRule="auto"/>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all signatures on all certificates and other documents examined by us are genuine, that all natural persons who affixed such signatures had the legal capacity to do so, and that, where any such signature purports to have been made in a corporate, governmental or other capacity, the person who affixed such signature to such certificate or other document had authority to do so, and (c) the authenticity of all documents submitted to us as originals and the conformity to original documents of all documents submitted to us as copies, and (ii) as to certain factual matters, relied upon certificates and statements of public officials and of the Company and its officers and have not independently checked or verified the accuracy of the factual statements contained therein. In addition, our examination of matters of law has been limited to the General Corporation Law of the State of Delaware and all applicable provisions of the Delaware Constitution and reported judicial decisions interpreting such laws and the federal laws of the United States of America and reported judicial decisions interpreting such laws, in each case as in effect on the date hereof.</w:t>
      </w:r>
    </w:p>
    <w:p>
      <w:pPr>
        <w:spacing w:after="0" w:line="194" w:lineRule="exact"/>
        <w:rPr>
          <w:sz w:val="20"/>
          <w:szCs w:val="20"/>
          <w:color w:val="auto"/>
        </w:rPr>
      </w:pPr>
    </w:p>
    <w:p>
      <w:pPr>
        <w:ind w:firstLine="641"/>
        <w:spacing w:after="0" w:line="277" w:lineRule="auto"/>
        <w:rPr>
          <w:sz w:val="20"/>
          <w:szCs w:val="20"/>
          <w:color w:val="auto"/>
        </w:rPr>
      </w:pPr>
      <w:r>
        <w:rPr>
          <w:rFonts w:ascii="Times New Roman" w:cs="Times New Roman" w:eastAsia="Times New Roman" w:hAnsi="Times New Roman"/>
          <w:sz w:val="18"/>
          <w:szCs w:val="18"/>
          <w:color w:val="auto"/>
        </w:rPr>
        <w:t>We hereby consent to the filing of this opinion as Exhibit 5.1 to the Registration Statement. In giving such consent, we do not thereby admit that we are in the category of persons whose consent is required under Section 7 of the Securities Act.</w:t>
      </w:r>
    </w:p>
    <w:p>
      <w:pPr>
        <w:spacing w:after="0" w:line="163" w:lineRule="exact"/>
        <w:rPr>
          <w:sz w:val="20"/>
          <w:szCs w:val="20"/>
          <w:color w:val="auto"/>
        </w:rPr>
      </w:pPr>
    </w:p>
    <w:p>
      <w:pPr>
        <w:ind w:firstLine="641"/>
        <w:spacing w:after="0" w:line="277" w:lineRule="auto"/>
        <w:rPr>
          <w:sz w:val="20"/>
          <w:szCs w:val="20"/>
          <w:color w:val="auto"/>
        </w:rPr>
      </w:pPr>
      <w:r>
        <w:rPr>
          <w:rFonts w:ascii="Times New Roman" w:cs="Times New Roman" w:eastAsia="Times New Roman" w:hAnsi="Times New Roman"/>
          <w:sz w:val="18"/>
          <w:szCs w:val="18"/>
          <w:color w:val="auto"/>
        </w:rPr>
        <w:t>This opinion is limited to the specific issues addressed herein, and no opinion may be inferred or implied beyond that expressly stated herein. This opinion is furnished to you in connection with the filing of the Registration Statement.</w:t>
      </w:r>
    </w:p>
    <w:p>
      <w:pPr>
        <w:spacing w:after="0" w:line="1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Sincerely,</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KUTAK ROCK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457200</wp:posOffset>
            </wp:positionV>
            <wp:extent cx="71335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4"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Uniti Group Inc. of our report dated March 2, 2026 relating to the financial statements, financial statement schedules and the effectiveness of internal control over financial reporting, which appears in Uniti Group Inc.’s Annual Report on Form 10-K for the year ended December 31,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Little Rock, Arkansas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427990</wp:posOffset>
            </wp:positionV>
            <wp:extent cx="71335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We consent to the use of our report dated February 21, 2025, except for the effects of the adjustments described in Note 2 – Reclassifications, as to which the date is March 2, 2026, with respect to the consolidated financial statements of Uniti Group Inc., incorporated herein by reference.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427990</wp:posOffset>
            </wp:positionV>
            <wp:extent cx="71335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4"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Daniel L. Heard and Paul E. Bullington and each of them, his or her true and lawful attorneys-in-fact and agents, with full power of substitution and resubstitution, for him or her and in his or her name, place and stead, in any and all capacities, to sign any and all amendments to this Registration Statement, and to file the same, with all exhibits thereto, and other documents in connection therewith, with the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their or his or her substitute or substitutes, may lawfully do or cause to be done by virtue hereof. This Power of Attorney may be signed in several counterparts.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38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0"/>
                <w:szCs w:val="20"/>
                <w:color w:val="auto"/>
              </w:rPr>
            </w:pPr>
          </w:p>
        </w:tc>
        <w:tc>
          <w:tcPr>
            <w:tcW w:w="5400" w:type="dxa"/>
            <w:vAlign w:val="bottom"/>
            <w:tcBorders>
              <w:bottom w:val="single" w:sz="8" w:color="auto"/>
            </w:tcBorders>
          </w:tcPr>
          <w:p>
            <w:pPr>
              <w:ind w:left="25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0"/>
                <w:szCs w:val="20"/>
                <w:color w:val="auto"/>
              </w:rPr>
            </w:pPr>
          </w:p>
        </w:tc>
        <w:tc>
          <w:tcPr>
            <w:tcW w:w="224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Kenneth A. Gunderman</w:t>
            </w:r>
          </w:p>
        </w:tc>
        <w:tc>
          <w:tcPr>
            <w:tcW w:w="1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President, Chief Executive Officer and Director </w:t>
            </w:r>
            <w:r>
              <w:rPr>
                <w:rFonts w:ascii="Times New Roman" w:cs="Times New Roman" w:eastAsia="Times New Roman" w:hAnsi="Times New Roman"/>
                <w:sz w:val="18"/>
                <w:szCs w:val="18"/>
                <w:i w:val="1"/>
                <w:iCs w:val="1"/>
                <w:color w:val="auto"/>
              </w:rPr>
              <w:t>(Principal Executive</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May 26, 2026</w:t>
            </w:r>
          </w:p>
        </w:tc>
      </w:tr>
      <w:tr>
        <w:trPr>
          <w:trHeight w:val="22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Kenneth A. Gunderman</w:t>
            </w:r>
          </w:p>
        </w:tc>
        <w:tc>
          <w:tcPr>
            <w:tcW w:w="12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2240" w:type="dxa"/>
            <w:vAlign w:val="bottom"/>
          </w:tcPr>
          <w:p>
            <w:pPr>
              <w:spacing w:after="0"/>
              <w:rPr>
                <w:sz w:val="19"/>
                <w:szCs w:val="19"/>
                <w:color w:val="auto"/>
              </w:rPr>
            </w:pPr>
          </w:p>
        </w:tc>
      </w:tr>
      <w:tr>
        <w:trPr>
          <w:trHeight w:val="235"/>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E. Bullington</w:t>
            </w:r>
          </w:p>
        </w:tc>
        <w:tc>
          <w:tcPr>
            <w:tcW w:w="12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Executive Vice President, Chief Financial Officer &amp; Treasurer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May 26, 2026</w:t>
            </w:r>
          </w:p>
        </w:tc>
      </w:tr>
      <w:tr>
        <w:trPr>
          <w:trHeight w:val="187"/>
        </w:trPr>
        <w:tc>
          <w:tcPr>
            <w:tcW w:w="338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Paul E. Bullington</w:t>
            </w:r>
          </w:p>
        </w:tc>
        <w:tc>
          <w:tcPr>
            <w:tcW w:w="120" w:type="dxa"/>
            <w:vAlign w:val="bottom"/>
          </w:tcPr>
          <w:p>
            <w:pPr>
              <w:spacing w:after="0"/>
              <w:rPr>
                <w:sz w:val="16"/>
                <w:szCs w:val="16"/>
                <w:color w:val="auto"/>
              </w:rPr>
            </w:pPr>
          </w:p>
        </w:tc>
        <w:tc>
          <w:tcPr>
            <w:tcW w:w="5500" w:type="dxa"/>
            <w:vAlign w:val="bottom"/>
            <w:gridSpan w:val="2"/>
          </w:tcPr>
          <w:p>
            <w:pPr>
              <w:spacing w:after="0" w:line="187" w:lineRule="exact"/>
              <w:rPr>
                <w:sz w:val="20"/>
                <w:szCs w:val="20"/>
                <w:color w:val="auto"/>
              </w:rPr>
            </w:pPr>
            <w:r>
              <w:rPr>
                <w:rFonts w:ascii="Times New Roman" w:cs="Times New Roman" w:eastAsia="Times New Roman" w:hAnsi="Times New Roman"/>
                <w:sz w:val="18"/>
                <w:szCs w:val="18"/>
                <w:i w:val="1"/>
                <w:iCs w:val="1"/>
                <w:color w:val="auto"/>
              </w:rPr>
              <w:t>(Principal Financial Officer)</w:t>
            </w:r>
          </w:p>
        </w:tc>
        <w:tc>
          <w:tcPr>
            <w:tcW w:w="2240" w:type="dxa"/>
            <w:vAlign w:val="bottom"/>
          </w:tcPr>
          <w:p>
            <w:pPr>
              <w:spacing w:after="0"/>
              <w:rPr>
                <w:sz w:val="16"/>
                <w:szCs w:val="16"/>
                <w:color w:val="auto"/>
              </w:rPr>
            </w:pPr>
          </w:p>
        </w:tc>
      </w:tr>
      <w:tr>
        <w:trPr>
          <w:trHeight w:val="23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Travis T. Black</w:t>
            </w:r>
          </w:p>
        </w:tc>
        <w:tc>
          <w:tcPr>
            <w:tcW w:w="12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Senior Vice President &amp; Chief Accounting Officer </w:t>
            </w:r>
            <w:r>
              <w:rPr>
                <w:rFonts w:ascii="Times New Roman" w:cs="Times New Roman" w:eastAsia="Times New Roman" w:hAnsi="Times New Roman"/>
                <w:sz w:val="18"/>
                <w:szCs w:val="18"/>
                <w:i w:val="1"/>
                <w:iCs w:val="1"/>
                <w:color w:val="auto"/>
              </w:rPr>
              <w:t>(Principal Accounting</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May 26, 2026</w:t>
            </w:r>
          </w:p>
        </w:tc>
      </w:tr>
      <w:tr>
        <w:trPr>
          <w:trHeight w:val="189"/>
        </w:trPr>
        <w:tc>
          <w:tcPr>
            <w:tcW w:w="33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Travis T. Black</w:t>
            </w:r>
          </w:p>
        </w:tc>
        <w:tc>
          <w:tcPr>
            <w:tcW w:w="120" w:type="dxa"/>
            <w:vAlign w:val="bottom"/>
          </w:tcPr>
          <w:p>
            <w:pPr>
              <w:spacing w:after="0"/>
              <w:rPr>
                <w:sz w:val="16"/>
                <w:szCs w:val="16"/>
                <w:color w:val="auto"/>
              </w:rPr>
            </w:pPr>
          </w:p>
        </w:tc>
        <w:tc>
          <w:tcPr>
            <w:tcW w:w="55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Officer)</w:t>
            </w:r>
          </w:p>
        </w:tc>
        <w:tc>
          <w:tcPr>
            <w:tcW w:w="2240" w:type="dxa"/>
            <w:vAlign w:val="bottom"/>
          </w:tcPr>
          <w:p>
            <w:pPr>
              <w:spacing w:after="0"/>
              <w:rPr>
                <w:sz w:val="16"/>
                <w:szCs w:val="16"/>
                <w:color w:val="auto"/>
              </w:rPr>
            </w:pPr>
          </w:p>
        </w:tc>
      </w:tr>
      <w:tr>
        <w:trPr>
          <w:trHeight w:val="232"/>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Francis X. Frantz</w:t>
            </w:r>
          </w:p>
        </w:tc>
        <w:tc>
          <w:tcPr>
            <w:tcW w:w="12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and 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May 26, 2026</w:t>
            </w:r>
          </w:p>
        </w:tc>
      </w:tr>
      <w:tr>
        <w:trPr>
          <w:trHeight w:val="189"/>
        </w:trPr>
        <w:tc>
          <w:tcPr>
            <w:tcW w:w="33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Francis X. Frantz</w:t>
            </w:r>
          </w:p>
        </w:tc>
        <w:tc>
          <w:tcPr>
            <w:tcW w:w="1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232"/>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Jarrett Appleby</w:t>
            </w:r>
          </w:p>
        </w:tc>
        <w:tc>
          <w:tcPr>
            <w:tcW w:w="12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May 26, 2026</w:t>
            </w:r>
          </w:p>
        </w:tc>
      </w:tr>
      <w:tr>
        <w:trPr>
          <w:trHeight w:val="189"/>
        </w:trPr>
        <w:tc>
          <w:tcPr>
            <w:tcW w:w="33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Jarrett Appleby</w:t>
            </w:r>
          </w:p>
        </w:tc>
        <w:tc>
          <w:tcPr>
            <w:tcW w:w="1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232"/>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G. Bruce</w:t>
            </w:r>
          </w:p>
        </w:tc>
        <w:tc>
          <w:tcPr>
            <w:tcW w:w="12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May 26, 2026</w:t>
            </w:r>
          </w:p>
        </w:tc>
      </w:tr>
      <w:tr>
        <w:trPr>
          <w:trHeight w:val="189"/>
        </w:trPr>
        <w:tc>
          <w:tcPr>
            <w:tcW w:w="33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Scott G. Bruce</w:t>
            </w:r>
          </w:p>
        </w:tc>
        <w:tc>
          <w:tcPr>
            <w:tcW w:w="1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232"/>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Mary McLaughlin</w:t>
            </w:r>
          </w:p>
        </w:tc>
        <w:tc>
          <w:tcPr>
            <w:tcW w:w="12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May 26, 2026</w:t>
            </w:r>
          </w:p>
        </w:tc>
      </w:tr>
      <w:tr>
        <w:trPr>
          <w:trHeight w:val="189"/>
        </w:trPr>
        <w:tc>
          <w:tcPr>
            <w:tcW w:w="33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Mary McLaughlin</w:t>
            </w:r>
          </w:p>
        </w:tc>
        <w:tc>
          <w:tcPr>
            <w:tcW w:w="1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232"/>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Joe Natale</w:t>
            </w:r>
          </w:p>
        </w:tc>
        <w:tc>
          <w:tcPr>
            <w:tcW w:w="12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May 26, 2026</w:t>
            </w:r>
          </w:p>
        </w:tc>
      </w:tr>
      <w:tr>
        <w:trPr>
          <w:trHeight w:val="189"/>
        </w:trPr>
        <w:tc>
          <w:tcPr>
            <w:tcW w:w="33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Joe Natale</w:t>
            </w:r>
          </w:p>
        </w:tc>
        <w:tc>
          <w:tcPr>
            <w:tcW w:w="1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232"/>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Carmen Perez-Carlton</w:t>
            </w:r>
          </w:p>
        </w:tc>
        <w:tc>
          <w:tcPr>
            <w:tcW w:w="12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May 26, 2026</w:t>
            </w:r>
          </w:p>
        </w:tc>
      </w:tr>
      <w:tr>
        <w:trPr>
          <w:trHeight w:val="189"/>
        </w:trPr>
        <w:tc>
          <w:tcPr>
            <w:tcW w:w="33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Carmen Perez-Carlton</w:t>
            </w:r>
          </w:p>
        </w:tc>
        <w:tc>
          <w:tcPr>
            <w:tcW w:w="1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232"/>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Johannes Weber</w:t>
            </w:r>
          </w:p>
        </w:tc>
        <w:tc>
          <w:tcPr>
            <w:tcW w:w="12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May 26, 2026</w:t>
            </w:r>
          </w:p>
        </w:tc>
      </w:tr>
      <w:tr>
        <w:trPr>
          <w:trHeight w:val="189"/>
        </w:trPr>
        <w:tc>
          <w:tcPr>
            <w:tcW w:w="33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Johannes Weber</w:t>
            </w:r>
          </w:p>
        </w:tc>
        <w:tc>
          <w:tcPr>
            <w:tcW w:w="1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232"/>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Harold Zeitz</w:t>
            </w:r>
          </w:p>
        </w:tc>
        <w:tc>
          <w:tcPr>
            <w:tcW w:w="12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May 26, 2026</w:t>
            </w:r>
          </w:p>
        </w:tc>
      </w:tr>
      <w:tr>
        <w:trPr>
          <w:trHeight w:val="22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Harold Zeitz</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649"/>
        </w:trPr>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58" w:right="339" w:bottom="1440" w:gutter="0" w:footer="0" w:header="0"/>
        </w:sectPr>
      </w:pPr>
    </w:p>
    <w:bookmarkStart w:id="9" w:name="page10"/>
    <w:bookmarkEnd w:id="9"/>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Uniti Group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3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5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4"/>
                <w:szCs w:val="24"/>
                <w:color w:val="auto"/>
              </w:rPr>
            </w:pPr>
          </w:p>
        </w:tc>
        <w:tc>
          <w:tcPr>
            <w:tcW w:w="1120" w:type="dxa"/>
            <w:vAlign w:val="bottom"/>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c>
          <w:tcPr>
            <w:tcW w:w="40" w:type="dxa"/>
            <w:vAlign w:val="bottom"/>
          </w:tcPr>
          <w:p>
            <w:pPr>
              <w:spacing w:after="0"/>
              <w:rPr>
                <w:sz w:val="24"/>
                <w:szCs w:val="24"/>
                <w:color w:val="auto"/>
              </w:rPr>
            </w:pPr>
          </w:p>
        </w:tc>
        <w:tc>
          <w:tcPr>
            <w:tcW w:w="13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5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Class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40" w:type="dxa"/>
            <w:vAlign w:val="bottom"/>
          </w:tcPr>
          <w:p>
            <w:pPr>
              <w:spacing w:after="0"/>
              <w:rPr>
                <w:sz w:val="20"/>
                <w:szCs w:val="20"/>
                <w:color w:val="auto"/>
              </w:rPr>
            </w:pPr>
          </w:p>
        </w:tc>
        <w:tc>
          <w:tcPr>
            <w:tcW w:w="112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w w:val="99"/>
              </w:rPr>
              <w:t>Registered</w:t>
            </w:r>
          </w:p>
        </w:tc>
        <w:tc>
          <w:tcPr>
            <w:tcW w:w="40" w:type="dxa"/>
            <w:vAlign w:val="bottom"/>
          </w:tcPr>
          <w:p>
            <w:pPr>
              <w:spacing w:after="0"/>
              <w:rPr>
                <w:sz w:val="20"/>
                <w:szCs w:val="20"/>
                <w:color w:val="auto"/>
              </w:rPr>
            </w:pPr>
          </w:p>
        </w:tc>
        <w:tc>
          <w:tcPr>
            <w:tcW w:w="13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15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10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4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40" w:type="dxa"/>
            <w:vAlign w:val="bottom"/>
          </w:tcPr>
          <w:p>
            <w:pPr>
              <w:spacing w:after="0"/>
              <w:rPr>
                <w:sz w:val="12"/>
                <w:szCs w:val="12"/>
                <w:color w:val="auto"/>
              </w:rPr>
            </w:pPr>
          </w:p>
        </w:tc>
        <w:tc>
          <w:tcPr>
            <w:tcW w:w="112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2"/>
                <w:szCs w:val="12"/>
                <w:color w:val="auto"/>
              </w:rPr>
            </w:pPr>
          </w:p>
        </w:tc>
        <w:tc>
          <w:tcPr>
            <w:tcW w:w="15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20" w:type="dxa"/>
            <w:vAlign w:val="bottom"/>
          </w:tcPr>
          <w:p>
            <w:pPr>
              <w:spacing w:after="0"/>
              <w:rPr>
                <w:sz w:val="12"/>
                <w:szCs w:val="12"/>
                <w:color w:val="auto"/>
              </w:rPr>
            </w:pPr>
          </w:p>
        </w:tc>
        <w:tc>
          <w:tcPr>
            <w:tcW w:w="10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20" w:type="dxa"/>
            <w:vAlign w:val="bottom"/>
          </w:tcPr>
          <w:p>
            <w:pPr>
              <w:spacing w:after="0"/>
              <w:rPr>
                <w:sz w:val="24"/>
                <w:szCs w:val="24"/>
                <w:color w:val="auto"/>
              </w:rPr>
            </w:pPr>
          </w:p>
        </w:tc>
        <w:tc>
          <w:tcPr>
            <w:tcW w:w="15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40" w:type="dxa"/>
            <w:vAlign w:val="bottom"/>
            <w:tcBorders>
              <w:left w:val="single" w:sz="8" w:color="auto"/>
            </w:tcBorders>
          </w:tcPr>
          <w:p>
            <w:pPr>
              <w:spacing w:after="0"/>
              <w:rPr>
                <w:sz w:val="10"/>
                <w:szCs w:val="1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$0.0001</w:t>
            </w:r>
          </w:p>
        </w:tc>
        <w:tc>
          <w:tcPr>
            <w:tcW w:w="20" w:type="dxa"/>
            <w:vAlign w:val="bottom"/>
          </w:tcPr>
          <w:p>
            <w:pPr>
              <w:spacing w:after="0"/>
              <w:rPr>
                <w:sz w:val="10"/>
                <w:szCs w:val="1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Other</w:t>
            </w:r>
          </w:p>
        </w:tc>
        <w:tc>
          <w:tcPr>
            <w:tcW w:w="40" w:type="dxa"/>
            <w:vAlign w:val="bottom"/>
          </w:tcPr>
          <w:p>
            <w:pPr>
              <w:spacing w:after="0"/>
              <w:rPr>
                <w:sz w:val="10"/>
                <w:szCs w:val="10"/>
                <w:color w:val="auto"/>
              </w:rPr>
            </w:pPr>
          </w:p>
        </w:tc>
        <w:tc>
          <w:tcPr>
            <w:tcW w:w="11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16,750,000</w:t>
            </w:r>
          </w:p>
        </w:tc>
        <w:tc>
          <w:tcPr>
            <w:tcW w:w="40" w:type="dxa"/>
            <w:vAlign w:val="bottom"/>
          </w:tcPr>
          <w:p>
            <w:pPr>
              <w:spacing w:after="0"/>
              <w:rPr>
                <w:sz w:val="10"/>
                <w:szCs w:val="10"/>
                <w:color w:val="auto"/>
              </w:rPr>
            </w:pPr>
          </w:p>
        </w:tc>
        <w:tc>
          <w:tcPr>
            <w:tcW w:w="13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$ 10.69</w:t>
            </w:r>
          </w:p>
        </w:tc>
        <w:tc>
          <w:tcPr>
            <w:tcW w:w="20" w:type="dxa"/>
            <w:vAlign w:val="bottom"/>
          </w:tcPr>
          <w:p>
            <w:pPr>
              <w:spacing w:after="0"/>
              <w:rPr>
                <w:sz w:val="10"/>
                <w:szCs w:val="10"/>
                <w:color w:val="auto"/>
              </w:rPr>
            </w:pPr>
          </w:p>
        </w:tc>
        <w:tc>
          <w:tcPr>
            <w:tcW w:w="15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10"/>
                <w:szCs w:val="10"/>
                <w:color w:val="auto"/>
              </w:rPr>
            </w:pPr>
          </w:p>
        </w:tc>
        <w:tc>
          <w:tcPr>
            <w:tcW w:w="148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$ 24,727.84</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shd w:val="clear" w:color="auto" w:fill="E7E7E2"/>
          </w:tcPr>
          <w:p>
            <w:pPr>
              <w:jc w:val="right"/>
              <w:spacing w:after="0" w:line="214" w:lineRule="exact"/>
              <w:rPr>
                <w:sz w:val="20"/>
                <w:szCs w:val="20"/>
                <w:color w:val="auto"/>
              </w:rPr>
            </w:pPr>
            <w:r>
              <w:rPr>
                <w:rFonts w:ascii="Arial" w:cs="Arial" w:eastAsia="Arial" w:hAnsi="Arial"/>
                <w:sz w:val="21"/>
                <w:szCs w:val="21"/>
                <w:color w:val="auto"/>
              </w:rPr>
              <w:t>179,057,500.00</w:t>
            </w:r>
          </w:p>
        </w:tc>
        <w:tc>
          <w:tcPr>
            <w:tcW w:w="20" w:type="dxa"/>
            <w:vAlign w:val="bottom"/>
          </w:tcPr>
          <w:p>
            <w:pPr>
              <w:spacing w:after="0"/>
              <w:rPr>
                <w:sz w:val="18"/>
                <w:szCs w:val="18"/>
                <w:color w:val="auto"/>
              </w:rPr>
            </w:pPr>
          </w:p>
        </w:tc>
        <w:tc>
          <w:tcPr>
            <w:tcW w:w="10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ind w:left="20"/>
              <w:spacing w:after="0" w:line="147"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12"/>
                <w:szCs w:val="12"/>
                <w:color w:val="auto"/>
              </w:rPr>
            </w:pPr>
          </w:p>
        </w:tc>
        <w:tc>
          <w:tcPr>
            <w:tcW w:w="118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Value</w:t>
            </w:r>
          </w:p>
        </w:tc>
        <w:tc>
          <w:tcPr>
            <w:tcW w:w="2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$ 24,727.84</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Arial" w:cs="Arial" w:eastAsia="Arial" w:hAnsi="Arial"/>
                <w:sz w:val="21"/>
                <w:szCs w:val="21"/>
                <w:color w:val="auto"/>
              </w:rPr>
              <w:t>179,057,500.00</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$ 24,727.84</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ind w:left="800" w:right="740"/>
        <w:spacing w:after="0" w:line="243" w:lineRule="auto"/>
        <w:rPr>
          <w:sz w:val="20"/>
          <w:szCs w:val="20"/>
          <w:color w:val="auto"/>
        </w:rPr>
      </w:pPr>
      <w:r>
        <w:rPr>
          <w:rFonts w:ascii="Arial" w:cs="Arial" w:eastAsia="Arial" w:hAnsi="Arial"/>
          <w:sz w:val="21"/>
          <w:szCs w:val="21"/>
          <w:color w:val="auto"/>
        </w:rPr>
        <w:t>This Registration Statement on Form S-8 (this "Registration Statement") covers 16,750,000 shares of common stock, $0.0001 par value per share ("Common Stock"), of Uniti Group Inc., a Delaware corporation (the "Company"), to be available for issuance pursuant to the Uniti Group Inc. 2025 Equity Incentive Plan. The Proposed Maximum Offering Price Per Unit is calculated solely for the purpose of determining the registration fee pursuant to Rule 457(c) and (h) under the Securities Act of 1933, as amended, based upon the average of the high and low sales prices of the shares of the registrant's Common Stock as reported on the NASDAQ Global Select Market on May 19, 2026, which date is within five business days prior to filing of this Registration Statement. The Proposed Maximum Offering Price Per Unit, Maximum Aggregate Offering Price and Amount of Registration Fee is rounded up to the nearest penny.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80010</wp:posOffset>
            </wp:positionV>
            <wp:extent cx="63874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13" Type="http://schemas.openxmlformats.org/officeDocument/2006/relationships/hyperlink" Target="https://www.sec.gov/Archives/edgar/data/2020795/000095010325009725/dp232389_s8.htm" TargetMode="External"/><Relationship Id="rId14" Type="http://schemas.openxmlformats.org/officeDocument/2006/relationships/hyperlink" Target="https://www.sec.gov/ix?doc=/Archives/edgar/data/2020795/000162828026013196/unit-20251231.htm" TargetMode="External"/><Relationship Id="rId15" Type="http://schemas.openxmlformats.org/officeDocument/2006/relationships/hyperlink" Target="https://www.sec.gov/Archives/edgar/data/2020795/000162828026013196/ex41-unitigroupincxdescrip.htm" TargetMode="External"/><Relationship Id="rId18" Type="http://schemas.openxmlformats.org/officeDocument/2006/relationships/hyperlink" Target="https://www.sec.gov/Archives/edgar/data/2020795/000095010325009718/dp232461_ex0301.htm" TargetMode="External"/><Relationship Id="rId19" Type="http://schemas.openxmlformats.org/officeDocument/2006/relationships/hyperlink" Target="https://www.sec.gov/Archives/edgar/data/2020795/000095010326005715/dp245200_ex0301.htm" TargetMode="External"/><Relationship Id="rId20" Type="http://schemas.openxmlformats.org/officeDocument/2006/relationships/hyperlink" Target="https://www.sec.gov/Archives/edgar/data/2020795/000095010325009718/dp232461_ex0302.htm" TargetMode="External"/><Relationship Id="rId21" Type="http://schemas.openxmlformats.org/officeDocument/2006/relationships/hyperlink" Target="https://www.sec.gov/Archives/edgar/data/2020795/000110465926065706/tm2615361d2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2026-05-26T16:49:53Z</dcterms:created>
  <dcterms:modified xsi:type="dcterms:W3CDTF">2026-05-26T16:49:53Z</dcterms:modified>
</cp:coreProperties>
</file>