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54"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41910</wp:posOffset>
            </wp:positionV>
            <wp:extent cx="1657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7350" cy="5715"/>
                    </a:xfrm>
                    <a:prstGeom prst="rect">
                      <a:avLst/>
                    </a:prstGeom>
                    <a:noFill/>
                  </pic:spPr>
                </pic:pic>
              </a:graphicData>
            </a:graphic>
          </wp:anchor>
        </w:drawing>
      </w:r>
    </w:p>
    <w:p>
      <w:pPr>
        <w:spacing w:after="0" w:line="69"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52705</wp:posOffset>
            </wp:positionV>
            <wp:extent cx="1657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7350" cy="5715"/>
                    </a:xfrm>
                    <a:prstGeom prst="rect">
                      <a:avLst/>
                    </a:prstGeom>
                    <a:noFill/>
                  </pic:spPr>
                </pic:pic>
              </a:graphicData>
            </a:graphic>
          </wp:anchor>
        </w:drawing>
      </w:r>
    </w:p>
    <w:p>
      <w:pPr>
        <w:spacing w:after="0" w:line="79"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568" w:hanging="568"/>
        <w:spacing w:after="0"/>
        <w:tabs>
          <w:tab w:leader="none" w:pos="568"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20"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 the fiscal year ended December 31, 2021</w:t>
      </w:r>
    </w:p>
    <w:p>
      <w:pPr>
        <w:spacing w:after="0" w:line="16"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OR</w:t>
      </w:r>
    </w:p>
    <w:p>
      <w:pPr>
        <w:spacing w:after="0" w:line="11"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0"/>
          <w:szCs w:val="10"/>
          <w:b w:val="1"/>
          <w:bCs w:val="1"/>
          <w:color w:val="auto"/>
        </w:rPr>
        <w:t>For the transition period from _____ to _____</w:t>
      </w:r>
    </w:p>
    <w:p>
      <w:pPr>
        <w:spacing w:after="0" w:line="32" w:lineRule="exact"/>
        <w:rPr>
          <w:sz w:val="24"/>
          <w:szCs w:val="24"/>
          <w:color w:val="auto"/>
        </w:rPr>
      </w:pPr>
    </w:p>
    <w:tbl>
      <w:tblPr>
        <w:tblLayout w:type="fixed"/>
        <w:tblInd w:w="8" w:type="dxa"/>
        <w:tblCellMar>
          <w:top w:w="0" w:type="dxa"/>
          <w:left w:w="0" w:type="dxa"/>
          <w:bottom w:w="0" w:type="dxa"/>
          <w:right w:w="0" w:type="dxa"/>
        </w:tblCellMar>
      </w:tblPr>
      <w:tr>
        <w:trPr>
          <w:trHeight w:val="131"/>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260" w:type="dxa"/>
            <w:vAlign w:val="bottom"/>
            <w:gridSpan w:val="5"/>
          </w:tcPr>
          <w:p>
            <w:pPr>
              <w:jc w:val="center"/>
              <w:ind w:right="640"/>
              <w:spacing w:after="0"/>
              <w:rPr>
                <w:sz w:val="20"/>
                <w:szCs w:val="20"/>
                <w:color w:val="auto"/>
              </w:rPr>
            </w:pPr>
            <w:r>
              <w:rPr>
                <w:rFonts w:ascii="Arial" w:cs="Arial" w:eastAsia="Arial" w:hAnsi="Arial"/>
                <w:sz w:val="10"/>
                <w:szCs w:val="10"/>
                <w:b w:val="1"/>
                <w:bCs w:val="1"/>
                <w:color w:val="auto"/>
                <w:w w:val="92"/>
              </w:rPr>
              <w:t>Commission File Number 001-36708</w:t>
            </w: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0" w:type="dxa"/>
            <w:vAlign w:val="bottom"/>
            <w:vMerge w:val="restart"/>
          </w:tcPr>
          <w:p>
            <w:pPr>
              <w:spacing w:after="0"/>
              <w:rPr>
                <w:sz w:val="4"/>
                <w:szCs w:val="4"/>
                <w:color w:val="auto"/>
              </w:rPr>
            </w:pPr>
          </w:p>
        </w:tc>
        <w:tc>
          <w:tcPr>
            <w:tcW w:w="1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gridSpan w:val="3"/>
          </w:tcPr>
          <w:p>
            <w:pPr>
              <w:jc w:val="center"/>
              <w:ind w:right="520"/>
              <w:spacing w:after="0" w:line="239" w:lineRule="exact"/>
              <w:rPr>
                <w:sz w:val="20"/>
                <w:szCs w:val="20"/>
                <w:color w:val="auto"/>
              </w:rPr>
            </w:pPr>
            <w:r>
              <w:rPr>
                <w:rFonts w:ascii="Arial" w:cs="Arial" w:eastAsia="Arial" w:hAnsi="Arial"/>
                <w:sz w:val="22"/>
                <w:szCs w:val="22"/>
                <w:b w:val="1"/>
                <w:bCs w:val="1"/>
                <w:color w:val="auto"/>
                <w:w w:val="93"/>
              </w:rPr>
              <w:t>Uniti Group Inc.</w:t>
            </w:r>
          </w:p>
        </w:tc>
        <w:tc>
          <w:tcPr>
            <w:tcW w:w="66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260" w:type="dxa"/>
            <w:vAlign w:val="bottom"/>
            <w:gridSpan w:val="5"/>
          </w:tcPr>
          <w:p>
            <w:pPr>
              <w:jc w:val="center"/>
              <w:ind w:right="660"/>
              <w:spacing w:after="0"/>
              <w:rPr>
                <w:sz w:val="20"/>
                <w:szCs w:val="20"/>
                <w:color w:val="auto"/>
              </w:rPr>
            </w:pPr>
            <w:r>
              <w:rPr>
                <w:rFonts w:ascii="Arial" w:cs="Arial" w:eastAsia="Arial" w:hAnsi="Arial"/>
                <w:sz w:val="10"/>
                <w:szCs w:val="10"/>
                <w:b w:val="1"/>
                <w:bCs w:val="1"/>
                <w:color w:val="auto"/>
                <w:w w:val="92"/>
              </w:rPr>
              <w:t>(Exact name of Registrant as specified in its Charter)</w:t>
            </w: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80" w:type="dxa"/>
            <w:vAlign w:val="bottom"/>
            <w:gridSpan w:val="2"/>
          </w:tcPr>
          <w:p>
            <w:pPr>
              <w:jc w:val="center"/>
              <w:ind w:right="1389"/>
              <w:spacing w:after="0" w:line="110" w:lineRule="exact"/>
              <w:rPr>
                <w:sz w:val="20"/>
                <w:szCs w:val="20"/>
                <w:color w:val="auto"/>
              </w:rPr>
            </w:pPr>
            <w:r>
              <w:rPr>
                <w:rFonts w:ascii="Arial" w:cs="Arial" w:eastAsia="Arial" w:hAnsi="Arial"/>
                <w:sz w:val="10"/>
                <w:szCs w:val="10"/>
                <w:b w:val="1"/>
                <w:bCs w:val="1"/>
                <w:color w:val="auto"/>
              </w:rPr>
              <w:t>Maryland</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jc w:val="right"/>
              <w:ind w:right="171"/>
              <w:spacing w:after="0" w:line="110" w:lineRule="exact"/>
              <w:rPr>
                <w:sz w:val="20"/>
                <w:szCs w:val="20"/>
                <w:color w:val="auto"/>
              </w:rPr>
            </w:pPr>
            <w:r>
              <w:rPr>
                <w:rFonts w:ascii="Arial" w:cs="Arial" w:eastAsia="Arial" w:hAnsi="Arial"/>
                <w:sz w:val="10"/>
                <w:szCs w:val="10"/>
                <w:b w:val="1"/>
                <w:bCs w:val="1"/>
                <w:color w:val="auto"/>
              </w:rPr>
              <w:t>46-5230630</w:t>
            </w: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80" w:type="dxa"/>
            <w:vAlign w:val="bottom"/>
            <w:gridSpan w:val="2"/>
          </w:tcPr>
          <w:p>
            <w:pPr>
              <w:jc w:val="center"/>
              <w:ind w:right="1389"/>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80" w:type="dxa"/>
            <w:vAlign w:val="bottom"/>
            <w:gridSpan w:val="3"/>
          </w:tcPr>
          <w:p>
            <w:pPr>
              <w:jc w:val="center"/>
              <w:ind w:right="689"/>
              <w:spacing w:after="0" w:line="99" w:lineRule="exact"/>
              <w:rPr>
                <w:sz w:val="20"/>
                <w:szCs w:val="20"/>
                <w:color w:val="auto"/>
              </w:rPr>
            </w:pPr>
            <w:r>
              <w:rPr>
                <w:rFonts w:ascii="Arial" w:cs="Arial" w:eastAsia="Arial" w:hAnsi="Arial"/>
                <w:sz w:val="10"/>
                <w:szCs w:val="10"/>
                <w:b w:val="1"/>
                <w:bCs w:val="1"/>
                <w:color w:val="auto"/>
                <w:w w:val="91"/>
              </w:rPr>
              <w:t>(I.R.S. Employer</w:t>
            </w:r>
          </w:p>
        </w:tc>
        <w:tc>
          <w:tcPr>
            <w:tcW w:w="0" w:type="dxa"/>
            <w:vAlign w:val="bottom"/>
          </w:tcPr>
          <w:p>
            <w:pPr>
              <w:spacing w:after="0"/>
              <w:rPr>
                <w:sz w:val="1"/>
                <w:szCs w:val="1"/>
                <w:color w:val="auto"/>
              </w:rPr>
            </w:pPr>
          </w:p>
        </w:tc>
      </w:tr>
      <w:tr>
        <w:trPr>
          <w:trHeight w:val="103"/>
        </w:trPr>
        <w:tc>
          <w:tcPr>
            <w:tcW w:w="1500" w:type="dxa"/>
            <w:vAlign w:val="bottom"/>
          </w:tcPr>
          <w:p>
            <w:pPr>
              <w:spacing w:after="0"/>
              <w:rPr>
                <w:sz w:val="8"/>
                <w:szCs w:val="8"/>
                <w:color w:val="auto"/>
              </w:rPr>
            </w:pPr>
          </w:p>
        </w:tc>
        <w:tc>
          <w:tcPr>
            <w:tcW w:w="3380" w:type="dxa"/>
            <w:vAlign w:val="bottom"/>
            <w:gridSpan w:val="3"/>
          </w:tcPr>
          <w:p>
            <w:pPr>
              <w:jc w:val="center"/>
              <w:ind w:right="689"/>
              <w:spacing w:after="0" w:line="103" w:lineRule="exact"/>
              <w:rPr>
                <w:sz w:val="20"/>
                <w:szCs w:val="20"/>
                <w:color w:val="auto"/>
              </w:rPr>
            </w:pPr>
            <w:r>
              <w:rPr>
                <w:rFonts w:ascii="Arial" w:cs="Arial" w:eastAsia="Arial" w:hAnsi="Arial"/>
                <w:sz w:val="10"/>
                <w:szCs w:val="10"/>
                <w:b w:val="1"/>
                <w:bCs w:val="1"/>
                <w:color w:val="auto"/>
                <w:w w:val="86"/>
              </w:rPr>
              <w:t>incorporation or organization)</w:t>
            </w: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80" w:type="dxa"/>
            <w:vAlign w:val="bottom"/>
            <w:gridSpan w:val="3"/>
          </w:tcPr>
          <w:p>
            <w:pPr>
              <w:jc w:val="center"/>
              <w:ind w:right="689"/>
              <w:spacing w:after="0" w:line="103" w:lineRule="exact"/>
              <w:rPr>
                <w:sz w:val="20"/>
                <w:szCs w:val="20"/>
                <w:color w:val="auto"/>
              </w:rPr>
            </w:pPr>
            <w:r>
              <w:rPr>
                <w:rFonts w:ascii="Arial" w:cs="Arial" w:eastAsia="Arial" w:hAnsi="Arial"/>
                <w:sz w:val="10"/>
                <w:szCs w:val="10"/>
                <w:b w:val="1"/>
                <w:bCs w:val="1"/>
                <w:color w:val="auto"/>
                <w:w w:val="87"/>
              </w:rPr>
              <w:t>Identification No.)</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80" w:type="dxa"/>
            <w:vAlign w:val="bottom"/>
            <w:gridSpan w:val="2"/>
          </w:tcPr>
          <w:p>
            <w:pPr>
              <w:jc w:val="center"/>
              <w:ind w:right="1389"/>
              <w:spacing w:after="0" w:line="108" w:lineRule="exact"/>
              <w:rPr>
                <w:sz w:val="20"/>
                <w:szCs w:val="20"/>
                <w:color w:val="auto"/>
              </w:rPr>
            </w:pPr>
            <w:r>
              <w:rPr>
                <w:rFonts w:ascii="Arial" w:cs="Arial" w:eastAsia="Arial" w:hAnsi="Arial"/>
                <w:sz w:val="10"/>
                <w:szCs w:val="10"/>
                <w:b w:val="1"/>
                <w:bCs w:val="1"/>
                <w:color w:val="auto"/>
                <w:w w:val="95"/>
              </w:rPr>
              <w:t>2101 Riverfront Drive</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80" w:type="dxa"/>
            <w:vAlign w:val="bottom"/>
            <w:gridSpan w:val="2"/>
          </w:tcPr>
          <w:p>
            <w:pPr>
              <w:jc w:val="center"/>
              <w:ind w:right="1389"/>
              <w:spacing w:after="0" w:line="108" w:lineRule="exact"/>
              <w:rPr>
                <w:sz w:val="20"/>
                <w:szCs w:val="20"/>
                <w:color w:val="auto"/>
              </w:rPr>
            </w:pPr>
            <w:r>
              <w:rPr>
                <w:rFonts w:ascii="Arial" w:cs="Arial" w:eastAsia="Arial" w:hAnsi="Arial"/>
                <w:sz w:val="10"/>
                <w:szCs w:val="10"/>
                <w:b w:val="1"/>
                <w:bCs w:val="1"/>
                <w:color w:val="auto"/>
                <w:w w:val="92"/>
              </w:rPr>
              <w:t>Suite A</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80" w:type="dxa"/>
            <w:vAlign w:val="bottom"/>
            <w:gridSpan w:val="2"/>
          </w:tcPr>
          <w:p>
            <w:pPr>
              <w:jc w:val="center"/>
              <w:ind w:right="1389"/>
              <w:spacing w:after="0" w:line="104" w:lineRule="exact"/>
              <w:rPr>
                <w:sz w:val="20"/>
                <w:szCs w:val="20"/>
                <w:color w:val="auto"/>
              </w:rPr>
            </w:pPr>
            <w:r>
              <w:rPr>
                <w:rFonts w:ascii="Arial" w:cs="Arial" w:eastAsia="Arial" w:hAnsi="Arial"/>
                <w:sz w:val="10"/>
                <w:szCs w:val="10"/>
                <w:b w:val="1"/>
                <w:bCs w:val="1"/>
                <w:color w:val="auto"/>
                <w:w w:val="94"/>
              </w:rPr>
              <w:t>Little Rock, Arkansas</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jc w:val="right"/>
              <w:ind w:right="291"/>
              <w:spacing w:after="0" w:line="104" w:lineRule="exact"/>
              <w:rPr>
                <w:sz w:val="20"/>
                <w:szCs w:val="20"/>
                <w:color w:val="auto"/>
              </w:rPr>
            </w:pPr>
            <w:r>
              <w:rPr>
                <w:rFonts w:ascii="Arial" w:cs="Arial" w:eastAsia="Arial" w:hAnsi="Arial"/>
                <w:sz w:val="10"/>
                <w:szCs w:val="10"/>
                <w:b w:val="1"/>
                <w:bCs w:val="1"/>
                <w:color w:val="auto"/>
              </w:rPr>
              <w:t>72202</w:t>
            </w: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500" w:type="dxa"/>
            <w:vAlign w:val="bottom"/>
          </w:tcPr>
          <w:p>
            <w:pPr>
              <w:spacing w:after="0"/>
              <w:rPr>
                <w:sz w:val="10"/>
                <w:szCs w:val="10"/>
                <w:color w:val="auto"/>
              </w:rPr>
            </w:pPr>
          </w:p>
        </w:tc>
        <w:tc>
          <w:tcPr>
            <w:tcW w:w="3380" w:type="dxa"/>
            <w:vAlign w:val="bottom"/>
            <w:gridSpan w:val="3"/>
          </w:tcPr>
          <w:p>
            <w:pPr>
              <w:jc w:val="center"/>
              <w:ind w:right="689"/>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gridSpan w:val="3"/>
          </w:tcPr>
          <w:p>
            <w:pPr>
              <w:jc w:val="center"/>
              <w:ind w:right="689"/>
              <w:spacing w:after="0"/>
              <w:rPr>
                <w:sz w:val="20"/>
                <w:szCs w:val="20"/>
                <w:color w:val="auto"/>
              </w:rPr>
            </w:pPr>
            <w:r>
              <w:rPr>
                <w:rFonts w:ascii="Arial" w:cs="Arial" w:eastAsia="Arial" w:hAnsi="Arial"/>
                <w:sz w:val="10"/>
                <w:szCs w:val="10"/>
                <w:b w:val="1"/>
                <w:bCs w:val="1"/>
                <w:color w:val="auto"/>
                <w:w w:val="92"/>
              </w:rPr>
              <w:t>(Zip Code)</w:t>
            </w: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0" w:type="dxa"/>
            <w:vAlign w:val="bottom"/>
            <w:gridSpan w:val="6"/>
          </w:tcPr>
          <w:p>
            <w:pPr>
              <w:jc w:val="center"/>
              <w:ind w:left="1429"/>
              <w:spacing w:after="0"/>
              <w:rPr>
                <w:sz w:val="20"/>
                <w:szCs w:val="20"/>
                <w:color w:val="auto"/>
              </w:rPr>
            </w:pPr>
            <w:r>
              <w:rPr>
                <w:rFonts w:ascii="Arial" w:cs="Arial" w:eastAsia="Arial" w:hAnsi="Arial"/>
                <w:sz w:val="10"/>
                <w:szCs w:val="10"/>
                <w:b w:val="1"/>
                <w:bCs w:val="1"/>
                <w:color w:val="auto"/>
                <w:w w:val="90"/>
              </w:rPr>
              <w:t>Registrant’s telephone number, including area code: (501) 850-0820</w:t>
            </w: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4880" w:type="dxa"/>
            <w:vAlign w:val="bottom"/>
            <w:gridSpan w:val="4"/>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80" w:type="dxa"/>
            <w:vAlign w:val="bottom"/>
            <w:gridSpan w:val="3"/>
          </w:tcPr>
          <w:p>
            <w:pPr>
              <w:ind w:left="1260"/>
              <w:spacing w:after="0" w:line="102" w:lineRule="exact"/>
              <w:rPr>
                <w:sz w:val="20"/>
                <w:szCs w:val="20"/>
                <w:color w:val="auto"/>
              </w:rPr>
            </w:pPr>
            <w:r>
              <w:rPr>
                <w:rFonts w:ascii="Arial" w:cs="Arial" w:eastAsia="Arial" w:hAnsi="Arial"/>
                <w:sz w:val="10"/>
                <w:szCs w:val="10"/>
                <w:color w:val="auto"/>
              </w:rPr>
              <w:t>Name of each exchange</w:t>
            </w: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3380" w:type="dxa"/>
            <w:vAlign w:val="bottom"/>
            <w:gridSpan w:val="3"/>
          </w:tcPr>
          <w:p>
            <w:pPr>
              <w:jc w:val="center"/>
              <w:ind w:right="2629"/>
              <w:spacing w:after="0" w:line="103" w:lineRule="exact"/>
              <w:rPr>
                <w:sz w:val="20"/>
                <w:szCs w:val="20"/>
                <w:color w:val="auto"/>
              </w:rPr>
            </w:pPr>
            <w:r>
              <w:rPr>
                <w:rFonts w:ascii="Arial" w:cs="Arial" w:eastAsia="Arial" w:hAnsi="Arial"/>
                <w:sz w:val="10"/>
                <w:szCs w:val="10"/>
                <w:color w:val="auto"/>
                <w:w w:val="87"/>
              </w:rPr>
              <w:t>Title of each class</w:t>
            </w:r>
          </w:p>
        </w:tc>
        <w:tc>
          <w:tcPr>
            <w:tcW w:w="400" w:type="dxa"/>
            <w:vAlign w:val="bottom"/>
          </w:tcPr>
          <w:p>
            <w:pPr>
              <w:spacing w:after="0"/>
              <w:rPr>
                <w:sz w:val="8"/>
                <w:szCs w:val="8"/>
                <w:color w:val="auto"/>
              </w:rPr>
            </w:pPr>
          </w:p>
        </w:tc>
        <w:tc>
          <w:tcPr>
            <w:tcW w:w="2320" w:type="dxa"/>
            <w:vAlign w:val="bottom"/>
            <w:gridSpan w:val="3"/>
          </w:tcPr>
          <w:p>
            <w:pPr>
              <w:jc w:val="center"/>
              <w:ind w:right="1760"/>
              <w:spacing w:after="0" w:line="103" w:lineRule="exact"/>
              <w:rPr>
                <w:sz w:val="20"/>
                <w:szCs w:val="20"/>
                <w:color w:val="auto"/>
              </w:rPr>
            </w:pPr>
            <w:r>
              <w:rPr>
                <w:rFonts w:ascii="Arial" w:cs="Arial" w:eastAsia="Arial" w:hAnsi="Arial"/>
                <w:sz w:val="10"/>
                <w:szCs w:val="10"/>
                <w:color w:val="auto"/>
                <w:w w:val="79"/>
              </w:rPr>
              <w:t>Trading Symbol</w:t>
            </w:r>
          </w:p>
        </w:tc>
        <w:tc>
          <w:tcPr>
            <w:tcW w:w="1340" w:type="dxa"/>
            <w:vAlign w:val="bottom"/>
          </w:tcPr>
          <w:p>
            <w:pPr>
              <w:spacing w:after="0"/>
              <w:rPr>
                <w:sz w:val="8"/>
                <w:szCs w:val="8"/>
                <w:color w:val="auto"/>
              </w:rPr>
            </w:pPr>
          </w:p>
        </w:tc>
        <w:tc>
          <w:tcPr>
            <w:tcW w:w="1140" w:type="dxa"/>
            <w:vAlign w:val="bottom"/>
            <w:gridSpan w:val="2"/>
          </w:tcPr>
          <w:p>
            <w:pPr>
              <w:jc w:val="right"/>
              <w:ind w:right="329"/>
              <w:spacing w:after="0" w:line="103" w:lineRule="exact"/>
              <w:rPr>
                <w:sz w:val="20"/>
                <w:szCs w:val="20"/>
                <w:color w:val="auto"/>
              </w:rPr>
            </w:pPr>
            <w:r>
              <w:rPr>
                <w:rFonts w:ascii="Arial" w:cs="Arial" w:eastAsia="Arial" w:hAnsi="Arial"/>
                <w:sz w:val="10"/>
                <w:szCs w:val="10"/>
                <w:color w:val="auto"/>
                <w:w w:val="85"/>
              </w:rPr>
              <w:t>on which registered</w:t>
            </w:r>
          </w:p>
        </w:tc>
        <w:tc>
          <w:tcPr>
            <w:tcW w:w="0" w:type="dxa"/>
            <w:vAlign w:val="bottom"/>
          </w:tcPr>
          <w:p>
            <w:pPr>
              <w:spacing w:after="0"/>
              <w:rPr>
                <w:sz w:val="1"/>
                <w:szCs w:val="1"/>
                <w:color w:val="auto"/>
              </w:rPr>
            </w:pPr>
          </w:p>
        </w:tc>
      </w:tr>
      <w:tr>
        <w:trPr>
          <w:trHeight w:val="20"/>
        </w:trPr>
        <w:tc>
          <w:tcPr>
            <w:tcW w:w="1500" w:type="dxa"/>
            <w:vAlign w:val="bottom"/>
            <w:vMerge w:val="restart"/>
          </w:tcPr>
          <w:p>
            <w:pPr>
              <w:ind w:left="1140"/>
              <w:spacing w:after="0"/>
              <w:rPr>
                <w:sz w:val="20"/>
                <w:szCs w:val="20"/>
                <w:color w:val="auto"/>
              </w:rPr>
            </w:pPr>
            <w:r>
              <w:rPr>
                <w:rFonts w:ascii="Arial" w:cs="Arial" w:eastAsia="Arial" w:hAnsi="Arial"/>
                <w:sz w:val="10"/>
                <w:szCs w:val="10"/>
                <w:color w:val="auto"/>
                <w:w w:val="83"/>
              </w:rPr>
              <w:t>Common</w:t>
            </w:r>
          </w:p>
        </w:tc>
        <w:tc>
          <w:tcPr>
            <w:tcW w:w="700" w:type="dxa"/>
            <w:vAlign w:val="bottom"/>
            <w:shd w:val="clear" w:color="auto" w:fill="000000"/>
          </w:tcPr>
          <w:p>
            <w:pPr>
              <w:spacing w:after="0" w:line="20" w:lineRule="exact"/>
              <w:rPr>
                <w:sz w:val="1"/>
                <w:szCs w:val="1"/>
                <w:color w:val="auto"/>
              </w:rPr>
            </w:pPr>
          </w:p>
        </w:tc>
        <w:tc>
          <w:tcPr>
            <w:tcW w:w="2680" w:type="dxa"/>
            <w:vAlign w:val="bottom"/>
            <w:gridSpan w:val="2"/>
            <w:vMerge w:val="restart"/>
          </w:tcPr>
          <w:p>
            <w:pPr>
              <w:spacing w:after="0"/>
              <w:rPr>
                <w:sz w:val="20"/>
                <w:szCs w:val="20"/>
                <w:color w:val="auto"/>
              </w:rPr>
            </w:pPr>
            <w:r>
              <w:rPr>
                <w:rFonts w:ascii="Arial" w:cs="Arial" w:eastAsia="Arial" w:hAnsi="Arial"/>
                <w:sz w:val="10"/>
                <w:szCs w:val="10"/>
                <w:color w:val="auto"/>
              </w:rPr>
              <w:t>Par Value</w:t>
            </w:r>
          </w:p>
        </w:tc>
        <w:tc>
          <w:tcPr>
            <w:tcW w:w="4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60" w:type="dxa"/>
            <w:vAlign w:val="bottom"/>
            <w:gridSpan w:val="2"/>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ind w:left="80"/>
              <w:spacing w:after="0"/>
              <w:rPr>
                <w:sz w:val="20"/>
                <w:szCs w:val="20"/>
                <w:color w:val="auto"/>
              </w:rPr>
            </w:pPr>
            <w:r>
              <w:rPr>
                <w:rFonts w:ascii="Arial" w:cs="Arial" w:eastAsia="Arial" w:hAnsi="Arial"/>
                <w:sz w:val="10"/>
                <w:szCs w:val="10"/>
                <w:color w:val="auto"/>
                <w:w w:val="91"/>
              </w:rPr>
              <w:t>Market</w:t>
            </w:r>
          </w:p>
        </w:tc>
        <w:tc>
          <w:tcPr>
            <w:tcW w:w="0" w:type="dxa"/>
            <w:vAlign w:val="bottom"/>
          </w:tcPr>
          <w:p>
            <w:pPr>
              <w:spacing w:after="0" w:line="20" w:lineRule="exact"/>
              <w:rPr>
                <w:sz w:val="1"/>
                <w:szCs w:val="1"/>
                <w:color w:val="auto"/>
              </w:rPr>
            </w:pPr>
          </w:p>
        </w:tc>
      </w:tr>
      <w:tr>
        <w:trPr>
          <w:trHeight w:val="113"/>
        </w:trPr>
        <w:tc>
          <w:tcPr>
            <w:tcW w:w="1500" w:type="dxa"/>
            <w:vAlign w:val="bottom"/>
            <w:vMerge w:val="continue"/>
          </w:tcPr>
          <w:p>
            <w:pPr>
              <w:spacing w:after="0"/>
              <w:rPr>
                <w:sz w:val="9"/>
                <w:szCs w:val="9"/>
                <w:color w:val="auto"/>
              </w:rPr>
            </w:pPr>
          </w:p>
        </w:tc>
        <w:tc>
          <w:tcPr>
            <w:tcW w:w="700" w:type="dxa"/>
            <w:vAlign w:val="bottom"/>
          </w:tcPr>
          <w:p>
            <w:pPr>
              <w:jc w:val="center"/>
              <w:spacing w:after="0" w:line="114" w:lineRule="exact"/>
              <w:rPr>
                <w:sz w:val="20"/>
                <w:szCs w:val="20"/>
                <w:color w:val="auto"/>
              </w:rPr>
            </w:pPr>
            <w:r>
              <w:rPr>
                <w:rFonts w:ascii="Arial" w:cs="Arial" w:eastAsia="Arial" w:hAnsi="Arial"/>
                <w:sz w:val="10"/>
                <w:szCs w:val="10"/>
                <w:color w:val="auto"/>
                <w:w w:val="92"/>
              </w:rPr>
              <w:t>Stock, $0.0001</w:t>
            </w:r>
          </w:p>
        </w:tc>
        <w:tc>
          <w:tcPr>
            <w:tcW w:w="26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jc w:val="center"/>
              <w:ind w:right="10"/>
              <w:spacing w:after="0" w:line="114" w:lineRule="exact"/>
              <w:rPr>
                <w:sz w:val="20"/>
                <w:szCs w:val="20"/>
                <w:color w:val="auto"/>
              </w:rPr>
            </w:pPr>
            <w:r>
              <w:rPr>
                <w:rFonts w:ascii="Arial" w:cs="Arial" w:eastAsia="Arial" w:hAnsi="Arial"/>
                <w:sz w:val="10"/>
                <w:szCs w:val="10"/>
                <w:color w:val="auto"/>
              </w:rPr>
              <w:t>UNIT</w:t>
            </w:r>
          </w:p>
        </w:tc>
        <w:tc>
          <w:tcPr>
            <w:tcW w:w="1760" w:type="dxa"/>
            <w:vAlign w:val="bottom"/>
            <w:gridSpan w:val="2"/>
            <w:vMerge w:val="continue"/>
          </w:tcPr>
          <w:p>
            <w:pPr>
              <w:spacing w:after="0"/>
              <w:rPr>
                <w:sz w:val="9"/>
                <w:szCs w:val="9"/>
                <w:color w:val="auto"/>
              </w:rPr>
            </w:pPr>
          </w:p>
        </w:tc>
        <w:tc>
          <w:tcPr>
            <w:tcW w:w="210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The NASDAQ Global Select</w:t>
            </w: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880" w:type="dxa"/>
            <w:vAlign w:val="bottom"/>
            <w:gridSpan w:val="4"/>
          </w:tcPr>
          <w:p>
            <w:pPr>
              <w:spacing w:after="0"/>
              <w:rPr>
                <w:sz w:val="20"/>
                <w:szCs w:val="20"/>
                <w:color w:val="auto"/>
              </w:rPr>
            </w:pPr>
            <w:r>
              <w:rPr>
                <w:rFonts w:ascii="Arial" w:cs="Arial" w:eastAsia="Arial" w:hAnsi="Arial"/>
                <w:sz w:val="10"/>
                <w:szCs w:val="10"/>
                <w:color w:val="auto"/>
              </w:rPr>
              <w:t xml:space="preserve">Securities registered pursuant to Section 12(g) of the Act: </w:t>
            </w:r>
            <w:r>
              <w:rPr>
                <w:rFonts w:ascii="Arial" w:cs="Arial" w:eastAsia="Arial" w:hAnsi="Arial"/>
                <w:sz w:val="10"/>
                <w:szCs w:val="10"/>
                <w:b w:val="1"/>
                <w:bCs w:val="1"/>
                <w:color w:val="auto"/>
              </w:rPr>
              <w:t>None</w:t>
            </w:r>
          </w:p>
        </w:tc>
        <w:tc>
          <w:tcPr>
            <w:tcW w:w="400" w:type="dxa"/>
            <w:vAlign w:val="bottom"/>
            <w:vMerge w:val="restart"/>
          </w:tcPr>
          <w:p>
            <w:pPr>
              <w:ind w:left="40"/>
              <w:spacing w:after="0" w:line="115" w:lineRule="exact"/>
              <w:rPr>
                <w:sz w:val="20"/>
                <w:szCs w:val="20"/>
                <w:color w:val="auto"/>
              </w:rPr>
            </w:pPr>
            <w:r>
              <w:rPr>
                <w:rFonts w:ascii="Arial" w:cs="Arial" w:eastAsia="Arial" w:hAnsi="Arial"/>
                <w:sz w:val="10"/>
                <w:szCs w:val="10"/>
                <w:color w:val="auto"/>
                <w:w w:val="97"/>
              </w:rPr>
              <w:t xml:space="preserve">YES </w:t>
            </w:r>
            <w:r>
              <w:rPr>
                <w:rFonts w:ascii="MS PGothic" w:cs="MS PGothic" w:eastAsia="MS PGothic" w:hAnsi="MS PGothic"/>
                <w:sz w:val="10"/>
                <w:szCs w:val="10"/>
                <w:color w:val="auto"/>
                <w:w w:val="97"/>
              </w:rPr>
              <w:t>☒</w:t>
            </w:r>
          </w:p>
        </w:tc>
        <w:tc>
          <w:tcPr>
            <w:tcW w:w="2320" w:type="dxa"/>
            <w:vAlign w:val="bottom"/>
            <w:gridSpan w:val="3"/>
            <w:vMerge w:val="restart"/>
          </w:tcPr>
          <w:p>
            <w:pPr>
              <w:ind w:left="4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880" w:type="dxa"/>
            <w:vAlign w:val="bottom"/>
            <w:gridSpan w:val="4"/>
          </w:tcPr>
          <w:p>
            <w:pPr>
              <w:spacing w:after="0"/>
              <w:rPr>
                <w:sz w:val="20"/>
                <w:szCs w:val="20"/>
                <w:color w:val="auto"/>
              </w:rPr>
            </w:pPr>
            <w:r>
              <w:rPr>
                <w:rFonts w:ascii="Arial" w:cs="Arial" w:eastAsia="Arial" w:hAnsi="Arial"/>
                <w:sz w:val="10"/>
                <w:szCs w:val="10"/>
                <w:color w:val="auto"/>
                <w:w w:val="93"/>
              </w:rPr>
              <w:t>Indicate by check mark if the Registrant is a well-known seasoned issuer, as defined in Rule 405 of the Securities Act.</w:t>
            </w:r>
          </w:p>
        </w:tc>
        <w:tc>
          <w:tcPr>
            <w:tcW w:w="400" w:type="dxa"/>
            <w:vAlign w:val="bottom"/>
            <w:vMerge w:val="continue"/>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80" w:type="dxa"/>
            <w:vAlign w:val="bottom"/>
            <w:gridSpan w:val="4"/>
          </w:tcPr>
          <w:p>
            <w:pPr>
              <w:spacing w:after="0"/>
              <w:rPr>
                <w:sz w:val="20"/>
                <w:szCs w:val="20"/>
                <w:color w:val="auto"/>
              </w:rPr>
            </w:pPr>
            <w:r>
              <w:rPr>
                <w:rFonts w:ascii="Arial" w:cs="Arial" w:eastAsia="Arial" w:hAnsi="Arial"/>
                <w:sz w:val="10"/>
                <w:szCs w:val="10"/>
                <w:color w:val="auto"/>
                <w:w w:val="94"/>
              </w:rPr>
              <w:t>Indicate by check mark if the Registrant is not required to file reports pursuant to Section 13 or 15(d) of the Act.  YES</w:t>
            </w:r>
          </w:p>
        </w:tc>
        <w:tc>
          <w:tcPr>
            <w:tcW w:w="400" w:type="dxa"/>
            <w:vAlign w:val="bottom"/>
          </w:tcPr>
          <w:p>
            <w:pPr>
              <w:ind w:left="40"/>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w:t>
            </w:r>
          </w:p>
        </w:tc>
        <w:tc>
          <w:tcPr>
            <w:tcW w:w="2320" w:type="dxa"/>
            <w:vAlign w:val="bottom"/>
            <w:gridSpan w:val="3"/>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 w:right="20"/>
        <w:spacing w:after="0" w:line="126"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4" w:lineRule="exact"/>
        <w:rPr>
          <w:sz w:val="24"/>
          <w:szCs w:val="24"/>
          <w:color w:val="auto"/>
        </w:rPr>
      </w:pPr>
    </w:p>
    <w:p>
      <w:pPr>
        <w:ind w:left="8" w:right="160"/>
        <w:spacing w:after="0" w:line="129"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3" w:lineRule="exact"/>
        <w:rPr>
          <w:sz w:val="24"/>
          <w:szCs w:val="24"/>
          <w:color w:val="auto"/>
        </w:rPr>
      </w:pPr>
    </w:p>
    <w:p>
      <w:pPr>
        <w:ind w:left="8"/>
        <w:spacing w:after="0" w:line="247"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8"/>
          </w:cols>
          <w:pgMar w:left="292" w:top="203" w:right="299" w:bottom="1440" w:gutter="0" w:footer="0" w:header="0"/>
        </w:sectPr>
      </w:pPr>
    </w:p>
    <w:p>
      <w:pPr>
        <w:ind w:left="8"/>
        <w:spacing w:after="0" w:line="115" w:lineRule="exact"/>
        <w:tabs>
          <w:tab w:leader="none" w:pos="1928" w:val="left"/>
          <w:tab w:leader="none" w:pos="8668"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9"/>
          <w:szCs w:val="9"/>
          <w:color w:val="auto"/>
        </w:rPr>
        <w:t>Accelerated filer</w:t>
      </w:r>
    </w:p>
    <w:p>
      <w:pPr>
        <w:spacing w:after="0" w:line="41" w:lineRule="exact"/>
        <w:rPr>
          <w:sz w:val="24"/>
          <w:szCs w:val="24"/>
          <w:color w:val="auto"/>
        </w:rPr>
      </w:pPr>
    </w:p>
    <w:p>
      <w:pPr>
        <w:ind w:left="8"/>
        <w:spacing w:after="0" w:line="115" w:lineRule="exact"/>
        <w:tabs>
          <w:tab w:leader="none" w:pos="1928" w:val="left"/>
          <w:tab w:leader="none" w:pos="8668" w:val="left"/>
        </w:tabs>
        <w:rPr>
          <w:sz w:val="20"/>
          <w:szCs w:val="20"/>
          <w:color w:val="auto"/>
        </w:rPr>
      </w:pPr>
      <w:r>
        <w:rPr>
          <w:rFonts w:ascii="Arial" w:cs="Arial" w:eastAsia="Arial" w:hAnsi="Arial"/>
          <w:sz w:val="10"/>
          <w:szCs w:val="10"/>
          <w:color w:val="auto"/>
        </w:rPr>
        <w:t>Non-accelerated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9"/>
          <w:szCs w:val="9"/>
          <w:color w:val="auto"/>
        </w:rPr>
        <w:t>Smaller reporting company</w:t>
      </w:r>
    </w:p>
    <w:p>
      <w:pPr>
        <w:spacing w:after="0" w:line="22" w:lineRule="exact"/>
        <w:rPr>
          <w:sz w:val="24"/>
          <w:szCs w:val="24"/>
          <w:color w:val="auto"/>
        </w:rPr>
      </w:pPr>
    </w:p>
    <w:p>
      <w:pPr>
        <w:ind w:left="8688"/>
        <w:spacing w:after="0"/>
        <w:rPr>
          <w:sz w:val="20"/>
          <w:szCs w:val="20"/>
          <w:color w:val="auto"/>
        </w:rPr>
      </w:pPr>
      <w:r>
        <w:rPr>
          <w:rFonts w:ascii="Arial" w:cs="Arial" w:eastAsia="Arial" w:hAnsi="Arial"/>
          <w:sz w:val="10"/>
          <w:szCs w:val="10"/>
          <w:color w:val="auto"/>
        </w:rPr>
        <w:t>Emerging growth company</w:t>
      </w:r>
    </w:p>
    <w:p>
      <w:pPr>
        <w:spacing w:after="0" w:line="19" w:lineRule="exact"/>
        <w:rPr>
          <w:sz w:val="24"/>
          <w:szCs w:val="24"/>
          <w:color w:val="auto"/>
        </w:rPr>
      </w:pPr>
    </w:p>
    <w:p>
      <w:pPr>
        <w:ind w:left="8"/>
        <w:spacing w:after="0" w:line="129"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has filed a report on and attestation to its management’s assessment of</w:t>
      </w:r>
    </w:p>
    <w:p>
      <w:pPr>
        <w:ind w:left="8" w:right="1660"/>
        <w:spacing w:after="0" w:line="132" w:lineRule="exact"/>
        <w:rPr>
          <w:sz w:val="20"/>
          <w:szCs w:val="20"/>
          <w:color w:val="auto"/>
        </w:rPr>
      </w:pPr>
      <w:r>
        <w:rPr>
          <w:rFonts w:ascii="Arial" w:cs="Arial" w:eastAsia="Arial" w:hAnsi="Arial"/>
          <w:sz w:val="10"/>
          <w:szCs w:val="10"/>
          <w:color w:val="auto"/>
        </w:rPr>
        <w:t xml:space="preserve">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ind w:left="8" w:right="200"/>
        <w:spacing w:after="0" w:line="275" w:lineRule="auto"/>
        <w:rPr>
          <w:sz w:val="20"/>
          <w:szCs w:val="20"/>
          <w:color w:val="auto"/>
        </w:rPr>
      </w:pPr>
      <w:r>
        <w:rPr>
          <w:rFonts w:ascii="Arial" w:cs="Arial" w:eastAsia="Arial" w:hAnsi="Arial"/>
          <w:sz w:val="10"/>
          <w:szCs w:val="10"/>
          <w:color w:val="auto"/>
        </w:rPr>
        <w:t>The aggregate market value of the voting and non-voting common equity held by non-affiliates of the Registrant, based on the closing price of the shares of common stock on The NASDAQ Global Select Market on June 30, 2021 was $1,514,665,270 The number of shares of the Registrant’s common stock outstanding as of February 18, 2022 was 236,325,229.</w:t>
      </w:r>
    </w:p>
    <w:p>
      <w:pPr>
        <w:spacing w:after="0" w:line="1" w:lineRule="exact"/>
        <w:rPr>
          <w:sz w:val="24"/>
          <w:szCs w:val="24"/>
          <w:color w:val="auto"/>
        </w:rPr>
      </w:pPr>
    </w:p>
    <w:p>
      <w:pPr>
        <w:ind w:left="4548"/>
        <w:spacing w:after="0"/>
        <w:rPr>
          <w:sz w:val="20"/>
          <w:szCs w:val="20"/>
          <w:color w:val="auto"/>
        </w:rPr>
      </w:pPr>
      <w:r>
        <w:rPr>
          <w:rFonts w:ascii="Arial" w:cs="Arial" w:eastAsia="Arial" w:hAnsi="Arial"/>
          <w:sz w:val="10"/>
          <w:szCs w:val="10"/>
          <w:color w:val="auto"/>
        </w:rPr>
        <w:t>DOCUMENTS INCORPORATED BY REFERENCE</w:t>
      </w:r>
    </w:p>
    <w:p>
      <w:pPr>
        <w:spacing w:after="0" w:line="14" w:lineRule="exact"/>
        <w:rPr>
          <w:sz w:val="24"/>
          <w:szCs w:val="24"/>
          <w:color w:val="auto"/>
        </w:rPr>
      </w:pPr>
    </w:p>
    <w:p>
      <w:pPr>
        <w:ind w:left="8"/>
        <w:spacing w:after="0"/>
        <w:rPr>
          <w:sz w:val="20"/>
          <w:szCs w:val="20"/>
          <w:color w:val="auto"/>
        </w:rPr>
      </w:pPr>
      <w:r>
        <w:rPr>
          <w:rFonts w:ascii="Arial" w:cs="Arial" w:eastAsia="Arial" w:hAnsi="Arial"/>
          <w:sz w:val="10"/>
          <w:szCs w:val="10"/>
          <w:color w:val="auto"/>
        </w:rPr>
        <w:t>Portions of the Registrant’s definitive proxy statement relating to the 2022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215265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76"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62"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ectPr>
          <w:pgSz w:w="11900" w:h="16838" w:orient="portrait"/>
          <w:cols w:equalWidth="0" w:num="2">
            <w:col w:w="10408" w:space="660"/>
            <w:col w:w="240"/>
          </w:cols>
          <w:pgMar w:left="292" w:top="20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00EE"/>
        </w:rPr>
        <w:t>Table of Contents</w:t>
      </w:r>
    </w:p>
    <w:tbl>
      <w:tblPr>
        <w:tblLayout w:type="fixed"/>
        <w:tblInd w:w="0" w:type="dxa"/>
        <w:tblCellMar>
          <w:top w:w="0" w:type="dxa"/>
          <w:left w:w="0" w:type="dxa"/>
          <w:bottom w:w="0" w:type="dxa"/>
          <w:right w:w="0" w:type="dxa"/>
        </w:tblCellMar>
      </w:tblPr>
      <w:tr>
        <w:trPr>
          <w:trHeight w:val="177"/>
        </w:trPr>
        <w:tc>
          <w:tcPr>
            <w:tcW w:w="84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20" w:type="dxa"/>
            <w:vAlign w:val="bottom"/>
            <w:gridSpan w:val="5"/>
          </w:tcPr>
          <w:p>
            <w:pPr>
              <w:ind w:left="460"/>
              <w:spacing w:after="0"/>
              <w:rPr>
                <w:sz w:val="20"/>
                <w:szCs w:val="20"/>
                <w:color w:val="auto"/>
              </w:rPr>
            </w:pPr>
            <w:r>
              <w:rPr>
                <w:rFonts w:ascii="Arial" w:cs="Arial" w:eastAsia="Arial" w:hAnsi="Arial"/>
                <w:sz w:val="12"/>
                <w:szCs w:val="12"/>
                <w:b w:val="1"/>
                <w:bCs w:val="1"/>
                <w:color w:val="auto"/>
              </w:rPr>
              <w:t>Table of Contents</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PART I</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42"/>
        </w:trPr>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w:t>
            </w:r>
          </w:p>
        </w:tc>
        <w:tc>
          <w:tcPr>
            <w:tcW w:w="260" w:type="dxa"/>
            <w:vAlign w:val="bottom"/>
          </w:tcPr>
          <w:p>
            <w:pPr>
              <w:spacing w:after="0"/>
              <w:rPr>
                <w:sz w:val="10"/>
                <w:szCs w:val="10"/>
                <w:color w:val="auto"/>
              </w:rPr>
            </w:pPr>
          </w:p>
        </w:tc>
        <w:tc>
          <w:tcPr>
            <w:tcW w:w="440" w:type="dxa"/>
            <w:vAlign w:val="bottom"/>
            <w:tcBorders>
              <w:bottom w:val="single" w:sz="8" w:color="0000EE"/>
            </w:tcBorders>
          </w:tcPr>
          <w:p>
            <w:pPr>
              <w:spacing w:after="0" w:line="126" w:lineRule="exact"/>
              <w:rPr>
                <w:rFonts w:ascii="Arial" w:cs="Arial" w:eastAsia="Arial" w:hAnsi="Arial"/>
                <w:sz w:val="12"/>
                <w:szCs w:val="12"/>
                <w:color w:val="0000EE"/>
                <w:w w:val="86"/>
              </w:rPr>
            </w:pPr>
            <w:hyperlink w:anchor="page5">
              <w:r>
                <w:rPr>
                  <w:rFonts w:ascii="Arial" w:cs="Arial" w:eastAsia="Arial" w:hAnsi="Arial"/>
                  <w:sz w:val="12"/>
                  <w:szCs w:val="12"/>
                  <w:color w:val="0000EE"/>
                  <w:w w:val="86"/>
                </w:rPr>
                <w:t>Business</w:t>
              </w:r>
            </w:hyperlink>
          </w:p>
        </w:tc>
        <w:tc>
          <w:tcPr>
            <w:tcW w:w="18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1A.</w:t>
            </w:r>
          </w:p>
        </w:tc>
        <w:tc>
          <w:tcPr>
            <w:tcW w:w="260" w:type="dxa"/>
            <w:vAlign w:val="bottom"/>
          </w:tcPr>
          <w:p>
            <w:pPr>
              <w:spacing w:after="0"/>
              <w:rPr>
                <w:sz w:val="11"/>
                <w:szCs w:val="11"/>
                <w:color w:val="auto"/>
              </w:rPr>
            </w:pPr>
          </w:p>
        </w:tc>
        <w:tc>
          <w:tcPr>
            <w:tcW w:w="620" w:type="dxa"/>
            <w:vAlign w:val="bottom"/>
            <w:tcBorders>
              <w:bottom w:val="single" w:sz="8" w:color="0000EE"/>
            </w:tcBorders>
            <w:gridSpan w:val="3"/>
          </w:tcPr>
          <w:p>
            <w:pPr>
              <w:spacing w:after="0" w:line="133" w:lineRule="exact"/>
              <w:rPr>
                <w:rFonts w:ascii="Arial" w:cs="Arial" w:eastAsia="Arial" w:hAnsi="Arial"/>
                <w:sz w:val="12"/>
                <w:szCs w:val="12"/>
                <w:color w:val="0000EE"/>
                <w:w w:val="89"/>
              </w:rPr>
            </w:pPr>
            <w:hyperlink w:anchor="page14">
              <w:r>
                <w:rPr>
                  <w:rFonts w:ascii="Arial" w:cs="Arial" w:eastAsia="Arial" w:hAnsi="Arial"/>
                  <w:sz w:val="12"/>
                  <w:szCs w:val="12"/>
                  <w:color w:val="0000EE"/>
                  <w:w w:val="89"/>
                </w:rPr>
                <w:t>Risk Factors</w:t>
              </w:r>
            </w:hyperlink>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1B.</w:t>
            </w:r>
          </w:p>
        </w:tc>
        <w:tc>
          <w:tcPr>
            <w:tcW w:w="260" w:type="dxa"/>
            <w:vAlign w:val="bottom"/>
          </w:tcPr>
          <w:p>
            <w:pPr>
              <w:spacing w:after="0"/>
              <w:rPr>
                <w:sz w:val="11"/>
                <w:szCs w:val="11"/>
                <w:color w:val="auto"/>
              </w:rPr>
            </w:pPr>
          </w:p>
        </w:tc>
        <w:tc>
          <w:tcPr>
            <w:tcW w:w="9560" w:type="dxa"/>
            <w:vAlign w:val="bottom"/>
            <w:gridSpan w:val="23"/>
          </w:tcPr>
          <w:p>
            <w:pPr>
              <w:spacing w:after="0" w:line="133" w:lineRule="exact"/>
              <w:rPr>
                <w:rFonts w:ascii="Arial" w:cs="Arial" w:eastAsia="Arial" w:hAnsi="Arial"/>
                <w:sz w:val="12"/>
                <w:szCs w:val="12"/>
                <w:color w:val="0000EE"/>
              </w:rPr>
            </w:pPr>
            <w:hyperlink w:anchor="page23">
              <w:r>
                <w:rPr>
                  <w:rFonts w:ascii="Arial" w:cs="Arial" w:eastAsia="Arial" w:hAnsi="Arial"/>
                  <w:sz w:val="12"/>
                  <w:szCs w:val="12"/>
                  <w:color w:val="0000EE"/>
                </w:rPr>
                <w:t>Unresolved Staff Comments</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2.</w:t>
            </w:r>
          </w:p>
        </w:tc>
        <w:tc>
          <w:tcPr>
            <w:tcW w:w="260" w:type="dxa"/>
            <w:vAlign w:val="bottom"/>
          </w:tcPr>
          <w:p>
            <w:pPr>
              <w:spacing w:after="0"/>
              <w:rPr>
                <w:sz w:val="11"/>
                <w:szCs w:val="11"/>
                <w:color w:val="auto"/>
              </w:rPr>
            </w:pPr>
          </w:p>
        </w:tc>
        <w:tc>
          <w:tcPr>
            <w:tcW w:w="500" w:type="dxa"/>
            <w:vAlign w:val="bottom"/>
            <w:tcBorders>
              <w:top w:val="single" w:sz="8" w:color="0000EE"/>
              <w:bottom w:val="single" w:sz="8" w:color="0000EE"/>
            </w:tcBorders>
            <w:gridSpan w:val="2"/>
          </w:tcPr>
          <w:p>
            <w:pPr>
              <w:spacing w:after="0" w:line="133" w:lineRule="exact"/>
              <w:rPr>
                <w:rFonts w:ascii="Arial" w:cs="Arial" w:eastAsia="Arial" w:hAnsi="Arial"/>
                <w:sz w:val="12"/>
                <w:szCs w:val="12"/>
                <w:color w:val="0000EE"/>
                <w:w w:val="87"/>
              </w:rPr>
            </w:pPr>
            <w:hyperlink w:anchor="page24">
              <w:r>
                <w:rPr>
                  <w:rFonts w:ascii="Arial" w:cs="Arial" w:eastAsia="Arial" w:hAnsi="Arial"/>
                  <w:sz w:val="12"/>
                  <w:szCs w:val="12"/>
                  <w:color w:val="0000EE"/>
                  <w:w w:val="87"/>
                </w:rPr>
                <w:t>Properties</w:t>
              </w:r>
            </w:hyperlink>
          </w:p>
        </w:tc>
        <w:tc>
          <w:tcPr>
            <w:tcW w:w="12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3.</w:t>
            </w:r>
          </w:p>
        </w:tc>
        <w:tc>
          <w:tcPr>
            <w:tcW w:w="260" w:type="dxa"/>
            <w:vAlign w:val="bottom"/>
          </w:tcPr>
          <w:p>
            <w:pPr>
              <w:spacing w:after="0"/>
              <w:rPr>
                <w:sz w:val="11"/>
                <w:szCs w:val="11"/>
                <w:color w:val="auto"/>
              </w:rPr>
            </w:pPr>
          </w:p>
        </w:tc>
        <w:tc>
          <w:tcPr>
            <w:tcW w:w="900" w:type="dxa"/>
            <w:vAlign w:val="bottom"/>
            <w:tcBorders>
              <w:bottom w:val="single" w:sz="8" w:color="0000EE"/>
            </w:tcBorders>
            <w:gridSpan w:val="5"/>
          </w:tcPr>
          <w:p>
            <w:pPr>
              <w:spacing w:after="0" w:line="133" w:lineRule="exact"/>
              <w:rPr>
                <w:rFonts w:ascii="Arial" w:cs="Arial" w:eastAsia="Arial" w:hAnsi="Arial"/>
                <w:sz w:val="12"/>
                <w:szCs w:val="12"/>
                <w:color w:val="0000EE"/>
                <w:w w:val="88"/>
              </w:rPr>
            </w:pPr>
            <w:hyperlink w:anchor="page25">
              <w:r>
                <w:rPr>
                  <w:rFonts w:ascii="Arial" w:cs="Arial" w:eastAsia="Arial" w:hAnsi="Arial"/>
                  <w:sz w:val="12"/>
                  <w:szCs w:val="12"/>
                  <w:color w:val="0000EE"/>
                  <w:w w:val="88"/>
                </w:rPr>
                <w:t>Legal Proceedings</w:t>
              </w:r>
            </w:hyperlink>
          </w:p>
        </w:tc>
        <w:tc>
          <w:tcPr>
            <w:tcW w:w="8660" w:type="dxa"/>
            <w:vAlign w:val="bottom"/>
            <w:gridSpan w:val="18"/>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4.</w:t>
            </w:r>
          </w:p>
        </w:tc>
        <w:tc>
          <w:tcPr>
            <w:tcW w:w="260" w:type="dxa"/>
            <w:vAlign w:val="bottom"/>
          </w:tcPr>
          <w:p>
            <w:pPr>
              <w:spacing w:after="0"/>
              <w:rPr>
                <w:sz w:val="11"/>
                <w:szCs w:val="11"/>
                <w:color w:val="auto"/>
              </w:rPr>
            </w:pPr>
          </w:p>
        </w:tc>
        <w:tc>
          <w:tcPr>
            <w:tcW w:w="9560" w:type="dxa"/>
            <w:vAlign w:val="bottom"/>
            <w:gridSpan w:val="23"/>
          </w:tcPr>
          <w:p>
            <w:pPr>
              <w:spacing w:after="0" w:line="133" w:lineRule="exact"/>
              <w:rPr>
                <w:rFonts w:ascii="Arial" w:cs="Arial" w:eastAsia="Arial" w:hAnsi="Arial"/>
                <w:sz w:val="12"/>
                <w:szCs w:val="12"/>
                <w:color w:val="0000EE"/>
              </w:rPr>
            </w:pPr>
            <w:hyperlink w:anchor="page25">
              <w:r>
                <w:rPr>
                  <w:rFonts w:ascii="Arial" w:cs="Arial" w:eastAsia="Arial" w:hAnsi="Arial"/>
                  <w:sz w:val="12"/>
                  <w:szCs w:val="12"/>
                  <w:color w:val="0000EE"/>
                </w:rPr>
                <w:t>Mine Safety Disclosures</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II</w:t>
            </w:r>
          </w:p>
        </w:tc>
        <w:tc>
          <w:tcPr>
            <w:tcW w:w="26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5.</w:t>
            </w:r>
          </w:p>
        </w:tc>
        <w:tc>
          <w:tcPr>
            <w:tcW w:w="260" w:type="dxa"/>
            <w:vAlign w:val="bottom"/>
          </w:tcPr>
          <w:p>
            <w:pPr>
              <w:spacing w:after="0"/>
              <w:rPr>
                <w:sz w:val="10"/>
                <w:szCs w:val="10"/>
                <w:color w:val="auto"/>
              </w:rPr>
            </w:pPr>
          </w:p>
        </w:tc>
        <w:tc>
          <w:tcPr>
            <w:tcW w:w="5400" w:type="dxa"/>
            <w:vAlign w:val="bottom"/>
            <w:tcBorders>
              <w:bottom w:val="single" w:sz="8" w:color="0000EE"/>
            </w:tcBorders>
            <w:gridSpan w:val="22"/>
          </w:tcPr>
          <w:p>
            <w:pPr>
              <w:spacing w:after="0" w:line="126" w:lineRule="exact"/>
              <w:rPr>
                <w:rFonts w:ascii="Arial" w:cs="Arial" w:eastAsia="Arial" w:hAnsi="Arial"/>
                <w:sz w:val="12"/>
                <w:szCs w:val="12"/>
                <w:color w:val="0000EE"/>
                <w:w w:val="90"/>
              </w:rPr>
            </w:pPr>
            <w:hyperlink w:anchor="page26">
              <w:r>
                <w:rPr>
                  <w:rFonts w:ascii="Arial" w:cs="Arial" w:eastAsia="Arial" w:hAnsi="Arial"/>
                  <w:sz w:val="12"/>
                  <w:szCs w:val="12"/>
                  <w:color w:val="0000EE"/>
                  <w:w w:val="90"/>
                </w:rPr>
                <w:t>Market for Registrant’s Common Equity, Related Stockholder Matters and Issuer Purchases of Equity Securities</w:t>
              </w:r>
            </w:hyperlink>
          </w:p>
        </w:tc>
        <w:tc>
          <w:tcPr>
            <w:tcW w:w="416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6.</w:t>
            </w:r>
          </w:p>
        </w:tc>
        <w:tc>
          <w:tcPr>
            <w:tcW w:w="260" w:type="dxa"/>
            <w:vAlign w:val="bottom"/>
          </w:tcPr>
          <w:p>
            <w:pPr>
              <w:spacing w:after="0"/>
              <w:rPr>
                <w:sz w:val="11"/>
                <w:szCs w:val="11"/>
                <w:color w:val="auto"/>
              </w:rPr>
            </w:pPr>
          </w:p>
        </w:tc>
        <w:tc>
          <w:tcPr>
            <w:tcW w:w="9560" w:type="dxa"/>
            <w:vAlign w:val="bottom"/>
            <w:gridSpan w:val="23"/>
          </w:tcPr>
          <w:p>
            <w:pPr>
              <w:spacing w:after="0" w:line="133" w:lineRule="exact"/>
              <w:rPr>
                <w:rFonts w:ascii="Arial" w:cs="Arial" w:eastAsia="Arial" w:hAnsi="Arial"/>
                <w:sz w:val="12"/>
                <w:szCs w:val="12"/>
                <w:color w:val="0000EE"/>
              </w:rPr>
            </w:pPr>
            <w:hyperlink w:anchor="page28">
              <w:r>
                <w:rPr>
                  <w:rFonts w:ascii="Arial" w:cs="Arial" w:eastAsia="Arial" w:hAnsi="Arial"/>
                  <w:sz w:val="12"/>
                  <w:szCs w:val="12"/>
                  <w:color w:val="0000EE"/>
                </w:rPr>
                <w:t>Selected Financial Data</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7.</w:t>
            </w:r>
          </w:p>
        </w:tc>
        <w:tc>
          <w:tcPr>
            <w:tcW w:w="260" w:type="dxa"/>
            <w:vAlign w:val="bottom"/>
          </w:tcPr>
          <w:p>
            <w:pPr>
              <w:spacing w:after="0"/>
              <w:rPr>
                <w:sz w:val="11"/>
                <w:szCs w:val="11"/>
                <w:color w:val="auto"/>
              </w:rPr>
            </w:pPr>
          </w:p>
        </w:tc>
        <w:tc>
          <w:tcPr>
            <w:tcW w:w="4320" w:type="dxa"/>
            <w:vAlign w:val="bottom"/>
            <w:tcBorders>
              <w:bottom w:val="single" w:sz="8" w:color="0000EE"/>
            </w:tcBorders>
            <w:gridSpan w:val="19"/>
          </w:tcPr>
          <w:p>
            <w:pPr>
              <w:spacing w:after="0" w:line="133" w:lineRule="exact"/>
              <w:rPr>
                <w:rFonts w:ascii="Arial" w:cs="Arial" w:eastAsia="Arial" w:hAnsi="Arial"/>
                <w:sz w:val="12"/>
                <w:szCs w:val="12"/>
                <w:color w:val="0000EE"/>
                <w:w w:val="91"/>
              </w:rPr>
            </w:pPr>
            <w:hyperlink w:anchor="page29">
              <w:r>
                <w:rPr>
                  <w:rFonts w:ascii="Arial" w:cs="Arial" w:eastAsia="Arial" w:hAnsi="Arial"/>
                  <w:sz w:val="12"/>
                  <w:szCs w:val="12"/>
                  <w:color w:val="0000EE"/>
                  <w:w w:val="91"/>
                </w:rPr>
                <w:t>Management’s Discussion and Analysis of Financial Condition and Results of Operations</w:t>
              </w:r>
            </w:hyperlink>
          </w:p>
        </w:tc>
        <w:tc>
          <w:tcPr>
            <w:tcW w:w="5240" w:type="dxa"/>
            <w:vAlign w:val="bottom"/>
            <w:gridSpan w:val="4"/>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1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29">
              <w:r>
                <w:rPr>
                  <w:rFonts w:ascii="Arial" w:cs="Arial" w:eastAsia="Arial" w:hAnsi="Arial"/>
                  <w:sz w:val="12"/>
                  <w:szCs w:val="12"/>
                  <w:color w:val="0000EE"/>
                </w:rPr>
                <w:t>1.</w:t>
              </w:r>
            </w:hyperlink>
          </w:p>
        </w:tc>
        <w:tc>
          <w:tcPr>
            <w:tcW w:w="520" w:type="dxa"/>
            <w:vAlign w:val="bottom"/>
            <w:tcBorders>
              <w:bottom w:val="single" w:sz="8" w:color="0000EE"/>
            </w:tcBorders>
            <w:gridSpan w:val="4"/>
          </w:tcPr>
          <w:p>
            <w:pPr>
              <w:spacing w:after="0" w:line="133" w:lineRule="exact"/>
              <w:rPr>
                <w:rFonts w:ascii="Arial" w:cs="Arial" w:eastAsia="Arial" w:hAnsi="Arial"/>
                <w:sz w:val="12"/>
                <w:szCs w:val="12"/>
                <w:color w:val="0000EE"/>
                <w:w w:val="95"/>
              </w:rPr>
            </w:pPr>
            <w:hyperlink w:anchor="page29">
              <w:r>
                <w:rPr>
                  <w:rFonts w:ascii="Arial" w:cs="Arial" w:eastAsia="Arial" w:hAnsi="Arial"/>
                  <w:sz w:val="12"/>
                  <w:szCs w:val="12"/>
                  <w:color w:val="0000EE"/>
                  <w:w w:val="95"/>
                </w:rPr>
                <w:t>Overview</w:t>
              </w:r>
            </w:hyperlink>
          </w:p>
        </w:tc>
        <w:tc>
          <w:tcPr>
            <w:tcW w:w="8420" w:type="dxa"/>
            <w:vAlign w:val="bottom"/>
            <w:gridSpan w:val="16"/>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80" w:type="dxa"/>
            <w:vAlign w:val="bottom"/>
            <w:tcBorders>
              <w:bottom w:val="single" w:sz="8" w:color="0000EE"/>
            </w:tcBorders>
            <w:gridSpan w:val="2"/>
          </w:tcPr>
          <w:p>
            <w:pPr>
              <w:spacing w:after="0" w:line="124" w:lineRule="exact"/>
              <w:rPr>
                <w:rFonts w:ascii="Arial" w:cs="Arial" w:eastAsia="Arial" w:hAnsi="Arial"/>
                <w:sz w:val="12"/>
                <w:szCs w:val="12"/>
                <w:color w:val="0000EE"/>
              </w:rPr>
            </w:pPr>
            <w:hyperlink w:anchor="page32">
              <w:r>
                <w:rPr>
                  <w:rFonts w:ascii="Arial" w:cs="Arial" w:eastAsia="Arial" w:hAnsi="Arial"/>
                  <w:sz w:val="12"/>
                  <w:szCs w:val="12"/>
                  <w:color w:val="0000EE"/>
                </w:rPr>
                <w:t>2.</w:t>
              </w:r>
            </w:hyperlink>
          </w:p>
        </w:tc>
        <w:tc>
          <w:tcPr>
            <w:tcW w:w="1040" w:type="dxa"/>
            <w:vAlign w:val="bottom"/>
            <w:tcBorders>
              <w:bottom w:val="single" w:sz="8" w:color="0000EE"/>
            </w:tcBorders>
            <w:gridSpan w:val="8"/>
          </w:tcPr>
          <w:p>
            <w:pPr>
              <w:spacing w:after="0" w:line="124" w:lineRule="exact"/>
              <w:rPr>
                <w:rFonts w:ascii="Arial" w:cs="Arial" w:eastAsia="Arial" w:hAnsi="Arial"/>
                <w:sz w:val="12"/>
                <w:szCs w:val="12"/>
                <w:color w:val="0000EE"/>
                <w:w w:val="88"/>
              </w:rPr>
            </w:pPr>
            <w:hyperlink w:anchor="page32">
              <w:r>
                <w:rPr>
                  <w:rFonts w:ascii="Arial" w:cs="Arial" w:eastAsia="Arial" w:hAnsi="Arial"/>
                  <w:sz w:val="12"/>
                  <w:szCs w:val="12"/>
                  <w:color w:val="0000EE"/>
                  <w:w w:val="88"/>
                </w:rPr>
                <w:t>Results of Operations</w:t>
              </w:r>
            </w:hyperlink>
          </w:p>
        </w:tc>
        <w:tc>
          <w:tcPr>
            <w:tcW w:w="7900" w:type="dxa"/>
            <w:vAlign w:val="bottom"/>
            <w:gridSpan w:val="12"/>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80" w:type="dxa"/>
            <w:vAlign w:val="bottom"/>
            <w:tcBorders>
              <w:bottom w:val="single" w:sz="8" w:color="0000EE"/>
            </w:tcBorders>
            <w:gridSpan w:val="2"/>
          </w:tcPr>
          <w:p>
            <w:pPr>
              <w:spacing w:after="0" w:line="124" w:lineRule="exact"/>
              <w:rPr>
                <w:rFonts w:ascii="Arial" w:cs="Arial" w:eastAsia="Arial" w:hAnsi="Arial"/>
                <w:sz w:val="12"/>
                <w:szCs w:val="12"/>
                <w:color w:val="0000EE"/>
              </w:rPr>
            </w:pPr>
            <w:hyperlink w:anchor="page42">
              <w:r>
                <w:rPr>
                  <w:rFonts w:ascii="Arial" w:cs="Arial" w:eastAsia="Arial" w:hAnsi="Arial"/>
                  <w:sz w:val="12"/>
                  <w:szCs w:val="12"/>
                  <w:color w:val="0000EE"/>
                </w:rPr>
                <w:t>3.</w:t>
              </w:r>
            </w:hyperlink>
          </w:p>
        </w:tc>
        <w:tc>
          <w:tcPr>
            <w:tcW w:w="154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w:anchor="page42">
              <w:r>
                <w:rPr>
                  <w:rFonts w:ascii="Arial" w:cs="Arial" w:eastAsia="Arial" w:hAnsi="Arial"/>
                  <w:sz w:val="12"/>
                  <w:szCs w:val="12"/>
                  <w:color w:val="0000EE"/>
                  <w:w w:val="91"/>
                </w:rPr>
                <w:t>Non-GAAP Financial Measures</w:t>
              </w:r>
            </w:hyperlink>
          </w:p>
        </w:tc>
        <w:tc>
          <w:tcPr>
            <w:tcW w:w="7400" w:type="dxa"/>
            <w:vAlign w:val="bottom"/>
            <w:gridSpan w:val="9"/>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120" w:type="dxa"/>
            <w:vAlign w:val="bottom"/>
            <w:gridSpan w:val="22"/>
          </w:tcPr>
          <w:p>
            <w:pPr>
              <w:spacing w:after="0" w:line="124" w:lineRule="exact"/>
              <w:rPr>
                <w:rFonts w:ascii="Arial" w:cs="Arial" w:eastAsia="Arial" w:hAnsi="Arial"/>
                <w:sz w:val="12"/>
                <w:szCs w:val="12"/>
                <w:color w:val="0000EE"/>
              </w:rPr>
            </w:pPr>
            <w:hyperlink w:anchor="page47">
              <w:r>
                <w:rPr>
                  <w:rFonts w:ascii="Arial" w:cs="Arial" w:eastAsia="Arial" w:hAnsi="Arial"/>
                  <w:sz w:val="12"/>
                  <w:szCs w:val="12"/>
                  <w:color w:val="0000EE"/>
                </w:rPr>
                <w:t>4.  Liquidity and Capital Resources</w:t>
              </w:r>
            </w:hyperlink>
          </w:p>
        </w:tc>
        <w:tc>
          <w:tcPr>
            <w:tcW w:w="640" w:type="dxa"/>
            <w:vAlign w:val="bottom"/>
          </w:tcPr>
          <w:p>
            <w:pPr>
              <w:jc w:val="right"/>
              <w:spacing w:after="0" w:line="124" w:lineRule="exact"/>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7A.</w:t>
            </w:r>
          </w:p>
        </w:tc>
        <w:tc>
          <w:tcPr>
            <w:tcW w:w="260" w:type="dxa"/>
            <w:vAlign w:val="bottom"/>
          </w:tcPr>
          <w:p>
            <w:pPr>
              <w:spacing w:after="0"/>
              <w:rPr>
                <w:sz w:val="11"/>
                <w:szCs w:val="11"/>
                <w:color w:val="auto"/>
              </w:rPr>
            </w:pPr>
          </w:p>
        </w:tc>
        <w:tc>
          <w:tcPr>
            <w:tcW w:w="2920" w:type="dxa"/>
            <w:vAlign w:val="bottom"/>
            <w:tcBorders>
              <w:bottom w:val="single" w:sz="8" w:color="0000EE"/>
            </w:tcBorders>
            <w:gridSpan w:val="17"/>
          </w:tcPr>
          <w:p>
            <w:pPr>
              <w:spacing w:after="0" w:line="133" w:lineRule="exact"/>
              <w:rPr>
                <w:rFonts w:ascii="Arial" w:cs="Arial" w:eastAsia="Arial" w:hAnsi="Arial"/>
                <w:sz w:val="12"/>
                <w:szCs w:val="12"/>
                <w:color w:val="0000EE"/>
                <w:w w:val="92"/>
              </w:rPr>
            </w:pPr>
            <w:hyperlink w:anchor="page55">
              <w:r>
                <w:rPr>
                  <w:rFonts w:ascii="Arial" w:cs="Arial" w:eastAsia="Arial" w:hAnsi="Arial"/>
                  <w:sz w:val="12"/>
                  <w:szCs w:val="12"/>
                  <w:color w:val="0000EE"/>
                  <w:w w:val="92"/>
                </w:rPr>
                <w:t>Quantitative and Qualitative Disclosures About Market Risk</w:t>
              </w:r>
            </w:hyperlink>
          </w:p>
        </w:tc>
        <w:tc>
          <w:tcPr>
            <w:tcW w:w="6640" w:type="dxa"/>
            <w:vAlign w:val="bottom"/>
            <w:gridSpan w:val="6"/>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8.</w:t>
            </w:r>
          </w:p>
        </w:tc>
        <w:tc>
          <w:tcPr>
            <w:tcW w:w="260" w:type="dxa"/>
            <w:vAlign w:val="bottom"/>
          </w:tcPr>
          <w:p>
            <w:pPr>
              <w:spacing w:after="0"/>
              <w:rPr>
                <w:sz w:val="11"/>
                <w:szCs w:val="11"/>
                <w:color w:val="auto"/>
              </w:rPr>
            </w:pPr>
          </w:p>
        </w:tc>
        <w:tc>
          <w:tcPr>
            <w:tcW w:w="9560" w:type="dxa"/>
            <w:vAlign w:val="bottom"/>
            <w:gridSpan w:val="23"/>
          </w:tcPr>
          <w:p>
            <w:pPr>
              <w:spacing w:after="0" w:line="133" w:lineRule="exact"/>
              <w:rPr>
                <w:rFonts w:ascii="Arial" w:cs="Arial" w:eastAsia="Arial" w:hAnsi="Arial"/>
                <w:sz w:val="12"/>
                <w:szCs w:val="12"/>
                <w:color w:val="0000EE"/>
              </w:rPr>
            </w:pPr>
            <w:hyperlink w:anchor="page56">
              <w:r>
                <w:rPr>
                  <w:rFonts w:ascii="Arial" w:cs="Arial" w:eastAsia="Arial" w:hAnsi="Arial"/>
                  <w:sz w:val="12"/>
                  <w:szCs w:val="12"/>
                  <w:color w:val="0000EE"/>
                </w:rPr>
                <w:t>Financial Statements and Supplementary Data</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w:t>
            </w:r>
          </w:p>
        </w:tc>
        <w:tc>
          <w:tcPr>
            <w:tcW w:w="260" w:type="dxa"/>
            <w:vAlign w:val="bottom"/>
          </w:tcPr>
          <w:p>
            <w:pPr>
              <w:spacing w:after="0"/>
              <w:rPr>
                <w:sz w:val="11"/>
                <w:szCs w:val="11"/>
                <w:color w:val="auto"/>
              </w:rPr>
            </w:pPr>
          </w:p>
        </w:tc>
        <w:tc>
          <w:tcPr>
            <w:tcW w:w="9560" w:type="dxa"/>
            <w:vAlign w:val="bottom"/>
            <w:gridSpan w:val="23"/>
          </w:tcPr>
          <w:p>
            <w:pPr>
              <w:spacing w:after="0" w:line="133" w:lineRule="exact"/>
              <w:rPr>
                <w:rFonts w:ascii="Arial" w:cs="Arial" w:eastAsia="Arial" w:hAnsi="Arial"/>
                <w:sz w:val="12"/>
                <w:szCs w:val="12"/>
                <w:color w:val="0000EE"/>
              </w:rPr>
            </w:pPr>
            <w:hyperlink w:anchor="page118">
              <w:r>
                <w:rPr>
                  <w:rFonts w:ascii="Arial" w:cs="Arial" w:eastAsia="Arial" w:hAnsi="Arial"/>
                  <w:sz w:val="12"/>
                  <w:szCs w:val="12"/>
                  <w:color w:val="0000EE"/>
                </w:rPr>
                <w:t>Changes in and Disagreements With Accountants on Accounting and Financial Disclosure</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9A.</w:t>
            </w:r>
          </w:p>
        </w:tc>
        <w:tc>
          <w:tcPr>
            <w:tcW w:w="260" w:type="dxa"/>
            <w:vAlign w:val="bottom"/>
          </w:tcPr>
          <w:p>
            <w:pPr>
              <w:spacing w:after="0"/>
              <w:rPr>
                <w:sz w:val="11"/>
                <w:szCs w:val="11"/>
                <w:color w:val="auto"/>
              </w:rPr>
            </w:pPr>
          </w:p>
        </w:tc>
        <w:tc>
          <w:tcPr>
            <w:tcW w:w="4340" w:type="dxa"/>
            <w:vAlign w:val="bottom"/>
            <w:tcBorders>
              <w:top w:val="single" w:sz="8" w:color="0000EE"/>
            </w:tcBorders>
            <w:gridSpan w:val="20"/>
          </w:tcPr>
          <w:p>
            <w:pPr>
              <w:spacing w:after="0" w:line="133" w:lineRule="exact"/>
              <w:rPr>
                <w:rFonts w:ascii="Arial" w:cs="Arial" w:eastAsia="Arial" w:hAnsi="Arial"/>
                <w:sz w:val="12"/>
                <w:szCs w:val="12"/>
                <w:color w:val="0000EE"/>
              </w:rPr>
            </w:pPr>
            <w:hyperlink w:anchor="page118">
              <w:r>
                <w:rPr>
                  <w:rFonts w:ascii="Arial" w:cs="Arial" w:eastAsia="Arial" w:hAnsi="Arial"/>
                  <w:sz w:val="12"/>
                  <w:szCs w:val="12"/>
                  <w:color w:val="0000EE"/>
                </w:rPr>
                <w:t>Controls and Procedures</w:t>
              </w:r>
            </w:hyperlink>
          </w:p>
        </w:tc>
        <w:tc>
          <w:tcPr>
            <w:tcW w:w="5220" w:type="dxa"/>
            <w:vAlign w:val="bottom"/>
            <w:gridSpan w:val="3"/>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9B.</w:t>
            </w:r>
          </w:p>
        </w:tc>
        <w:tc>
          <w:tcPr>
            <w:tcW w:w="260" w:type="dxa"/>
            <w:vAlign w:val="bottom"/>
          </w:tcPr>
          <w:p>
            <w:pPr>
              <w:spacing w:after="0"/>
              <w:rPr>
                <w:sz w:val="11"/>
                <w:szCs w:val="11"/>
                <w:color w:val="auto"/>
              </w:rPr>
            </w:pPr>
          </w:p>
        </w:tc>
        <w:tc>
          <w:tcPr>
            <w:tcW w:w="1180" w:type="dxa"/>
            <w:vAlign w:val="bottom"/>
            <w:tcBorders>
              <w:top w:val="single" w:sz="8" w:color="0000EE"/>
            </w:tcBorders>
            <w:gridSpan w:val="8"/>
          </w:tcPr>
          <w:p>
            <w:pPr>
              <w:spacing w:after="0" w:line="133" w:lineRule="exact"/>
              <w:rPr>
                <w:rFonts w:ascii="Arial" w:cs="Arial" w:eastAsia="Arial" w:hAnsi="Arial"/>
                <w:sz w:val="12"/>
                <w:szCs w:val="12"/>
                <w:color w:val="0000EE"/>
              </w:rPr>
            </w:pPr>
            <w:hyperlink w:anchor="page119">
              <w:r>
                <w:rPr>
                  <w:rFonts w:ascii="Arial" w:cs="Arial" w:eastAsia="Arial" w:hAnsi="Arial"/>
                  <w:sz w:val="12"/>
                  <w:szCs w:val="12"/>
                  <w:color w:val="0000EE"/>
                </w:rPr>
                <w:t>Other Information</w:t>
              </w:r>
            </w:hyperlink>
          </w:p>
        </w:tc>
        <w:tc>
          <w:tcPr>
            <w:tcW w:w="8380" w:type="dxa"/>
            <w:vAlign w:val="bottom"/>
            <w:gridSpan w:val="15"/>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III</w:t>
            </w:r>
          </w:p>
        </w:tc>
        <w:tc>
          <w:tcPr>
            <w:tcW w:w="26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10.</w:t>
            </w:r>
          </w:p>
        </w:tc>
        <w:tc>
          <w:tcPr>
            <w:tcW w:w="260" w:type="dxa"/>
            <w:vAlign w:val="bottom"/>
          </w:tcPr>
          <w:p>
            <w:pPr>
              <w:spacing w:after="0"/>
              <w:rPr>
                <w:sz w:val="10"/>
                <w:szCs w:val="10"/>
                <w:color w:val="auto"/>
              </w:rPr>
            </w:pPr>
          </w:p>
        </w:tc>
        <w:tc>
          <w:tcPr>
            <w:tcW w:w="2740" w:type="dxa"/>
            <w:vAlign w:val="bottom"/>
            <w:tcBorders>
              <w:bottom w:val="single" w:sz="8" w:color="0000EE"/>
            </w:tcBorders>
            <w:gridSpan w:val="16"/>
          </w:tcPr>
          <w:p>
            <w:pPr>
              <w:spacing w:after="0" w:line="126" w:lineRule="exact"/>
              <w:rPr>
                <w:rFonts w:ascii="Arial" w:cs="Arial" w:eastAsia="Arial" w:hAnsi="Arial"/>
                <w:sz w:val="12"/>
                <w:szCs w:val="12"/>
                <w:color w:val="0000EE"/>
                <w:w w:val="90"/>
              </w:rPr>
            </w:pPr>
            <w:hyperlink w:anchor="page120">
              <w:r>
                <w:rPr>
                  <w:rFonts w:ascii="Arial" w:cs="Arial" w:eastAsia="Arial" w:hAnsi="Arial"/>
                  <w:sz w:val="12"/>
                  <w:szCs w:val="12"/>
                  <w:color w:val="0000EE"/>
                  <w:w w:val="90"/>
                </w:rPr>
                <w:t>Directors, Executive Officers and Corporate Governance</w:t>
              </w:r>
            </w:hyperlink>
          </w:p>
        </w:tc>
        <w:tc>
          <w:tcPr>
            <w:tcW w:w="6820" w:type="dxa"/>
            <w:vAlign w:val="bottom"/>
            <w:gridSpan w:val="7"/>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11.</w:t>
            </w:r>
          </w:p>
        </w:tc>
        <w:tc>
          <w:tcPr>
            <w:tcW w:w="260" w:type="dxa"/>
            <w:vAlign w:val="bottom"/>
          </w:tcPr>
          <w:p>
            <w:pPr>
              <w:spacing w:after="0"/>
              <w:rPr>
                <w:sz w:val="11"/>
                <w:szCs w:val="11"/>
                <w:color w:val="auto"/>
              </w:rPr>
            </w:pPr>
          </w:p>
        </w:tc>
        <w:tc>
          <w:tcPr>
            <w:tcW w:w="1220" w:type="dxa"/>
            <w:vAlign w:val="bottom"/>
            <w:tcBorders>
              <w:bottom w:val="single" w:sz="8" w:color="0000EE"/>
            </w:tcBorders>
            <w:gridSpan w:val="9"/>
          </w:tcPr>
          <w:p>
            <w:pPr>
              <w:spacing w:after="0" w:line="133" w:lineRule="exact"/>
              <w:rPr>
                <w:rFonts w:ascii="Arial" w:cs="Arial" w:eastAsia="Arial" w:hAnsi="Arial"/>
                <w:sz w:val="12"/>
                <w:szCs w:val="12"/>
                <w:color w:val="0000EE"/>
                <w:w w:val="90"/>
              </w:rPr>
            </w:pPr>
            <w:hyperlink w:anchor="page120">
              <w:r>
                <w:rPr>
                  <w:rFonts w:ascii="Arial" w:cs="Arial" w:eastAsia="Arial" w:hAnsi="Arial"/>
                  <w:sz w:val="12"/>
                  <w:szCs w:val="12"/>
                  <w:color w:val="0000EE"/>
                  <w:w w:val="90"/>
                </w:rPr>
                <w:t>Executive Compensation</w:t>
              </w:r>
            </w:hyperlink>
          </w:p>
        </w:tc>
        <w:tc>
          <w:tcPr>
            <w:tcW w:w="8340" w:type="dxa"/>
            <w:vAlign w:val="bottom"/>
            <w:gridSpan w:val="14"/>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12.</w:t>
            </w:r>
          </w:p>
        </w:tc>
        <w:tc>
          <w:tcPr>
            <w:tcW w:w="260" w:type="dxa"/>
            <w:vAlign w:val="bottom"/>
          </w:tcPr>
          <w:p>
            <w:pPr>
              <w:spacing w:after="0"/>
              <w:rPr>
                <w:sz w:val="11"/>
                <w:szCs w:val="11"/>
                <w:color w:val="auto"/>
              </w:rPr>
            </w:pPr>
          </w:p>
        </w:tc>
        <w:tc>
          <w:tcPr>
            <w:tcW w:w="9560" w:type="dxa"/>
            <w:vAlign w:val="bottom"/>
            <w:gridSpan w:val="23"/>
          </w:tcPr>
          <w:p>
            <w:pPr>
              <w:spacing w:after="0" w:line="133" w:lineRule="exact"/>
              <w:rPr>
                <w:rFonts w:ascii="Arial" w:cs="Arial" w:eastAsia="Arial" w:hAnsi="Arial"/>
                <w:sz w:val="12"/>
                <w:szCs w:val="12"/>
                <w:color w:val="0000EE"/>
              </w:rPr>
            </w:pPr>
            <w:hyperlink w:anchor="page120">
              <w:r>
                <w:rPr>
                  <w:rFonts w:ascii="Arial" w:cs="Arial" w:eastAsia="Arial" w:hAnsi="Arial"/>
                  <w:sz w:val="12"/>
                  <w:szCs w:val="12"/>
                  <w:color w:val="0000EE"/>
                </w:rPr>
                <w:t>Security Ownership of Certain Beneficial Owners and Management and Related Stockholder Matters</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13.</w:t>
            </w:r>
          </w:p>
        </w:tc>
        <w:tc>
          <w:tcPr>
            <w:tcW w:w="260" w:type="dxa"/>
            <w:vAlign w:val="bottom"/>
          </w:tcPr>
          <w:p>
            <w:pPr>
              <w:spacing w:after="0"/>
              <w:rPr>
                <w:sz w:val="11"/>
                <w:szCs w:val="11"/>
                <w:color w:val="auto"/>
              </w:rPr>
            </w:pPr>
          </w:p>
        </w:tc>
        <w:tc>
          <w:tcPr>
            <w:tcW w:w="4860" w:type="dxa"/>
            <w:vAlign w:val="bottom"/>
            <w:tcBorders>
              <w:top w:val="single" w:sz="8" w:color="0000EE"/>
            </w:tcBorders>
            <w:gridSpan w:val="21"/>
          </w:tcPr>
          <w:p>
            <w:pPr>
              <w:spacing w:after="0" w:line="133" w:lineRule="exact"/>
              <w:rPr>
                <w:rFonts w:ascii="Arial" w:cs="Arial" w:eastAsia="Arial" w:hAnsi="Arial"/>
                <w:sz w:val="12"/>
                <w:szCs w:val="12"/>
                <w:color w:val="0000EE"/>
              </w:rPr>
            </w:pPr>
            <w:hyperlink w:anchor="page121">
              <w:r>
                <w:rPr>
                  <w:rFonts w:ascii="Arial" w:cs="Arial" w:eastAsia="Arial" w:hAnsi="Arial"/>
                  <w:sz w:val="12"/>
                  <w:szCs w:val="12"/>
                  <w:color w:val="0000EE"/>
                </w:rPr>
                <w:t>Certain Relationships and Related Transactions, and Director Independence</w:t>
              </w:r>
            </w:hyperlink>
          </w:p>
        </w:tc>
        <w:tc>
          <w:tcPr>
            <w:tcW w:w="4700" w:type="dxa"/>
            <w:vAlign w:val="bottom"/>
            <w:gridSpan w:val="2"/>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14.</w:t>
            </w:r>
          </w:p>
        </w:tc>
        <w:tc>
          <w:tcPr>
            <w:tcW w:w="260" w:type="dxa"/>
            <w:vAlign w:val="bottom"/>
          </w:tcPr>
          <w:p>
            <w:pPr>
              <w:spacing w:after="0"/>
              <w:rPr>
                <w:sz w:val="11"/>
                <w:szCs w:val="11"/>
                <w:color w:val="auto"/>
              </w:rPr>
            </w:pPr>
          </w:p>
        </w:tc>
        <w:tc>
          <w:tcPr>
            <w:tcW w:w="3640" w:type="dxa"/>
            <w:vAlign w:val="bottom"/>
            <w:tcBorders>
              <w:top w:val="single" w:sz="8" w:color="0000EE"/>
            </w:tcBorders>
            <w:gridSpan w:val="18"/>
          </w:tcPr>
          <w:p>
            <w:pPr>
              <w:spacing w:after="0" w:line="133" w:lineRule="exact"/>
              <w:rPr>
                <w:rFonts w:ascii="Arial" w:cs="Arial" w:eastAsia="Arial" w:hAnsi="Arial"/>
                <w:sz w:val="12"/>
                <w:szCs w:val="12"/>
                <w:color w:val="0000EE"/>
              </w:rPr>
            </w:pPr>
            <w:hyperlink w:anchor="page121">
              <w:r>
                <w:rPr>
                  <w:rFonts w:ascii="Arial" w:cs="Arial" w:eastAsia="Arial" w:hAnsi="Arial"/>
                  <w:sz w:val="12"/>
                  <w:szCs w:val="12"/>
                  <w:color w:val="0000EE"/>
                </w:rPr>
                <w:t>Principal Accounting Fees and Services</w:t>
              </w:r>
            </w:hyperlink>
          </w:p>
        </w:tc>
        <w:tc>
          <w:tcPr>
            <w:tcW w:w="5920" w:type="dxa"/>
            <w:vAlign w:val="bottom"/>
            <w:gridSpan w:val="5"/>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IV</w:t>
            </w:r>
          </w:p>
        </w:tc>
        <w:tc>
          <w:tcPr>
            <w:tcW w:w="26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15.</w:t>
            </w:r>
          </w:p>
        </w:tc>
        <w:tc>
          <w:tcPr>
            <w:tcW w:w="260" w:type="dxa"/>
            <w:vAlign w:val="bottom"/>
          </w:tcPr>
          <w:p>
            <w:pPr>
              <w:spacing w:after="0"/>
              <w:rPr>
                <w:sz w:val="10"/>
                <w:szCs w:val="10"/>
                <w:color w:val="auto"/>
              </w:rPr>
            </w:pPr>
          </w:p>
        </w:tc>
        <w:tc>
          <w:tcPr>
            <w:tcW w:w="9560" w:type="dxa"/>
            <w:vAlign w:val="bottom"/>
            <w:gridSpan w:val="23"/>
          </w:tcPr>
          <w:p>
            <w:pPr>
              <w:spacing w:after="0" w:line="126" w:lineRule="exact"/>
              <w:rPr>
                <w:rFonts w:ascii="Arial" w:cs="Arial" w:eastAsia="Arial" w:hAnsi="Arial"/>
                <w:sz w:val="12"/>
                <w:szCs w:val="12"/>
                <w:color w:val="0000EE"/>
              </w:rPr>
            </w:pPr>
            <w:hyperlink w:anchor="page122">
              <w:r>
                <w:rPr>
                  <w:rFonts w:ascii="Arial" w:cs="Arial" w:eastAsia="Arial" w:hAnsi="Arial"/>
                  <w:sz w:val="12"/>
                  <w:szCs w:val="12"/>
                  <w:color w:val="0000EE"/>
                </w:rPr>
                <w:t>Exhibits, Financial Statement Schedules</w:t>
              </w:r>
            </w:hyperlink>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16.</w:t>
            </w:r>
          </w:p>
        </w:tc>
        <w:tc>
          <w:tcPr>
            <w:tcW w:w="260" w:type="dxa"/>
            <w:vAlign w:val="bottom"/>
          </w:tcPr>
          <w:p>
            <w:pPr>
              <w:spacing w:after="0"/>
              <w:rPr>
                <w:sz w:val="11"/>
                <w:szCs w:val="11"/>
                <w:color w:val="auto"/>
              </w:rPr>
            </w:pPr>
          </w:p>
        </w:tc>
        <w:tc>
          <w:tcPr>
            <w:tcW w:w="1940" w:type="dxa"/>
            <w:vAlign w:val="bottom"/>
            <w:tcBorders>
              <w:top w:val="single" w:sz="8" w:color="0000EE"/>
            </w:tcBorders>
            <w:gridSpan w:val="13"/>
          </w:tcPr>
          <w:p>
            <w:pPr>
              <w:spacing w:after="0" w:line="133" w:lineRule="exact"/>
              <w:rPr>
                <w:rFonts w:ascii="Arial" w:cs="Arial" w:eastAsia="Arial" w:hAnsi="Arial"/>
                <w:sz w:val="12"/>
                <w:szCs w:val="12"/>
                <w:color w:val="0000EE"/>
              </w:rPr>
            </w:pPr>
            <w:hyperlink w:anchor="page127">
              <w:r>
                <w:rPr>
                  <w:rFonts w:ascii="Arial" w:cs="Arial" w:eastAsia="Arial" w:hAnsi="Arial"/>
                  <w:sz w:val="12"/>
                  <w:szCs w:val="12"/>
                  <w:color w:val="0000EE"/>
                </w:rPr>
                <w:t>Form 10-K Summary</w:t>
              </w:r>
            </w:hyperlink>
          </w:p>
        </w:tc>
        <w:tc>
          <w:tcPr>
            <w:tcW w:w="7620" w:type="dxa"/>
            <w:vAlign w:val="bottom"/>
            <w:gridSpan w:val="10"/>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41"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This Annual Report on Form 10-K includes forward-looking statements as defined under U.S. federal securities law. Forward 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ability to delever and achieve the ‘covenant reversion date’ under our 7.875% senior secured notes due 2025, which would permit us to pay additional dividends to shareholders; our expectations about our ability to maintain our status as a real estate investment trust (a “REIT”); our expectations regarding filing an amendment to this Form 10-K to include Windstream’s audited financial statements as of and for the year ended December 31, 2021; our expectations regarding the effect of the COVID-19 pandemic on our results of operations and financial condition, including the potential need to perform an interim goodwill analysis and report an impairment charge related thereto; our expectations regarding the effect of the Coronavirus Aid, Relief and Economic Security Act (the “CARES Act”), the Consolidated Appropriations Act of 2021 (the “2021 Appropriations Act”) and other tax-related legislation on our tax position;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our expectations regarding the wind down of the Consumer CLEC business; and expectations regarding the payment of dividends.</w:t>
      </w:r>
    </w:p>
    <w:p>
      <w:pPr>
        <w:spacing w:after="0" w:line="26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196" w:lineRule="exact"/>
        <w:rPr>
          <w:sz w:val="20"/>
          <w:szCs w:val="20"/>
          <w:color w:val="auto"/>
        </w:rPr>
      </w:pPr>
    </w:p>
    <w:p>
      <w:pPr>
        <w:ind w:left="1160" w:hanging="583"/>
        <w:spacing w:after="0"/>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future prospects of our largest customer, Windstream, following its emergence from bankruptcy;</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adverse impacts of the COVID-19 pandemic on our employees, our business, the business of our customers and other business partners and the global financial markets;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and willingness of our customers to meet and/or perform their obligations under any contractual arrangements entered into with us, including master lease arrangements;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of our customers to comply with laws, rules and regulations in the operation of the assets we lease to them;</w:t>
      </w:r>
    </w:p>
    <w:p>
      <w:pPr>
        <w:spacing w:after="0" w:line="78" w:lineRule="exact"/>
        <w:rPr>
          <w:rFonts w:ascii="Arial" w:cs="Arial" w:eastAsia="Arial" w:hAnsi="Arial"/>
          <w:sz w:val="12"/>
          <w:szCs w:val="12"/>
          <w:color w:val="auto"/>
        </w:rPr>
      </w:pPr>
    </w:p>
    <w:p>
      <w:pPr>
        <w:ind w:left="1160" w:right="60" w:hanging="583"/>
        <w:spacing w:after="0" w:line="276" w:lineRule="auto"/>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w:t>
      </w:r>
    </w:p>
    <w:p>
      <w:pPr>
        <w:spacing w:after="0" w:line="42" w:lineRule="exact"/>
        <w:rPr>
          <w:rFonts w:ascii="Arial" w:cs="Arial" w:eastAsia="Arial" w:hAnsi="Arial"/>
          <w:sz w:val="12"/>
          <w:szCs w:val="12"/>
          <w:color w:val="auto"/>
        </w:rPr>
      </w:pPr>
    </w:p>
    <w:p>
      <w:pPr>
        <w:ind w:left="1160" w:hanging="583"/>
        <w:spacing w:after="0"/>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renew, extend or retain our contracts or to obtain new contracts with significant customers (including customers of the businesses that we acquire);</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availability of and our ability to identify suitable acquisition opportunities and our ability to acquire and lease the respective properties on favorable terms or operate and integrate the acquired businesses;</w:t>
      </w:r>
    </w:p>
    <w:p>
      <w:pPr>
        <w:spacing w:after="0" w:line="89" w:lineRule="exact"/>
        <w:rPr>
          <w:rFonts w:ascii="Arial" w:cs="Arial" w:eastAsia="Arial" w:hAnsi="Arial"/>
          <w:sz w:val="11"/>
          <w:szCs w:val="11"/>
          <w:color w:val="auto"/>
        </w:rPr>
      </w:pPr>
    </w:p>
    <w:p>
      <w:pPr>
        <w:ind w:left="1160" w:hanging="583"/>
        <w:spacing w:after="0"/>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generate sufficient cash flows to service our outstanding indebtedness and fund our capital funding commitments;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 w:name="page4"/>
    <w:bookmarkEnd w:id="3"/>
    <w:p>
      <w:pPr>
        <w:spacing w:after="0"/>
        <w:rPr>
          <w:sz w:val="20"/>
          <w:szCs w:val="20"/>
          <w:color w:val="auto"/>
        </w:rPr>
      </w:pPr>
      <w:r>
        <w:rPr>
          <w:rFonts w:ascii="Arial" w:cs="Arial" w:eastAsia="Arial" w:hAnsi="Arial"/>
          <w:sz w:val="12"/>
          <w:szCs w:val="12"/>
          <w:u w:val="single" w:color="auto"/>
          <w:color w:val="0000EE"/>
        </w:rPr>
        <w:t>Table of Contents</w:t>
      </w:r>
    </w:p>
    <w:p>
      <w:pPr>
        <w:spacing w:after="0" w:line="78" w:lineRule="exact"/>
        <w:rPr>
          <w:sz w:val="20"/>
          <w:szCs w:val="20"/>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access debt and equity capital markets;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on our business or the business of our customers as a result of credit rating downgrades, and fluctuating interest rates;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adverse impacts of litigation or disputes involving us or our customers;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retain our key management personnel;</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maintain our status as a REIT;</w:t>
      </w:r>
    </w:p>
    <w:p>
      <w:pPr>
        <w:spacing w:after="0" w:line="78" w:lineRule="exact"/>
        <w:rPr>
          <w:rFonts w:ascii="Arial" w:cs="Arial" w:eastAsia="Arial" w:hAnsi="Arial"/>
          <w:sz w:val="12"/>
          <w:szCs w:val="12"/>
          <w:color w:val="auto"/>
        </w:rPr>
      </w:pPr>
    </w:p>
    <w:p>
      <w:pPr>
        <w:ind w:left="1160" w:right="120" w:hanging="583"/>
        <w:spacing w:after="0" w:line="276" w:lineRule="auto"/>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U.S. tax law and other federal, state or local laws, whether or not specific to REITs, including the impact of the 2017 U.S. tax reform legislation, the CARES Act, the Families First Coronavirus Response Act and the 2021 Appropriations Act;</w:t>
      </w:r>
    </w:p>
    <w:p>
      <w:pPr>
        <w:spacing w:after="0" w:line="42"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covenants in our debt agreements that may limit our operational flexibility;</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possibility that we may experience equipment failures, natural disasters, cyber-attacks or terrorist attacks for which our insurance may not provide adequate coverage;</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risk that we fail to fully realize the potential benefits of or have difficulty in integrating the companies we acquire;</w:t>
      </w:r>
    </w:p>
    <w:p>
      <w:pPr>
        <w:spacing w:after="0" w:line="78" w:lineRule="exact"/>
        <w:rPr>
          <w:rFonts w:ascii="Arial" w:cs="Arial" w:eastAsia="Arial" w:hAnsi="Arial"/>
          <w:sz w:val="12"/>
          <w:szCs w:val="12"/>
          <w:color w:val="auto"/>
        </w:rPr>
      </w:pPr>
    </w:p>
    <w:p>
      <w:pPr>
        <w:ind w:left="1160" w:right="300" w:hanging="583"/>
        <w:spacing w:after="0" w:line="276" w:lineRule="auto"/>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42" w:lineRule="exact"/>
        <w:rPr>
          <w:rFonts w:ascii="Arial" w:cs="Arial" w:eastAsia="Arial" w:hAnsi="Arial"/>
          <w:sz w:val="12"/>
          <w:szCs w:val="12"/>
          <w:color w:val="auto"/>
        </w:rPr>
      </w:pPr>
    </w:p>
    <w:p>
      <w:pPr>
        <w:ind w:left="1160" w:hanging="583"/>
        <w:spacing w:after="0" w:line="276" w:lineRule="auto"/>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Forward-looking statements speak only as of the date of this Annual Report on Form 10-K.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4" w:name="page5"/>
    <w:bookmarkEnd w:id="4"/>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Overview</w:t>
      </w:r>
    </w:p>
    <w:p>
      <w:pPr>
        <w:spacing w:after="0" w:line="154"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Uniti Group Inc. (the “Company”, “Uniti”, “we”, “us” or “our”) is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w:t>
      </w:r>
    </w:p>
    <w:p>
      <w:pPr>
        <w:spacing w:after="0" w:line="115"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As of December 31, 2021, Uniti and its subsidiaries own approximately 128,000 fiber network route miles, representing approximately 7.6 million fiber strand miles, approximately 230,000 route miles of copper cable lines, central office land and buildings across 44 states and beneficial rights to permits, pole agreements and easements. Refer to Part I, Item 2 “Properties” of this Annual Report on Form 10-K for a more detailed breakdown of our telecommunications properties.</w:t>
      </w:r>
    </w:p>
    <w:p>
      <w:pPr>
        <w:spacing w:after="0" w:line="122" w:lineRule="exact"/>
        <w:rPr>
          <w:sz w:val="20"/>
          <w:szCs w:val="20"/>
          <w:color w:val="auto"/>
        </w:rPr>
      </w:pPr>
    </w:p>
    <w:p>
      <w:pPr>
        <w:ind w:right="40"/>
        <w:spacing w:after="0" w:line="255" w:lineRule="auto"/>
        <w:rPr>
          <w:rFonts w:ascii="Arial" w:cs="Arial" w:eastAsia="Arial" w:hAnsi="Arial"/>
          <w:sz w:val="12"/>
          <w:szCs w:val="12"/>
          <w:color w:val="auto"/>
        </w:rPr>
      </w:pPr>
      <w:r>
        <w:rPr>
          <w:rFonts w:ascii="Arial" w:cs="Arial" w:eastAsia="Arial" w:hAnsi="Arial"/>
          <w:sz w:val="12"/>
          <w:szCs w:val="12"/>
          <w:color w:val="auto"/>
        </w:rPr>
        <w:t xml:space="preserve">For the year ended December 31, 2021, we had revenues of $1.1 billion, net income attributable to common shareholders of $122.6 million, Funds From Operations (“FFO”) of $332.8 million and Adjusted Funds From Operations (“AFFO”) of $430.3 million. Both FFO and AFFO are non-GAAP financial measures, which we use to analyze our results. Refer to Part II, Item 7 “Management’s Discussion and Analysis of Financial Condition and Results of Operations,” of this Annual Report on Form 10-K for additional information regarding these non-GAAP financial measures. We have historically managed our operations as four reportable business segments (in addition to our corporate operations), but due to the sale of our former towers business (“Uniti Towers”) and wind down of our consumer competitive local exchange carrier (“CLEC”) business (the “Consumer CLEC Business”), starting in 2021, we managed our operations with a focus on our two primary businesses, Leasing and Fiber Infrastructure (which we refer to as Uniti Leasing and Uniti Fiber, respectively), which are described in more detail in </w:t>
      </w:r>
      <w:hyperlink w:anchor="page104">
        <w:r>
          <w:rPr>
            <w:rFonts w:ascii="Arial" w:cs="Arial" w:eastAsia="Arial" w:hAnsi="Arial"/>
            <w:sz w:val="12"/>
            <w:szCs w:val="12"/>
            <w:u w:val="single" w:color="auto"/>
            <w:color w:val="0000EE"/>
          </w:rPr>
          <w:t>Note 1</w:t>
        </w:r>
      </w:hyperlink>
      <w:r>
        <w:rPr>
          <w:rFonts w:ascii="Arial" w:cs="Arial" w:eastAsia="Arial" w:hAnsi="Arial"/>
          <w:sz w:val="12"/>
          <w:szCs w:val="12"/>
          <w:color w:val="auto"/>
        </w:rPr>
        <w:t>5 to our consolidated financial statements contained in Part II, Item 8 “Financial Statements and Supplementary Data.”</w:t>
      </w:r>
    </w:p>
    <w:p>
      <w:pPr>
        <w:spacing w:after="0" w:line="128"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Refer to Part II, Item 7 “Management’s Discussion and Analysis of Financial Condition and Results of Operations—Overview—Significant Business Developments,” of this Annual Report on Form 10-K for information regarding significant developments in our business in 2021.</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Industry</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current communications infrastructure industry is marked by the growing demand for and use of bandwidth-intensive devices and applications, such as smart devices, real-time and online streaming video, cloud-based applications, social media and mobile broadband. This growth in consumption requires the support of robust communications infrastructure, of which fiber networks and communications towers are critical components. Substantial investments have been made in recent years in fiber networks, lit services and colocation facilities to keep pace with the increased bandwidth use of both enterprise- and consumer-end users. As companies attempt to keep pace with this rapidly evolving business sector, communications infrastructure continues to increase in priority and economic importance. We believe this considerable demand creates significant opportunities for us as an operator and as a funding source for operators seeking to capitalize on these trends through build outs and acquisitions of infrastructure assets.</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The wireless communications industry is a prime example of the growing importance of the bandwidth infrastructure industry. As wireless traffic and mobile data consumption continue to grow worldwide, participants in the wireless communications industry are increasing their network capacity through the development of new wireless cell sites and the addition of bandwidth capacity. Consumers are demanding network quality and coverage, and as a result, wireless carriers are making significant capital investments to improve quality, expand their coverage and remain relevant in a highly competitive industry. We expect this continued growth in capital expenditures to generate high demands for bandwidth infrastructure services.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Strategy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 w:name="page6"/>
    <w:bookmarkEnd w:id="5"/>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Our primary goal is to create long-term stockholder value by (i) generating reliable and growing cash flows, (ii) diversifying our tenant and asset base, (iii) paying a dividend and (iv) maintaining our financial strength and liquidity. To achieve this goal, we employ a business strategy that leverages our first mover advantages in the sector and our strong access to the capital markets. The key components of our business strategy are: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Acquire Additional Infrastructure Assets Through Sale Leaseback Transactions</w:t>
      </w:r>
    </w:p>
    <w:p>
      <w:pPr>
        <w:spacing w:after="0" w:line="150" w:lineRule="exact"/>
        <w:rPr>
          <w:sz w:val="20"/>
          <w:szCs w:val="20"/>
          <w:color w:val="auto"/>
        </w:rPr>
      </w:pPr>
    </w:p>
    <w:p>
      <w:pPr>
        <w:ind w:right="280"/>
        <w:spacing w:after="0" w:line="340" w:lineRule="auto"/>
        <w:rPr>
          <w:sz w:val="20"/>
          <w:szCs w:val="20"/>
          <w:color w:val="auto"/>
        </w:rPr>
      </w:pPr>
      <w:r>
        <w:rPr>
          <w:rFonts w:ascii="Arial" w:cs="Arial" w:eastAsia="Arial" w:hAnsi="Arial"/>
          <w:sz w:val="10"/>
          <w:szCs w:val="10"/>
          <w:color w:val="auto"/>
        </w:rPr>
        <w:t>We actively seek to acquire communications infrastructure assets from communication service providers and lease these assets back to the communication service providers on a long-term basis. We believe this type of transaction benefits the communication service providers with incremental liquidity which can be used to reduce indebtedness or for other investments, while they continue to focus on their existing business. We will employ a disciplined, opportunistic acquisition strategy and seek to price transactions appropriately based on, among other things, growth opportunities, the mix of assets acquired, length and terms of the lease, and credit worthiness of the tenant.</w:t>
      </w:r>
    </w:p>
    <w:p>
      <w:pPr>
        <w:spacing w:after="0" w:line="87"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This strategy also is designed to expand our mix of tenants and other real property and will reduce our revenue concentration with Windstream Holdings, Inc. (“Windstream Holdings” together with Windstream Holdings II, LLC, its successor in interest, and subsidiaries, “Windstream”), our anchor tenant. We expect that this objective will be achieved over time as part of our overall strategy to acquire new distribution systems and other real property within the communications infrastructure industry to further diversify our overall portfolio.</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Capitalize on the Market Demand for Increased Bandwidth Infrastructure and Performance</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Bandwidth intensive devices and applications are rapidly fueling worldwide consumption of bandwidth, which in turn drives a continuously growing demand for stable and secure bandwidth options. Communications service providers and other enterprises whose services and businesses require substantial amounts of bandwidth are increasingly looking to infrastructure providers to support their bandwidth needs and to expand the reach, performance and security of their networks. We believe Uniti Fiber is well positioned to capitalize on this ongoing demand for bandwidth infrastructure solutions.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 Capital Extensions to Existing and New Tenants for Improvements of Infrastructure Assets</w:t>
      </w:r>
    </w:p>
    <w:p>
      <w:pPr>
        <w:spacing w:after="0" w:line="150" w:lineRule="exact"/>
        <w:rPr>
          <w:sz w:val="20"/>
          <w:szCs w:val="20"/>
          <w:color w:val="auto"/>
        </w:rPr>
      </w:pPr>
    </w:p>
    <w:p>
      <w:pPr>
        <w:ind w:right="480"/>
        <w:spacing w:after="0" w:line="323" w:lineRule="auto"/>
        <w:rPr>
          <w:sz w:val="20"/>
          <w:szCs w:val="20"/>
          <w:color w:val="auto"/>
        </w:rPr>
      </w:pPr>
      <w:r>
        <w:rPr>
          <w:rFonts w:ascii="Arial" w:cs="Arial" w:eastAsia="Arial" w:hAnsi="Arial"/>
          <w:sz w:val="11"/>
          <w:szCs w:val="11"/>
          <w:color w:val="auto"/>
        </w:rPr>
        <w:t>We believe the communications infrastructure industry in the United States is currently going through an upgrade cycle driven by consumers’ general desire for greater bandwidth and wireless services. These upgrades require significant capital expenditures, and we believe Uniti provides a non-competitive funding source for communication service providers to help accelerate the improvement and expansion of their networks.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intend to support our tenant operators and other communication service providers by providing capital to them for a variety of purposes, including capacity augmentation projects, tower construction and network expansions. We expect to structure these investments as lease arrangements that produce attractive returns for Uniti. For example, under the leases with our anchor tenant, Windstream, we have agreed to fund up to $1.75 billion in value accretive upgrades to the network we lease to Windstream in exchange for an 8% return and future rental rate increases. For more information on this program with Windstream, refer to Part II, Item 7 “Management’s Discussion and Analysis of Financial Condition and Results of Operations,” of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Facilitate M&amp;A Transactions in the Communication Service Sector as a Capital Partner</w:t>
      </w:r>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We believe Uniti can provide cost efficient funds to potential acquirers in the communication service sector, and thereby facilitate M&amp;A transactions as a capital partner, including by partnering with operators through use of “OpCo-PropCo” structures, pursuant to which we acquire the underlying network and other assets and the operator acquires the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highly fragmented nature of the communication service sector is expected to result in more consolidation, which we believe will provide us ample opportunity to pursue these types of transactions.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6" w:name="page7"/>
    <w:bookmarkEnd w:id="6"/>
    <w:p>
      <w:pPr>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Maintain Balance Sheet Strength and Liquidity</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We seek to maintain a capital structure that provides the resources and financial flexibility to position us to capitalize on strategic growth opportunities. Our access to, and cost of, external capital is dependent on various factors, including general market conditions, credit ratings on our securities, interest rates and expectations of our future business performance. We intend to maintain a strong balance sheet through disciplined use of leverage, aiming to lower our relative cost of capital over time, and continuing to have access to multiple sources of capital and liquidity. As of December 31, 2021, we had $58.9 million of unrestricted cash and cash equivalents. As of December 31, 2021, with the exception of our revolving credit facility, all of our debt was fixed-rate debt.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Competition</w:t>
      </w:r>
    </w:p>
    <w:p>
      <w:pPr>
        <w:spacing w:after="0" w:line="154" w:lineRule="exact"/>
        <w:rPr>
          <w:sz w:val="20"/>
          <w:szCs w:val="20"/>
          <w:color w:val="auto"/>
        </w:rPr>
      </w:pPr>
    </w:p>
    <w:p>
      <w:pPr>
        <w:jc w:val="both"/>
        <w:ind w:right="140"/>
        <w:spacing w:after="0" w:line="259" w:lineRule="auto"/>
        <w:rPr>
          <w:sz w:val="20"/>
          <w:szCs w:val="20"/>
          <w:color w:val="auto"/>
        </w:rPr>
      </w:pPr>
      <w:r>
        <w:rPr>
          <w:rFonts w:ascii="Arial" w:cs="Arial" w:eastAsia="Arial" w:hAnsi="Arial"/>
          <w:sz w:val="12"/>
          <w:szCs w:val="12"/>
          <w:color w:val="auto"/>
        </w:rPr>
        <w:t>We compete for investments in the communications industry with telecommunications companies, investment companies, infrastructure funds, private equity funds, hedge fund investors, sovereign funds and other REITs who focus primarily on specific segments of the communications infrastructure industry. The communications infrastructure industry is characterized by a high degree of competition among a large number of participants, including many local, regional and global corporations. Some of our competitors are significantly larger and have greater financial resources and lower costs of capital than we have. In addition, revenues from our network properties are dependent, to an extent, on the ability of our operating partners, like Windstream, to compete with other communication service providers.</w:t>
      </w:r>
    </w:p>
    <w:p>
      <w:pPr>
        <w:spacing w:after="0" w:line="12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However, we believe we are positioned to identify and successfully capitalize on acquisition opportunities that meet our investment objectives and that we have significant competitive advantages that support our leadership position in owning, funding the construction of and leasing communications infrastructure, including: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First-Mover Advantage; Uniquely Positioned to Capitalize on Expansion Opportunities</w:t>
      </w:r>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are the first REIT primarily focused on the acquisition and construction of mission critical infrastructure in the communications industry. We believe this provides us with a significant first-mover competitive advantage to capitalize on the large and fragmented communications infrastructure industry. Additionally, we believe our position, scale and national reach will help us achieve operational efficiencies and support future growth opportunities.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Large Scale Anchor Tenant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Windstream, as our anchor tenant, provides us with a base of rent revenues as an initial platform for us to grow and diversify our portfolio and tenant base.</w:t>
      </w:r>
    </w:p>
    <w:p>
      <w:pPr>
        <w:spacing w:after="0" w:line="150"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Windstream provides advanced network communications and technology solutions for businesses across the United States. Windstream also offers broadband, entertainment and security solutions to consumers and small businesses primarily in rural areas. Windstream continues to operate the telecommunications network assets, including fiber and copper networks and other real estate (the “Distribution Systems”) which were contributed to us in our spin-off from Windstream in 2015 (the “Spin-off”), hold the associated regulatory licenses and own and operate other assets, including distribution systems in select states not included in the Spin-Off.</w:t>
      </w:r>
    </w:p>
    <w:p>
      <w:pPr>
        <w:spacing w:after="0" w:line="105" w:lineRule="exact"/>
        <w:rPr>
          <w:sz w:val="20"/>
          <w:szCs w:val="20"/>
          <w:color w:val="auto"/>
        </w:rPr>
      </w:pPr>
    </w:p>
    <w:p>
      <w:pPr>
        <w:jc w:val="both"/>
        <w:ind w:right="20"/>
        <w:spacing w:after="0" w:line="379" w:lineRule="auto"/>
        <w:rPr>
          <w:sz w:val="20"/>
          <w:szCs w:val="20"/>
          <w:color w:val="auto"/>
        </w:rPr>
      </w:pPr>
      <w:r>
        <w:rPr>
          <w:rFonts w:ascii="Arial" w:cs="Arial" w:eastAsia="Arial" w:hAnsi="Arial"/>
          <w:sz w:val="10"/>
          <w:szCs w:val="10"/>
          <w:color w:val="auto"/>
        </w:rPr>
        <w:t>Windstream has a diverse customer base, encompassing enterprise and small business customers, carriers and consumers. The Distribution Systems we lease to Windstream are located in 37 different states across the continental United States. The fiber assets in any one state do not account for more than 20% of the total route miles in our network. We believe this geographic diversification will limit the effect of changes in any one market on our overall performance.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7" w:name="page8"/>
    <w:bookmarkEnd w:id="7"/>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For a more detailed discussion of Windstream’s emergence from bankruptcy and our settlement with Windstream refer to Part II, Item 7 “Management’s Discussion and Analysis of Financial Condition and Results of Operations— Overview—Significant Business Developments,”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Strong Relationships with Communication Service Providers</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Members of our management team have developed an extensive network of relationships with qualified local, regional and national communication service providers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Experienced and Committed Management Team</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Our senior management team is comprised of veteran leaders with strong backgrounds in their respective disciplines. Our senior management team has extensive experience managing telecommunications operations, consummating mergers and acquisitions and accessing both debt and equity capital markets to fund growth and maintain a flexible capital structure.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Our Business</w:t>
      </w:r>
    </w:p>
    <w:p>
      <w:pPr>
        <w:spacing w:after="0" w:line="154"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Our primary lines of business are Uniti Leasing and Uniti Fiber, which are described in further detail below. For a more detailed discussion of our other reportable segments, including our former business lines Uniti Towers and the Consumer CLEC Business, and other recent business developments related thereto refer to Part II, Item 7 “Management’s Discussion and Analysis of Financial Condition and Results of Operations—Overview—Significant Business Developments,” of this Annual Report on Form 10-K.</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Uniti Leasing</w:t>
      </w:r>
    </w:p>
    <w:p>
      <w:pPr>
        <w:spacing w:after="0" w:line="150" w:lineRule="exact"/>
        <w:rPr>
          <w:sz w:val="20"/>
          <w:szCs w:val="20"/>
          <w:color w:val="auto"/>
        </w:rPr>
      </w:pPr>
    </w:p>
    <w:p>
      <w:pPr>
        <w:ind w:right="80"/>
        <w:spacing w:after="0" w:line="283" w:lineRule="auto"/>
        <w:rPr>
          <w:sz w:val="20"/>
          <w:szCs w:val="20"/>
          <w:color w:val="auto"/>
        </w:rPr>
      </w:pPr>
      <w:r>
        <w:rPr>
          <w:rFonts w:ascii="Arial" w:cs="Arial" w:eastAsia="Arial" w:hAnsi="Arial"/>
          <w:sz w:val="11"/>
          <w:szCs w:val="11"/>
          <w:color w:val="auto"/>
        </w:rPr>
        <w:t>Uniti Leasing is engaged in acquiring and constructing mission-critical communications assets, such as fiber, data centers, next-generation consumer broadband, coaxial and upgradeable copper, and leasing them back to anchor customers on either an exclusive or shared-tenant basis. Presently, a substantial portion of Uniti Leasing’s revenue is rental revenues from leasing the Distribution Systems to Windstream as described below in the section titled “Significant Customers”. We believe our attractive cost of capital and advantageous REIT structure will enable Uniti Leasing to provide creative and tax-efficient solutions to additional customers, including (i) sale leaseback transactions, whereby Uniti Leasing acquires existing infrastructure assets from communications service providers and leases them back on a long-term basis; (ii) capital investment financing, whereby Uniti Leasing offers communications service providers a cost-efficient method of raising funds for discrete capital investments to upgrade or expand their network; and (iii) mergers and acquisitions financing, whereby Uniti Leasing facilitates mergers and acquisition transactions as a capital partner. Results for Uniti Leasing are reported in our consolidated financial statements in our Leasing business segment.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Uniti Fiber</w:t>
      </w:r>
    </w:p>
    <w:p>
      <w:pPr>
        <w:spacing w:after="0" w:line="150"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Uniti Fiber is a leading provider of infrastructure solutions, including cell site backhaul and small cell for wireless operators and ethernet, wavelengths and dark fiber for telecommunications carriers and enterprises. With Uniti Fiber, our goal is to capitalize on the rising demand by carriers and enterprises for dark fiber, establish ourselves as a proven small-cell systems provider and leverage wholesale enterprise opportunities as well as opportunities through the School and Libraries Program (commonly referred to as E-Rate) administered by the Universal Service Administrative Company. We believe fiber is the mission-critical focal point in the modern communications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infrastructure industry and that Uniti Fiber will accelerate our growth and diversification strategy and expand our relationships with high quality national and international wireless carriers.</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At December 31, 2021, Uniti Fiber’s revenues under contract were over $1.0 billion, with a network consisting of approximately 2.7 million strand miles of fiber and approximately 26,300 customer connections. Results for Uniti Fiber are reported in our consolidated financial statements in our Fiber Infrastructure business segment.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was incorporated in the state of Maryland on September 4, 2014 and was separated and spun-off from Windstream on April 24, 2015.</w:t>
      </w:r>
    </w:p>
    <w:p>
      <w:pPr>
        <w:spacing w:after="0" w:line="150"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Uniti operates as a REIT for U.S. federal income tax purposes. As a REIT, the Company is generally not subject to U.S. federal income taxes on income generated by its REIT operations. We have elected to treat the subsidiaries through which we operate our fiber business, Uniti Fiber, certain aspects of our former towers business, Uniti Towers, and Talk America Services, LLC, which operated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2021, we are the sole general partner of the Operating Partnership and own approximately 99.7% of the partnership interests in the Operating Partnership. In addition, we have undertaken series of transactions to permit us to hold certain of our assets indirectly through subsidiaries that are taxed as REITs, which may also facilitate future acquisition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Human Capital Management</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On December 31, 2021, we employed 754 people, of whom 442 work directly developing and maintaining network operations, 105 in sales and sales support, 65 in shared services, 70 accounting and finance related positions and 72 in operations support roles. None of our employees are subject to a collective bargaining agreement.</w:t>
      </w:r>
    </w:p>
    <w:p>
      <w:pPr>
        <w:spacing w:after="0" w:line="115"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Our employees are our most important resources and their success ultimately creates our own. We fuel their success by offering career growth, recognition and appreciation programs, fulfilling work relationships, empowerment, mentoring, and training and development opportunities. We demonstrate the value we place in our employees financial, physical and emotional health by providing our employees with competitive salaries, health benefits, investment opportunities, vacation options and a generous paid volunteer program, among other benefits.</w:t>
      </w:r>
    </w:p>
    <w:p>
      <w:pPr>
        <w:spacing w:after="0" w:line="12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For the last four years Uniti has been certified as a Great Place to Work®. Our management team strives to embody and promote our company values of united, necessary, innovative, tenacious, and integrity. As a certified Great Place to Work®, 91% of our employees say they are treated fairly and are made to feel welcome. 80% of them agree that Uniti is a great place to work. We believe our energetic and collaborative work environment is a contributing factor to our limited employee turnover and high levels of engagement.</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Within our organization, we believe in unity and know that it can only be generated through connection, collaboration and respect. We are committed to fostering these ideals by hiring, developing and supporting a diverse and inclusive workplace that encourages, supports and celebrates the diverse voices of our team members. Two women sit on our board of directors and women represent approximately 22% of leadership positions across our company. A key component to our commitment includes our Diversity and Inclusion Groups (“DIGs”) which support employees and allies in various experiences including diverse backgrounds, lifestyle, characteristics, and more. Uniti currently has five active DIGs that allow for enrichment, connection and growth for our employees. Each DIG is sponsored and supported by senior leaders across the organization.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both"/>
        <w:ind w:left="8" w:right="100"/>
        <w:spacing w:after="0" w:line="255" w:lineRule="auto"/>
        <w:rPr>
          <w:sz w:val="20"/>
          <w:szCs w:val="20"/>
          <w:color w:val="auto"/>
        </w:rPr>
      </w:pPr>
      <w:r>
        <w:rPr>
          <w:rFonts w:ascii="Arial" w:cs="Arial" w:eastAsia="Arial" w:hAnsi="Arial"/>
          <w:sz w:val="12"/>
          <w:szCs w:val="12"/>
          <w:color w:val="auto"/>
        </w:rPr>
        <w:t>We value our strong ethical foundation and have instituted policies and procedures designed to preserve and prioritize corporate integrity. To actively promote honest, ethical and respectful conduct, we engage in a top-down approach by requiring our directors and executives to set high standards of integrity, responsibility and transparency. We insist all employees adhere to a code of conduct that sets standards for appropriate behavior and includes information on preventing, identifying, reporting and stopping any type of discrimination or unethical behavior.</w:t>
      </w:r>
    </w:p>
    <w:p>
      <w:pPr>
        <w:spacing w:after="0" w:line="127" w:lineRule="exact"/>
        <w:rPr>
          <w:sz w:val="20"/>
          <w:szCs w:val="20"/>
          <w:color w:val="auto"/>
        </w:rPr>
      </w:pPr>
    </w:p>
    <w:p>
      <w:pPr>
        <w:ind w:left="8"/>
        <w:spacing w:after="0" w:line="254" w:lineRule="auto"/>
        <w:rPr>
          <w:sz w:val="20"/>
          <w:szCs w:val="20"/>
          <w:color w:val="auto"/>
        </w:rPr>
      </w:pPr>
      <w:r>
        <w:rPr>
          <w:rFonts w:ascii="Arial" w:cs="Arial" w:eastAsia="Arial" w:hAnsi="Arial"/>
          <w:sz w:val="12"/>
          <w:szCs w:val="12"/>
          <w:color w:val="auto"/>
        </w:rPr>
        <w:t>As a result of the COVID-19 pandemic, we implemented safety protocols to protect our employees, customers and communities during the pandemic. These protocols include health and safety training and compliance with social distancing and other health and safety standards as required by federal, state and local government agencies, taking into consideration guidelines of the Centers for Disease Control and Prevention and other public health authorities. Many of our administrative and operational functions during this time have required modification, including some of our workforce working remotely. Our experienced teams adapted to the changes in our work environment and have managed our business successfully during this challenging time. To further support the mental health needs of our employees, we added an employer-paid virtual mental health benefit in addition to our already available Employee Assistance Program (EAP). Our EAP offers free, confidential assessments and short-term counseling to employees. Together, with our additional virtual mental health benefit, employees have the opportunity to seek in person or virtual assistance with personal and/or work-related problems. In 2021, Uniti launched Remote Work Academy which allows eligible employees primarily located within offices to enroll in a six-month virtual learning academy teaching them successful and effective business practices necessary to work remotely. Upon graduation of Remote Work Academy, employees are formally transitioned to a remote work opportunity giving them the flexibility to work from home in lieu of reporting to an office location.</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auto"/>
        </w:rPr>
        <w:t>Uniti will continue to seek opportunities to support the overall health and well-being of our employees as we continue to realize significant value for our stockholders, customers and communities.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Significant Customers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the years ended December 31, 2021, 2020 and 2019, 66.4%, 65.8% and 65.0% of our revenues, respectively, were derived from leasing our Distribution Systems to Windstream Holdings.</w:t>
      </w:r>
    </w:p>
    <w:p>
      <w:pPr>
        <w:spacing w:after="0" w:line="150" w:lineRule="exact"/>
        <w:rPr>
          <w:sz w:val="20"/>
          <w:szCs w:val="20"/>
          <w:color w:val="auto"/>
        </w:rPr>
      </w:pPr>
    </w:p>
    <w:p>
      <w:pPr>
        <w:ind w:left="8" w:right="120"/>
        <w:spacing w:after="0" w:line="305" w:lineRule="auto"/>
        <w:rPr>
          <w:sz w:val="20"/>
          <w:szCs w:val="20"/>
          <w:color w:val="auto"/>
        </w:rPr>
      </w:pPr>
      <w:r>
        <w:rPr>
          <w:rFonts w:ascii="Arial" w:cs="Arial" w:eastAsia="Arial" w:hAnsi="Arial"/>
          <w:sz w:val="10"/>
          <w:szCs w:val="10"/>
          <w:color w:val="auto"/>
        </w:rPr>
        <w:t>On April 24, 2015, we were separated and spun-off from Windstream pursuant to which Windstream contributed the Distribution Systems and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w:t>
      </w:r>
    </w:p>
    <w:p>
      <w:pPr>
        <w:ind w:left="8" w:right="60" w:hanging="8"/>
        <w:spacing w:after="0" w:line="255" w:lineRule="auto"/>
        <w:tabs>
          <w:tab w:leader="none" w:pos="171" w:val="left"/>
        </w:tabs>
        <w:numPr>
          <w:ilvl w:val="0"/>
          <w:numId w:val="5"/>
        </w:numPr>
        <w:rPr>
          <w:rFonts w:ascii="Arial" w:cs="Arial" w:eastAsia="Arial" w:hAnsi="Arial"/>
          <w:sz w:val="12"/>
          <w:szCs w:val="12"/>
          <w:color w:val="auto"/>
        </w:rPr>
      </w:pPr>
      <w:r>
        <w:rPr>
          <w:rFonts w:ascii="Arial" w:cs="Arial" w:eastAsia="Arial" w:hAnsi="Arial"/>
          <w:sz w:val="12"/>
          <w:szCs w:val="12"/>
          <w:color w:val="auto"/>
        </w:rPr>
        <w:t>a master lease that governs Uniti owned assets used for Windstream’s incumbent local exchange carrier (“ILEC”) operations and (b) a master lease that governs Uniti Owned assets used for Windstream’s CLEC operations. For a more detailed discussion of Windstream’s emergence from bankruptcy and our settlement with Windstream refer to Part II, Item 7 “Management’s Discussion and Analysis of Financial Condition and Results of Operations—Overview —Significant Business Developments,” of this Annual Report on Form 10-K.</w:t>
      </w:r>
    </w:p>
    <w:p>
      <w:pPr>
        <w:spacing w:after="0" w:line="127" w:lineRule="exact"/>
        <w:rPr>
          <w:sz w:val="20"/>
          <w:szCs w:val="20"/>
          <w:color w:val="auto"/>
        </w:rPr>
      </w:pPr>
    </w:p>
    <w:p>
      <w:pPr>
        <w:ind w:left="8" w:right="200"/>
        <w:spacing w:after="0" w:line="263" w:lineRule="auto"/>
        <w:rPr>
          <w:sz w:val="20"/>
          <w:szCs w:val="20"/>
          <w:color w:val="auto"/>
        </w:rPr>
      </w:pPr>
      <w:r>
        <w:rPr>
          <w:rFonts w:ascii="Arial" w:cs="Arial" w:eastAsia="Arial" w:hAnsi="Arial"/>
          <w:sz w:val="12"/>
          <w:szCs w:val="12"/>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On September 22, 2020, Windstream filed a Form 15 to terminate all filing obligations under Sections 12(g) and 15(d) under the Exchange Act. Windstream’s filings are not incorporated by reference in this Annual Report on Form 10-K.</w:t>
      </w:r>
    </w:p>
    <w:p>
      <w:pPr>
        <w:spacing w:after="0" w:line="122" w:lineRule="exact"/>
        <w:rPr>
          <w:sz w:val="20"/>
          <w:szCs w:val="20"/>
          <w:color w:val="auto"/>
        </w:rPr>
      </w:pPr>
    </w:p>
    <w:p>
      <w:pPr>
        <w:ind w:left="8" w:right="100"/>
        <w:spacing w:after="0" w:line="323" w:lineRule="auto"/>
        <w:rPr>
          <w:sz w:val="20"/>
          <w:szCs w:val="20"/>
          <w:color w:val="auto"/>
        </w:rPr>
      </w:pPr>
      <w:r>
        <w:rPr>
          <w:rFonts w:ascii="Arial" w:cs="Arial" w:eastAsia="Arial" w:hAnsi="Arial"/>
          <w:sz w:val="11"/>
          <w:szCs w:val="11"/>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w:t>
      </w:r>
    </w:p>
    <w:p>
      <w:pPr>
        <w:spacing w:after="0" w:line="9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10" w:name="page11"/>
    <w:bookmarkEnd w:id="10"/>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(v) monitoring Windstream’s compliance with the terms of the Windstream Leases and (vi) monitoring the timeliness of its payments under the Windstream Leases.</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As of the date of this Annual Report on Form 10-K, Windstream is current on all lease payments. We note that in August 2020, Moody’s Investors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addition, in order to assist us in our continuing assessment of Windstream’s creditworthiness, we periodically receive certain confidential financial information and metrics from Windstream. Refer to Part II, Item 7 “Management’s Discussion and Analysis of Financial Condition and Results of Operations,” of this Annual Report on Form 10-K for additional information regarding this assessment.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Government Regulation, Licensing and Enforcement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Telecommunications Regulatory Overview</w:t>
      </w:r>
    </w:p>
    <w:p>
      <w:pPr>
        <w:spacing w:after="0" w:line="150" w:lineRule="exact"/>
        <w:rPr>
          <w:sz w:val="20"/>
          <w:szCs w:val="20"/>
          <w:color w:val="auto"/>
        </w:rPr>
      </w:pPr>
    </w:p>
    <w:p>
      <w:pPr>
        <w:ind w:right="100"/>
        <w:spacing w:after="0" w:line="285" w:lineRule="auto"/>
        <w:rPr>
          <w:sz w:val="20"/>
          <w:szCs w:val="20"/>
          <w:color w:val="auto"/>
        </w:rPr>
      </w:pPr>
      <w:r>
        <w:rPr>
          <w:rFonts w:ascii="Arial" w:cs="Arial" w:eastAsia="Arial" w:hAnsi="Arial"/>
          <w:sz w:val="11"/>
          <w:szCs w:val="11"/>
          <w:color w:val="auto"/>
        </w:rPr>
        <w:t>Our subsidiaries and our tenants operate in a regulated market. As operators of telecommunications facilities and services, both we and the current and future tenants of our telecommunications assets are typically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Federal and state telecommunications laws and regulations are wide-ranging, and violations of them can subject us and our tenants to civil, criminal and administrative sanctions. We expect that the telecommunications industry, in general, will continue to face increased regulation. Changes in laws and regulations and violations of federal or state laws or regulations by us or our tenants could have a significant direct or indirect effect on our operations and financial condition, as detailed below and set forth under “Risk Factors—Risks Related to Our Business.”</w:t>
      </w:r>
    </w:p>
    <w:p>
      <w:pPr>
        <w:spacing w:after="0" w:line="113" w:lineRule="exact"/>
        <w:rPr>
          <w:sz w:val="20"/>
          <w:szCs w:val="20"/>
          <w:color w:val="auto"/>
        </w:rPr>
      </w:pPr>
    </w:p>
    <w:p>
      <w:pPr>
        <w:ind w:right="40"/>
        <w:spacing w:after="0" w:line="316" w:lineRule="auto"/>
        <w:rPr>
          <w:sz w:val="20"/>
          <w:szCs w:val="20"/>
          <w:color w:val="auto"/>
        </w:rPr>
      </w:pPr>
      <w:r>
        <w:rPr>
          <w:rFonts w:ascii="Arial" w:cs="Arial" w:eastAsia="Arial" w:hAnsi="Arial"/>
          <w:sz w:val="10"/>
          <w:szCs w:val="10"/>
          <w:color w:val="auto"/>
        </w:rPr>
        <w:t>Our operations require that certain of our subsidiaries across all segments hold licenses or other forms of authorization from the FCC and state PUCs in those states where we operate, and in some jurisdictions our subsidiaries must file tariffs or other price lists describing their rates, terms and conditions of the services they provide.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In addition, our subsidiaries are required to submit periodic reports to the FCC and PUCs documenting their revenues and other data. Some of this information is used as the basis for the imposition of various regulatory fees and other assessments.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assets, we may be required to provide notice and/or obtain prior approval from certain governmental agencies. Failure to obtain required approvals could subject us to fines or other penalties.</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2"/>
          <w:szCs w:val="12"/>
          <w:color w:val="auto"/>
        </w:rPr>
        <w:t>Our subsidiaries are subject to a number of federal and state regulations that govern the way we can conduct our business. Such regulations also impose certain operating costs on our businesses. These regulations can include restrictions on pricing flexibility for certain products, minimum service quality standards, service reporting, intercarrier compensation, contributions to universal service, and other obligations. Further, the relaxation of regulatory requirements on our competitors, such as those granting us access to incumbent local exchange carrier facilities and/or services or the prices that such carriers may charge for such services or access to their facilities, may also have a detrimental effect on the businesses of our subsidiaries and/or tenants.</w:t>
      </w:r>
    </w:p>
    <w:p>
      <w:pPr>
        <w:spacing w:after="0" w:line="124" w:lineRule="exact"/>
        <w:rPr>
          <w:sz w:val="20"/>
          <w:szCs w:val="20"/>
          <w:color w:val="auto"/>
        </w:rPr>
      </w:pPr>
    </w:p>
    <w:p>
      <w:pPr>
        <w:spacing w:after="0" w:line="379" w:lineRule="auto"/>
        <w:rPr>
          <w:sz w:val="20"/>
          <w:szCs w:val="20"/>
          <w:color w:val="auto"/>
        </w:rPr>
      </w:pPr>
      <w:r>
        <w:rPr>
          <w:rFonts w:ascii="Arial" w:cs="Arial" w:eastAsia="Arial" w:hAnsi="Arial"/>
          <w:sz w:val="10"/>
          <w:szCs w:val="10"/>
          <w:color w:val="auto"/>
        </w:rPr>
        <w:t>We have sought to structure the operations for our core real estate business in a manner to minimize the likelihood that we may be required to become regulated as a public utility or common carrier by the FCC or PUCs, but a number of our business operations are nonetheless subject to federal, state, and local regulation, and we cannot guarantee that our core real estate business will not become further subject to federal, state, and local regulation in the future.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With respect to the broadband internet services that we provide, traditionally, the FCC has recognized that broadband internet access services are “information services” subject to limited regulation. In 2015, the FCC issued a “network neutrality” decision that declared broadband internet access services to be subject to certain “telecommunications services” regulation under Title II of the Communications Act of 1934. These regulations would have limited the ways that broadband internet access service providers could structure business arrangements and manage their networks and spurred additional restrictions, including rate regulation, which could adversely affect broadband investment and innovation. In 2017, the FCC voted to return broadband internet access service to its prior classification as “information services.” As a result of these decisions, state legislators and governors have introduced, and in some cases passed, state laws and executive orders requiring different levels of adherence to “network neutrality” principles for broadband internet access service providers active in the applicable states. As a result of these laws and regulations, it is unclear at this time how broadband services will be regulated in the future, and the potential impact those regulations may have on our broadband internet service business.</w:t>
      </w:r>
    </w:p>
    <w:p>
      <w:pPr>
        <w:spacing w:after="0" w:line="113" w:lineRule="exact"/>
        <w:rPr>
          <w:sz w:val="20"/>
          <w:szCs w:val="20"/>
          <w:color w:val="auto"/>
        </w:rPr>
      </w:pPr>
    </w:p>
    <w:p>
      <w:pPr>
        <w:ind w:right="340"/>
        <w:spacing w:after="0" w:line="259" w:lineRule="auto"/>
        <w:rPr>
          <w:sz w:val="20"/>
          <w:szCs w:val="20"/>
          <w:color w:val="auto"/>
        </w:rPr>
      </w:pPr>
      <w:r>
        <w:rPr>
          <w:rFonts w:ascii="Arial" w:cs="Arial" w:eastAsia="Arial" w:hAnsi="Arial"/>
          <w:sz w:val="12"/>
          <w:szCs w:val="12"/>
          <w:color w:val="auto"/>
        </w:rPr>
        <w:t>Communications towers owned by our subsidiaries are subject to federal, state and local regulatory requirements with respect to the registration, siting, construction, lighting, marking and maintenance. In the United States, the construction of new towers or modifications to existing towers may require pre-approval by the FCC and the Federal Aviation Administration (“FAA”), depending on factors such as tower height and proximity to public airfields. Towers requiring pre-approval must be registered with the FCC and maintained in accordance with FCC and FAA standards. Non-compliance with applicable tower-related requirements may lead to monetary penalties or site deconstruction orders.</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Towers are also subject to zoning restrictions and restrictive covenants imposed by local authorities or community organizations. While these regulations vary, they typically require approval from local authorities or community standards organizations prior to tower construction or the addition of a new antenna to an existing tower. Opposition by local zoning authorities and community residents can delay or prevent new tower construction or site upgrade projects, thereby increasing the costs and timing of new tower construction and modifications or site upgrades.</w:t>
      </w:r>
    </w:p>
    <w:p>
      <w:pPr>
        <w:spacing w:after="0" w:line="122"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 failure to properly maintain towers pursuant to applicable regulatory requirements, such as but not limited to, lighting, painting, and other safety standards, can subject us to significant enforcement actions, including monetary penalties both within the United States and abroad.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Uniti Fiber</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Our subsidiaries that compose Uniti Fiber own and operate significant fiber and other communications backhaul facilities throughout various regions of the United States. The provision of such services is often subject to FCC and PUC licensure in many jurisdictions, and the companies are typically licensed as CLECs and/or interexchange carriers in those states where they operate. The companies also hold various FCC wireless licenses in order to provide microwave backhaul and other wireless services. Because of the nature of the licenses that these companies hold, and the nature of the services that they provide, they are subject to various federal and state regulatory requirements, including, but not limited to, revenue and other reporting requirements and tariffing requirements. The companies must also maintain their wireless licenses with the FCC, which requires construction and notification reporting and other regulatory requirements. New fiber network construction is also subject to certain state and local governmental permitting and licensing requirements. Delays in the local and state permitting process can delay the construction of new facilities. Failure to abide by permit requirements can subject the company to fines and other penalties.</w:t>
      </w:r>
    </w:p>
    <w:p>
      <w:pPr>
        <w:spacing w:after="0" w:line="128"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In some cases, our subsidiaries that compose Uniti Fiber utilize services or facilities of incumbent local exchange carriers through arrangements established under the Telecommunications Act of 1996 and FCC regulations. The FCC has recently issued orders allowing ILECs to stop offering such elements and/or to increase the rates that they may charge competitive providers for access to such elements. The loss of these elements, or significant price increases associated with our use of such elements, may increase our costs to maintain and construct new network facilities to replace those we may no longer access, or have other negative effects on our business such as a loss of ability to continue to provide services to certain customers.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Regulatory Changes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 w:name="page13"/>
    <w:bookmarkEnd w:id="1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Future revenues, costs, and capital investment in the communication businesses of our tenants, Uniti Fiber, and other related entities could be adversely affected by material changes to, or decisions regarding applicability of, government requirements, including, but not limited to, changes in rules governing inter-carrier compensation, interconnection access to network facilities, state and federal universal service fund (“USF”) support, rules governing the prices that can be charged for business data services, infrastructure location and siting rules, access to unbundled network elements, and other requirements. Federal and state communications laws and regulations may be amended in the future, and other new laws and regulations may affect our business. In addition, certain laws and regulations applicable to us and our competitors may be, and have been, challenged in the courts and could be vacated or modified at any time. We cannot predict future developments or changes to the regulatory environment or the impact such developments or changes would have on our business.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Both our subsidiaries and our tenants may also be affected by legislation and/or regulation imposing new or additional obligations related to, for example, law enforcement assistance, cyber-security protection, intellectual property rights protections, environmental protections, consumer privacy, tax, or other areas. We cannot predict how any such future changes may impact our business, or the business of our tenants</w:t>
      </w:r>
      <w:r>
        <w:rPr>
          <w:rFonts w:ascii="Arial" w:cs="Arial" w:eastAsia="Arial" w:hAnsi="Arial"/>
          <w:sz w:val="12"/>
          <w:szCs w:val="12"/>
          <w:i w:val="1"/>
          <w:iCs w:val="1"/>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Environmental Matters</w:t>
      </w:r>
    </w:p>
    <w:p>
      <w:pPr>
        <w:spacing w:after="0" w:line="154" w:lineRule="exact"/>
        <w:rPr>
          <w:sz w:val="20"/>
          <w:szCs w:val="20"/>
          <w:color w:val="auto"/>
        </w:rPr>
      </w:pPr>
    </w:p>
    <w:p>
      <w:pPr>
        <w:ind w:right="100"/>
        <w:spacing w:after="0" w:line="283" w:lineRule="auto"/>
        <w:rPr>
          <w:sz w:val="20"/>
          <w:szCs w:val="20"/>
          <w:color w:val="auto"/>
        </w:rPr>
      </w:pPr>
      <w:r>
        <w:rPr>
          <w:rFonts w:ascii="Arial" w:cs="Arial" w:eastAsia="Arial" w:hAnsi="Arial"/>
          <w:sz w:val="11"/>
          <w:szCs w:val="11"/>
          <w:color w:val="auto"/>
        </w:rPr>
        <w:t>A wide variety of federal, state and local environmental and occupational health and safety laws and regulations affect telecommunications operations and facilities. These laws and regulations, and their enforcement, involve complex and varied requirements, and many such laws and regulations impose strict liability for violations.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Insurance</w:t>
      </w:r>
    </w:p>
    <w:p>
      <w:pPr>
        <w:spacing w:after="0" w:line="154"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We maintain, or will require in our leases (including the Windstream Leases) that our tenants maintain, applicable lines of insurance on our properties and their operations. Under the Windstream Leases, Windstream has the right to self-insure or use a captive provider with respect to its insurance obligations. We believe that the amount and scope of insurance coverage provided by our policies and the policies maintained by our tenants are customary for similarly situated companies in the telecommunications industry. However, our tenants may elect not to, or be able to, maintain the required insurance coverages, and the failure by any of them to do so could have a material adverse effect on us. We may not continue to require the same levels of insurance coverage under our leases, including the Windstream Leases, and such insurance may not be available at a reasonable cost in the future or fully cover all losses on our properties upon the occurrence of a catastrophic event. Moreover, we cannot guarantee the future financial viability of the insurers.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Available Information</w:t>
      </w:r>
    </w:p>
    <w:p>
      <w:pPr>
        <w:spacing w:after="0" w:line="154" w:lineRule="exact"/>
        <w:rPr>
          <w:sz w:val="20"/>
          <w:szCs w:val="20"/>
          <w:color w:val="auto"/>
        </w:rPr>
      </w:pPr>
    </w:p>
    <w:p>
      <w:pPr>
        <w:ind w:right="240"/>
        <w:spacing w:after="0" w:line="298" w:lineRule="auto"/>
        <w:rPr>
          <w:sz w:val="20"/>
          <w:szCs w:val="20"/>
          <w:color w:val="auto"/>
        </w:rPr>
      </w:pPr>
      <w:r>
        <w:rPr>
          <w:rFonts w:ascii="Arial" w:cs="Arial" w:eastAsia="Arial" w:hAnsi="Arial"/>
          <w:sz w:val="11"/>
          <w:szCs w:val="11"/>
          <w:color w:val="auto"/>
        </w:rPr>
        <w:t>Our principal executive offices are located at 2101 Riverfront Drive, Suite A, Little Rock, AR 72202 and our telephone number is (501) 850-0820. We maintain a website at www.uniti.com. Our Annual Reports on Form 10-K, Quarterly Reports on Form 10-Q, Current Reports on Form 8-K and any amendments to those reports filed or furnished pursuant to Section 13(a) or 15(d) of the Exchange Act are available on our website, free of charge, as soon as reasonably practicable after we electronically file such materials with, or furnish them to, the Securities and Exchange Commission. Our Exchange Act filings can also be found at www.sec.gov.</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3" w:name="page14"/>
    <w:bookmarkEnd w:id="13"/>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Current copies of our Code of Business Conduct and Ethics &amp; Whistleblower Policy, Corporate Governance Guidelines, and the charters for our Audit, Compensation and Governance Committees are posted in the “Corporate Governance” section of the About Us page of our website at www.uniti.com.</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The COVID-19 pandemic, and the future outbreak of other highly infectious or contagious diseases, could disrupt the operation of our business resulting in adverse impacts to our financial condition, results of operations, and cash flow.</w:t>
      </w:r>
    </w:p>
    <w:p>
      <w:pPr>
        <w:spacing w:after="0" w:line="115"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The COVID-19 pandemic has negatively impacted the global economy, disrupted global supply chains and created significant volatility and disruption of financial markets, and another pandemic in the future could do the same. Given the ongoing and dynamic nature of the circumstances, it is difficult to predict the impact of COVID-19 and new emerging variants may have on us, and there is no guarantee that efforts by us, designed to address adverse impacts of COVID-19, will be effective.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response to the COVID-19 pandemic, federal, state, and local governments adopted certain policies and initiatives including travel restrictions, stay at home policies, temporary business closures, social distancing and vaccination requirements. While many of these measures have been loosened, the ongoing pandemic and COVID-19 outbreaks have resulted in, and may continue to result in, reinstating these measures or implementing new or additional measures. While we have been able to navigate workplace restrictions and limitations with minimal disruptions to our business operations to date, we may be required to further modify our business practices in response to further government policies and initiatives or other negative impacts in response to the ongoing COVID-19 pandemic and new emerging variants.</w:t>
      </w:r>
    </w:p>
    <w:p>
      <w:pPr>
        <w:spacing w:after="0" w:line="124"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Although our businesses are considered essential, the current COVID-19 pandemic, or a future pandemic, could have material and adverse effects on our ability to successfully operate and on our financial condition, results of operations and cash flows due to, among other factors:</w:t>
      </w:r>
    </w:p>
    <w:p>
      <w:pPr>
        <w:spacing w:after="0" w:line="115" w:lineRule="exact"/>
        <w:rPr>
          <w:sz w:val="20"/>
          <w:szCs w:val="20"/>
          <w:color w:val="auto"/>
        </w:rPr>
      </w:pPr>
    </w:p>
    <w:p>
      <w:pPr>
        <w:ind w:left="1000" w:right="500" w:hanging="540"/>
        <w:spacing w:after="0" w:line="276" w:lineRule="auto"/>
        <w:tabs>
          <w:tab w:leader="none" w:pos="1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significant disruptions or delays in our operations or network performance, as well as network maintenance and construction, testing, supervisory and customer support activities, and inventory and supply procurement;</w:t>
      </w:r>
    </w:p>
    <w:p>
      <w:pPr>
        <w:spacing w:after="0" w:line="114" w:lineRule="exact"/>
        <w:rPr>
          <w:rFonts w:ascii="Arial" w:cs="Arial" w:eastAsia="Arial" w:hAnsi="Arial"/>
          <w:sz w:val="12"/>
          <w:szCs w:val="12"/>
          <w:color w:val="auto"/>
        </w:rPr>
      </w:pPr>
    </w:p>
    <w:p>
      <w:pPr>
        <w:ind w:left="1000" w:right="140" w:hanging="540"/>
        <w:spacing w:after="0" w:line="276" w:lineRule="auto"/>
        <w:tabs>
          <w:tab w:leader="none" w:pos="1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increases in operating costs, inventory shortages and/or a decrease in productivity related to travel bans, social distancing efforts, vaccine mandates that may delay construction activities or require our vendor and contractors to incur additional costs that may be passed onto us;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delays in permitting activities due to the shutdown of local permitting authorities;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1"/>
          <w:szCs w:val="11"/>
          <w:color w:val="auto"/>
        </w:rPr>
        <w:t>a deterioration in our ability to operate in affected areas or delays in the supply of products or services to us from vendors that are needed for our efficient operations could adversely affect our operations;</w:t>
      </w:r>
    </w:p>
    <w:p>
      <w:pPr>
        <w:spacing w:after="0" w:line="297" w:lineRule="exact"/>
        <w:rPr>
          <w:sz w:val="20"/>
          <w:szCs w:val="20"/>
          <w:color w:val="auto"/>
        </w:rPr>
      </w:pPr>
    </w:p>
    <w:p>
      <w:pPr>
        <w:ind w:left="1000" w:hanging="540"/>
        <w:spacing w:after="0"/>
        <w:tabs>
          <w:tab w:leader="none" w:pos="1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impact on our contracts with customers and suppliers, including potential disputes over whether COVID-19 constitutes a force majeure event;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adverse impact on the timing of installs in our enterprise and wholesale customer segments at Uniti Fiber;</w:t>
      </w:r>
    </w:p>
    <w:p>
      <w:pPr>
        <w:spacing w:after="0" w:line="285" w:lineRule="exact"/>
        <w:rPr>
          <w:sz w:val="20"/>
          <w:szCs w:val="20"/>
          <w:color w:val="auto"/>
        </w:rPr>
      </w:pPr>
    </w:p>
    <w:p>
      <w:pPr>
        <w:ind w:left="1000" w:right="440" w:hanging="540"/>
        <w:spacing w:after="0" w:line="276" w:lineRule="auto"/>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general reduction in business and economic activity may severely impact our clients’ financial condition and liquidity and may cause them to be unable to meet their obligations to us in full, or at all, or to otherwise seek modifications of such obligations;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4" w:name="page15"/>
    <w:bookmarkEnd w:id="14"/>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1000" w:right="500" w:hanging="540"/>
        <w:spacing w:after="0" w:line="500" w:lineRule="auto"/>
        <w:tabs>
          <w:tab w:leader="none" w:pos="1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or address existing and anticipated liabilities on a timely basis; and</w:t>
      </w:r>
    </w:p>
    <w:p>
      <w:pPr>
        <w:spacing w:after="0" w:line="1" w:lineRule="exact"/>
        <w:rPr>
          <w:rFonts w:ascii="Arial" w:cs="Arial" w:eastAsia="Arial" w:hAnsi="Arial"/>
          <w:sz w:val="12"/>
          <w:szCs w:val="12"/>
          <w:color w:val="auto"/>
        </w:rPr>
      </w:pPr>
    </w:p>
    <w:p>
      <w:pPr>
        <w:ind w:left="1000" w:hanging="540"/>
        <w:spacing w:after="0"/>
        <w:tabs>
          <w:tab w:leader="none" w:pos="100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potential negative impact on the health of our personnel, particularly if a significant number of them are impacted, could result in a deterioration in our ability to ensure business continuity during a disruption.</w:t>
      </w:r>
    </w:p>
    <w:p>
      <w:pPr>
        <w:spacing w:after="0" w:line="162" w:lineRule="exact"/>
        <w:rPr>
          <w:sz w:val="20"/>
          <w:szCs w:val="20"/>
          <w:color w:val="auto"/>
        </w:rPr>
      </w:pPr>
    </w:p>
    <w:p>
      <w:pPr>
        <w:jc w:val="both"/>
        <w:ind w:right="180"/>
        <w:spacing w:after="0" w:line="298" w:lineRule="auto"/>
        <w:rPr>
          <w:sz w:val="20"/>
          <w:szCs w:val="20"/>
          <w:color w:val="auto"/>
        </w:rPr>
      </w:pPr>
      <w:r>
        <w:rPr>
          <w:rFonts w:ascii="Arial" w:cs="Arial" w:eastAsia="Arial" w:hAnsi="Arial"/>
          <w:sz w:val="11"/>
          <w:szCs w:val="11"/>
          <w:color w:val="auto"/>
        </w:rPr>
        <w:t>We have implemented policies and procedures designed to mitigate the risk of adverse impacts of the COVID-19 pandemic, or a future pandemic, on our operations, but we may incur additional costs to ensure continuity of business operations caused by COVID-19, or other future pandemics, which could adversely affect our financial condition and results of operations. However, the extent of such impacts will depend on future developments, which are highly uncertain and cannot be predicted, including new information which may emerge concerning the severity of COVID-19 and actions taken to contain COVID-19 or its impact, among others.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the settlement with Windstream may require us to raise significant additional capital.</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We expect to raise capital to fund obligations to Windstream, including (i) $490.1 million of settlement payments payable over time (of which $269.6 million remains to be paid as of December 31, 2021) and (ii) an aggregate of up to $1.75 billion for certain growth capital improvements in long-term value accretive fiber and related assets made by Windstream (or other applicable tenant) to certain ILEC and CLEC properties (the “Growth Capital Improvements”) subject to the Windstream Leases (although such investments will lead to higher rent payments). We will closely monitor capital markets and will seek to access them promptly when we determine market conditions are appropriate. The amount, nature and timing of any capital markets transactions will depend on: our operating performance and other circumstances; any limitations imposed by our current credit arrangements; and overall market conditions. If we are unable to access the capital markets as we anticipate (including because our cost of capital is higher than the returns we will get on our investment in Windstream),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30"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auto"/>
        </w:rPr>
        <w:t>We are dependent on Windstream to make payments to us under the Windstream Leases, and an event that materially and adversely affects Windstream’s business, financial position or results of operations could materially and adversely affect our business, financial position or results of operations.</w:t>
      </w:r>
    </w:p>
    <w:p>
      <w:pPr>
        <w:spacing w:after="0" w:line="11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Windstream is the lessee of the Distribution Systems pursuant to the Windstream Leases and, therefore, is presently the source of a substantial portion of our revenues. There can be no assurance that Windstream will have sufficient assets, income and access to financing to enable it to satisfy its payment and other obligations under the Windstream Leases. In recent years, Windstream has experienced annual declines in its total revenue, sales and cash flow and has undergone a restructuring under Chapter 11 of the U.S. Bankruptcy Code.</w:t>
      </w:r>
    </w:p>
    <w:p>
      <w:pPr>
        <w:spacing w:after="0" w:line="122"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The inability or unwillingness of Windstream to meet its rent obligations under the Windstream Leases could materially adversely affect our business, financial position or results of operations, including our ability to pay dividends to our stockholders as required to maintain our status as a REIT. The inability of Windstream to satisfy its other obligations under the Windstream Leases, such as the payment of insurance, taxes and utilities, could materially and adversely affect the condition of the Distribution Systems as well as the business, financial position and results of operations of Windstream. In addition, Windstream will be dependent on distributions from its subsidiaries in order to satisfy the payment obligations under the Windstream Leases, as such, if its subsidiaries were to experience a material and adverse effect on their business, financial position or results of operations, our business, financial position or results of operations could also be materially and adversely affected.</w:t>
      </w:r>
    </w:p>
    <w:p>
      <w:pPr>
        <w:spacing w:after="0" w:line="128"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Failure by Windstream to comply with the terms of the Windstream Leases or to comply with the regulations to which the Distribution Systems are subject could require us to find another lessee for such Distribution Systems, or a portion thereof, and there could be a decrease or cessation of rental payments by Windstream.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60"/>
        <w:spacing w:after="0" w:line="289" w:lineRule="auto"/>
        <w:rPr>
          <w:sz w:val="20"/>
          <w:szCs w:val="20"/>
          <w:color w:val="auto"/>
        </w:rPr>
      </w:pPr>
      <w:r>
        <w:rPr>
          <w:rFonts w:ascii="Arial" w:cs="Arial" w:eastAsia="Arial" w:hAnsi="Arial"/>
          <w:sz w:val="11"/>
          <w:szCs w:val="11"/>
          <w:color w:val="auto"/>
        </w:rPr>
        <w:t>There is no assurance that we would be able to lease the Distribution Systems to another lessee on substantially equivalent or better terms than the Windstream Leases,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unable to renew the Windstream Leases on commercially attractive terms or at all.</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initial term of the Windstream Leases expires on April 30, 2030. There can be no assurance that Windstream will renew the Windstream Leases upon their expiration. See “—We are dependent on Windstream to make payments to us under the Windstream Leases, and an event that materially and adversely affects Windstream’s business, financial position or results of operations could materially and adversely affect our business, financial position or results of operations.”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If Windstream elects to renew the Windstream Leases, we and Windstream will need to reach a mutual agreement on the rent for the renewal term. The Windstream Leases require that the renewal rent be “Fair Market Rent,” and if we and Windstream are unable to agree on that amount, the renewal Fair Market Rent will be determined by an independent appraisal process. If the current rent payable by Windstream exceeds the Fair Market Rent at the time of renewal, then the renewal term rent will be lower than the current rent payable by Windstream. We are confident that any renewal will be at a rate reflecting fair value and should be at an amount that will at least approximate current rent amounts, but we can provide no assurance as to the outcome of any negotiation or appraisal process. Any significant decrease in the renewal rent of the Windstream Leases could have a material adverse effect on our results of operations, financial condition and future prospects.</w:t>
      </w:r>
    </w:p>
    <w:p>
      <w:pPr>
        <w:spacing w:after="0" w:line="128" w:lineRule="exact"/>
        <w:rPr>
          <w:sz w:val="20"/>
          <w:szCs w:val="20"/>
          <w:color w:val="auto"/>
        </w:rPr>
      </w:pPr>
    </w:p>
    <w:p>
      <w:pPr>
        <w:ind w:right="420"/>
        <w:spacing w:after="0" w:line="379" w:lineRule="auto"/>
        <w:rPr>
          <w:sz w:val="20"/>
          <w:szCs w:val="20"/>
          <w:color w:val="auto"/>
        </w:rPr>
      </w:pPr>
      <w:r>
        <w:rPr>
          <w:rFonts w:ascii="Arial" w:cs="Arial" w:eastAsia="Arial" w:hAnsi="Arial"/>
          <w:sz w:val="10"/>
          <w:szCs w:val="10"/>
          <w:b w:val="1"/>
          <w:bCs w:val="1"/>
          <w:i w:val="1"/>
          <w:iCs w:val="1"/>
          <w:color w:val="auto"/>
        </w:rPr>
        <w:t>If the Spin-Off, together with certain related transactions, fails to qualify as a tax-free transaction for U.S. federal income tax purposes, both we and Windstream could be subject to significant tax liabilities and, in certain circumstances, we could be required to indemnify Windstream for material taxes pursuant to indemnification obligations under the tax matters agreement entered into in connection with the Spin-Off.</w:t>
      </w:r>
    </w:p>
    <w:p>
      <w:pPr>
        <w:spacing w:after="0" w:line="69"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Windstream received a private letter ruling (the “IRS Ruling”) from the Internal Revenue Service (the “IRS”) to the effect that, on the basis of certain facts presented and representations and assumptions set forth in the request submitted to the IRS, the Spin-Off will qualify as tax-free under Sections 355 and 368(a)(1)(D) of the Internal Revenue Code of 1986, as amended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and Windstream’s use of Uniti indebtedness and common stock to retire certain of Windstream’s indebtedness (the “debt exchanges”). Accordingly, the Spin-Off was conditioned upon the receipt by Windstream of a tax opinion from its counsel with respect to the requirements on which the IRS did not rule, which concluded that such requirements also should be satisfied. The tax opinion was based on, among other things, the IRS Ruling, then current law and certain representations and assumptions as to factual matters made by Windstream and us.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is not binding on the IRS or the courts, and the IRS or the courts may not agree with the tax opinion.</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If the Spin-Off were determined to be taxable, Windstream would recognize taxable gain. Under the terms of the tax matters agreement entered into with Windstream in connection with the Spin-Off (the “Tax Matters Agreement”),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6" w:name="page17"/>
    <w:bookmarkEnd w:id="16"/>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connection with the request for the IRS Ruling or the representations provided in connection with the tax opinion. Our indemnification obligations to Windstream are not limited by any maximum amount and such amounts could be substantial. If we are required to indemnify Windstream under the circumstances set forth in the Tax Matters Agreement, we may also be subject to substantial tax liabilities.</w:t>
      </w:r>
    </w:p>
    <w:p>
      <w:pPr>
        <w:spacing w:after="0" w:line="115"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In addition, if the Spin-Off or the debt exchanges failed to qualify as tax free for U.S. federal income tax purposes, Windstream may incur significant tax liabilities that could materially affect Windstream’s ability to make payments under the Windstream Leases.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As of December 31, 2021, we had outstanding long term indebtedness of approximately $5.18 billion consisting of senior notes and a revolving credit facility provided by a syndicate of banks and other financial institutions, which, as of December 31, 2021, provided for an aggregate committed amount of borrowings up to approximately $560.5 million. Subject to the restrictions set forth in our debt agreements, our board of directors may establish and change our leverage 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 and our ability to pay dividends. Please see Part II, Item 7 “Management’s Discussion and Analysis of Financial Condition and Results of Operations—Liquidity and Capital Resources—Credit Agreement” for information about the terms of the limited waiver we received from the lenders to our Credit Agreement.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anticipate that we will have sufficient access to liquidity to fund our cash needs; if we are unable to do so, we would need to reduce our spending and it could have an adverse effect on us.</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We anticipate continuing to invest in our network infrastructure across our Uniti Leasing and Uniti Fiber portfolios. We anticipate declaring dividends for the 2022 tax year to comply with our REIT distribution requirements. We also expect the need to raise capital to finance the Settlement, which includes growth capital investments, with Windstream. We anticipate that we will partially finance these needs, together with operating expenses (including our debt service obligations) from our cash on hand and cash flows provided by operating activities. However, we may need to access the capital markets to generate additional funds in an amount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1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We intend to pursue acquisitions of additional properties and seek acquisitions and other strategic opportunities. Accordingly, we currently are, and expect in the future to be, engaged in evaluating potential transactions and other strategic alternatives. Although there is uncertainty that any of these discussions will result in definitive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7" w:name="page18"/>
    <w:bookmarkEnd w:id="17"/>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Reports of a potential sale of the business may interfere with our business and harm our results of operations.</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Media outlets have recently reported that certain unaffiliated third parties are interested in acquiring us. There can be no assurance that any such transaction will occur. We generally do not confirm or deny rumors, and we also do not generally announce negotiations or discussions until definitive documentation has been executed. Such rumors and any related actions taken by third parties could adversely affect our business, as responding to such reports and activity can be costly and time-consuming, disruptive to our operations and divert the attention of management and our employees. Moreover, such reports and activities may create perceived uncertainties among current and potential customers, employees and other constituencies as to our future direction, which could result in the loss of business opportunities and make it more difficult to attract and retain qualified personnel. In addition, any perception of a possible transaction may cause significant fluctuations in our stock price that do not necessarily reflect the underlying fundamentals and prospects of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162"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As the owner, lessor and provider of communications services and distribution systems serving the communications industry, we are impacted by the risks associated with the communications industry. Therefore, our success is to some degree dependent on the communications industry, which could be adversely affected by economic conditions in general, changes in consumer trends and preferences, changes in communications technology designed to enhance the efficiency of communications distribution systems (including lit fiber networks and wireless equipment), and other factors over which we and our tenants have no control. As we are subject to risks inherent in substantial investments in a single industry, a decrease in the communications business or development and implementation of any such new technologies would likely have an adverse effect on our revenues.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Our business, and that of our tenants, is subject to federal, state and local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 Government Regulation, Licensing and Enforcement.”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further impairment of our goodwill would negatively impact our financial condition and operating results.</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Goodwill represents the excess of cost over the fair value of net assets acquired in business combinations. Impairment may result from significant changes in the manner of use of the acquired assets, negative industry or economic trends and/or any changes in key assumptions regarding our fair value. In 2020 and 2021, the COVID-19 pandemic and supply chain disruptions contributed to significant financial market volatility. The extent to which the fair value of net assets acquired in business combinations is ultimately impacted will depend on numerous evolving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8" w:name="page19"/>
    <w:bookmarkEnd w:id="18"/>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factors that are presently uncertain and which we may not be able to predict. Although we assess potential impairment of our goodwill on an annual basis, the ongoing impact of the COVID-19 pandemic may cause us to perform an interim analysis of our goodwill and cause us to report an impairment charge in the future, which could have a significant adverse impact on our reported earnings. At December 31, 2021, we had $601.9 million of goodwill on our consolidated balance sheet. For a discussion of our goodwill impairment testing, see “Note 3. Summary of Significant Accounting Policies-Goodwill” to our consolidated financial statements in Part II, Item 8 “Financial Statements and Supplementary Data” and “Critical Accounting Policies-Evaluation of Goodwill Impairment” in Part II, Item 7 “Management’s Discussion and Analysis of Financial Condition and Results of Operations” of this Annual Report on Form 10-K.</w:t>
      </w:r>
    </w:p>
    <w:p>
      <w:pPr>
        <w:spacing w:after="0" w:line="128"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15"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The Windstream Leases require, and we expect that additional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information technology in our operations, and any material failure, inadequacy, interruption or security failure of that technology could harm our business.</w:t>
      </w:r>
    </w:p>
    <w:p>
      <w:pPr>
        <w:spacing w:after="0" w:line="150" w:lineRule="exact"/>
        <w:rPr>
          <w:sz w:val="20"/>
          <w:szCs w:val="20"/>
          <w:color w:val="auto"/>
        </w:rPr>
      </w:pPr>
    </w:p>
    <w:p>
      <w:pPr>
        <w:ind w:right="120"/>
        <w:spacing w:after="0" w:line="285" w:lineRule="auto"/>
        <w:rPr>
          <w:sz w:val="20"/>
          <w:szCs w:val="20"/>
          <w:color w:val="auto"/>
        </w:rPr>
      </w:pPr>
      <w:r>
        <w:rPr>
          <w:rFonts w:ascii="Arial" w:cs="Arial" w:eastAsia="Arial" w:hAnsi="Arial"/>
          <w:sz w:val="11"/>
          <w:szCs w:val="11"/>
          <w:color w:val="auto"/>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Additionally, due to the ongoing COVID-19 pandemic, many of our employees may still be working remotely from their homes for the foreseeable future, which could have the effect of exacerbating any of the foregoing risks. While we have taken steps to ensure the security of our data and to prevent security breaches, many of these measures are being deployed for the first time on a widespread and sustained basis, and there is no guarantee the data security and privacy safeguards we have put in place will be completely effective or that we will not encounter some of the common risks associated with employees accessing Company data and systems remotely. As a result, we may be required to expend significant capital and other resources to protect against security breaches or to alleviate problems caused by security breaches.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failure of Uniti Fiber’s physical infrastructure or services could lead to significant costs and disruptions.</w:t>
      </w:r>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Uniti Fiber’s business depends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9" w:name="page20"/>
    <w:bookmarkEnd w:id="19"/>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effect of war, terrorism and any related conflicts or similar events worldwide, and sabotage and vandalism. Problems within Uniti Fiber’s networks or facilities, whether within our control or the control of third-party providers, could result in service interruptions or equipment damage. We may not be able to efficiently upgrade or change Uniti Fiber’s networks or facilities to meet new demands without incurring significant costs that we may not be able to pass on to customers. Given the service guarantees that may be included in Uniti Fiber’s agreements with customers, such disruptions could result in customer credits; however, we cannot assume that customers will accept these credits as compensation in the future, and we may face additional liability or loss of customers.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Unforeseen events could adversely affect our operations, business, and reputation</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We could be negatively impacted by other unforeseen events, such as extreme weather events, natural disasters (including as a result of any potential effects of climate change), acts of vandalism, or outbreak of other highly infectious or contagious diseases. There is increasing concern that global climate change is occurring and could result in increased frequency of certain types of natural disasters and extreme weather events. We cannot predict with certainty the rate at which climate change is occurring or the potential direct or indirect impacts of climate change to our business. Any such unforeseen events could, among other things, damage or delay deployment of our communication infrastructure, interrupt or delay service to our tenants or could result in legal claims or penalties, disruption in operations, damage to our reputation, negative market perception, or costly response measures, which could adversely affect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Status of Uniti as a REIT</w:t>
      </w:r>
    </w:p>
    <w:p>
      <w:pPr>
        <w:spacing w:after="0" w:line="154"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b w:val="1"/>
          <w:bCs w:val="1"/>
          <w:i w:val="1"/>
          <w:iCs w:val="1"/>
          <w:color w:val="auto"/>
        </w:rPr>
        <w:t>If we do not qualify as a REIT, or fail to remain qualified as a REIT, we will be subject to U.S. federal income tax as a regular corporation and could face a substantial tax liability, which could reduce the amount of cash available for distribution to our stockholders and to service debt.</w:t>
      </w:r>
    </w:p>
    <w:p>
      <w:pPr>
        <w:spacing w:after="0" w:line="115"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operate as a REIT for U.S. federal income tax purposes, as does one of our principal operating subsidiaries. Our qualification as a REIT will depend on our satisfaction of certain highly technical and complex asset, income, organizational, distribution, stockholder ownership and other requirements, including at the level of our subsidiary REIT,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22"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If we or our subsidiary REIT were to fail to qualify as a REIT in any taxable year, unless certain relief provisions apply, we would be subject to U.S. federal income tax on all of our taxable income at regular corporate rates and dividends paid to our stockholders would not be deductible by us in computing our taxable income. As a result, we would no longer be required to pay dividends in order to qualify to be taxed as a REIT, and we could decide to reduce the amount of dividends we pay to our stockholders. Any resulting corporate liability could be substantial and could reduce the amount of 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w:t>
      </w:r>
    </w:p>
    <w:p>
      <w:pPr>
        <w:spacing w:after="0" w:line="128" w:lineRule="exact"/>
        <w:rPr>
          <w:sz w:val="20"/>
          <w:szCs w:val="20"/>
          <w:color w:val="auto"/>
        </w:rPr>
      </w:pPr>
    </w:p>
    <w:p>
      <w:pPr>
        <w:ind w:right="120"/>
        <w:spacing w:after="0" w:line="326" w:lineRule="auto"/>
        <w:rPr>
          <w:sz w:val="20"/>
          <w:szCs w:val="20"/>
          <w:color w:val="auto"/>
        </w:rPr>
      </w:pPr>
      <w:r>
        <w:rPr>
          <w:rFonts w:ascii="Arial" w:cs="Arial" w:eastAsia="Arial" w:hAnsi="Arial"/>
          <w:sz w:val="10"/>
          <w:szCs w:val="10"/>
          <w:color w:val="auto"/>
        </w:rPr>
        <w:t>In addition, our 7.875% senior secured notes due 2025 presently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Legislative or other actions affecting REITs could have a negative effect on us.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 affect our ability to remain qualified as a REIT, the federal income tax consequences of such qualification, the determination of the amount of REIT taxable income or the amount of tax paid by our TRSs.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fail to qualify as a REIT if income we receive from lease transactions, such as income from Windstream pursuant to the Windstream Leases, is not treated as qualifying income.</w:t>
      </w:r>
    </w:p>
    <w:p>
      <w:pPr>
        <w:spacing w:after="0" w:line="150"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Under applicable provisions of the Code, we will not be treated as a REIT unless we satisfy various requirements, including requirements relating to the sources of our gross income. Rents received or accrued by us from Windstream or other lessees will not be treated as qualifying rent for purposes of these requirements if the relevant lease is not respected as a “true lease” for U.S. federal income tax purposes and is instead treated as a service contract, joint venture or some other type of arrangement. If any of our leases, including the Windstream Leases, are not respected as a true lease for U.S. federal income tax purposes, we may fail to qualify as a REIT.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REIT distribution requirements could adversely affect our ability to execute our business plan.</w:t>
      </w:r>
    </w:p>
    <w:p>
      <w:pPr>
        <w:spacing w:after="0" w:line="150" w:lineRule="exact"/>
        <w:rPr>
          <w:sz w:val="20"/>
          <w:szCs w:val="20"/>
          <w:color w:val="auto"/>
        </w:rPr>
      </w:pPr>
    </w:p>
    <w:p>
      <w:pPr>
        <w:ind w:right="240"/>
        <w:spacing w:after="0" w:line="285" w:lineRule="auto"/>
        <w:rPr>
          <w:sz w:val="20"/>
          <w:szCs w:val="20"/>
          <w:color w:val="auto"/>
        </w:rPr>
      </w:pPr>
      <w:r>
        <w:rPr>
          <w:rFonts w:ascii="Arial" w:cs="Arial" w:eastAsia="Arial" w:hAnsi="Arial"/>
          <w:sz w:val="11"/>
          <w:szCs w:val="11"/>
          <w:color w:val="auto"/>
        </w:rPr>
        <w:t>We generally must qualify as a REIT and distribute annually at least 90% of our REIT taxable income, determined without regard to the dividends paid deduction and excluding any net capital gains, for the U.S. federal corporate income tax not to apply to earnings that we distribute (assuming that certain other requirements are also satisfied).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The same rules apply to our REIT subsidiary. We currently intend to make distributions to our stockholders, and to cause our REIT subsidiary to make distributions, to comply with the REIT requirements of the Code.</w:t>
      </w:r>
    </w:p>
    <w:p>
      <w:pPr>
        <w:spacing w:after="0" w:line="113"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Our FFO is currently generated largely by rents paid under the Windstream Leases.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deterioration in Windstream’s financial condition could adversely affect our ability to continue to qualify as a REIT.</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to satisfying the distribution requirement described above in the immediately preceding risk factor, we and our subsidiary REIT must each satisfy a number of other requirements in order to qualify as a REIT. A deterioration in Windstream’s financial condition could adversely affect our ability to satisfy several of these requirements and thus our ability to continue to qualify as a REIT.</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example, in order to qualify as a REIT for any year, at the end of each calendar quarter, at least 75% of the value of our assets must consist of cash, cash items, government securities and “real estate assets” (as defined in the Code), and no more than 20% of the value of our total assets can be represented by securities (other than qualified real estate assets) of one or more TRSs. If we fail to comply with either of these requirements at the end of any calendar quarter, we must correct the failure within 30 days after the end of the calendar quarter or qualify for certain statutory relief provisions to avoid losing our REIT qualification. These same rules apply to our REIT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subsidiary. Our ability to satisfy these requirements depends in substantial part on the value of the assets that are the subject of the Windstream Leases with Windstream, and any diminution in the value of such assets, including as a result of any diminution in the implied value of the Windstream Leases as a result of changes in the financial condition or creditworthiness of Windstream or Windstream’s inability or unwillingness to meet its rent and other obligations under the Windstream Leases, could adversely affect our ability to satisfy these requirements at the end of any calendar quarter, and there can be no assurance that we would be able to timely correct any such failure or otherwise qualify for any statutory relief provision. See “—Risks Related to Our Business—We are dependent on Windstream Holdings to make payments to us under the Windstream Leases, and an event that materially and adversely affects Windstream’s business, financial position or results of operations could materially and adversely affect our business, financial position or results of operations.” In addition, under applicable provisions of the Code, we will not be treated as a REIT for any year unless we satisfy various requirements, including requirements relating to the sources of our gross income in such year. These same rules apply to our REIT subsidiary. Our ability to satisfy these gross income tests depends in substantial part on our receipt of rents paid under the Windstream Leases. Windstream’s inability or unwillingness to meet its rent and other obligations under the Windstream Leases, or any suspension, delay or other reduction in the amount of rent that we receive under the Windstream Leases could adversely affect our ability to qualify as a REIT.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remain qualified as a REIT, we may face other tax liabilities that reduce our cash flow.</w:t>
      </w:r>
    </w:p>
    <w:p>
      <w:pPr>
        <w:spacing w:after="0" w:line="150"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Complying with the REIT requirements may cause us to forego otherwise attractive acquisition opportunities.</w:t>
      </w:r>
    </w:p>
    <w:p>
      <w:pPr>
        <w:spacing w:after="0" w:line="150" w:lineRule="exact"/>
        <w:rPr>
          <w:sz w:val="20"/>
          <w:szCs w:val="20"/>
          <w:color w:val="auto"/>
        </w:rPr>
      </w:pPr>
    </w:p>
    <w:p>
      <w:pPr>
        <w:ind w:right="140"/>
        <w:spacing w:after="0" w:line="313" w:lineRule="auto"/>
        <w:rPr>
          <w:sz w:val="20"/>
          <w:szCs w:val="20"/>
          <w:color w:val="auto"/>
        </w:rPr>
      </w:pPr>
      <w:r>
        <w:rPr>
          <w:rFonts w:ascii="Arial" w:cs="Arial" w:eastAsia="Arial" w:hAnsi="Arial"/>
          <w:sz w:val="10"/>
          <w:szCs w:val="10"/>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no more than 20% of the value of our total assets can be represented by securities (other than qualified real estate assets) of one or more TRSs, and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forego otherwise attractive investments. These actions could have the effect of reducing our income and amounts available for distribution to our stockholders and servicing our debt.</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cannot guarantee our ability to pay dividends in the future, and we could elect to pay dividends substantially in the form of additional shares of our common stock.</w:t>
      </w:r>
    </w:p>
    <w:p>
      <w:pPr>
        <w:spacing w:after="0" w:line="150" w:lineRule="exact"/>
        <w:rPr>
          <w:sz w:val="20"/>
          <w:szCs w:val="20"/>
          <w:color w:val="auto"/>
        </w:rPr>
      </w:pPr>
    </w:p>
    <w:p>
      <w:pPr>
        <w:ind w:right="220"/>
        <w:spacing w:after="0" w:line="326" w:lineRule="auto"/>
        <w:rPr>
          <w:sz w:val="20"/>
          <w:szCs w:val="20"/>
          <w:color w:val="auto"/>
        </w:rPr>
      </w:pPr>
      <w:r>
        <w:rPr>
          <w:rFonts w:ascii="Arial" w:cs="Arial" w:eastAsia="Arial" w:hAnsi="Arial"/>
          <w:sz w:val="10"/>
          <w:szCs w:val="10"/>
          <w:color w:val="auto"/>
        </w:rPr>
        <w:t>To qualify as a REIT, our annual dividend must not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ensure that we will achieve investment results that will allow us to make a specified level of cash dividends or year-to-year increases in cash dividends in the future. Accordingly,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 stock. If we do so, the common stock that we distribute would be taxable dividend income to our shareholders, in whole or in part, based on the fair market value of our common stock at the time the dividend is paid.</w:t>
      </w:r>
    </w:p>
    <w:p>
      <w:pPr>
        <w:spacing w:after="0" w:line="122" w:lineRule="exact"/>
        <w:rPr>
          <w:sz w:val="20"/>
          <w:szCs w:val="20"/>
          <w:color w:val="auto"/>
        </w:rPr>
      </w:pPr>
    </w:p>
    <w:p>
      <w:pPr>
        <w:ind w:right="80"/>
        <w:spacing w:after="0" w:line="285" w:lineRule="auto"/>
        <w:rPr>
          <w:sz w:val="20"/>
          <w:szCs w:val="20"/>
          <w:color w:val="auto"/>
        </w:rPr>
      </w:pPr>
      <w:r>
        <w:rPr>
          <w:rFonts w:ascii="Arial" w:cs="Arial" w:eastAsia="Arial" w:hAnsi="Arial"/>
          <w:sz w:val="11"/>
          <w:szCs w:val="11"/>
          <w:color w:val="auto"/>
        </w:rPr>
        <w:t>Furthermore, while we are required to pay dividends in order to maintain our REIT status (as described above under “Risks Related to the Status of Uniti as a REIT—REIT distribution requirements could adversely affect our ability to execute our business plan”), we may elect not to maintain our REIT status, in which case we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which may result in holders of our common stock incurring tax liability without the receipt of a corresponding amount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and trading volume of our common stock may fluctuate widely.</w:t>
      </w:r>
    </w:p>
    <w:p>
      <w:pPr>
        <w:spacing w:after="0" w:line="150"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We cannot predict the prices at which our common stock may trade. The market price of our common stock has fluctuated significantly since February 15, 2019 and may continue to fluctuate significantly, depending upon many factors, some of which may be beyond our control. In addition, under the settlement with Windstream, we issued 38,633,470 shares, equal to 19.99% of our currently outstanding common stock, to certain investors at a purchase price of $6.33 per share. These investors will be able to resell their shares into the market over time, which could lead to volatility and lower declines in the price of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50" w:lineRule="exact"/>
        <w:rPr>
          <w:sz w:val="20"/>
          <w:szCs w:val="20"/>
          <w:color w:val="auto"/>
        </w:rPr>
      </w:pPr>
    </w:p>
    <w:p>
      <w:pPr>
        <w:ind w:right="20"/>
        <w:spacing w:after="0" w:line="316" w:lineRule="auto"/>
        <w:rPr>
          <w:sz w:val="20"/>
          <w:szCs w:val="20"/>
          <w:color w:val="auto"/>
        </w:rPr>
      </w:pPr>
      <w:r>
        <w:rPr>
          <w:rFonts w:ascii="Arial" w:cs="Arial" w:eastAsia="Arial" w:hAnsi="Arial"/>
          <w:sz w:val="10"/>
          <w:szCs w:val="10"/>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Properties.</w:t>
      </w:r>
    </w:p>
    <w:p>
      <w:pPr>
        <w:spacing w:after="0" w:line="154" w:lineRule="exact"/>
        <w:rPr>
          <w:sz w:val="20"/>
          <w:szCs w:val="20"/>
          <w:color w:val="auto"/>
        </w:rPr>
      </w:pPr>
    </w:p>
    <w:p>
      <w:pPr>
        <w:ind w:left="8" w:right="300"/>
        <w:spacing w:after="0" w:line="276" w:lineRule="auto"/>
        <w:rPr>
          <w:sz w:val="20"/>
          <w:szCs w:val="20"/>
          <w:color w:val="auto"/>
        </w:rPr>
      </w:pPr>
      <w:r>
        <w:rPr>
          <w:rFonts w:ascii="Arial" w:cs="Arial" w:eastAsia="Arial" w:hAnsi="Arial"/>
          <w:sz w:val="12"/>
          <w:szCs w:val="12"/>
          <w:color w:val="auto"/>
        </w:rPr>
        <w:t>Uniti and its subsidiaries own or lease approximately 128,000 fiber network route miles, representing approximately 7.6 million fiber strand miles, approximately 230,000 route miles of copper cable lines, wireless communication towers, central office land and buildings across 44 states and beneficial rights to permits, pole agreements and easements.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Leasing Segment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Uniti Leasing’s network properties include its fiber route miles and copper route miles. Below is a geographic distribution summary as of December 31, 2021:</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78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240" w:type="dxa"/>
            <w:vAlign w:val="bottom"/>
          </w:tcPr>
          <w:p>
            <w:pPr>
              <w:ind w:left="440"/>
              <w:spacing w:after="0"/>
              <w:rPr>
                <w:sz w:val="20"/>
                <w:szCs w:val="20"/>
                <w:color w:val="auto"/>
              </w:rPr>
            </w:pPr>
            <w:r>
              <w:rPr>
                <w:rFonts w:ascii="Arial" w:cs="Arial" w:eastAsia="Arial" w:hAnsi="Arial"/>
                <w:sz w:val="10"/>
                <w:szCs w:val="10"/>
                <w:b w:val="1"/>
                <w:bCs w:val="1"/>
                <w:color w:val="auto"/>
                <w:w w:val="93"/>
              </w:rPr>
              <w:t>Fiber Route Miles</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ind w:left="400"/>
              <w:spacing w:after="0"/>
              <w:rPr>
                <w:sz w:val="20"/>
                <w:szCs w:val="20"/>
                <w:color w:val="auto"/>
              </w:rPr>
            </w:pPr>
            <w:r>
              <w:rPr>
                <w:rFonts w:ascii="Arial" w:cs="Arial" w:eastAsia="Arial" w:hAnsi="Arial"/>
                <w:sz w:val="10"/>
                <w:szCs w:val="10"/>
                <w:b w:val="1"/>
                <w:bCs w:val="1"/>
                <w:color w:val="auto"/>
                <w:w w:val="85"/>
              </w:rPr>
              <w:t>Copper Route Miles</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gridSpan w:val="2"/>
          </w:tcPr>
          <w:p>
            <w:pPr>
              <w:ind w:left="460"/>
              <w:spacing w:after="0"/>
              <w:rPr>
                <w:sz w:val="20"/>
                <w:szCs w:val="20"/>
                <w:color w:val="auto"/>
              </w:rPr>
            </w:pPr>
            <w:r>
              <w:rPr>
                <w:rFonts w:ascii="Arial" w:cs="Arial" w:eastAsia="Arial" w:hAnsi="Arial"/>
                <w:sz w:val="10"/>
                <w:szCs w:val="10"/>
                <w:b w:val="1"/>
                <w:bCs w:val="1"/>
                <w:color w:val="auto"/>
              </w:rPr>
              <w:t>Total Route Miles</w:t>
            </w:r>
          </w:p>
        </w:tc>
      </w:tr>
      <w:tr>
        <w:trPr>
          <w:trHeight w:val="151"/>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TX</w:t>
            </w:r>
          </w:p>
        </w:tc>
        <w:tc>
          <w:tcPr>
            <w:tcW w:w="124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12,700</w:t>
            </w:r>
          </w:p>
        </w:tc>
        <w:tc>
          <w:tcPr>
            <w:tcW w:w="280" w:type="dxa"/>
            <w:vAlign w:val="bottom"/>
            <w:tcBorders>
              <w:top w:val="single" w:sz="8" w:color="CFF0FC"/>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39,000</w:t>
            </w:r>
          </w:p>
        </w:tc>
        <w:tc>
          <w:tcPr>
            <w:tcW w:w="260" w:type="dxa"/>
            <w:vAlign w:val="bottom"/>
            <w:tcBorders>
              <w:top w:val="single" w:sz="8" w:color="CFF0FC"/>
            </w:tcBorders>
            <w:shd w:val="clear" w:color="auto" w:fill="CFF0FC"/>
          </w:tcPr>
          <w:p>
            <w:pPr>
              <w:spacing w:after="0"/>
              <w:rPr>
                <w:sz w:val="13"/>
                <w:szCs w:val="13"/>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51,700</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GA</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11,800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44,900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56,700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KY</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32,200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42,100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IA</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8,900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31,500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40,400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NC</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18,000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OH</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5,300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10,400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15,700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AR</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13,500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IL</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3,500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3,500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FL</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OK</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2,400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12,000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14,400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IN</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MI</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2,000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2,000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WI</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CA</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1,800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1,800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MO</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10,800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NM</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1,600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5,100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6,700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NY</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PA</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1,300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1,300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TN</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AL</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3,600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VA</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LA</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2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6,700</w:t>
            </w:r>
          </w:p>
        </w:tc>
        <w:tc>
          <w:tcPr>
            <w:tcW w:w="280" w:type="dxa"/>
            <w:vAlign w:val="bottom"/>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1,500</w:t>
            </w:r>
          </w:p>
        </w:tc>
        <w:tc>
          <w:tcPr>
            <w:tcW w:w="260" w:type="dxa"/>
            <w:vAlign w:val="bottom"/>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8,200</w:t>
            </w:r>
          </w:p>
        </w:tc>
        <w:tc>
          <w:tcPr>
            <w:tcW w:w="120" w:type="dxa"/>
            <w:vAlign w:val="bottom"/>
            <w:shd w:val="clear" w:color="auto" w:fill="CFF0FC"/>
          </w:tcPr>
          <w:p>
            <w:pPr>
              <w:spacing w:after="0"/>
              <w:rPr>
                <w:sz w:val="14"/>
                <w:szCs w:val="14"/>
                <w:color w:val="auto"/>
              </w:rPr>
            </w:pPr>
          </w:p>
        </w:tc>
      </w:tr>
      <w:tr>
        <w:trPr>
          <w:trHeight w:val="151"/>
        </w:trPr>
        <w:tc>
          <w:tcPr>
            <w:tcW w:w="5780" w:type="dxa"/>
            <w:vAlign w:val="bottom"/>
          </w:tcPr>
          <w:p>
            <w:pPr>
              <w:spacing w:after="0"/>
              <w:rPr>
                <w:sz w:val="20"/>
                <w:szCs w:val="20"/>
                <w:color w:val="auto"/>
              </w:rPr>
            </w:pPr>
            <w:r>
              <w:rPr>
                <w:rFonts w:ascii="Arial" w:cs="Arial" w:eastAsia="Arial" w:hAnsi="Arial"/>
                <w:sz w:val="12"/>
                <w:szCs w:val="12"/>
                <w:color w:val="auto"/>
              </w:rPr>
              <w:t>Total</w:t>
            </w:r>
          </w:p>
        </w:tc>
        <w:tc>
          <w:tcPr>
            <w:tcW w:w="1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92,300</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2"/>
              </w:rPr>
              <w:t>229,700</w:t>
            </w:r>
          </w:p>
        </w:tc>
        <w:tc>
          <w:tcPr>
            <w:tcW w:w="2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322,000</w:t>
            </w:r>
          </w:p>
        </w:tc>
        <w:tc>
          <w:tcPr>
            <w:tcW w:w="120" w:type="dxa"/>
            <w:vAlign w:val="bottom"/>
          </w:tcPr>
          <w:p>
            <w:pPr>
              <w:spacing w:after="0"/>
              <w:rPr>
                <w:sz w:val="13"/>
                <w:szCs w:val="13"/>
                <w:color w:val="auto"/>
              </w:rPr>
            </w:pPr>
          </w:p>
        </w:tc>
      </w:tr>
    </w:tbl>
    <w:p>
      <w:pPr>
        <w:spacing w:after="0" w:line="9" w:lineRule="exact"/>
        <w:rPr>
          <w:sz w:val="20"/>
          <w:szCs w:val="20"/>
          <w:color w:val="auto"/>
        </w:rPr>
      </w:pPr>
    </w:p>
    <w:p>
      <w:pPr>
        <w:ind w:left="148" w:hanging="148"/>
        <w:spacing w:after="0"/>
        <w:tabs>
          <w:tab w:leader="none" w:pos="148" w:val="left"/>
        </w:tabs>
        <w:numPr>
          <w:ilvl w:val="0"/>
          <w:numId w:val="10"/>
        </w:numPr>
        <w:rPr>
          <w:rFonts w:ascii="Arial" w:cs="Arial" w:eastAsia="Arial" w:hAnsi="Arial"/>
          <w:sz w:val="10"/>
          <w:szCs w:val="10"/>
          <w:color w:val="auto"/>
        </w:rPr>
      </w:pPr>
      <w:r>
        <w:rPr>
          <w:rFonts w:ascii="Arial" w:cs="Arial" w:eastAsia="Arial" w:hAnsi="Arial"/>
          <w:sz w:val="12"/>
          <w:szCs w:val="12"/>
          <w:color w:val="auto"/>
        </w:rPr>
        <w:t>Includes 20 states.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u w:val="single" w:color="auto"/>
          <w:color w:val="0000EE"/>
        </w:rPr>
        <w:t>Table of Contents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Fiber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Uniti Fiber’s network properties include its fiber route miles and wireless communications towers. Below is a geographic distribution summary as of December 31,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54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Fiber Route Miles</w:t>
            </w:r>
          </w:p>
        </w:tc>
      </w:tr>
      <w:tr>
        <w:trPr>
          <w:trHeight w:val="142"/>
        </w:trPr>
        <w:tc>
          <w:tcPr>
            <w:tcW w:w="9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FL</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8,400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LA</w:t>
            </w:r>
          </w:p>
        </w:tc>
        <w:tc>
          <w:tcPr>
            <w:tcW w:w="1640" w:type="dxa"/>
            <w:vAlign w:val="bottom"/>
          </w:tcPr>
          <w:p>
            <w:pPr>
              <w:jc w:val="right"/>
              <w:spacing w:after="0"/>
              <w:rPr>
                <w:sz w:val="20"/>
                <w:szCs w:val="20"/>
                <w:color w:val="auto"/>
              </w:rPr>
            </w:pPr>
            <w:r>
              <w:rPr>
                <w:rFonts w:ascii="Arial" w:cs="Arial" w:eastAsia="Arial" w:hAnsi="Arial"/>
                <w:sz w:val="12"/>
                <w:szCs w:val="12"/>
                <w:color w:val="auto"/>
              </w:rPr>
              <w:t>6,300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GA</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AL</w:t>
            </w:r>
          </w:p>
        </w:tc>
        <w:tc>
          <w:tcPr>
            <w:tcW w:w="1640" w:type="dxa"/>
            <w:vAlign w:val="bottom"/>
          </w:tcPr>
          <w:p>
            <w:pPr>
              <w:jc w:val="right"/>
              <w:spacing w:after="0"/>
              <w:rPr>
                <w:sz w:val="20"/>
                <w:szCs w:val="20"/>
                <w:color w:val="auto"/>
              </w:rPr>
            </w:pPr>
            <w:r>
              <w:rPr>
                <w:rFonts w:ascii="Arial" w:cs="Arial" w:eastAsia="Arial" w:hAnsi="Arial"/>
                <w:sz w:val="12"/>
                <w:szCs w:val="12"/>
                <w:color w:val="auto"/>
              </w:rPr>
              <w:t>4,900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MS</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VA</w:t>
            </w:r>
          </w:p>
        </w:tc>
        <w:tc>
          <w:tcPr>
            <w:tcW w:w="1640" w:type="dxa"/>
            <w:vAlign w:val="bottom"/>
          </w:tcPr>
          <w:p>
            <w:pPr>
              <w:jc w:val="right"/>
              <w:spacing w:after="0"/>
              <w:rPr>
                <w:sz w:val="20"/>
                <w:szCs w:val="20"/>
                <w:color w:val="auto"/>
              </w:rPr>
            </w:pPr>
            <w:r>
              <w:rPr>
                <w:rFonts w:ascii="Arial" w:cs="Arial" w:eastAsia="Arial" w:hAnsi="Arial"/>
                <w:sz w:val="12"/>
                <w:szCs w:val="12"/>
                <w:color w:val="auto"/>
              </w:rPr>
              <w:t>1,600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NY</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TX</w:t>
            </w:r>
          </w:p>
        </w:tc>
        <w:tc>
          <w:tcPr>
            <w:tcW w:w="1640" w:type="dxa"/>
            <w:vAlign w:val="bottom"/>
          </w:tcPr>
          <w:p>
            <w:pPr>
              <w:jc w:val="right"/>
              <w:spacing w:after="0"/>
              <w:rPr>
                <w:sz w:val="20"/>
                <w:szCs w:val="20"/>
                <w:color w:val="auto"/>
              </w:rPr>
            </w:pPr>
            <w:r>
              <w:rPr>
                <w:rFonts w:ascii="Arial" w:cs="Arial" w:eastAsia="Arial" w:hAnsi="Arial"/>
                <w:sz w:val="12"/>
                <w:szCs w:val="12"/>
                <w:color w:val="auto"/>
              </w:rPr>
              <w:t>1,400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2,100</w:t>
            </w:r>
          </w:p>
        </w:tc>
        <w:tc>
          <w:tcPr>
            <w:tcW w:w="120" w:type="dxa"/>
            <w:vAlign w:val="bottom"/>
            <w:shd w:val="clear" w:color="auto" w:fill="CFF0FC"/>
          </w:tcPr>
          <w:p>
            <w:pPr>
              <w:spacing w:after="0"/>
              <w:rPr>
                <w:sz w:val="13"/>
                <w:szCs w:val="13"/>
                <w:color w:val="auto"/>
              </w:rPr>
            </w:pPr>
          </w:p>
        </w:tc>
      </w:tr>
      <w:tr>
        <w:trPr>
          <w:trHeight w:val="142"/>
        </w:trPr>
        <w:tc>
          <w:tcPr>
            <w:tcW w:w="9540" w:type="dxa"/>
            <w:vAlign w:val="bottom"/>
          </w:tcPr>
          <w:p>
            <w:pPr>
              <w:spacing w:after="0"/>
              <w:rPr>
                <w:sz w:val="20"/>
                <w:szCs w:val="20"/>
                <w:color w:val="auto"/>
              </w:rPr>
            </w:pPr>
            <w:r>
              <w:rPr>
                <w:rFonts w:ascii="Arial" w:cs="Arial" w:eastAsia="Arial" w:hAnsi="Arial"/>
                <w:sz w:val="12"/>
                <w:szCs w:val="12"/>
                <w:color w:val="auto"/>
              </w:rPr>
              <w:t>Total</w:t>
            </w:r>
          </w:p>
        </w:tc>
        <w:tc>
          <w:tcPr>
            <w:tcW w:w="1640" w:type="dxa"/>
            <w:vAlign w:val="bottom"/>
          </w:tcPr>
          <w:p>
            <w:pPr>
              <w:jc w:val="right"/>
              <w:spacing w:after="0"/>
              <w:rPr>
                <w:sz w:val="20"/>
                <w:szCs w:val="20"/>
                <w:color w:val="auto"/>
              </w:rPr>
            </w:pPr>
            <w:r>
              <w:rPr>
                <w:rFonts w:ascii="Arial" w:cs="Arial" w:eastAsia="Arial" w:hAnsi="Arial"/>
                <w:sz w:val="12"/>
                <w:szCs w:val="12"/>
                <w:color w:val="auto"/>
              </w:rPr>
              <w:t>35,300</w:t>
            </w:r>
          </w:p>
        </w:tc>
        <w:tc>
          <w:tcPr>
            <w:tcW w:w="120" w:type="dxa"/>
            <w:vAlign w:val="bottom"/>
          </w:tcPr>
          <w:p>
            <w:pPr>
              <w:spacing w:after="0"/>
              <w:rPr>
                <w:sz w:val="12"/>
                <w:szCs w:val="12"/>
                <w:color w:val="auto"/>
              </w:rPr>
            </w:pPr>
          </w:p>
        </w:tc>
      </w:tr>
      <w:tr>
        <w:trPr>
          <w:trHeight w:val="162"/>
        </w:trPr>
        <w:tc>
          <w:tcPr>
            <w:tcW w:w="9540" w:type="dxa"/>
            <w:vAlign w:val="bottom"/>
          </w:tcPr>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1"/>
                <w:szCs w:val="11"/>
                <w:color w:val="auto"/>
              </w:rPr>
              <w:t>Includes 13 states.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96"/>
        </w:trPr>
        <w:tc>
          <w:tcPr>
            <w:tcW w:w="954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79"/>
              </w:rPr>
              <w:t>Towers</w:t>
            </w:r>
          </w:p>
        </w:tc>
      </w:tr>
      <w:tr>
        <w:trPr>
          <w:trHeight w:val="142"/>
        </w:trPr>
        <w:tc>
          <w:tcPr>
            <w:tcW w:w="9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LA</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NM</w:t>
            </w:r>
          </w:p>
        </w:tc>
        <w:tc>
          <w:tcPr>
            <w:tcW w:w="164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AR</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TX</w:t>
            </w:r>
          </w:p>
        </w:tc>
        <w:tc>
          <w:tcPr>
            <w:tcW w:w="164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NE</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20" w:type="dxa"/>
            <w:vAlign w:val="bottom"/>
            <w:tcBorders>
              <w:bottom w:val="single" w:sz="8" w:color="CFF0FC"/>
            </w:tcBorders>
          </w:tcPr>
          <w:p>
            <w:pPr>
              <w:spacing w:after="0"/>
              <w:rPr>
                <w:sz w:val="13"/>
                <w:szCs w:val="13"/>
                <w:color w:val="auto"/>
              </w:rPr>
            </w:pPr>
          </w:p>
        </w:tc>
      </w:tr>
      <w:tr>
        <w:trPr>
          <w:trHeight w:val="142"/>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w:t>
            </w:r>
          </w:p>
        </w:tc>
        <w:tc>
          <w:tcPr>
            <w:tcW w:w="120" w:type="dxa"/>
            <w:vAlign w:val="bottom"/>
            <w:shd w:val="clear" w:color="auto" w:fill="CFF0FC"/>
          </w:tcPr>
          <w:p>
            <w:pPr>
              <w:spacing w:after="0"/>
              <w:rPr>
                <w:sz w:val="12"/>
                <w:szCs w:val="12"/>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1"/>
                <w:szCs w:val="11"/>
                <w:color w:val="auto"/>
              </w:rPr>
              <w:t>Includes 10 states.</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 description of legal proceedings can be found in Note 16 - Commitments and Contingencies to our consolidated financial statements in Part II, Item 8 “Financial Statements and Supplementary Data,” and is incorporated by reference into this Item 3.</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traded on the NASDAQ Global Select Market under the symbol “UNIT.”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154"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As of February 18, 2022, the closing price of our common stock was $11.31 per share as reported on the NASDAQ Global Select Market. As of February 18, 2022, we had 236,325,229 outstanding shares of common stock, and there were approximately 17,688 registered holders of record of Uniti’s common stock. A substantially greater number of holders of Uniti common stock are “street name” or beneficial holders, whose shares of record are held by banks, brokers, and other financial institutions.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 (Distributions)</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Distributions with respect to our common stock are characterized for federal income tax purposes as taxable ordinary dividends, capital gains dividends, non-dividend distributions or a combination thereof. It has been our policy to declare dividends to common shareholders so as to comply with the provisions of the Internal Revenue Code governing REITs.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addition, our 7.875% senior secured notes due 2025 presently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w:t>
      </w:r>
    </w:p>
    <w:p>
      <w:pPr>
        <w:spacing w:after="0" w:line="12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following graph shows a comparison from December 31, 2016 through December 31, 2021 on the NASDAQ Global Select Market of the cumulative total return for our common stock, the Standard &amp; Poor's 400 Stock Index (S&amp;P 400 Index), and the MSCI US REIT Index. The graph assumes that $100 was invested at the market open on December 31, 2016 and that all dividends were reinvested in the common stock of Uniti, the S&amp;P 400 Index and the MSCI US REIT Index. The stock price performance of the following graph is not necessarily indicative of future stock price performance.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3560445" cy="1891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0445" cy="189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Cumulative Total Stockholder Returns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Based on Investment of $100.00 Beginning on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12/31/2016</w:t>
            </w:r>
          </w:p>
        </w:tc>
        <w:tc>
          <w:tcPr>
            <w:tcW w:w="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12/31/2017</w:t>
            </w:r>
          </w:p>
        </w:tc>
        <w:tc>
          <w:tcPr>
            <w:tcW w:w="3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12/31/2018</w:t>
            </w: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12/31/2019</w:t>
            </w: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12/31/2020</w:t>
            </w:r>
          </w:p>
        </w:tc>
        <w:tc>
          <w:tcPr>
            <w:tcW w:w="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12/31/2021</w:t>
            </w:r>
          </w:p>
        </w:tc>
        <w:tc>
          <w:tcPr>
            <w:tcW w:w="120" w:type="dxa"/>
            <w:vAlign w:val="bottom"/>
            <w:tcBorders>
              <w:bottom w:val="single" w:sz="8" w:color="CFF0FC"/>
            </w:tcBorders>
          </w:tcPr>
          <w:p>
            <w:pPr>
              <w:spacing w:after="0"/>
              <w:rPr>
                <w:sz w:val="13"/>
                <w:szCs w:val="13"/>
                <w:color w:val="auto"/>
              </w:rPr>
            </w:pPr>
          </w:p>
        </w:tc>
      </w:tr>
      <w:tr>
        <w:trPr>
          <w:trHeight w:val="142"/>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Uniti Group Inc.</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78.90</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78.89</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43.43</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66.61</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83.70</w:t>
            </w:r>
          </w:p>
        </w:tc>
        <w:tc>
          <w:tcPr>
            <w:tcW w:w="120" w:type="dxa"/>
            <w:vAlign w:val="bottom"/>
            <w:shd w:val="clear" w:color="auto" w:fill="CFF0FC"/>
          </w:tcPr>
          <w:p>
            <w:pPr>
              <w:spacing w:after="0"/>
              <w:rPr>
                <w:sz w:val="12"/>
                <w:szCs w:val="12"/>
                <w:color w:val="auto"/>
              </w:rPr>
            </w:pP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S&amp;P 400 Index</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100.00</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116.24</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103.36</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130.44</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148.26</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184.97</w:t>
            </w:r>
          </w:p>
        </w:tc>
        <w:tc>
          <w:tcPr>
            <w:tcW w:w="120" w:type="dxa"/>
            <w:vAlign w:val="bottom"/>
          </w:tcPr>
          <w:p>
            <w:pPr>
              <w:spacing w:after="0"/>
              <w:rPr>
                <w:sz w:val="13"/>
                <w:szCs w:val="13"/>
                <w:color w:val="auto"/>
              </w:rPr>
            </w:pPr>
          </w:p>
        </w:tc>
      </w:tr>
      <w:tr>
        <w:trPr>
          <w:trHeight w:val="153"/>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MSCI US REIT Index</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105.13</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100.39</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126.38</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116.81</w:t>
            </w: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167.11</w:t>
            </w:r>
          </w:p>
        </w:tc>
        <w:tc>
          <w:tcPr>
            <w:tcW w:w="120" w:type="dxa"/>
            <w:vAlign w:val="bottom"/>
            <w:shd w:val="clear" w:color="auto" w:fill="CFF0FC"/>
          </w:tcPr>
          <w:p>
            <w:pPr>
              <w:spacing w:after="0"/>
              <w:rPr>
                <w:sz w:val="13"/>
                <w:szCs w:val="13"/>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8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5"/>
              </w:rPr>
              <w:t>Total Number of Shares Purchased as</w:t>
            </w:r>
          </w:p>
        </w:tc>
        <w:tc>
          <w:tcPr>
            <w:tcW w:w="18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87"/>
              </w:rPr>
              <w:t>Maximum Number of Shares that May Yet</w:t>
            </w:r>
          </w:p>
        </w:tc>
      </w:tr>
      <w:tr>
        <w:trPr>
          <w:trHeight w:val="99"/>
        </w:trPr>
        <w:tc>
          <w:tcPr>
            <w:tcW w:w="4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right"/>
              <w:ind w:right="83"/>
              <w:spacing w:after="0" w:line="99" w:lineRule="exact"/>
              <w:rPr>
                <w:sz w:val="20"/>
                <w:szCs w:val="20"/>
                <w:color w:val="auto"/>
              </w:rPr>
            </w:pPr>
            <w:r>
              <w:rPr>
                <w:rFonts w:ascii="Arial" w:cs="Arial" w:eastAsia="Arial" w:hAnsi="Arial"/>
                <w:sz w:val="10"/>
                <w:szCs w:val="10"/>
                <w:b w:val="1"/>
                <w:bCs w:val="1"/>
                <w:color w:val="auto"/>
              </w:rPr>
              <w:t>Total Number of</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Part of Publicly Announced Plans or</w:t>
            </w:r>
          </w:p>
        </w:tc>
        <w:tc>
          <w:tcPr>
            <w:tcW w:w="1880" w:type="dxa"/>
            <w:vAlign w:val="bottom"/>
            <w:gridSpan w:val="2"/>
          </w:tcPr>
          <w:p>
            <w:pPr>
              <w:ind w:left="200"/>
              <w:spacing w:after="0" w:line="99" w:lineRule="exact"/>
              <w:rPr>
                <w:sz w:val="20"/>
                <w:szCs w:val="20"/>
                <w:color w:val="auto"/>
              </w:rPr>
            </w:pPr>
            <w:r>
              <w:rPr>
                <w:rFonts w:ascii="Arial" w:cs="Arial" w:eastAsia="Arial" w:hAnsi="Arial"/>
                <w:sz w:val="10"/>
                <w:szCs w:val="10"/>
                <w:b w:val="1"/>
                <w:bCs w:val="1"/>
                <w:color w:val="auto"/>
              </w:rPr>
              <w:t>Be Purchased Under the Plans or</w:t>
            </w:r>
          </w:p>
        </w:tc>
      </w:tr>
      <w:tr>
        <w:trPr>
          <w:trHeight w:val="113"/>
        </w:trPr>
        <w:tc>
          <w:tcPr>
            <w:tcW w:w="49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Period</w:t>
            </w:r>
          </w:p>
        </w:tc>
        <w:tc>
          <w:tcPr>
            <w:tcW w:w="14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ind w:right="63"/>
              <w:spacing w:after="0" w:line="114" w:lineRule="exact"/>
              <w:rPr>
                <w:sz w:val="20"/>
                <w:szCs w:val="20"/>
                <w:color w:val="auto"/>
              </w:rPr>
            </w:pPr>
            <w:r>
              <w:rPr>
                <w:rFonts w:ascii="Arial" w:cs="Arial" w:eastAsia="Arial" w:hAnsi="Arial"/>
                <w:sz w:val="10"/>
                <w:szCs w:val="10"/>
                <w:b w:val="1"/>
                <w:bCs w:val="1"/>
                <w:color w:val="auto"/>
                <w:w w:val="93"/>
              </w:rPr>
              <w:t>Shares Purchased</w:t>
            </w:r>
          </w:p>
        </w:tc>
        <w:tc>
          <w:tcPr>
            <w:tcW w:w="1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jc w:val="right"/>
              <w:ind w:right="2"/>
              <w:spacing w:after="0" w:line="114" w:lineRule="exact"/>
              <w:rPr>
                <w:sz w:val="20"/>
                <w:szCs w:val="20"/>
                <w:color w:val="auto"/>
              </w:rPr>
            </w:pPr>
            <w:r>
              <w:rPr>
                <w:rFonts w:ascii="Arial" w:cs="Arial" w:eastAsia="Arial" w:hAnsi="Arial"/>
                <w:sz w:val="10"/>
                <w:szCs w:val="10"/>
                <w:b w:val="1"/>
                <w:bCs w:val="1"/>
                <w:color w:val="auto"/>
                <w:w w:val="85"/>
              </w:rPr>
              <w:t>Average Price Paid per Share(1)</w:t>
            </w:r>
          </w:p>
        </w:tc>
        <w:tc>
          <w:tcPr>
            <w:tcW w:w="100" w:type="dxa"/>
            <w:vAlign w:val="bottom"/>
            <w:tcBorders>
              <w:bottom w:val="single" w:sz="8" w:color="CFF0FC"/>
            </w:tcBorders>
          </w:tcPr>
          <w:p>
            <w:pPr>
              <w:spacing w:after="0"/>
              <w:rPr>
                <w:sz w:val="9"/>
                <w:szCs w:val="9"/>
                <w:color w:val="auto"/>
              </w:rPr>
            </w:pPr>
          </w:p>
        </w:tc>
        <w:tc>
          <w:tcPr>
            <w:tcW w:w="16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5"/>
              </w:rPr>
              <w:t>Programs</w:t>
            </w:r>
          </w:p>
        </w:tc>
        <w:tc>
          <w:tcPr>
            <w:tcW w:w="120" w:type="dxa"/>
            <w:vAlign w:val="bottom"/>
            <w:tcBorders>
              <w:bottom w:val="single" w:sz="8" w:color="CFF0FC"/>
            </w:tcBorders>
          </w:tcPr>
          <w:p>
            <w:pPr>
              <w:spacing w:after="0"/>
              <w:rPr>
                <w:sz w:val="9"/>
                <w:szCs w:val="9"/>
                <w:color w:val="auto"/>
              </w:rPr>
            </w:pPr>
          </w:p>
        </w:tc>
        <w:tc>
          <w:tcPr>
            <w:tcW w:w="1760" w:type="dxa"/>
            <w:vAlign w:val="bottom"/>
            <w:tcBorders>
              <w:bottom w:val="single" w:sz="8" w:color="auto"/>
            </w:tcBorders>
          </w:tcPr>
          <w:p>
            <w:pPr>
              <w:jc w:val="right"/>
              <w:ind w:right="625"/>
              <w:spacing w:after="0" w:line="114" w:lineRule="exact"/>
              <w:rPr>
                <w:sz w:val="20"/>
                <w:szCs w:val="20"/>
                <w:color w:val="auto"/>
              </w:rPr>
            </w:pPr>
            <w:r>
              <w:rPr>
                <w:rFonts w:ascii="Arial" w:cs="Arial" w:eastAsia="Arial" w:hAnsi="Arial"/>
                <w:sz w:val="10"/>
                <w:szCs w:val="10"/>
                <w:b w:val="1"/>
                <w:bCs w:val="1"/>
                <w:color w:val="auto"/>
              </w:rPr>
              <w:t>Programs</w:t>
            </w:r>
          </w:p>
        </w:tc>
        <w:tc>
          <w:tcPr>
            <w:tcW w:w="120" w:type="dxa"/>
            <w:vAlign w:val="bottom"/>
            <w:tcBorders>
              <w:bottom w:val="single" w:sz="8" w:color="CFF0FC"/>
            </w:tcBorders>
          </w:tcPr>
          <w:p>
            <w:pPr>
              <w:spacing w:after="0"/>
              <w:rPr>
                <w:sz w:val="9"/>
                <w:szCs w:val="9"/>
                <w:color w:val="auto"/>
              </w:rPr>
            </w:pPr>
          </w:p>
        </w:tc>
      </w:tr>
      <w:tr>
        <w:trPr>
          <w:trHeight w:val="142"/>
        </w:trPr>
        <w:tc>
          <w:tcPr>
            <w:tcW w:w="5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2021 to October 31, 2021</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6,314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12.11</w:t>
            </w:r>
          </w:p>
        </w:tc>
        <w:tc>
          <w:tcPr>
            <w:tcW w:w="10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ind w:left="1520"/>
              <w:spacing w:after="0"/>
              <w:rPr>
                <w:sz w:val="20"/>
                <w:szCs w:val="20"/>
                <w:color w:val="auto"/>
              </w:rPr>
            </w:pPr>
            <w:r>
              <w:rPr>
                <w:rFonts w:ascii="Arial" w:cs="Arial" w:eastAsia="Arial" w:hAnsi="Arial"/>
                <w:sz w:val="12"/>
                <w:szCs w:val="12"/>
                <w:color w:val="auto"/>
              </w:rPr>
              <w:t>—</w:t>
            </w: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040" w:type="dxa"/>
            <w:vAlign w:val="bottom"/>
            <w:gridSpan w:val="2"/>
          </w:tcPr>
          <w:p>
            <w:pPr>
              <w:spacing w:after="0"/>
              <w:rPr>
                <w:sz w:val="20"/>
                <w:szCs w:val="20"/>
                <w:color w:val="auto"/>
              </w:rPr>
            </w:pPr>
            <w:r>
              <w:rPr>
                <w:rFonts w:ascii="Arial" w:cs="Arial" w:eastAsia="Arial" w:hAnsi="Arial"/>
                <w:sz w:val="12"/>
                <w:szCs w:val="12"/>
                <w:color w:val="auto"/>
              </w:rPr>
              <w:t>November 1, 2021 to November 30, 2021</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760" w:type="dxa"/>
            <w:vAlign w:val="bottom"/>
            <w:gridSpan w:val="2"/>
          </w:tcPr>
          <w:p>
            <w:pPr>
              <w:ind w:left="1520"/>
              <w:spacing w:after="0"/>
              <w:rPr>
                <w:sz w:val="20"/>
                <w:szCs w:val="20"/>
                <w:color w:val="auto"/>
              </w:rPr>
            </w:pPr>
            <w:r>
              <w:rPr>
                <w:rFonts w:ascii="Arial" w:cs="Arial" w:eastAsia="Arial" w:hAnsi="Arial"/>
                <w:sz w:val="12"/>
                <w:szCs w:val="12"/>
                <w:color w:val="auto"/>
              </w:rPr>
              <w:t>—</w:t>
            </w: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December 1, 2021 to December 31, 2021</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16,128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13.19</w:t>
            </w:r>
          </w:p>
        </w:tc>
        <w:tc>
          <w:tcPr>
            <w:tcW w:w="100" w:type="dxa"/>
            <w:vAlign w:val="bottom"/>
            <w:shd w:val="clear" w:color="auto" w:fill="CFF0FC"/>
          </w:tcPr>
          <w:p>
            <w:pPr>
              <w:spacing w:after="0"/>
              <w:rPr>
                <w:sz w:val="13"/>
                <w:szCs w:val="13"/>
                <w:color w:val="auto"/>
              </w:rPr>
            </w:pPr>
          </w:p>
        </w:tc>
        <w:tc>
          <w:tcPr>
            <w:tcW w:w="1640" w:type="dxa"/>
            <w:vAlign w:val="bottom"/>
            <w:tcBorders>
              <w:bottom w:val="single" w:sz="8" w:color="auto"/>
            </w:tcBorders>
            <w:shd w:val="clear" w:color="auto" w:fill="CFF0FC"/>
          </w:tcPr>
          <w:p>
            <w:pPr>
              <w:ind w:left="152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FF0FC"/>
          </w:tcPr>
          <w:p>
            <w:pPr>
              <w:spacing w:after="0"/>
              <w:rPr>
                <w:sz w:val="13"/>
                <w:szCs w:val="13"/>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9"/>
        </w:trPr>
        <w:tc>
          <w:tcPr>
            <w:tcW w:w="5040" w:type="dxa"/>
            <w:vAlign w:val="bottom"/>
            <w:gridSpan w:val="2"/>
          </w:tcPr>
          <w:p>
            <w:pPr>
              <w:spacing w:after="0"/>
              <w:rPr>
                <w:sz w:val="20"/>
                <w:szCs w:val="20"/>
                <w:color w:val="auto"/>
              </w:rPr>
            </w:pPr>
            <w:r>
              <w:rPr>
                <w:rFonts w:ascii="Arial" w:cs="Arial" w:eastAsia="Arial" w:hAnsi="Arial"/>
                <w:sz w:val="12"/>
                <w:szCs w:val="12"/>
                <w:color w:val="auto"/>
              </w:rPr>
              <w:t>Total</w:t>
            </w:r>
          </w:p>
        </w:tc>
        <w:tc>
          <w:tcPr>
            <w:tcW w:w="960" w:type="dxa"/>
            <w:vAlign w:val="bottom"/>
          </w:tcPr>
          <w:p>
            <w:pPr>
              <w:jc w:val="right"/>
              <w:spacing w:after="0"/>
              <w:rPr>
                <w:sz w:val="20"/>
                <w:szCs w:val="20"/>
                <w:color w:val="auto"/>
              </w:rPr>
            </w:pPr>
            <w:r>
              <w:rPr>
                <w:rFonts w:ascii="Arial" w:cs="Arial" w:eastAsia="Arial" w:hAnsi="Arial"/>
                <w:sz w:val="12"/>
                <w:szCs w:val="12"/>
                <w:color w:val="auto"/>
              </w:rPr>
              <w:t>22,442</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12.88</w:t>
            </w:r>
          </w:p>
        </w:tc>
        <w:tc>
          <w:tcPr>
            <w:tcW w:w="100" w:type="dxa"/>
            <w:vAlign w:val="bottom"/>
          </w:tcPr>
          <w:p>
            <w:pPr>
              <w:spacing w:after="0"/>
              <w:rPr>
                <w:sz w:val="12"/>
                <w:szCs w:val="12"/>
                <w:color w:val="auto"/>
              </w:rPr>
            </w:pPr>
          </w:p>
        </w:tc>
        <w:tc>
          <w:tcPr>
            <w:tcW w:w="1760" w:type="dxa"/>
            <w:vAlign w:val="bottom"/>
            <w:gridSpan w:val="2"/>
          </w:tcPr>
          <w:p>
            <w:pPr>
              <w:ind w:left="1520"/>
              <w:spacing w:after="0"/>
              <w:rPr>
                <w:sz w:val="20"/>
                <w:szCs w:val="20"/>
                <w:color w:val="auto"/>
              </w:rPr>
            </w:pPr>
            <w:r>
              <w:rPr>
                <w:rFonts w:ascii="Arial" w:cs="Arial" w:eastAsia="Arial" w:hAnsi="Arial"/>
                <w:sz w:val="12"/>
                <w:szCs w:val="12"/>
                <w:color w:val="auto"/>
              </w:rPr>
              <w:t>—</w:t>
            </w: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88"/>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top w:val="single" w:sz="8" w:color="auto"/>
            </w:tcBorders>
          </w:tcPr>
          <w:p>
            <w:pPr>
              <w:jc w:val="right"/>
              <w:ind w:right="243"/>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49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7" w:name="page28"/>
    <w:bookmarkEnd w:id="27"/>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222" w:lineRule="exact"/>
        <w:rPr>
          <w:sz w:val="20"/>
          <w:szCs w:val="20"/>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average price paid per share is the weighted-average of the fair market prices at which we calculated the number of shares withheld to cover tax withholdings for the employees.</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6. Selected Financial Data.</w:t>
      </w:r>
    </w:p>
    <w:p>
      <w:pPr>
        <w:spacing w:after="0" w:line="8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On November 19, 2020, the SEC adopted certain amendments to Regulation S-K, including the elimination of Item 301 thereof. The final rules became effective on February 10, 2021. The Company has chosen to adopt the recent amendments and omit the disclosure formerly required by Item 301 of Regulation S-K.</w:t>
      </w:r>
    </w:p>
    <w:p>
      <w:pPr>
        <w:spacing w:after="0" w:line="115" w:lineRule="exact"/>
        <w:rPr>
          <w:sz w:val="20"/>
          <w:szCs w:val="20"/>
          <w:color w:val="auto"/>
        </w:rPr>
      </w:pPr>
    </w:p>
    <w:p>
      <w:pPr>
        <w:jc w:val="center"/>
        <w:ind w:right="-24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68"/>
          </w:cols>
          <w:pgMar w:left="292" w:top="131" w:right="539" w:bottom="1440" w:gutter="0" w:footer="0" w:header="0"/>
        </w:sectPr>
      </w:pPr>
    </w:p>
    <w:bookmarkStart w:id="28" w:name="page29"/>
    <w:bookmarkEnd w:id="28"/>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41"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This section generally discusses 2021 and 2020 items and year-to-year comparisons between 2021 and 2020. Discussions of 2019 items and year-to-year comparisons between 2020 and 2019 that are not included in this Annual Report on Form 10-K can be found in “Management’s Discussion and Analysis of Financial Condition and Results of Operations” in Part II, Item 7 of our Annual Report on Form 10-K for the year ended December 31, 2020 filed with the Securities and Exchange Commission on March 5, 2021, as amended by Amendment No. 1 thereto filed on Form 10-K/A with the SEC on March 30, 2021.</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Company Description</w:t>
      </w:r>
    </w:p>
    <w:p>
      <w:pPr>
        <w:spacing w:after="0" w:line="150"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spacing w:after="0" w:line="115"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former towers business, and Talk America Services, LLC, which operated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2021, we are the sole general partner of the Operating Partnership and own approximately 99.7% of the partnership interests in the Operating Partnership. In addition, we have undertaken series of transactions to permit us to hold certain assets indirectly through subsidiaries that are taxed as REITs, which may also facilitate future acquisition opportunities.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29" w:name="page30"/>
    <w:bookmarkEnd w:id="29"/>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We aim to grow and diversify our portfolio and tenant base by pursuing a range of transaction structures with communication service providers, including (i) 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spacing w:after="0" w:line="113"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We have historically managed our operations as the four reportable business segments listed below (in addition to our corporate operations), but due to the sale of our towers business and wind down of the Consumer CLEC Business, effective January 1, 2021, we manage our operations focused on our two primary businesses, Leasing and Fiber Infrastructure:</w:t>
      </w:r>
    </w:p>
    <w:p>
      <w:pPr>
        <w:spacing w:after="0" w:line="115" w:lineRule="exact"/>
        <w:rPr>
          <w:sz w:val="20"/>
          <w:szCs w:val="20"/>
          <w:color w:val="auto"/>
        </w:rPr>
      </w:pPr>
    </w:p>
    <w:p>
      <w:pPr>
        <w:ind w:right="320"/>
        <w:spacing w:after="0" w:line="323" w:lineRule="auto"/>
        <w:rPr>
          <w:sz w:val="20"/>
          <w:szCs w:val="20"/>
          <w:color w:val="auto"/>
        </w:rPr>
      </w:pPr>
      <w:r>
        <w:rPr>
          <w:rFonts w:ascii="Arial" w:cs="Arial" w:eastAsia="Arial" w:hAnsi="Arial"/>
          <w:sz w:val="11"/>
          <w:szCs w:val="11"/>
          <w:i w:val="1"/>
          <w:iCs w:val="1"/>
          <w:u w:val="single" w:color="auto"/>
          <w:color w:val="auto"/>
        </w:rPr>
        <w:t>Leasing Segment</w:t>
      </w:r>
      <w:r>
        <w:rPr>
          <w:rFonts w:ascii="Arial" w:cs="Arial" w:eastAsia="Arial" w:hAnsi="Arial"/>
          <w:sz w:val="11"/>
          <w:szCs w:val="11"/>
          <w:color w:val="auto"/>
        </w:rPr>
        <w:t>: Represents the results from our leasing business, Uniti Leasing, which is engaged in the acquisition and construction of mission-critical communications assets and leasing them to anchor customers on either an</w:t>
      </w:r>
      <w:r>
        <w:rPr>
          <w:rFonts w:ascii="Arial" w:cs="Arial" w:eastAsia="Arial" w:hAnsi="Arial"/>
          <w:sz w:val="11"/>
          <w:szCs w:val="11"/>
          <w:i w:val="1"/>
          <w:iCs w:val="1"/>
          <w:color w:val="auto"/>
        </w:rPr>
        <w:t xml:space="preserve"> </w:t>
      </w:r>
      <w:r>
        <w:rPr>
          <w:rFonts w:ascii="Arial" w:cs="Arial" w:eastAsia="Arial" w:hAnsi="Arial"/>
          <w:sz w:val="11"/>
          <w:szCs w:val="11"/>
          <w:color w:val="auto"/>
        </w:rPr>
        <w:t>exclusive or shared-tenant basis, in addition to the leasing of dark fiber on our existing fiber network assets that we either constructed or acquired. Uniti Leasing is a component of our REIT operations.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auto"/>
        </w:rPr>
        <w:t>Fiber Infrastructure Segment</w:t>
      </w:r>
      <w:r>
        <w:rPr>
          <w:rFonts w:ascii="Arial" w:cs="Arial" w:eastAsia="Arial" w:hAnsi="Arial"/>
          <w:sz w:val="11"/>
          <w:szCs w:val="11"/>
          <w:color w:val="auto"/>
        </w:rPr>
        <w:t>: Represents the operations of our fiber business, Uniti Fiber, which is a leading provider of infrastructure solutions, including cell site backhaul and dark fiber, to the telecommunications industry.</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i w:val="1"/>
          <w:iCs w:val="1"/>
          <w:u w:val="single" w:color="auto"/>
          <w:color w:val="auto"/>
        </w:rPr>
        <w:t>Towers Segment</w:t>
      </w:r>
      <w:r>
        <w:rPr>
          <w:rFonts w:ascii="Arial" w:cs="Arial" w:eastAsia="Arial" w:hAnsi="Arial"/>
          <w:sz w:val="12"/>
          <w:szCs w:val="12"/>
          <w:color w:val="auto"/>
        </w:rPr>
        <w:t>: Represents the operations of our former towers business, Uniti Towers, through which we acquired and constructed tower and tower-related real estate and leased space on communications towers to wireless service</w:t>
      </w:r>
      <w:r>
        <w:rPr>
          <w:rFonts w:ascii="Arial" w:cs="Arial" w:eastAsia="Arial" w:hAnsi="Arial"/>
          <w:sz w:val="12"/>
          <w:szCs w:val="12"/>
          <w:i w:val="1"/>
          <w:iCs w:val="1"/>
          <w:color w:val="auto"/>
        </w:rPr>
        <w:t xml:space="preserve"> </w:t>
      </w:r>
      <w:r>
        <w:rPr>
          <w:rFonts w:ascii="Arial" w:cs="Arial" w:eastAsia="Arial" w:hAnsi="Arial"/>
          <w:sz w:val="12"/>
          <w:szCs w:val="12"/>
          <w:color w:val="auto"/>
        </w:rPr>
        <w:t>providers and other tenants in the United States. The Company completed a series of transactions to largely divest of its towers business: on April 2, 2019, May 23, 2019 and June 1, 2020, the Company completed the sales of its Latin American business, substantially all of its U.S. ground lease business, and its U.S. tower business, respectively. Portions of our former towers business were a component of our REIT operations, while the remainder were owned and operated by our TRSs.</w:t>
      </w:r>
    </w:p>
    <w:p>
      <w:pPr>
        <w:spacing w:after="0" w:line="124" w:lineRule="exact"/>
        <w:rPr>
          <w:sz w:val="20"/>
          <w:szCs w:val="20"/>
          <w:color w:val="auto"/>
        </w:rPr>
      </w:pPr>
    </w:p>
    <w:p>
      <w:pPr>
        <w:jc w:val="both"/>
        <w:ind w:right="200"/>
        <w:spacing w:after="0" w:line="263" w:lineRule="auto"/>
        <w:rPr>
          <w:sz w:val="20"/>
          <w:szCs w:val="20"/>
          <w:color w:val="auto"/>
        </w:rPr>
      </w:pPr>
      <w:r>
        <w:rPr>
          <w:rFonts w:ascii="Arial" w:cs="Arial" w:eastAsia="Arial" w:hAnsi="Arial"/>
          <w:sz w:val="12"/>
          <w:szCs w:val="12"/>
          <w:i w:val="1"/>
          <w:iCs w:val="1"/>
          <w:u w:val="single" w:color="auto"/>
          <w:color w:val="auto"/>
        </w:rPr>
        <w:t>Consumer CLEC Segment</w:t>
      </w:r>
      <w:r>
        <w:rPr>
          <w:rFonts w:ascii="Arial" w:cs="Arial" w:eastAsia="Arial" w:hAnsi="Arial"/>
          <w:sz w:val="12"/>
          <w:szCs w:val="12"/>
          <w:color w:val="auto"/>
        </w:rPr>
        <w:t>: Represents the operations of Talk America through which we operated the Consumer CLEC Business that, prior to the Spin-Off, was reported as an integrated operation within Windstream. Talk America</w:t>
      </w:r>
      <w:r>
        <w:rPr>
          <w:rFonts w:ascii="Arial" w:cs="Arial" w:eastAsia="Arial" w:hAnsi="Arial"/>
          <w:sz w:val="12"/>
          <w:szCs w:val="12"/>
          <w:i w:val="1"/>
          <w:iCs w:val="1"/>
          <w:color w:val="auto"/>
        </w:rPr>
        <w:t xml:space="preserve"> </w:t>
      </w:r>
      <w:r>
        <w:rPr>
          <w:rFonts w:ascii="Arial" w:cs="Arial" w:eastAsia="Arial" w:hAnsi="Arial"/>
          <w:sz w:val="12"/>
          <w:szCs w:val="12"/>
          <w:color w:val="auto"/>
        </w:rPr>
        <w:t>provided local telephone, high-speed internet and long-distance services to customers in the eastern and central United States. As of the end of the second quarter of 2020, we substantially completed a wind down of our Consumer CLEC business.</w:t>
      </w:r>
    </w:p>
    <w:p>
      <w:pPr>
        <w:spacing w:after="0" w:line="12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i w:val="1"/>
          <w:iCs w:val="1"/>
          <w:u w:val="single" w:color="auto"/>
          <w:color w:val="auto"/>
        </w:rPr>
        <w:t>Corporate Operations</w:t>
      </w:r>
      <w:r>
        <w:rPr>
          <w:rFonts w:ascii="Arial" w:cs="Arial" w:eastAsia="Arial" w:hAnsi="Arial"/>
          <w:sz w:val="12"/>
          <w:szCs w:val="12"/>
          <w:color w:val="auto"/>
        </w:rPr>
        <w:t>: Represents our corporate office and shared service functions. Certain costs and expenses, primarily related to headcount, information technology systems, insurance, professional fees and similar charges, that are</w:t>
      </w:r>
      <w:r>
        <w:rPr>
          <w:rFonts w:ascii="Arial" w:cs="Arial" w:eastAsia="Arial" w:hAnsi="Arial"/>
          <w:sz w:val="12"/>
          <w:szCs w:val="12"/>
          <w:i w:val="1"/>
          <w:iCs w:val="1"/>
          <w:color w:val="auto"/>
        </w:rPr>
        <w:t xml:space="preserve"> </w:t>
      </w:r>
      <w:r>
        <w:rPr>
          <w:rFonts w:ascii="Arial" w:cs="Arial" w:eastAsia="Arial" w:hAnsi="Arial"/>
          <w:sz w:val="12"/>
          <w:szCs w:val="12"/>
          <w:color w:val="auto"/>
        </w:rPr>
        <w:t>directly attributable to operations of our business segments are allocated to the respective segments.</w:t>
      </w:r>
    </w:p>
    <w:p>
      <w:pPr>
        <w:spacing w:after="0" w:line="115" w:lineRule="exact"/>
        <w:rPr>
          <w:sz w:val="20"/>
          <w:szCs w:val="20"/>
          <w:color w:val="auto"/>
        </w:rPr>
      </w:pPr>
    </w:p>
    <w:p>
      <w:pPr>
        <w:ind w:right="60"/>
        <w:spacing w:after="0" w:line="281" w:lineRule="auto"/>
        <w:rPr>
          <w:rFonts w:ascii="Arial" w:cs="Arial" w:eastAsia="Arial" w:hAnsi="Arial"/>
          <w:sz w:val="11"/>
          <w:szCs w:val="11"/>
          <w:color w:val="auto"/>
        </w:rPr>
      </w:pPr>
      <w:r>
        <w:rPr>
          <w:rFonts w:ascii="Arial" w:cs="Arial" w:eastAsia="Arial" w:hAnsi="Arial"/>
          <w:sz w:val="11"/>
          <w:szCs w:val="11"/>
          <w:color w:val="auto"/>
        </w:rPr>
        <w:t xml:space="preserve">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w:t>
      </w:r>
      <w:hyperlink w:anchor="page104">
        <w:r>
          <w:rPr>
            <w:rFonts w:ascii="Arial" w:cs="Arial" w:eastAsia="Arial" w:hAnsi="Arial"/>
            <w:sz w:val="11"/>
            <w:szCs w:val="11"/>
            <w:color w:val="auto"/>
          </w:rPr>
          <w:t xml:space="preserve">Note </w:t>
        </w:r>
      </w:hyperlink>
      <w:r>
        <w:rPr>
          <w:rFonts w:ascii="Arial" w:cs="Arial" w:eastAsia="Arial" w:hAnsi="Arial"/>
          <w:sz w:val="11"/>
          <w:szCs w:val="11"/>
          <w:color w:val="auto"/>
        </w:rPr>
        <w:t>15 to our consolidated financial statements contained in Part II, 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-29210</wp:posOffset>
            </wp:positionV>
            <wp:extent cx="2051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105" cy="5715"/>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0" w:name="page31"/>
    <w:bookmarkEnd w:id="30"/>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Business Developments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i w:val="1"/>
          <w:iCs w:val="1"/>
          <w:u w:val="single" w:color="auto"/>
          <w:color w:val="auto"/>
        </w:rPr>
        <w:t>Unsecured Notes Offering and Redemption.</w:t>
      </w:r>
      <w:r>
        <w:rPr>
          <w:rFonts w:ascii="Arial" w:cs="Arial" w:eastAsia="Arial" w:hAnsi="Arial"/>
          <w:sz w:val="12"/>
          <w:szCs w:val="12"/>
          <w:i w:val="1"/>
          <w:iCs w:val="1"/>
          <w:color w:val="auto"/>
        </w:rPr>
        <w:t xml:space="preserve"> </w:t>
      </w:r>
      <w:r>
        <w:rPr>
          <w:rFonts w:ascii="Arial" w:cs="Arial" w:eastAsia="Arial" w:hAnsi="Arial"/>
          <w:sz w:val="12"/>
          <w:szCs w:val="12"/>
          <w:color w:val="auto"/>
        </w:rPr>
        <w:t>On October 13, 2021, the Operating Partnership, Uniti Fiber Holdings Inc., Uniti Group Finance 2019 Inc. and CSL Capital, LLC issued $700 million aggregate principal amount of 6.00%</w:t>
      </w:r>
      <w:r>
        <w:rPr>
          <w:rFonts w:ascii="Arial" w:cs="Arial" w:eastAsia="Arial" w:hAnsi="Arial"/>
          <w:sz w:val="12"/>
          <w:szCs w:val="12"/>
          <w:i w:val="1"/>
          <w:iCs w:val="1"/>
          <w:color w:val="auto"/>
        </w:rPr>
        <w:t xml:space="preserve"> </w:t>
      </w:r>
      <w:r>
        <w:rPr>
          <w:rFonts w:ascii="Arial" w:cs="Arial" w:eastAsia="Arial" w:hAnsi="Arial"/>
          <w:sz w:val="12"/>
          <w:szCs w:val="12"/>
          <w:color w:val="auto"/>
        </w:rPr>
        <w:t>Senior Unsecured Notes due 2030 (the “2030 Notes”) and used the proceeds to fund the redemption in full of all outstanding 7.125% Senior Unsecured Notes due 2024 (the “2024 Notes”). The Company used the remaining proceeds of $78.0 million, together with cash on hand, to prepay a portion of the settlement obligations under the settlement agreement with Windstream. See Note 16 to our consolidated financial statements contained in Part II, Item 8 “Financial Statements and Supplementary Data.”</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2"/>
          <w:szCs w:val="12"/>
          <w:i w:val="1"/>
          <w:iCs w:val="1"/>
          <w:u w:val="single" w:color="auto"/>
          <w:color w:val="auto"/>
        </w:rPr>
        <w:t>Everstream Solutions LLC OpCo-PropCo Transaction.</w:t>
      </w:r>
      <w:r>
        <w:rPr>
          <w:rFonts w:ascii="Arial" w:cs="Arial" w:eastAsia="Arial" w:hAnsi="Arial"/>
          <w:sz w:val="12"/>
          <w:szCs w:val="12"/>
          <w:i w:val="1"/>
          <w:iCs w:val="1"/>
          <w:color w:val="auto"/>
        </w:rPr>
        <w:t xml:space="preserve"> </w:t>
      </w:r>
      <w:r>
        <w:rPr>
          <w:rFonts w:ascii="Arial" w:cs="Arial" w:eastAsia="Arial" w:hAnsi="Arial"/>
          <w:sz w:val="12"/>
          <w:szCs w:val="12"/>
          <w:color w:val="auto"/>
        </w:rPr>
        <w:t>On May 28, 2021, the Company completed its previously announced strategic transaction with Everstream Solutions LLC (“Everstream”). As part of the transaction, Uniti entered</w:t>
      </w:r>
      <w:r>
        <w:rPr>
          <w:rFonts w:ascii="Arial" w:cs="Arial" w:eastAsia="Arial" w:hAnsi="Arial"/>
          <w:sz w:val="12"/>
          <w:szCs w:val="12"/>
          <w:i w:val="1"/>
          <w:iCs w:val="1"/>
          <w:color w:val="auto"/>
        </w:rPr>
        <w:t xml:space="preserve"> </w:t>
      </w:r>
      <w:r>
        <w:rPr>
          <w:rFonts w:ascii="Arial" w:cs="Arial" w:eastAsia="Arial" w:hAnsi="Arial"/>
          <w:sz w:val="12"/>
          <w:szCs w:val="12"/>
          <w:color w:val="auto"/>
        </w:rPr>
        <w:t>into two 20-year IRU lease agreements with Everstream on Uniti owned fiber. Concurrently, Uniti sold its Uniti Fiber Northeast operations and certain dark fiber IRU contracts acquired as part of the Windstream settlement to Everstream. Total cash consideration, including upfront IRU payments, was approximately $135 million. In addition to the upfront proceeds, Uniti will receive fees of approximately $3 million annually from Everstream over the initial 20-year term of the IRU lease agreements, subject to an annual escalator of 2%. We recorded a gain of $28.1 million related to this transaction, which is included in gain on sale of operations in our Consolidated Statements of Income (Loss).</w:t>
      </w:r>
    </w:p>
    <w:p>
      <w:pPr>
        <w:spacing w:after="0" w:line="12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i w:val="1"/>
          <w:iCs w:val="1"/>
          <w:u w:val="single" w:color="auto"/>
          <w:color w:val="auto"/>
        </w:rPr>
        <w:t>Secured Notes Offering and Redemption.</w:t>
      </w:r>
      <w:r>
        <w:rPr>
          <w:rFonts w:ascii="Arial" w:cs="Arial" w:eastAsia="Arial" w:hAnsi="Arial"/>
          <w:sz w:val="12"/>
          <w:szCs w:val="12"/>
          <w:i w:val="1"/>
          <w:iCs w:val="1"/>
          <w:color w:val="auto"/>
        </w:rPr>
        <w:t xml:space="preserve"> </w:t>
      </w:r>
      <w:r>
        <w:rPr>
          <w:rFonts w:ascii="Arial" w:cs="Arial" w:eastAsia="Arial" w:hAnsi="Arial"/>
          <w:sz w:val="12"/>
          <w:szCs w:val="12"/>
          <w:color w:val="auto"/>
        </w:rPr>
        <w:t>On April 20, 2021, the Operating Partnership, Uniti Group Finance 2019 Inc. and CSL Capital, LLC issued $570 million aggregate principal amount of 4.750% Senior Secured Notes due 2028</w:t>
      </w:r>
      <w:r>
        <w:rPr>
          <w:rFonts w:ascii="Arial" w:cs="Arial" w:eastAsia="Arial" w:hAnsi="Arial"/>
          <w:sz w:val="12"/>
          <w:szCs w:val="12"/>
          <w:i w:val="1"/>
          <w:iCs w:val="1"/>
          <w:color w:val="auto"/>
        </w:rPr>
        <w:t xml:space="preserve"> </w:t>
      </w:r>
      <w:r>
        <w:rPr>
          <w:rFonts w:ascii="Arial" w:cs="Arial" w:eastAsia="Arial" w:hAnsi="Arial"/>
          <w:sz w:val="12"/>
          <w:szCs w:val="12"/>
          <w:color w:val="auto"/>
        </w:rPr>
        <w:t>(the “2028 Secured Notes”) and used the proceeds to fund the redemption in full of all outstanding 6.00% Senior Secured Notes due 2023 (the “2023 Secured Notes”).</w:t>
      </w:r>
    </w:p>
    <w:p>
      <w:pPr>
        <w:spacing w:after="0" w:line="115"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i w:val="1"/>
          <w:iCs w:val="1"/>
          <w:u w:val="single" w:color="auto"/>
          <w:color w:val="auto"/>
        </w:rPr>
        <w:t>Unsecured Notes Offering, Tender and Redemption</w:t>
      </w:r>
      <w:r>
        <w:rPr>
          <w:rFonts w:ascii="Arial" w:cs="Arial" w:eastAsia="Arial" w:hAnsi="Arial"/>
          <w:sz w:val="11"/>
          <w:szCs w:val="11"/>
          <w:color w:val="auto"/>
        </w:rPr>
        <w:t>. On February 2, 2021, the Operating Partnership, Uniti Group Finance 2019 Inc. and CSL Capital, LLC issued $1.11 billion aggregate principal amount of 6.50% Senior Unsecured</w:t>
      </w:r>
      <w:r>
        <w:rPr>
          <w:rFonts w:ascii="Arial" w:cs="Arial" w:eastAsia="Arial" w:hAnsi="Arial"/>
          <w:sz w:val="11"/>
          <w:szCs w:val="11"/>
          <w:i w:val="1"/>
          <w:iCs w:val="1"/>
          <w:color w:val="auto"/>
        </w:rPr>
        <w:t xml:space="preserve"> </w:t>
      </w:r>
      <w:r>
        <w:rPr>
          <w:rFonts w:ascii="Arial" w:cs="Arial" w:eastAsia="Arial" w:hAnsi="Arial"/>
          <w:sz w:val="11"/>
          <w:szCs w:val="11"/>
          <w:color w:val="auto"/>
        </w:rPr>
        <w:t>Notes due 2029 (the “2029 Notes”) and used the net proceeds from the offering to fund the tender offer and subsequent redemption of all 8.25% Senior Unsecured Notes due 2023 (the “2023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1" w:name="page32"/>
    <w:bookmarkEnd w:id="31"/>
    <w:p>
      <w:pPr>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2021 and 2020</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sets forth, for the periods indicated, our results of operations expressed as dollars and as a percentage of total revenues: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Year Ended</w:t>
            </w: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 of</w:t>
            </w:r>
          </w:p>
        </w:tc>
        <w:tc>
          <w:tcPr>
            <w:tcW w:w="120" w:type="dxa"/>
            <w:vAlign w:val="bottom"/>
          </w:tcPr>
          <w:p>
            <w:pPr>
              <w:spacing w:after="0"/>
              <w:rPr>
                <w:sz w:val="10"/>
                <w:szCs w:val="1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Year Ended</w:t>
            </w:r>
          </w:p>
        </w:tc>
        <w:tc>
          <w:tcPr>
            <w:tcW w:w="7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 of</w:t>
            </w:r>
          </w:p>
        </w:tc>
        <w:tc>
          <w:tcPr>
            <w:tcW w:w="0" w:type="dxa"/>
            <w:vAlign w:val="bottom"/>
          </w:tcPr>
          <w:p>
            <w:pPr>
              <w:spacing w:after="0"/>
              <w:rPr>
                <w:sz w:val="1"/>
                <w:szCs w:val="1"/>
                <w:color w:val="auto"/>
              </w:rPr>
            </w:pPr>
          </w:p>
        </w:tc>
      </w:tr>
      <w:tr>
        <w:trPr>
          <w:trHeight w:val="113"/>
        </w:trPr>
        <w:tc>
          <w:tcPr>
            <w:tcW w:w="476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w w:val="91"/>
              </w:rPr>
              <w:t>December 31, 2021</w:t>
            </w:r>
          </w:p>
        </w:tc>
        <w:tc>
          <w:tcPr>
            <w:tcW w:w="8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4"/>
              </w:rPr>
              <w:t>Revenues</w:t>
            </w:r>
          </w:p>
        </w:tc>
        <w:tc>
          <w:tcPr>
            <w:tcW w:w="120" w:type="dxa"/>
            <w:vAlign w:val="bottom"/>
          </w:tcPr>
          <w:p>
            <w:pPr>
              <w:spacing w:after="0"/>
              <w:rPr>
                <w:sz w:val="9"/>
                <w:szCs w:val="9"/>
                <w:color w:val="auto"/>
              </w:rPr>
            </w:pPr>
          </w:p>
        </w:tc>
        <w:tc>
          <w:tcPr>
            <w:tcW w:w="122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w w:val="88"/>
              </w:rPr>
              <w:t>December 31, 2020</w:t>
            </w:r>
          </w:p>
        </w:tc>
        <w:tc>
          <w:tcPr>
            <w:tcW w:w="7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Revenues</w:t>
            </w:r>
          </w:p>
        </w:tc>
        <w:tc>
          <w:tcPr>
            <w:tcW w:w="0" w:type="dxa"/>
            <w:vAlign w:val="bottom"/>
          </w:tcPr>
          <w:p>
            <w:pPr>
              <w:spacing w:after="0"/>
              <w:rPr>
                <w:sz w:val="1"/>
                <w:szCs w:val="1"/>
                <w:color w:val="auto"/>
              </w:rPr>
            </w:pPr>
          </w:p>
        </w:tc>
      </w:tr>
      <w:tr>
        <w:trPr>
          <w:trHeight w:val="13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Revenues:</w:t>
            </w:r>
          </w:p>
        </w:tc>
        <w:tc>
          <w:tcPr>
            <w:tcW w:w="21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160"/>
              <w:spacing w:after="0"/>
              <w:rPr>
                <w:sz w:val="20"/>
                <w:szCs w:val="20"/>
                <w:color w:val="auto"/>
              </w:rPr>
            </w:pPr>
            <w:r>
              <w:rPr>
                <w:rFonts w:ascii="Arial" w:cs="Arial" w:eastAsia="Arial" w:hAnsi="Arial"/>
                <w:sz w:val="11"/>
                <w:szCs w:val="11"/>
                <w:color w:val="auto"/>
              </w:rPr>
              <w:t>Leasing</w:t>
            </w:r>
          </w:p>
        </w:tc>
        <w:tc>
          <w:tcPr>
            <w:tcW w:w="24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801,497</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72.8%</w:t>
            </w:r>
          </w:p>
        </w:tc>
        <w:tc>
          <w:tcPr>
            <w:tcW w:w="220" w:type="dxa"/>
            <w:vAlign w:val="bottom"/>
          </w:tcPr>
          <w:p>
            <w:pPr>
              <w:spacing w:after="0"/>
              <w:rPr>
                <w:sz w:val="12"/>
                <w:szCs w:val="12"/>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745,915</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Fiber Infrastructure</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299,025</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27.2%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314,363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29.5%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160"/>
              <w:spacing w:after="0"/>
              <w:rPr>
                <w:sz w:val="20"/>
                <w:szCs w:val="20"/>
                <w:color w:val="auto"/>
              </w:rPr>
            </w:pPr>
            <w:r>
              <w:rPr>
                <w:rFonts w:ascii="Arial" w:cs="Arial" w:eastAsia="Arial" w:hAnsi="Arial"/>
                <w:sz w:val="11"/>
                <w:szCs w:val="11"/>
                <w:color w:val="auto"/>
              </w:rPr>
              <w:t>Tower</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6,112</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Consumer CLEC</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1"/>
                <w:szCs w:val="11"/>
                <w:color w:val="auto"/>
                <w:w w:val="95"/>
              </w:rPr>
              <w:t>0.0%</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651</w:t>
            </w:r>
          </w:p>
        </w:tc>
        <w:tc>
          <w:tcPr>
            <w:tcW w:w="22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1"/>
                <w:szCs w:val="11"/>
                <w:color w:val="auto"/>
                <w:w w:val="95"/>
              </w:rPr>
              <w:t>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60" w:type="dxa"/>
            <w:vAlign w:val="bottom"/>
          </w:tcPr>
          <w:p>
            <w:pPr>
              <w:ind w:left="320"/>
              <w:spacing w:after="0"/>
              <w:rPr>
                <w:sz w:val="20"/>
                <w:szCs w:val="20"/>
                <w:color w:val="auto"/>
              </w:rPr>
            </w:pPr>
            <w:r>
              <w:rPr>
                <w:rFonts w:ascii="Arial" w:cs="Arial" w:eastAsia="Arial" w:hAnsi="Arial"/>
                <w:sz w:val="11"/>
                <w:szCs w:val="11"/>
                <w:color w:val="auto"/>
              </w:rPr>
              <w:t>Total revenues</w:t>
            </w: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1,100,522</w:t>
            </w:r>
          </w:p>
        </w:tc>
        <w:tc>
          <w:tcPr>
            <w:tcW w:w="2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5"/>
              </w:rPr>
              <w:t>100.0%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1,067,041</w:t>
            </w:r>
          </w:p>
        </w:tc>
        <w:tc>
          <w:tcPr>
            <w:tcW w:w="2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5"/>
              </w:rPr>
              <w:t>100.0%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Costs and Expenses:</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160"/>
              <w:spacing w:after="0"/>
              <w:rPr>
                <w:sz w:val="20"/>
                <w:szCs w:val="20"/>
                <w:color w:val="auto"/>
              </w:rPr>
            </w:pPr>
            <w:r>
              <w:rPr>
                <w:rFonts w:ascii="Arial" w:cs="Arial" w:eastAsia="Arial" w:hAnsi="Arial"/>
                <w:sz w:val="11"/>
                <w:szCs w:val="11"/>
                <w:color w:val="auto"/>
              </w:rPr>
              <w:t>Interest expense, net</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446,296</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40.6%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497,128</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46.6%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Depreciation and amortization</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290,942</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26.4%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329,403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30.9%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160"/>
              <w:spacing w:after="0"/>
              <w:rPr>
                <w:sz w:val="20"/>
                <w:szCs w:val="20"/>
                <w:color w:val="auto"/>
              </w:rPr>
            </w:pPr>
            <w:r>
              <w:rPr>
                <w:rFonts w:ascii="Arial" w:cs="Arial" w:eastAsia="Arial" w:hAnsi="Arial"/>
                <w:sz w:val="11"/>
                <w:szCs w:val="11"/>
                <w:color w:val="auto"/>
              </w:rPr>
              <w:t>General and administrative expense</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101,176</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9.2%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104,975</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Operating expense (exclusive of depreciation and amortization)</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146,869</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13.3%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159,337</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14.9%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160"/>
              <w:spacing w:after="0"/>
              <w:rPr>
                <w:sz w:val="20"/>
                <w:szCs w:val="20"/>
                <w:color w:val="auto"/>
              </w:rPr>
            </w:pPr>
            <w:r>
              <w:rPr>
                <w:rFonts w:ascii="Arial" w:cs="Arial" w:eastAsia="Arial" w:hAnsi="Arial"/>
                <w:sz w:val="11"/>
                <w:szCs w:val="11"/>
                <w:color w:val="auto"/>
              </w:rPr>
              <w:t>Settlement expense</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650,000</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60.9%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Goodwill impairment</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5"/>
              </w:rPr>
              <w:t>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71,000</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5"/>
              </w:rPr>
              <w:t>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160"/>
              <w:spacing w:after="0"/>
              <w:rPr>
                <w:sz w:val="20"/>
                <w:szCs w:val="20"/>
                <w:color w:val="auto"/>
              </w:rPr>
            </w:pPr>
            <w:r>
              <w:rPr>
                <w:rFonts w:ascii="Arial" w:cs="Arial" w:eastAsia="Arial" w:hAnsi="Arial"/>
                <w:sz w:val="11"/>
                <w:szCs w:val="11"/>
                <w:color w:val="auto"/>
              </w:rPr>
              <w:t>Transaction related and other costs</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7,544</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63,875</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Gain on sale of real estate</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(442)</w:t>
            </w: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(86,267)</w:t>
            </w: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160"/>
              <w:spacing w:after="0"/>
              <w:rPr>
                <w:sz w:val="20"/>
                <w:szCs w:val="20"/>
                <w:color w:val="auto"/>
              </w:rPr>
            </w:pPr>
            <w:r>
              <w:rPr>
                <w:rFonts w:ascii="Arial" w:cs="Arial" w:eastAsia="Arial" w:hAnsi="Arial"/>
                <w:sz w:val="11"/>
                <w:szCs w:val="11"/>
                <w:color w:val="auto"/>
              </w:rPr>
              <w:t>Gain on sale of operations</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1"/>
                <w:szCs w:val="11"/>
                <w:color w:val="auto"/>
              </w:rPr>
              <w:t>(28,143)</w:t>
            </w:r>
          </w:p>
        </w:tc>
        <w:tc>
          <w:tcPr>
            <w:tcW w:w="600" w:type="dxa"/>
            <w:vAlign w:val="bottom"/>
          </w:tcPr>
          <w:p>
            <w:pPr>
              <w:jc w:val="center"/>
              <w:spacing w:after="0"/>
              <w:rPr>
                <w:sz w:val="20"/>
                <w:szCs w:val="20"/>
                <w:color w:val="auto"/>
              </w:rPr>
            </w:pPr>
            <w:r>
              <w:rPr>
                <w:rFonts w:ascii="Arial" w:cs="Arial" w:eastAsia="Arial" w:hAnsi="Arial"/>
                <w:sz w:val="11"/>
                <w:szCs w:val="11"/>
                <w:color w:val="auto"/>
                <w:w w:val="92"/>
              </w:rPr>
              <w:t>(2.6%)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Other expense, net</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18,553</w:t>
            </w:r>
          </w:p>
        </w:tc>
        <w:tc>
          <w:tcPr>
            <w:tcW w:w="22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1"/>
                <w:szCs w:val="11"/>
                <w:color w:val="auto"/>
                <w:w w:val="95"/>
              </w:rPr>
              <w:t>1.7%</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11,703</w:t>
            </w:r>
          </w:p>
        </w:tc>
        <w:tc>
          <w:tcPr>
            <w:tcW w:w="22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1"/>
                <w:szCs w:val="11"/>
                <w:color w:val="auto"/>
                <w:w w:val="95"/>
              </w:rPr>
              <w:t>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60" w:type="dxa"/>
            <w:vAlign w:val="bottom"/>
            <w:tcBorders>
              <w:bottom w:val="single" w:sz="8" w:color="CFF0FC"/>
            </w:tcBorders>
          </w:tcPr>
          <w:p>
            <w:pPr>
              <w:ind w:left="320"/>
              <w:spacing w:after="0"/>
              <w:rPr>
                <w:sz w:val="20"/>
                <w:szCs w:val="20"/>
                <w:color w:val="auto"/>
              </w:rPr>
            </w:pPr>
            <w:r>
              <w:rPr>
                <w:rFonts w:ascii="Arial" w:cs="Arial" w:eastAsia="Arial" w:hAnsi="Arial"/>
                <w:sz w:val="11"/>
                <w:szCs w:val="11"/>
                <w:color w:val="auto"/>
              </w:rPr>
              <w:t>Total costs and expenses</w:t>
            </w:r>
          </w:p>
        </w:tc>
        <w:tc>
          <w:tcPr>
            <w:tcW w:w="21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982,795</w:t>
            </w:r>
          </w:p>
        </w:tc>
        <w:tc>
          <w:tcPr>
            <w:tcW w:w="220" w:type="dxa"/>
            <w:vAlign w:val="bottom"/>
            <w:tcBorders>
              <w:bottom w:val="single" w:sz="8" w:color="CFF0FC"/>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89.3%</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1,801,154</w:t>
            </w:r>
          </w:p>
        </w:tc>
        <w:tc>
          <w:tcPr>
            <w:tcW w:w="220" w:type="dxa"/>
            <w:vAlign w:val="bottom"/>
            <w:tcBorders>
              <w:bottom w:val="single" w:sz="8" w:color="CFF0FC"/>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5"/>
              </w:rPr>
              <w:t>168.8%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Income (loss) before income taxes and equity in earnings from unconsolidated entities</w:t>
            </w:r>
          </w:p>
        </w:tc>
        <w:tc>
          <w:tcPr>
            <w:tcW w:w="2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117,727</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10.7%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(734,113)</w:t>
            </w: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3"/>
              </w:rPr>
              <w:t>(68.8%)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160"/>
              <w:spacing w:after="0"/>
              <w:rPr>
                <w:sz w:val="20"/>
                <w:szCs w:val="20"/>
                <w:color w:val="auto"/>
              </w:rPr>
            </w:pPr>
            <w:r>
              <w:rPr>
                <w:rFonts w:ascii="Arial" w:cs="Arial" w:eastAsia="Arial" w:hAnsi="Arial"/>
                <w:sz w:val="11"/>
                <w:szCs w:val="11"/>
                <w:color w:val="auto"/>
              </w:rPr>
              <w:t>Income tax benefit</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1"/>
                <w:szCs w:val="11"/>
                <w:color w:val="auto"/>
              </w:rPr>
              <w:t>(4,916)</w:t>
            </w:r>
          </w:p>
        </w:tc>
        <w:tc>
          <w:tcPr>
            <w:tcW w:w="600" w:type="dxa"/>
            <w:vAlign w:val="bottom"/>
          </w:tcPr>
          <w:p>
            <w:pPr>
              <w:jc w:val="center"/>
              <w:spacing w:after="0"/>
              <w:rPr>
                <w:sz w:val="20"/>
                <w:szCs w:val="20"/>
                <w:color w:val="auto"/>
              </w:rPr>
            </w:pPr>
            <w:r>
              <w:rPr>
                <w:rFonts w:ascii="Arial" w:cs="Arial" w:eastAsia="Arial" w:hAnsi="Arial"/>
                <w:sz w:val="11"/>
                <w:szCs w:val="11"/>
                <w:color w:val="auto"/>
                <w:w w:val="92"/>
              </w:rPr>
              <w:t>(0.4%)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1"/>
                <w:szCs w:val="11"/>
                <w:color w:val="auto"/>
              </w:rPr>
              <w:t>(15,203)</w:t>
            </w:r>
          </w:p>
        </w:tc>
        <w:tc>
          <w:tcPr>
            <w:tcW w:w="600" w:type="dxa"/>
            <w:vAlign w:val="bottom"/>
          </w:tcPr>
          <w:p>
            <w:pPr>
              <w:jc w:val="center"/>
              <w:spacing w:after="0"/>
              <w:rPr>
                <w:sz w:val="20"/>
                <w:szCs w:val="20"/>
                <w:color w:val="auto"/>
              </w:rPr>
            </w:pPr>
            <w:r>
              <w:rPr>
                <w:rFonts w:ascii="Arial" w:cs="Arial" w:eastAsia="Arial" w:hAnsi="Arial"/>
                <w:sz w:val="11"/>
                <w:szCs w:val="11"/>
                <w:color w:val="auto"/>
                <w:w w:val="92"/>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Equity in earnings from unconsolidated entities</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(2,102)</w:t>
            </w: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(0.2%)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(98)</w:t>
            </w: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1"/>
                <w:szCs w:val="11"/>
                <w:b w:val="1"/>
                <w:bCs w:val="1"/>
                <w:color w:val="auto"/>
              </w:rPr>
              <w:t>Net income (loss)</w:t>
            </w: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760" w:type="dxa"/>
            <w:vAlign w:val="bottom"/>
            <w:vMerge w:val="continue"/>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124,745</w:t>
            </w:r>
          </w:p>
        </w:tc>
        <w:tc>
          <w:tcPr>
            <w:tcW w:w="2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11.3%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1"/>
                <w:szCs w:val="11"/>
                <w:color w:val="auto"/>
              </w:rPr>
              <w:t>(718,812)</w:t>
            </w:r>
          </w:p>
        </w:tc>
        <w:tc>
          <w:tcPr>
            <w:tcW w:w="600" w:type="dxa"/>
            <w:vAlign w:val="bottom"/>
          </w:tcPr>
          <w:p>
            <w:pPr>
              <w:jc w:val="center"/>
              <w:spacing w:after="0"/>
              <w:rPr>
                <w:sz w:val="20"/>
                <w:szCs w:val="20"/>
                <w:color w:val="auto"/>
              </w:rPr>
            </w:pPr>
            <w:r>
              <w:rPr>
                <w:rFonts w:ascii="Arial" w:cs="Arial" w:eastAsia="Arial" w:hAnsi="Arial"/>
                <w:sz w:val="11"/>
                <w:szCs w:val="11"/>
                <w:color w:val="auto"/>
                <w:w w:val="93"/>
              </w:rPr>
              <w:t>(67.4%)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spacing w:after="0"/>
              <w:rPr>
                <w:sz w:val="20"/>
                <w:szCs w:val="20"/>
                <w:color w:val="auto"/>
              </w:rPr>
            </w:pPr>
            <w:r>
              <w:rPr>
                <w:rFonts w:ascii="Arial" w:cs="Arial" w:eastAsia="Arial" w:hAnsi="Arial"/>
                <w:sz w:val="11"/>
                <w:szCs w:val="11"/>
                <w:color w:val="auto"/>
              </w:rPr>
              <w:t>Net income (loss) attributable to noncontrolling interests</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1,085</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5"/>
              </w:rPr>
              <w:t>0.1%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(12,511)</w:t>
            </w: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1"/>
                <w:szCs w:val="11"/>
                <w:b w:val="1"/>
                <w:bCs w:val="1"/>
                <w:color w:val="auto"/>
              </w:rPr>
              <w:t>Net income (loss) attributable to shareholders</w:t>
            </w: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760" w:type="dxa"/>
            <w:vAlign w:val="bottom"/>
            <w:vMerge w:val="continue"/>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123,660</w:t>
            </w:r>
          </w:p>
        </w:tc>
        <w:tc>
          <w:tcPr>
            <w:tcW w:w="2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11.2%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1"/>
                <w:szCs w:val="11"/>
                <w:color w:val="auto"/>
              </w:rPr>
              <w:t>(706,301)</w:t>
            </w:r>
          </w:p>
        </w:tc>
        <w:tc>
          <w:tcPr>
            <w:tcW w:w="600" w:type="dxa"/>
            <w:vAlign w:val="bottom"/>
          </w:tcPr>
          <w:p>
            <w:pPr>
              <w:jc w:val="center"/>
              <w:spacing w:after="0"/>
              <w:rPr>
                <w:sz w:val="20"/>
                <w:szCs w:val="20"/>
                <w:color w:val="auto"/>
              </w:rPr>
            </w:pPr>
            <w:r>
              <w:rPr>
                <w:rFonts w:ascii="Arial" w:cs="Arial" w:eastAsia="Arial" w:hAnsi="Arial"/>
                <w:sz w:val="11"/>
                <w:szCs w:val="11"/>
                <w:color w:val="auto"/>
                <w:w w:val="93"/>
              </w:rPr>
              <w:t>(66.2%)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Participating securities' share in earnings</w:t>
            </w:r>
          </w:p>
        </w:tc>
        <w:tc>
          <w:tcPr>
            <w:tcW w:w="2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(1,077)</w:t>
            </w: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(0.1%)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(1,078)</w:t>
            </w: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ind w:left="160"/>
              <w:spacing w:after="0"/>
              <w:rPr>
                <w:sz w:val="20"/>
                <w:szCs w:val="20"/>
                <w:color w:val="auto"/>
              </w:rPr>
            </w:pPr>
            <w:r>
              <w:rPr>
                <w:rFonts w:ascii="Arial" w:cs="Arial" w:eastAsia="Arial" w:hAnsi="Arial"/>
                <w:sz w:val="11"/>
                <w:szCs w:val="11"/>
                <w:color w:val="auto"/>
              </w:rPr>
              <w:t>Dividends declared on convertible preferred stock</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1"/>
                <w:szCs w:val="11"/>
                <w:color w:val="auto"/>
              </w:rPr>
              <w:t>(10)</w:t>
            </w:r>
          </w:p>
        </w:tc>
        <w:tc>
          <w:tcPr>
            <w:tcW w:w="600" w:type="dxa"/>
            <w:vAlign w:val="bottom"/>
          </w:tcPr>
          <w:p>
            <w:pPr>
              <w:jc w:val="center"/>
              <w:spacing w:after="0"/>
              <w:rPr>
                <w:sz w:val="20"/>
                <w:szCs w:val="20"/>
                <w:color w:val="auto"/>
              </w:rPr>
            </w:pPr>
            <w:r>
              <w:rPr>
                <w:rFonts w:ascii="Arial" w:cs="Arial" w:eastAsia="Arial" w:hAnsi="Arial"/>
                <w:sz w:val="11"/>
                <w:szCs w:val="11"/>
                <w:color w:val="auto"/>
                <w:w w:val="92"/>
              </w:rPr>
              <w:t>(0.0%)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1"/>
                <w:szCs w:val="11"/>
                <w:color w:val="auto"/>
              </w:rPr>
              <w:t>(9)</w:t>
            </w:r>
          </w:p>
        </w:tc>
        <w:tc>
          <w:tcPr>
            <w:tcW w:w="600" w:type="dxa"/>
            <w:vAlign w:val="bottom"/>
          </w:tcPr>
          <w:p>
            <w:pPr>
              <w:jc w:val="center"/>
              <w:spacing w:after="0"/>
              <w:rPr>
                <w:sz w:val="20"/>
                <w:szCs w:val="20"/>
                <w:color w:val="auto"/>
              </w:rPr>
            </w:pPr>
            <w:r>
              <w:rPr>
                <w:rFonts w:ascii="Arial" w:cs="Arial" w:eastAsia="Arial" w:hAnsi="Arial"/>
                <w:sz w:val="11"/>
                <w:szCs w:val="11"/>
                <w:color w:val="auto"/>
                <w:w w:val="92"/>
              </w:rPr>
              <w:t>(0.0%)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1"/>
                <w:szCs w:val="11"/>
                <w:b w:val="1"/>
                <w:bCs w:val="1"/>
                <w:color w:val="auto"/>
              </w:rPr>
              <w:t>Net income (loss) attributable to common shareholders</w:t>
            </w:r>
          </w:p>
        </w:tc>
        <w:tc>
          <w:tcPr>
            <w:tcW w:w="2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760" w:type="dxa"/>
            <w:vAlign w:val="bottom"/>
            <w:vMerge w:val="continue"/>
            <w:shd w:val="clear" w:color="auto" w:fill="CFF0FC"/>
          </w:tcPr>
          <w:p>
            <w:pPr>
              <w:spacing w:after="0"/>
              <w:rPr>
                <w:sz w:val="13"/>
                <w:szCs w:val="13"/>
                <w:color w:val="auto"/>
              </w:rPr>
            </w:pPr>
          </w:p>
        </w:tc>
        <w:tc>
          <w:tcPr>
            <w:tcW w:w="242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122,573</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11.1%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(707,388)</w:t>
            </w:r>
          </w:p>
        </w:tc>
        <w:tc>
          <w:tcPr>
            <w:tcW w:w="6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3"/>
              </w:rPr>
              <w:t>(66.3%)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760" w:type="dxa"/>
            <w:vAlign w:val="bottom"/>
            <w:tcBorders>
              <w:top w:val="single" w:sz="8" w:color="CFF0FC"/>
            </w:tcBorders>
          </w:tcPr>
          <w:p>
            <w:pPr>
              <w:spacing w:after="0"/>
              <w:rPr>
                <w:sz w:val="24"/>
                <w:szCs w:val="24"/>
                <w:color w:val="auto"/>
              </w:rPr>
            </w:pPr>
          </w:p>
        </w:tc>
        <w:tc>
          <w:tcPr>
            <w:tcW w:w="2180" w:type="dxa"/>
            <w:vAlign w:val="bottom"/>
            <w:tcBorders>
              <w:top w:val="single" w:sz="8" w:color="CFF0FC"/>
            </w:tcBorders>
          </w:tcPr>
          <w:p>
            <w:pPr>
              <w:jc w:val="right"/>
              <w:ind w:right="1184"/>
              <w:spacing w:after="0"/>
              <w:rPr>
                <w:sz w:val="20"/>
                <w:szCs w:val="20"/>
                <w:color w:val="auto"/>
              </w:rPr>
            </w:pPr>
            <w:r>
              <w:rPr>
                <w:rFonts w:ascii="Arial" w:cs="Arial" w:eastAsia="Arial" w:hAnsi="Arial"/>
                <w:sz w:val="12"/>
                <w:szCs w:val="12"/>
                <w:color w:val="auto"/>
              </w:rPr>
              <w:t>32</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76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2" w:name="page33"/>
    <w:bookmarkEnd w:id="3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for the years ended December 31, 2021 and 2020, revenues and Adjusted EBITDA of our reportable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0"/>
                <w:szCs w:val="10"/>
                <w:b w:val="1"/>
                <w:bCs w:val="1"/>
                <w:color w:val="auto"/>
              </w:rPr>
              <w:t>Year Ended December 31, 2021</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center"/>
              <w:ind w:right="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r>
      <w:tr>
        <w:trPr>
          <w:trHeight w:val="113"/>
        </w:trPr>
        <w:tc>
          <w:tcPr>
            <w:tcW w:w="42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63"/>
              <w:spacing w:after="0" w:line="114" w:lineRule="exact"/>
              <w:rPr>
                <w:sz w:val="20"/>
                <w:szCs w:val="20"/>
                <w:color w:val="auto"/>
              </w:rPr>
            </w:pPr>
            <w:r>
              <w:rPr>
                <w:rFonts w:ascii="Arial" w:cs="Arial" w:eastAsia="Arial" w:hAnsi="Arial"/>
                <w:sz w:val="10"/>
                <w:szCs w:val="10"/>
                <w:b w:val="1"/>
                <w:bCs w:val="1"/>
                <w:color w:val="auto"/>
              </w:rPr>
              <w:t>Leasing</w:t>
            </w:r>
          </w:p>
        </w:tc>
        <w:tc>
          <w:tcPr>
            <w:tcW w:w="2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93"/>
              </w:rPr>
              <w:t>Fiber Infrastructure</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05"/>
              <w:spacing w:after="0" w:line="114" w:lineRule="exact"/>
              <w:rPr>
                <w:sz w:val="20"/>
                <w:szCs w:val="20"/>
                <w:color w:val="auto"/>
              </w:rPr>
            </w:pPr>
            <w:r>
              <w:rPr>
                <w:rFonts w:ascii="Arial" w:cs="Arial" w:eastAsia="Arial" w:hAnsi="Arial"/>
                <w:sz w:val="10"/>
                <w:szCs w:val="10"/>
                <w:b w:val="1"/>
                <w:bCs w:val="1"/>
                <w:color w:val="auto"/>
              </w:rPr>
              <w:t>Towers</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63"/>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3"/>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22"/>
              <w:spacing w:after="0" w:line="114" w:lineRule="exact"/>
              <w:rPr>
                <w:sz w:val="20"/>
                <w:szCs w:val="20"/>
                <w:color w:val="auto"/>
              </w:rPr>
            </w:pPr>
            <w:r>
              <w:rPr>
                <w:rFonts w:ascii="Arial" w:cs="Arial" w:eastAsia="Arial" w:hAnsi="Arial"/>
                <w:sz w:val="10"/>
                <w:szCs w:val="10"/>
                <w:b w:val="1"/>
                <w:bCs w:val="1"/>
                <w:color w:val="auto"/>
                <w:w w:val="79"/>
              </w:rPr>
              <w:t>Segments</w:t>
            </w:r>
          </w:p>
        </w:tc>
        <w:tc>
          <w:tcPr>
            <w:tcW w:w="120" w:type="dxa"/>
            <w:vAlign w:val="bottom"/>
            <w:tcBorders>
              <w:bottom w:val="single" w:sz="8" w:color="CFF0FC"/>
            </w:tcBorders>
          </w:tcPr>
          <w:p>
            <w:pPr>
              <w:spacing w:after="0"/>
              <w:rPr>
                <w:sz w:val="9"/>
                <w:szCs w:val="9"/>
                <w:color w:val="auto"/>
              </w:rPr>
            </w:pPr>
          </w:p>
        </w:tc>
      </w:tr>
      <w:tr>
        <w:trPr>
          <w:trHeight w:val="142"/>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Revenues</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801,497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299,025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1,100,522</w:t>
            </w:r>
          </w:p>
        </w:tc>
        <w:tc>
          <w:tcPr>
            <w:tcW w:w="120" w:type="dxa"/>
            <w:vAlign w:val="bottom"/>
            <w:shd w:val="clear" w:color="auto" w:fill="CFF0FC"/>
          </w:tcPr>
          <w:p>
            <w:pPr>
              <w:spacing w:after="0"/>
              <w:rPr>
                <w:sz w:val="12"/>
                <w:szCs w:val="12"/>
                <w:color w:val="auto"/>
              </w:rPr>
            </w:pPr>
          </w:p>
        </w:tc>
      </w:tr>
      <w:tr>
        <w:trPr>
          <w:trHeight w:val="153"/>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784,061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118,452</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(24,232)</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878,281</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spacing w:after="0"/>
              <w:rPr>
                <w:sz w:val="20"/>
                <w:szCs w:val="20"/>
                <w:color w:val="auto"/>
              </w:rPr>
            </w:pPr>
            <w:r>
              <w:rPr>
                <w:rFonts w:ascii="Arial" w:cs="Arial" w:eastAsia="Arial" w:hAnsi="Arial"/>
                <w:sz w:val="12"/>
                <w:szCs w:val="12"/>
                <w:color w:val="auto"/>
              </w:rPr>
              <w:t>Less: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Interest expense,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446,296</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174,622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116,065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290,942</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24,917</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Transaction related and other costs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7,544</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Gain on sale of operations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(28,143)</w:t>
            </w: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Gain on sale of real estate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(442)</w:t>
            </w: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Stock-based compensation</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13,847</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Income tax benefit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(4,916)</w:t>
            </w: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Adjustments for equity in earnings from unconsolidated entities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3,491</w:t>
            </w:r>
          </w:p>
        </w:tc>
        <w:tc>
          <w:tcPr>
            <w:tcW w:w="120" w:type="dxa"/>
            <w:vAlign w:val="bottom"/>
            <w:shd w:val="clear" w:color="auto" w:fill="CFF0FC"/>
          </w:tcPr>
          <w:p>
            <w:pPr>
              <w:spacing w:after="0"/>
              <w:rPr>
                <w:sz w:val="13"/>
                <w:szCs w:val="13"/>
                <w:color w:val="auto"/>
              </w:rPr>
            </w:pPr>
          </w:p>
        </w:tc>
      </w:tr>
      <w:tr>
        <w:trPr>
          <w:trHeight w:val="149"/>
        </w:trPr>
        <w:tc>
          <w:tcPr>
            <w:tcW w:w="434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124,745</w:t>
            </w:r>
          </w:p>
        </w:tc>
        <w:tc>
          <w:tcPr>
            <w:tcW w:w="120" w:type="dxa"/>
            <w:vAlign w:val="bottom"/>
          </w:tcPr>
          <w:p>
            <w:pPr>
              <w:spacing w:after="0"/>
              <w:rPr>
                <w:sz w:val="12"/>
                <w:szCs w:val="12"/>
                <w:color w:val="auto"/>
              </w:rPr>
            </w:pPr>
          </w:p>
        </w:tc>
      </w:tr>
      <w:tr>
        <w:trPr>
          <w:trHeight w:val="378"/>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0"/>
                <w:szCs w:val="10"/>
                <w:b w:val="1"/>
                <w:bCs w:val="1"/>
                <w:color w:val="auto"/>
              </w:rPr>
              <w:t>Year Ended December 31, 2020</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83"/>
        </w:trPr>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center"/>
              <w:ind w:right="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r>
      <w:tr>
        <w:trPr>
          <w:trHeight w:val="113"/>
        </w:trPr>
        <w:tc>
          <w:tcPr>
            <w:tcW w:w="42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63"/>
              <w:spacing w:after="0" w:line="114" w:lineRule="exact"/>
              <w:rPr>
                <w:sz w:val="20"/>
                <w:szCs w:val="20"/>
                <w:color w:val="auto"/>
              </w:rPr>
            </w:pPr>
            <w:r>
              <w:rPr>
                <w:rFonts w:ascii="Arial" w:cs="Arial" w:eastAsia="Arial" w:hAnsi="Arial"/>
                <w:sz w:val="10"/>
                <w:szCs w:val="10"/>
                <w:b w:val="1"/>
                <w:bCs w:val="1"/>
                <w:color w:val="auto"/>
              </w:rPr>
              <w:t>Leasing</w:t>
            </w:r>
          </w:p>
        </w:tc>
        <w:tc>
          <w:tcPr>
            <w:tcW w:w="2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93"/>
              </w:rPr>
              <w:t>Fiber Infrastructure</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05"/>
              <w:spacing w:after="0" w:line="114" w:lineRule="exact"/>
              <w:rPr>
                <w:sz w:val="20"/>
                <w:szCs w:val="20"/>
                <w:color w:val="auto"/>
              </w:rPr>
            </w:pPr>
            <w:r>
              <w:rPr>
                <w:rFonts w:ascii="Arial" w:cs="Arial" w:eastAsia="Arial" w:hAnsi="Arial"/>
                <w:sz w:val="10"/>
                <w:szCs w:val="10"/>
                <w:b w:val="1"/>
                <w:bCs w:val="1"/>
                <w:color w:val="auto"/>
              </w:rPr>
              <w:t>Towers</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63"/>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3"/>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22"/>
              <w:spacing w:after="0" w:line="114" w:lineRule="exact"/>
              <w:rPr>
                <w:sz w:val="20"/>
                <w:szCs w:val="20"/>
                <w:color w:val="auto"/>
              </w:rPr>
            </w:pPr>
            <w:r>
              <w:rPr>
                <w:rFonts w:ascii="Arial" w:cs="Arial" w:eastAsia="Arial" w:hAnsi="Arial"/>
                <w:sz w:val="10"/>
                <w:szCs w:val="10"/>
                <w:b w:val="1"/>
                <w:bCs w:val="1"/>
                <w:color w:val="auto"/>
                <w:w w:val="79"/>
              </w:rPr>
              <w:t>Segments</w:t>
            </w:r>
          </w:p>
        </w:tc>
        <w:tc>
          <w:tcPr>
            <w:tcW w:w="120" w:type="dxa"/>
            <w:vAlign w:val="bottom"/>
            <w:tcBorders>
              <w:bottom w:val="single" w:sz="8" w:color="CFF0FC"/>
            </w:tcBorders>
          </w:tcPr>
          <w:p>
            <w:pPr>
              <w:spacing w:after="0"/>
              <w:rPr>
                <w:sz w:val="9"/>
                <w:szCs w:val="9"/>
                <w:color w:val="auto"/>
              </w:rPr>
            </w:pPr>
          </w:p>
        </w:tc>
      </w:tr>
      <w:tr>
        <w:trPr>
          <w:trHeight w:val="142"/>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Revenues</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745,915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314,363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1,067,041</w:t>
            </w:r>
          </w:p>
        </w:tc>
        <w:tc>
          <w:tcPr>
            <w:tcW w:w="120" w:type="dxa"/>
            <w:vAlign w:val="bottom"/>
            <w:shd w:val="clear" w:color="auto" w:fill="CFF0FC"/>
          </w:tcPr>
          <w:p>
            <w:pPr>
              <w:spacing w:after="0"/>
              <w:rPr>
                <w:sz w:val="12"/>
                <w:szCs w:val="12"/>
                <w:color w:val="auto"/>
              </w:rPr>
            </w:pPr>
          </w:p>
        </w:tc>
      </w:tr>
      <w:tr>
        <w:trPr>
          <w:trHeight w:val="153"/>
        </w:trPr>
        <w:tc>
          <w:tcPr>
            <w:tcW w:w="43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737,337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112,289</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(545)</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(30,323)</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818,835</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spacing w:after="0"/>
              <w:rPr>
                <w:sz w:val="20"/>
                <w:szCs w:val="20"/>
                <w:color w:val="auto"/>
              </w:rPr>
            </w:pPr>
            <w:r>
              <w:rPr>
                <w:rFonts w:ascii="Arial" w:cs="Arial" w:eastAsia="Arial" w:hAnsi="Arial"/>
                <w:sz w:val="12"/>
                <w:szCs w:val="12"/>
                <w:color w:val="auto"/>
              </w:rPr>
              <w:t>Less: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Interest expense,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497,128</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201,321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126,211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783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791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329,403</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11,703</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Settlement expense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650,000</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Goodwill impairment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71,000</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Transaction related and other costs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63,875</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Gain on sale of real estate</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(86,267)</w:t>
            </w: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13,721</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(15,203)</w:t>
            </w:r>
          </w:p>
        </w:tc>
      </w:tr>
      <w:tr>
        <w:trPr>
          <w:trHeight w:val="153"/>
        </w:trPr>
        <w:tc>
          <w:tcPr>
            <w:tcW w:w="4340" w:type="dxa"/>
            <w:vAlign w:val="bottom"/>
            <w:tcBorders>
              <w:bottom w:val="single" w:sz="8" w:color="CFF0FC"/>
            </w:tcBorders>
            <w:gridSpan w:val="2"/>
          </w:tcPr>
          <w:p>
            <w:pPr>
              <w:ind w:left="80"/>
              <w:spacing w:after="0"/>
              <w:rPr>
                <w:sz w:val="20"/>
                <w:szCs w:val="20"/>
                <w:color w:val="auto"/>
              </w:rPr>
            </w:pPr>
            <w:r>
              <w:rPr>
                <w:rFonts w:ascii="Arial" w:cs="Arial" w:eastAsia="Arial" w:hAnsi="Arial"/>
                <w:sz w:val="12"/>
                <w:szCs w:val="12"/>
                <w:color w:val="auto"/>
              </w:rPr>
              <w:t>Adjustments for equity in earnings from unconsolidated entities</w:t>
            </w:r>
          </w:p>
        </w:tc>
        <w:tc>
          <w:tcPr>
            <w:tcW w:w="1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2,287</w:t>
            </w:r>
          </w:p>
        </w:tc>
        <w:tc>
          <w:tcPr>
            <w:tcW w:w="120" w:type="dxa"/>
            <w:vAlign w:val="bottom"/>
            <w:tcBorders>
              <w:bottom w:val="single" w:sz="8" w:color="CFF0FC"/>
            </w:tcBorders>
          </w:tcPr>
          <w:p>
            <w:pPr>
              <w:spacing w:after="0"/>
              <w:rPr>
                <w:sz w:val="13"/>
                <w:szCs w:val="13"/>
                <w:color w:val="auto"/>
              </w:rPr>
            </w:pPr>
          </w:p>
        </w:tc>
      </w:tr>
      <w:tr>
        <w:trPr>
          <w:trHeight w:val="162"/>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loss</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(718,812)</w:t>
            </w:r>
          </w:p>
        </w:tc>
      </w:tr>
      <w:tr>
        <w:trPr>
          <w:trHeight w:val="275"/>
        </w:trPr>
        <w:tc>
          <w:tcPr>
            <w:tcW w:w="42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spacing w:after="0"/>
              <w:rPr>
                <w:sz w:val="23"/>
                <w:szCs w:val="23"/>
                <w:color w:val="auto"/>
              </w:rPr>
            </w:pPr>
          </w:p>
        </w:tc>
        <w:tc>
          <w:tcPr>
            <w:tcW w:w="760" w:type="dxa"/>
            <w:vAlign w:val="bottom"/>
            <w:tcBorders>
              <w:top w:val="single" w:sz="8" w:color="CFF0FC"/>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860" w:type="dxa"/>
            <w:vAlign w:val="bottom"/>
            <w:tcBorders>
              <w:top w:val="single" w:sz="8" w:color="CFF0FC"/>
            </w:tcBorders>
          </w:tcPr>
          <w:p>
            <w:pPr>
              <w:jc w:val="right"/>
              <w:ind w:right="680"/>
              <w:spacing w:after="0"/>
              <w:rPr>
                <w:sz w:val="20"/>
                <w:szCs w:val="20"/>
                <w:color w:val="auto"/>
              </w:rPr>
            </w:pPr>
            <w:r>
              <w:rPr>
                <w:rFonts w:ascii="Arial" w:cs="Arial" w:eastAsia="Arial" w:hAnsi="Arial"/>
                <w:sz w:val="12"/>
                <w:szCs w:val="12"/>
                <w:color w:val="auto"/>
                <w:w w:val="74"/>
              </w:rPr>
              <w:t>33</w:t>
            </w:r>
          </w:p>
        </w:tc>
        <w:tc>
          <w:tcPr>
            <w:tcW w:w="220" w:type="dxa"/>
            <w:vAlign w:val="bottom"/>
            <w:tcBorders>
              <w:top w:val="single" w:sz="8" w:color="CFF0FC"/>
            </w:tcBorders>
          </w:tcPr>
          <w:p>
            <w:pPr>
              <w:spacing w:after="0"/>
              <w:rPr>
                <w:sz w:val="23"/>
                <w:szCs w:val="23"/>
                <w:color w:val="auto"/>
              </w:rPr>
            </w:pPr>
          </w:p>
        </w:tc>
        <w:tc>
          <w:tcPr>
            <w:tcW w:w="200" w:type="dxa"/>
            <w:vAlign w:val="bottom"/>
            <w:tcBorders>
              <w:top w:val="single" w:sz="8" w:color="CFF0FC"/>
            </w:tcBorders>
          </w:tcPr>
          <w:p>
            <w:pPr>
              <w:spacing w:after="0"/>
              <w:rPr>
                <w:sz w:val="23"/>
                <w:szCs w:val="23"/>
                <w:color w:val="auto"/>
              </w:rPr>
            </w:pPr>
          </w:p>
        </w:tc>
        <w:tc>
          <w:tcPr>
            <w:tcW w:w="820" w:type="dxa"/>
            <w:vAlign w:val="bottom"/>
            <w:tcBorders>
              <w:top w:val="single" w:sz="8" w:color="CFF0FC"/>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860" w:type="dxa"/>
            <w:vAlign w:val="bottom"/>
            <w:tcBorders>
              <w:top w:val="single" w:sz="8" w:color="CFF0FC"/>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160" w:type="dxa"/>
            <w:vAlign w:val="bottom"/>
            <w:tcBorders>
              <w:top w:val="single" w:sz="8" w:color="CFF0FC"/>
            </w:tcBorders>
          </w:tcPr>
          <w:p>
            <w:pPr>
              <w:spacing w:after="0"/>
              <w:rPr>
                <w:sz w:val="23"/>
                <w:szCs w:val="23"/>
                <w:color w:val="auto"/>
              </w:rPr>
            </w:pPr>
          </w:p>
        </w:tc>
        <w:tc>
          <w:tcPr>
            <w:tcW w:w="780" w:type="dxa"/>
            <w:vAlign w:val="bottom"/>
            <w:tcBorders>
              <w:top w:val="single" w:sz="8" w:color="CFF0FC"/>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r>
      <w:tr>
        <w:trPr>
          <w:trHeight w:val="72"/>
        </w:trPr>
        <w:tc>
          <w:tcPr>
            <w:tcW w:w="4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3" w:name="page34"/>
    <w:bookmarkEnd w:id="33"/>
    <w:p>
      <w:pPr>
        <w:spacing w:after="0"/>
        <w:rPr>
          <w:sz w:val="20"/>
          <w:szCs w:val="20"/>
          <w:color w:val="auto"/>
        </w:rPr>
      </w:pPr>
      <w:r>
        <w:rPr>
          <w:rFonts w:ascii="Arial" w:cs="Arial" w:eastAsia="Arial" w:hAnsi="Arial"/>
          <w:sz w:val="12"/>
          <w:szCs w:val="12"/>
          <w:u w:val="single" w:color="auto"/>
          <w:color w:val="0000EE"/>
        </w:rPr>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Operating Metrics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6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87"/>
              </w:rPr>
              <w:t>As of December 31,</w:t>
            </w:r>
          </w:p>
        </w:tc>
        <w:tc>
          <w:tcPr>
            <w:tcW w:w="1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6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280" w:type="dxa"/>
            <w:vAlign w:val="bottom"/>
            <w:tcBorders>
              <w:bottom w:val="single" w:sz="8" w:color="CFF0FC"/>
            </w:tcBorders>
          </w:tcPr>
          <w:p>
            <w:pPr>
              <w:spacing w:after="0"/>
              <w:rPr>
                <w:sz w:val="12"/>
                <w:szCs w:val="1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9"/>
              </w:rPr>
              <w:t>% Increase / (Decrease)</w:t>
            </w:r>
          </w:p>
        </w:tc>
        <w:tc>
          <w:tcPr>
            <w:tcW w:w="120" w:type="dxa"/>
            <w:vAlign w:val="bottom"/>
            <w:tcBorders>
              <w:bottom w:val="single" w:sz="8" w:color="CFF0FC"/>
            </w:tcBorders>
          </w:tcPr>
          <w:p>
            <w:pPr>
              <w:spacing w:after="0"/>
              <w:rPr>
                <w:sz w:val="12"/>
                <w:szCs w:val="12"/>
                <w:color w:val="auto"/>
              </w:rPr>
            </w:pPr>
          </w:p>
        </w:tc>
      </w:tr>
      <w:tr>
        <w:trPr>
          <w:trHeight w:val="142"/>
        </w:trPr>
        <w:tc>
          <w:tcPr>
            <w:tcW w:w="66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Operating metrics:</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420" w:type="dxa"/>
            <w:vAlign w:val="bottom"/>
            <w:gridSpan w:val="2"/>
          </w:tcPr>
          <w:p>
            <w:pPr>
              <w:ind w:left="160"/>
              <w:spacing w:after="0"/>
              <w:rPr>
                <w:sz w:val="20"/>
                <w:szCs w:val="20"/>
                <w:color w:val="auto"/>
              </w:rPr>
            </w:pPr>
            <w:r>
              <w:rPr>
                <w:rFonts w:ascii="Arial" w:cs="Arial" w:eastAsia="Arial" w:hAnsi="Arial"/>
                <w:sz w:val="12"/>
                <w:szCs w:val="12"/>
                <w:color w:val="auto"/>
              </w:rPr>
              <w:t>Leasing:</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42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Fiber strand miles</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6"/>
              </w:rPr>
              <w:t>4,900,000</w:t>
            </w:r>
          </w:p>
        </w:tc>
        <w:tc>
          <w:tcPr>
            <w:tcW w:w="3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4,510,000</w:t>
            </w:r>
          </w:p>
        </w:tc>
        <w:tc>
          <w:tcPr>
            <w:tcW w:w="280" w:type="dxa"/>
            <w:vAlign w:val="bottom"/>
            <w:shd w:val="clear" w:color="auto" w:fill="CFF0FC"/>
          </w:tcPr>
          <w:p>
            <w:pPr>
              <w:spacing w:after="0"/>
              <w:rPr>
                <w:sz w:val="13"/>
                <w:szCs w:val="13"/>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8.6%</w:t>
            </w:r>
          </w:p>
        </w:tc>
        <w:tc>
          <w:tcPr>
            <w:tcW w:w="120" w:type="dxa"/>
            <w:vAlign w:val="bottom"/>
            <w:shd w:val="clear" w:color="auto" w:fill="CFF0FC"/>
          </w:tcPr>
          <w:p>
            <w:pPr>
              <w:spacing w:after="0"/>
              <w:rPr>
                <w:sz w:val="13"/>
                <w:szCs w:val="13"/>
                <w:color w:val="auto"/>
              </w:rPr>
            </w:pPr>
          </w:p>
        </w:tc>
      </w:tr>
      <w:tr>
        <w:trPr>
          <w:trHeight w:val="153"/>
        </w:trPr>
        <w:tc>
          <w:tcPr>
            <w:tcW w:w="7420" w:type="dxa"/>
            <w:vAlign w:val="bottom"/>
            <w:gridSpan w:val="2"/>
          </w:tcPr>
          <w:p>
            <w:pPr>
              <w:ind w:left="320"/>
              <w:spacing w:after="0"/>
              <w:rPr>
                <w:sz w:val="20"/>
                <w:szCs w:val="20"/>
                <w:color w:val="auto"/>
              </w:rPr>
            </w:pPr>
            <w:r>
              <w:rPr>
                <w:rFonts w:ascii="Arial" w:cs="Arial" w:eastAsia="Arial" w:hAnsi="Arial"/>
                <w:sz w:val="12"/>
                <w:szCs w:val="12"/>
                <w:color w:val="auto"/>
              </w:rPr>
              <w:t>Copper strand miles</w:t>
            </w:r>
          </w:p>
        </w:tc>
        <w:tc>
          <w:tcPr>
            <w:tcW w:w="480" w:type="dxa"/>
            <w:vAlign w:val="bottom"/>
          </w:tcPr>
          <w:p>
            <w:pPr>
              <w:jc w:val="right"/>
              <w:spacing w:after="0"/>
              <w:rPr>
                <w:sz w:val="20"/>
                <w:szCs w:val="20"/>
                <w:color w:val="auto"/>
              </w:rPr>
            </w:pPr>
            <w:r>
              <w:rPr>
                <w:rFonts w:ascii="Arial" w:cs="Arial" w:eastAsia="Arial" w:hAnsi="Arial"/>
                <w:sz w:val="12"/>
                <w:szCs w:val="12"/>
                <w:color w:val="auto"/>
              </w:rPr>
              <w:t>230,000</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230,000</w:t>
            </w:r>
          </w:p>
        </w:tc>
        <w:tc>
          <w:tcPr>
            <w:tcW w:w="2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7"/>
              </w:rPr>
              <w:t>0.0%</w:t>
            </w:r>
          </w:p>
        </w:tc>
        <w:tc>
          <w:tcPr>
            <w:tcW w:w="120" w:type="dxa"/>
            <w:vAlign w:val="bottom"/>
          </w:tcPr>
          <w:p>
            <w:pPr>
              <w:spacing w:after="0"/>
              <w:rPr>
                <w:sz w:val="13"/>
                <w:szCs w:val="13"/>
                <w:color w:val="auto"/>
              </w:rPr>
            </w:pPr>
          </w:p>
        </w:tc>
      </w:tr>
      <w:tr>
        <w:trPr>
          <w:trHeight w:val="153"/>
        </w:trPr>
        <w:tc>
          <w:tcPr>
            <w:tcW w:w="74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Fiber Infrastructure:</w:t>
            </w: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420" w:type="dxa"/>
            <w:vAlign w:val="bottom"/>
            <w:gridSpan w:val="2"/>
          </w:tcPr>
          <w:p>
            <w:pPr>
              <w:ind w:left="320"/>
              <w:spacing w:after="0"/>
              <w:rPr>
                <w:sz w:val="20"/>
                <w:szCs w:val="20"/>
                <w:color w:val="auto"/>
              </w:rPr>
            </w:pPr>
            <w:r>
              <w:rPr>
                <w:rFonts w:ascii="Arial" w:cs="Arial" w:eastAsia="Arial" w:hAnsi="Arial"/>
                <w:sz w:val="12"/>
                <w:szCs w:val="12"/>
                <w:color w:val="auto"/>
              </w:rPr>
              <w:t>Fiber strand miles</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2,680,000</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2,380,000</w:t>
            </w:r>
          </w:p>
        </w:tc>
        <w:tc>
          <w:tcPr>
            <w:tcW w:w="2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12.6%</w:t>
            </w:r>
          </w:p>
        </w:tc>
        <w:tc>
          <w:tcPr>
            <w:tcW w:w="120" w:type="dxa"/>
            <w:vAlign w:val="bottom"/>
          </w:tcPr>
          <w:p>
            <w:pPr>
              <w:spacing w:after="0"/>
              <w:rPr>
                <w:sz w:val="13"/>
                <w:szCs w:val="13"/>
                <w:color w:val="auto"/>
              </w:rPr>
            </w:pPr>
          </w:p>
        </w:tc>
      </w:tr>
      <w:tr>
        <w:trPr>
          <w:trHeight w:val="153"/>
        </w:trPr>
        <w:tc>
          <w:tcPr>
            <w:tcW w:w="742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Customer connections</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26,300</w:t>
            </w:r>
          </w:p>
        </w:tc>
        <w:tc>
          <w:tcPr>
            <w:tcW w:w="3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26,300</w:t>
            </w:r>
          </w:p>
        </w:tc>
        <w:tc>
          <w:tcPr>
            <w:tcW w:w="280" w:type="dxa"/>
            <w:vAlign w:val="bottom"/>
            <w:shd w:val="clear" w:color="auto" w:fill="CFF0FC"/>
          </w:tcPr>
          <w:p>
            <w:pPr>
              <w:spacing w:after="0"/>
              <w:rPr>
                <w:sz w:val="13"/>
                <w:szCs w:val="13"/>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0.0%</w:t>
            </w:r>
          </w:p>
        </w:tc>
        <w:tc>
          <w:tcPr>
            <w:tcW w:w="120" w:type="dxa"/>
            <w:vAlign w:val="bottom"/>
            <w:shd w:val="clear" w:color="auto" w:fill="CFF0FC"/>
          </w:tcPr>
          <w:p>
            <w:pPr>
              <w:spacing w:after="0"/>
              <w:rPr>
                <w:sz w:val="13"/>
                <w:szCs w:val="13"/>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68"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i w:val="1"/>
          <w:iCs w:val="1"/>
          <w:u w:val="single" w:color="auto"/>
          <w:color w:val="auto"/>
        </w:rPr>
        <w:t>Leasing</w:t>
      </w:r>
      <w:r>
        <w:rPr>
          <w:rFonts w:ascii="Arial" w:cs="Arial" w:eastAsia="Arial" w:hAnsi="Arial"/>
          <w:sz w:val="11"/>
          <w:szCs w:val="11"/>
          <w:i w:val="1"/>
          <w:iCs w:val="1"/>
          <w:color w:val="auto"/>
        </w:rPr>
        <w:t xml:space="preserve"> </w:t>
      </w:r>
      <w:r>
        <w:rPr>
          <w:rFonts w:ascii="Arial" w:cs="Arial" w:eastAsia="Arial" w:hAnsi="Arial"/>
          <w:sz w:val="11"/>
          <w:szCs w:val="11"/>
          <w:color w:val="auto"/>
        </w:rPr>
        <w:t>– Leasing revenues are primarily attributable to rental revenue from leasing our Distribution Systems to Windstream pursuant to the Windstream Leases (and historically, the Master Lease). Under the Windstream Leases,</w:t>
      </w:r>
      <w:r>
        <w:rPr>
          <w:rFonts w:ascii="Arial" w:cs="Arial" w:eastAsia="Arial" w:hAnsi="Arial"/>
          <w:sz w:val="11"/>
          <w:szCs w:val="11"/>
          <w:i w:val="1"/>
          <w:iCs w:val="1"/>
          <w:color w:val="auto"/>
        </w:rPr>
        <w:t xml:space="preserve"> </w:t>
      </w:r>
      <w:r>
        <w:rPr>
          <w:rFonts w:ascii="Arial" w:cs="Arial" w:eastAsia="Arial" w:hAnsi="Arial"/>
          <w:sz w:val="11"/>
          <w:szCs w:val="11"/>
          <w:color w:val="auto"/>
        </w:rPr>
        <w:t>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The aggregate initial annual rent under the Windstream Leases is $663.0 million, equal to the annual rent under the Master Lease previously in effect, and is subject to annual escalation at a rate of 0.5%. For a description of the Windstream leases, see Part II, Item 7 Management’s Discussion and Analysis of Financial Condition and Results of Operations in “Liquidity and Capital Resources—Windstream Master Lease and Windstream Leases.”</w:t>
      </w:r>
    </w:p>
    <w:p>
      <w:pPr>
        <w:spacing w:after="0" w:line="113"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The rent for the first year of each renewal term under the Windstream Leases will be an amount agreed to by us and Windstream. While the agreements require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Uniti’s total annual reimbursement commitments to Windstream for the Growth Capital Improvements is discussed below in this Part II, Item 7 Management’s Discussion and Analysis of Financial Condition and Results of Operations in “Liquidity and Capital Resources —Windstream Master Lease and Windstream Leases.”</w:t>
      </w:r>
    </w:p>
    <w:p>
      <w:pPr>
        <w:spacing w:after="0" w:line="124"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1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12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During the year ended December 31, 2021, Uniti reimbursed $221.5 million of Growth Capital Improvements. Subsequent to December 31, 2021, Windstream requested and we reimbursed $13.4 million of qualifying Growth Capital Improvements. As of the date of this Annual Report on Form 10-K, we have reimbursed a total of $319.6 million of Growth Capital Improvements.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0"/>
                <w:szCs w:val="10"/>
                <w:b w:val="1"/>
                <w:bCs w:val="1"/>
                <w:color w:val="auto"/>
              </w:rPr>
              <w:t>Year Ended December 31,</w:t>
            </w: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60"/>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1123"/>
              <w:spacing w:after="0"/>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122"/>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3"/>
                <w:szCs w:val="13"/>
                <w:color w:val="auto"/>
              </w:rPr>
            </w:pPr>
          </w:p>
        </w:tc>
      </w:tr>
      <w:tr>
        <w:trPr>
          <w:trHeight w:val="151"/>
        </w:trPr>
        <w:tc>
          <w:tcPr>
            <w:tcW w:w="576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200" w:type="dxa"/>
            <w:vAlign w:val="bottom"/>
          </w:tcPr>
          <w:p>
            <w:pPr>
              <w:spacing w:after="0"/>
              <w:rPr>
                <w:sz w:val="13"/>
                <w:szCs w:val="13"/>
                <w:color w:val="auto"/>
              </w:rPr>
            </w:pPr>
          </w:p>
        </w:tc>
        <w:tc>
          <w:tcPr>
            <w:tcW w:w="840" w:type="dxa"/>
            <w:vAlign w:val="bottom"/>
          </w:tcPr>
          <w:p>
            <w:pPr>
              <w:jc w:val="right"/>
              <w:ind w:right="301"/>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0"/>
                <w:szCs w:val="10"/>
                <w:b w:val="1"/>
                <w:bCs w:val="1"/>
                <w:color w:val="auto"/>
              </w:rPr>
              <w:t>% of Segment Revenues</w:t>
            </w: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0"/>
                <w:szCs w:val="10"/>
                <w:b w:val="1"/>
                <w:bCs w:val="1"/>
                <w:color w:val="auto"/>
              </w:rPr>
              <w:t>% of Segment Revenues</w:t>
            </w:r>
          </w:p>
        </w:tc>
      </w:tr>
      <w:tr>
        <w:trPr>
          <w:trHeight w:val="142"/>
        </w:trPr>
        <w:tc>
          <w:tcPr>
            <w:tcW w:w="5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Leasing revenues:</w:t>
            </w:r>
          </w:p>
        </w:tc>
        <w:tc>
          <w:tcPr>
            <w:tcW w:w="1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8"/>
        </w:trPr>
        <w:tc>
          <w:tcPr>
            <w:tcW w:w="5760" w:type="dxa"/>
            <w:vAlign w:val="bottom"/>
            <w:gridSpan w:val="2"/>
          </w:tcPr>
          <w:p>
            <w:pPr>
              <w:ind w:left="80"/>
              <w:spacing w:after="0"/>
              <w:rPr>
                <w:sz w:val="20"/>
                <w:szCs w:val="20"/>
                <w:color w:val="auto"/>
              </w:rPr>
            </w:pPr>
            <w:r>
              <w:rPr>
                <w:rFonts w:ascii="Arial" w:cs="Arial" w:eastAsia="Arial" w:hAnsi="Arial"/>
                <w:sz w:val="12"/>
                <w:szCs w:val="12"/>
                <w:color w:val="auto"/>
              </w:rPr>
              <w:t>Windstream Leases: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Cash revenue</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760" w:type="dxa"/>
            <w:vAlign w:val="bottom"/>
            <w:gridSpan w:val="2"/>
          </w:tcPr>
          <w:p>
            <w:pPr>
              <w:ind w:left="240"/>
              <w:spacing w:after="0"/>
              <w:rPr>
                <w:sz w:val="20"/>
                <w:szCs w:val="20"/>
                <w:color w:val="auto"/>
              </w:rPr>
            </w:pPr>
            <w:r>
              <w:rPr>
                <w:rFonts w:ascii="Arial" w:cs="Arial" w:eastAsia="Arial" w:hAnsi="Arial"/>
                <w:sz w:val="12"/>
                <w:szCs w:val="12"/>
                <w:color w:val="auto"/>
              </w:rPr>
              <w:t>Cash rent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665.6</w:t>
            </w:r>
          </w:p>
        </w:tc>
        <w:tc>
          <w:tcPr>
            <w:tcW w:w="1500" w:type="dxa"/>
            <w:vAlign w:val="bottom"/>
            <w:gridSpan w:val="2"/>
          </w:tcPr>
          <w:p>
            <w:pPr>
              <w:jc w:val="center"/>
              <w:ind w:left="202"/>
              <w:spacing w:after="0"/>
              <w:rPr>
                <w:sz w:val="20"/>
                <w:szCs w:val="20"/>
                <w:color w:val="auto"/>
              </w:rPr>
            </w:pPr>
            <w:r>
              <w:rPr>
                <w:rFonts w:ascii="Arial" w:cs="Arial" w:eastAsia="Arial" w:hAnsi="Arial"/>
                <w:sz w:val="12"/>
                <w:szCs w:val="12"/>
                <w:color w:val="auto"/>
                <w:w w:val="93"/>
              </w:rPr>
              <w:t>83.0%</w:t>
            </w:r>
          </w:p>
        </w:tc>
        <w:tc>
          <w:tcPr>
            <w:tcW w:w="320" w:type="dxa"/>
            <w:vAlign w:val="bottom"/>
          </w:tcPr>
          <w:p>
            <w:pPr>
              <w:spacing w:after="0"/>
              <w:rPr>
                <w:sz w:val="14"/>
                <w:szCs w:val="14"/>
                <w:color w:val="auto"/>
              </w:rPr>
            </w:pP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662.3</w:t>
            </w:r>
          </w:p>
        </w:tc>
        <w:tc>
          <w:tcPr>
            <w:tcW w:w="1520" w:type="dxa"/>
            <w:vAlign w:val="bottom"/>
            <w:gridSpan w:val="2"/>
          </w:tcPr>
          <w:p>
            <w:pPr>
              <w:jc w:val="center"/>
              <w:ind w:left="222"/>
              <w:spacing w:after="0"/>
              <w:rPr>
                <w:sz w:val="20"/>
                <w:szCs w:val="20"/>
                <w:color w:val="auto"/>
              </w:rPr>
            </w:pPr>
            <w:r>
              <w:rPr>
                <w:rFonts w:ascii="Arial" w:cs="Arial" w:eastAsia="Arial" w:hAnsi="Arial"/>
                <w:sz w:val="12"/>
                <w:szCs w:val="12"/>
                <w:color w:val="auto"/>
                <w:w w:val="93"/>
              </w:rPr>
              <w:t>88.8%</w:t>
            </w:r>
          </w:p>
        </w:tc>
        <w:tc>
          <w:tcPr>
            <w:tcW w:w="120" w:type="dxa"/>
            <w:vAlign w:val="bottom"/>
          </w:tcPr>
          <w:p>
            <w:pPr>
              <w:spacing w:after="0"/>
              <w:rPr>
                <w:sz w:val="14"/>
                <w:szCs w:val="14"/>
                <w:color w:val="auto"/>
              </w:rPr>
            </w:pPr>
          </w:p>
        </w:tc>
      </w:tr>
      <w:tr>
        <w:trPr>
          <w:trHeight w:val="162"/>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GCI revenue</w:t>
            </w: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260" w:type="dxa"/>
            <w:vAlign w:val="bottom"/>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0.1%</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0.0%</w:t>
            </w:r>
          </w:p>
        </w:tc>
        <w:tc>
          <w:tcPr>
            <w:tcW w:w="120" w:type="dxa"/>
            <w:vAlign w:val="bottom"/>
            <w:shd w:val="clear" w:color="auto" w:fill="CFF0FC"/>
          </w:tcPr>
          <w:p>
            <w:pPr>
              <w:spacing w:after="0"/>
              <w:rPr>
                <w:sz w:val="14"/>
                <w:szCs w:val="14"/>
                <w:color w:val="auto"/>
              </w:rPr>
            </w:pPr>
          </w:p>
        </w:tc>
      </w:tr>
      <w:tr>
        <w:trPr>
          <w:trHeight w:val="142"/>
        </w:trPr>
        <w:tc>
          <w:tcPr>
            <w:tcW w:w="5760" w:type="dxa"/>
            <w:vAlign w:val="bottom"/>
            <w:gridSpan w:val="2"/>
          </w:tcPr>
          <w:p>
            <w:pPr>
              <w:ind w:left="160"/>
              <w:spacing w:after="0"/>
              <w:rPr>
                <w:sz w:val="20"/>
                <w:szCs w:val="20"/>
                <w:color w:val="auto"/>
              </w:rPr>
            </w:pPr>
            <w:r>
              <w:rPr>
                <w:rFonts w:ascii="Arial" w:cs="Arial" w:eastAsia="Arial" w:hAnsi="Arial"/>
                <w:sz w:val="12"/>
                <w:szCs w:val="12"/>
                <w:color w:val="auto"/>
              </w:rPr>
              <w:t>Total cash revenue</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666.8</w:t>
            </w:r>
          </w:p>
        </w:tc>
        <w:tc>
          <w:tcPr>
            <w:tcW w:w="1500" w:type="dxa"/>
            <w:vAlign w:val="bottom"/>
            <w:gridSpan w:val="2"/>
          </w:tcPr>
          <w:p>
            <w:pPr>
              <w:jc w:val="center"/>
              <w:ind w:left="202"/>
              <w:spacing w:after="0"/>
              <w:rPr>
                <w:sz w:val="20"/>
                <w:szCs w:val="20"/>
                <w:color w:val="auto"/>
              </w:rPr>
            </w:pPr>
            <w:r>
              <w:rPr>
                <w:rFonts w:ascii="Arial" w:cs="Arial" w:eastAsia="Arial" w:hAnsi="Arial"/>
                <w:sz w:val="12"/>
                <w:szCs w:val="12"/>
                <w:color w:val="auto"/>
                <w:w w:val="93"/>
              </w:rPr>
              <w:t>83.1%</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662.3</w:t>
            </w:r>
          </w:p>
        </w:tc>
        <w:tc>
          <w:tcPr>
            <w:tcW w:w="1520" w:type="dxa"/>
            <w:vAlign w:val="bottom"/>
            <w:gridSpan w:val="2"/>
          </w:tcPr>
          <w:p>
            <w:pPr>
              <w:jc w:val="center"/>
              <w:ind w:left="222"/>
              <w:spacing w:after="0"/>
              <w:rPr>
                <w:sz w:val="20"/>
                <w:szCs w:val="20"/>
                <w:color w:val="auto"/>
              </w:rPr>
            </w:pPr>
            <w:r>
              <w:rPr>
                <w:rFonts w:ascii="Arial" w:cs="Arial" w:eastAsia="Arial" w:hAnsi="Arial"/>
                <w:sz w:val="12"/>
                <w:szCs w:val="12"/>
                <w:color w:val="auto"/>
                <w:w w:val="93"/>
              </w:rPr>
              <w:t>88.8%</w:t>
            </w:r>
          </w:p>
        </w:tc>
        <w:tc>
          <w:tcPr>
            <w:tcW w:w="120" w:type="dxa"/>
            <w:vAlign w:val="bottom"/>
          </w:tcPr>
          <w:p>
            <w:pPr>
              <w:spacing w:after="0"/>
              <w:rPr>
                <w:sz w:val="12"/>
                <w:szCs w:val="12"/>
                <w:color w:val="auto"/>
              </w:rPr>
            </w:pPr>
          </w:p>
        </w:tc>
      </w:tr>
      <w:tr>
        <w:trPr>
          <w:trHeight w:val="162"/>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Non-cash revenue</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760" w:type="dxa"/>
            <w:vAlign w:val="bottom"/>
            <w:gridSpan w:val="2"/>
          </w:tcPr>
          <w:p>
            <w:pPr>
              <w:ind w:left="240"/>
              <w:spacing w:after="0"/>
              <w:rPr>
                <w:sz w:val="20"/>
                <w:szCs w:val="20"/>
                <w:color w:val="auto"/>
              </w:rPr>
            </w:pPr>
            <w:r>
              <w:rPr>
                <w:rFonts w:ascii="Arial" w:cs="Arial" w:eastAsia="Arial" w:hAnsi="Arial"/>
                <w:sz w:val="12"/>
                <w:szCs w:val="12"/>
                <w:color w:val="auto"/>
              </w:rPr>
              <w:t>TCI revenue</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39.0</w:t>
            </w:r>
          </w:p>
        </w:tc>
        <w:tc>
          <w:tcPr>
            <w:tcW w:w="1500" w:type="dxa"/>
            <w:vAlign w:val="bottom"/>
            <w:gridSpan w:val="2"/>
          </w:tcPr>
          <w:p>
            <w:pPr>
              <w:jc w:val="center"/>
              <w:ind w:left="202"/>
              <w:spacing w:after="0"/>
              <w:rPr>
                <w:sz w:val="20"/>
                <w:szCs w:val="20"/>
                <w:color w:val="auto"/>
              </w:rPr>
            </w:pPr>
            <w:r>
              <w:rPr>
                <w:rFonts w:ascii="Arial" w:cs="Arial" w:eastAsia="Arial" w:hAnsi="Arial"/>
                <w:sz w:val="12"/>
                <w:szCs w:val="12"/>
                <w:color w:val="auto"/>
                <w:w w:val="87"/>
              </w:rPr>
              <w:t>4.9%</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35.1</w:t>
            </w:r>
          </w:p>
        </w:tc>
        <w:tc>
          <w:tcPr>
            <w:tcW w:w="1520" w:type="dxa"/>
            <w:vAlign w:val="bottom"/>
            <w:gridSpan w:val="2"/>
          </w:tcPr>
          <w:p>
            <w:pPr>
              <w:jc w:val="center"/>
              <w:ind w:left="222"/>
              <w:spacing w:after="0"/>
              <w:rPr>
                <w:sz w:val="20"/>
                <w:szCs w:val="20"/>
                <w:color w:val="auto"/>
              </w:rPr>
            </w:pPr>
            <w:r>
              <w:rPr>
                <w:rFonts w:ascii="Arial" w:cs="Arial" w:eastAsia="Arial" w:hAnsi="Arial"/>
                <w:sz w:val="12"/>
                <w:szCs w:val="12"/>
                <w:color w:val="auto"/>
                <w:w w:val="87"/>
              </w:rPr>
              <w:t>4.7%</w:t>
            </w:r>
          </w:p>
        </w:tc>
        <w:tc>
          <w:tcPr>
            <w:tcW w:w="120" w:type="dxa"/>
            <w:vAlign w:val="bottom"/>
          </w:tcPr>
          <w:p>
            <w:pPr>
              <w:spacing w:after="0"/>
              <w:rPr>
                <w:sz w:val="14"/>
                <w:szCs w:val="14"/>
                <w:color w:val="auto"/>
              </w:rPr>
            </w:pPr>
          </w:p>
        </w:tc>
      </w:tr>
      <w:tr>
        <w:trPr>
          <w:trHeight w:val="162"/>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GCI revenue</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w:t>
            </w:r>
          </w:p>
        </w:tc>
        <w:tc>
          <w:tcPr>
            <w:tcW w:w="1500" w:type="dxa"/>
            <w:vAlign w:val="bottom"/>
            <w:gridSpan w:val="2"/>
            <w:shd w:val="clear" w:color="auto" w:fill="CFF0FC"/>
          </w:tcPr>
          <w:p>
            <w:pPr>
              <w:jc w:val="center"/>
              <w:ind w:left="202"/>
              <w:spacing w:after="0"/>
              <w:rPr>
                <w:sz w:val="20"/>
                <w:szCs w:val="20"/>
                <w:color w:val="auto"/>
              </w:rPr>
            </w:pPr>
            <w:r>
              <w:rPr>
                <w:rFonts w:ascii="Arial" w:cs="Arial" w:eastAsia="Arial" w:hAnsi="Arial"/>
                <w:sz w:val="12"/>
                <w:szCs w:val="12"/>
                <w:color w:val="auto"/>
                <w:w w:val="87"/>
              </w:rPr>
              <w:t>1.4%</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w:t>
            </w:r>
          </w:p>
        </w:tc>
        <w:tc>
          <w:tcPr>
            <w:tcW w:w="1520" w:type="dxa"/>
            <w:vAlign w:val="bottom"/>
            <w:gridSpan w:val="2"/>
            <w:shd w:val="clear" w:color="auto" w:fill="CFF0FC"/>
          </w:tcPr>
          <w:p>
            <w:pPr>
              <w:jc w:val="center"/>
              <w:ind w:left="222"/>
              <w:spacing w:after="0"/>
              <w:rPr>
                <w:sz w:val="20"/>
                <w:szCs w:val="20"/>
                <w:color w:val="auto"/>
              </w:rPr>
            </w:pPr>
            <w:r>
              <w:rPr>
                <w:rFonts w:ascii="Arial" w:cs="Arial" w:eastAsia="Arial" w:hAnsi="Arial"/>
                <w:sz w:val="12"/>
                <w:szCs w:val="12"/>
                <w:color w:val="auto"/>
                <w:w w:val="87"/>
              </w:rPr>
              <w:t>0.1%</w:t>
            </w:r>
          </w:p>
        </w:tc>
        <w:tc>
          <w:tcPr>
            <w:tcW w:w="120" w:type="dxa"/>
            <w:vAlign w:val="bottom"/>
            <w:shd w:val="clear" w:color="auto" w:fill="CFF0FC"/>
          </w:tcPr>
          <w:p>
            <w:pPr>
              <w:spacing w:after="0"/>
              <w:rPr>
                <w:sz w:val="14"/>
                <w:szCs w:val="14"/>
                <w:color w:val="auto"/>
              </w:rPr>
            </w:pPr>
          </w:p>
        </w:tc>
      </w:tr>
      <w:tr>
        <w:trPr>
          <w:trHeight w:val="162"/>
        </w:trPr>
        <w:tc>
          <w:tcPr>
            <w:tcW w:w="5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2"/>
                <w:szCs w:val="12"/>
                <w:color w:val="auto"/>
              </w:rPr>
              <w:t>Other straight-line revenue</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w:t>
            </w:r>
          </w:p>
        </w:tc>
        <w:tc>
          <w:tcPr>
            <w:tcW w:w="26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1.7%</w:t>
            </w:r>
          </w:p>
        </w:tc>
        <w:tc>
          <w:tcPr>
            <w:tcW w:w="3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2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0.6%</w:t>
            </w:r>
          </w:p>
        </w:tc>
        <w:tc>
          <w:tcPr>
            <w:tcW w:w="120" w:type="dxa"/>
            <w:vAlign w:val="bottom"/>
            <w:tcBorders>
              <w:bottom w:val="single" w:sz="8" w:color="CFF0FC"/>
            </w:tcBorders>
          </w:tcPr>
          <w:p>
            <w:pPr>
              <w:spacing w:after="0"/>
              <w:rPr>
                <w:sz w:val="14"/>
                <w:szCs w:val="14"/>
                <w:color w:val="auto"/>
              </w:rPr>
            </w:pPr>
          </w:p>
        </w:tc>
      </w:tr>
      <w:tr>
        <w:trPr>
          <w:trHeight w:val="151"/>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Total non-cash revenue</w:t>
            </w: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63.7</w:t>
            </w:r>
          </w:p>
        </w:tc>
        <w:tc>
          <w:tcPr>
            <w:tcW w:w="260" w:type="dxa"/>
            <w:vAlign w:val="bottom"/>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8.0%</w:t>
            </w:r>
          </w:p>
        </w:tc>
        <w:tc>
          <w:tcPr>
            <w:tcW w:w="3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40.3</w:t>
            </w:r>
          </w:p>
        </w:tc>
        <w:tc>
          <w:tcPr>
            <w:tcW w:w="280" w:type="dxa"/>
            <w:vAlign w:val="bottom"/>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5.4%</w:t>
            </w:r>
          </w:p>
        </w:tc>
        <w:tc>
          <w:tcPr>
            <w:tcW w:w="120" w:type="dxa"/>
            <w:vAlign w:val="bottom"/>
            <w:shd w:val="clear" w:color="auto" w:fill="CFF0FC"/>
          </w:tcPr>
          <w:p>
            <w:pPr>
              <w:spacing w:after="0"/>
              <w:rPr>
                <w:sz w:val="13"/>
                <w:szCs w:val="13"/>
                <w:color w:val="auto"/>
              </w:rPr>
            </w:pPr>
          </w:p>
        </w:tc>
      </w:tr>
      <w:tr>
        <w:trPr>
          <w:trHeight w:val="142"/>
        </w:trPr>
        <w:tc>
          <w:tcPr>
            <w:tcW w:w="5760" w:type="dxa"/>
            <w:vAlign w:val="bottom"/>
            <w:gridSpan w:val="2"/>
          </w:tcPr>
          <w:p>
            <w:pPr>
              <w:ind w:left="80"/>
              <w:spacing w:after="0"/>
              <w:rPr>
                <w:sz w:val="20"/>
                <w:szCs w:val="20"/>
                <w:color w:val="auto"/>
              </w:rPr>
            </w:pPr>
            <w:r>
              <w:rPr>
                <w:rFonts w:ascii="Arial" w:cs="Arial" w:eastAsia="Arial" w:hAnsi="Arial"/>
                <w:sz w:val="12"/>
                <w:szCs w:val="12"/>
                <w:color w:val="auto"/>
              </w:rPr>
              <w:t>Total Windstream Leases revenue</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730.5</w:t>
            </w:r>
          </w:p>
        </w:tc>
        <w:tc>
          <w:tcPr>
            <w:tcW w:w="1500" w:type="dxa"/>
            <w:vAlign w:val="bottom"/>
            <w:gridSpan w:val="2"/>
          </w:tcPr>
          <w:p>
            <w:pPr>
              <w:jc w:val="center"/>
              <w:ind w:left="202"/>
              <w:spacing w:after="0"/>
              <w:rPr>
                <w:sz w:val="20"/>
                <w:szCs w:val="20"/>
                <w:color w:val="auto"/>
              </w:rPr>
            </w:pPr>
            <w:r>
              <w:rPr>
                <w:rFonts w:ascii="Arial" w:cs="Arial" w:eastAsia="Arial" w:hAnsi="Arial"/>
                <w:sz w:val="12"/>
                <w:szCs w:val="12"/>
                <w:color w:val="auto"/>
                <w:w w:val="93"/>
              </w:rPr>
              <w:t>91.1%</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702.6</w:t>
            </w:r>
          </w:p>
        </w:tc>
        <w:tc>
          <w:tcPr>
            <w:tcW w:w="1520" w:type="dxa"/>
            <w:vAlign w:val="bottom"/>
            <w:gridSpan w:val="2"/>
          </w:tcPr>
          <w:p>
            <w:pPr>
              <w:jc w:val="center"/>
              <w:ind w:left="222"/>
              <w:spacing w:after="0"/>
              <w:rPr>
                <w:sz w:val="20"/>
                <w:szCs w:val="20"/>
                <w:color w:val="auto"/>
              </w:rPr>
            </w:pPr>
            <w:r>
              <w:rPr>
                <w:rFonts w:ascii="Arial" w:cs="Arial" w:eastAsia="Arial" w:hAnsi="Arial"/>
                <w:sz w:val="12"/>
                <w:szCs w:val="12"/>
                <w:color w:val="auto"/>
                <w:w w:val="93"/>
              </w:rPr>
              <w:t>94.2%</w:t>
            </w:r>
          </w:p>
        </w:tc>
        <w:tc>
          <w:tcPr>
            <w:tcW w:w="120" w:type="dxa"/>
            <w:vAlign w:val="bottom"/>
          </w:tcPr>
          <w:p>
            <w:pPr>
              <w:spacing w:after="0"/>
              <w:rPr>
                <w:sz w:val="12"/>
                <w:szCs w:val="12"/>
                <w:color w:val="auto"/>
              </w:rPr>
            </w:pPr>
          </w:p>
        </w:tc>
      </w:tr>
      <w:tr>
        <w:trPr>
          <w:trHeight w:val="153"/>
        </w:trPr>
        <w:tc>
          <w:tcPr>
            <w:tcW w:w="576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 triple-net leasing and dark fiber IRU</w:t>
            </w: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71.0</w:t>
            </w:r>
          </w:p>
        </w:tc>
        <w:tc>
          <w:tcPr>
            <w:tcW w:w="260" w:type="dxa"/>
            <w:vAlign w:val="bottom"/>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8.9%</w:t>
            </w:r>
          </w:p>
        </w:tc>
        <w:tc>
          <w:tcPr>
            <w:tcW w:w="3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43.3</w:t>
            </w:r>
          </w:p>
        </w:tc>
        <w:tc>
          <w:tcPr>
            <w:tcW w:w="280" w:type="dxa"/>
            <w:vAlign w:val="bottom"/>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5.8%</w:t>
            </w:r>
          </w:p>
        </w:tc>
        <w:tc>
          <w:tcPr>
            <w:tcW w:w="120" w:type="dxa"/>
            <w:vAlign w:val="bottom"/>
            <w:shd w:val="clear" w:color="auto" w:fill="CFF0FC"/>
          </w:tcPr>
          <w:p>
            <w:pPr>
              <w:spacing w:after="0"/>
              <w:rPr>
                <w:sz w:val="13"/>
                <w:szCs w:val="13"/>
                <w:color w:val="auto"/>
              </w:rPr>
            </w:pPr>
          </w:p>
        </w:tc>
      </w:tr>
      <w:tr>
        <w:trPr>
          <w:trHeight w:val="149"/>
        </w:trPr>
        <w:tc>
          <w:tcPr>
            <w:tcW w:w="5760" w:type="dxa"/>
            <w:vAlign w:val="bottom"/>
            <w:gridSpan w:val="2"/>
          </w:tcPr>
          <w:p>
            <w:pPr>
              <w:ind w:left="160"/>
              <w:spacing w:after="0"/>
              <w:rPr>
                <w:sz w:val="20"/>
                <w:szCs w:val="20"/>
                <w:color w:val="auto"/>
              </w:rPr>
            </w:pPr>
            <w:r>
              <w:rPr>
                <w:rFonts w:ascii="Arial" w:cs="Arial" w:eastAsia="Arial" w:hAnsi="Arial"/>
                <w:sz w:val="12"/>
                <w:szCs w:val="12"/>
                <w:color w:val="auto"/>
              </w:rPr>
              <w:t>Total Leasing revenues</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801.5</w:t>
            </w:r>
          </w:p>
        </w:tc>
        <w:tc>
          <w:tcPr>
            <w:tcW w:w="260" w:type="dxa"/>
            <w:vAlign w:val="bottom"/>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100.0%</w:t>
            </w:r>
          </w:p>
        </w:tc>
        <w:tc>
          <w:tcPr>
            <w:tcW w:w="320" w:type="dxa"/>
            <w:vAlign w:val="bottom"/>
          </w:tcPr>
          <w:p>
            <w:pPr>
              <w:spacing w:after="0"/>
              <w:rPr>
                <w:sz w:val="12"/>
                <w:szCs w:val="12"/>
                <w:color w:val="auto"/>
              </w:rPr>
            </w:pP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745.9</w:t>
            </w:r>
          </w:p>
        </w:tc>
        <w:tc>
          <w:tcPr>
            <w:tcW w:w="280" w:type="dxa"/>
            <w:vAlign w:val="bottom"/>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100.0%</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The increase in TCI revenue is attributable to continued investment by Windstream, where Windstream invested $139.0 million of TCIs during the year ended December 31, 2021, offset by the Growth Capital Improvement reimbursement of capital improvements completed in 2020, as allowed under the Settlement, that were previously classified as TCIs of $28.5 million. The total amount invested in TCIs by Windstream since the inception of the Master Lease was $984.7 million as of December 31, 2021. As of December 31, 2020, Windstream had invested a total of $874.2 million in such improvements. For the year ended December 31, 2021, we recognized $71.0 million of leasing revenues from non-Windstream Leases triple-net leasing and dark fiber indefeasible rights of use (“IRU”) arrangements, compared to $43.3 million for the year ended December 31, 2020, the increase is primarily driven by the revenues associated with the Asset Purchase Agreement and the IRU arrangements entered into with Everstream as defined in Note 6 to our consolidated financial statements contained in Part II, Item 8 Financial Statements and Supplementary Data.</w:t>
      </w:r>
    </w:p>
    <w:p>
      <w:pPr>
        <w:spacing w:after="0" w:line="128" w:lineRule="exact"/>
        <w:rPr>
          <w:sz w:val="20"/>
          <w:szCs w:val="20"/>
          <w:color w:val="auto"/>
        </w:rPr>
      </w:pPr>
    </w:p>
    <w:p>
      <w:pPr>
        <w:ind w:right="360"/>
        <w:spacing w:after="0" w:line="323" w:lineRule="auto"/>
        <w:rPr>
          <w:sz w:val="20"/>
          <w:szCs w:val="20"/>
          <w:color w:val="auto"/>
        </w:rPr>
      </w:pPr>
      <w:r>
        <w:rPr>
          <w:rFonts w:ascii="Arial" w:cs="Arial" w:eastAsia="Arial" w:hAnsi="Arial"/>
          <w:sz w:val="11"/>
          <w:szCs w:val="11"/>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92"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On September 22, 2020, Windstream filed a Form 15 to terminate all filing obligations under Sections 12(g) and 15(d) under the Exchange Act. Windstream’s filings are not incorporated by reference in this Annual Report on Form 10-K.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5" w:name="page36"/>
    <w:bookmarkEnd w:id="35"/>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22"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We note that in August 2020, Moody’s Investor Service assigned a B3 corporate family rating with a stable outlook to Windstream in connection with its post-emergence exit financing. At the same time, S&amp;P Global Ratings assigned Windstream a B- issuer rating with a stable outlook. These ratings were both upgrades from Windstream’s pre-bankruptcy ratings. Both ratings remain current as of the date of this filing. In order to assist us in our continuing assessment of Windstream’s creditworthiness, we periodically receive certain confidential financial information and metrics from Windstream.</w:t>
      </w:r>
    </w:p>
    <w:p>
      <w:pPr>
        <w:spacing w:after="0" w:line="12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Under the terms of the Windstream Leases, Windstream is required to provide us audited financial statements as of and for the year ended December 31, 2021 (the “2021 Financial Statements”) no later than 90-days after its fiscal year-end. After receipt of the 2021 Financial Statements, Uniti expects to file a Form 10-K/A to include the 2021 Financial Statements in our annual report. As of the date of this Annual Report on Form 10-K, Windstream is current on all lease payments required under the Windstream Leases.</w:t>
      </w:r>
    </w:p>
    <w:p>
      <w:pPr>
        <w:spacing w:after="0" w:line="122" w:lineRule="exact"/>
        <w:rPr>
          <w:sz w:val="20"/>
          <w:szCs w:val="20"/>
          <w:color w:val="auto"/>
        </w:rPr>
      </w:pPr>
    </w:p>
    <w:p>
      <w:pPr>
        <w:jc w:val="both"/>
        <w:ind w:right="40"/>
        <w:spacing w:after="0" w:line="256" w:lineRule="auto"/>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years ended December 31, 2021 and 2020, we recognized $299.0 million and $314.4 million of revenue, respectively, in our Fiber Infrastructure segment. The decrease is primarily attributable to a $11.1</w:t>
      </w:r>
      <w:r>
        <w:rPr>
          <w:rFonts w:ascii="Arial" w:cs="Arial" w:eastAsia="Arial" w:hAnsi="Arial"/>
          <w:sz w:val="12"/>
          <w:szCs w:val="12"/>
          <w:i w:val="1"/>
          <w:iCs w:val="1"/>
          <w:color w:val="auto"/>
        </w:rPr>
        <w:t xml:space="preserve"> </w:t>
      </w:r>
      <w:r>
        <w:rPr>
          <w:rFonts w:ascii="Arial" w:cs="Arial" w:eastAsia="Arial" w:hAnsi="Arial"/>
          <w:sz w:val="12"/>
          <w:szCs w:val="12"/>
          <w:color w:val="auto"/>
        </w:rPr>
        <w:t>million decrease related to the wind down of our construction activities reported within E-Rate and government revenues, a $10.1 million decrease in lit backhaul service revenues related to the Uniti Fiber Northeast operations sold on May 28, 2021 and a decrease of $5.5 million lit backhaul service revenues related to lit-to-dark fiber conversion and renewals at a lower rate and longer term, partially offset by increased internet and installation services and equipment sales of $8.7 million reported within enterprise and wholesale and $3.3 million in increased dark fiber and small cell revenues. Revenue components for the Fiber Infrastructure segment for the years ended December 31, 2021 and 2020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2"/>
                <w:szCs w:val="12"/>
                <w:b w:val="1"/>
                <w:bCs w:val="1"/>
                <w:color w:val="auto"/>
                <w:w w:val="90"/>
              </w:rPr>
              <w:t>Year Ended December 31,</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6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99"/>
        </w:trPr>
        <w:tc>
          <w:tcPr>
            <w:tcW w:w="6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Segment</w:t>
            </w: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Segment</w:t>
            </w:r>
          </w:p>
        </w:tc>
      </w:tr>
      <w:tr>
        <w:trPr>
          <w:trHeight w:val="113"/>
        </w:trPr>
        <w:tc>
          <w:tcPr>
            <w:tcW w:w="706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220" w:type="dxa"/>
            <w:vAlign w:val="bottom"/>
          </w:tcPr>
          <w:p>
            <w:pPr>
              <w:spacing w:after="0"/>
              <w:rPr>
                <w:sz w:val="9"/>
                <w:szCs w:val="9"/>
                <w:color w:val="auto"/>
              </w:rPr>
            </w:pPr>
          </w:p>
        </w:tc>
        <w:tc>
          <w:tcPr>
            <w:tcW w:w="114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Amount</w:t>
            </w:r>
          </w:p>
        </w:tc>
        <w:tc>
          <w:tcPr>
            <w:tcW w:w="8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4"/>
              </w:rPr>
              <w:t>Revenues</w:t>
            </w:r>
          </w:p>
        </w:tc>
        <w:tc>
          <w:tcPr>
            <w:tcW w:w="72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Revenues</w:t>
            </w:r>
          </w:p>
        </w:tc>
      </w:tr>
      <w:tr>
        <w:trPr>
          <w:trHeight w:val="142"/>
        </w:trPr>
        <w:tc>
          <w:tcPr>
            <w:tcW w:w="6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Fiber Infrastructure revenues:</w:t>
            </w: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7060" w:type="dxa"/>
            <w:vAlign w:val="bottom"/>
            <w:gridSpan w:val="2"/>
          </w:tcPr>
          <w:p>
            <w:pPr>
              <w:ind w:left="160"/>
              <w:spacing w:after="0"/>
              <w:rPr>
                <w:sz w:val="20"/>
                <w:szCs w:val="20"/>
                <w:color w:val="auto"/>
              </w:rPr>
            </w:pPr>
            <w:r>
              <w:rPr>
                <w:rFonts w:ascii="Arial" w:cs="Arial" w:eastAsia="Arial" w:hAnsi="Arial"/>
                <w:sz w:val="12"/>
                <w:szCs w:val="12"/>
                <w:color w:val="auto"/>
              </w:rPr>
              <w:t>Lit backhaul services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86,915</w:t>
            </w: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29.0%</w:t>
            </w:r>
          </w:p>
        </w:tc>
        <w:tc>
          <w:tcPr>
            <w:tcW w:w="220" w:type="dxa"/>
            <w:vAlign w:val="bottom"/>
          </w:tcPr>
          <w:p>
            <w:pPr>
              <w:spacing w:after="0"/>
              <w:rPr>
                <w:sz w:val="13"/>
                <w:szCs w:val="13"/>
                <w:color w:val="auto"/>
              </w:rPr>
            </w:pP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87"/>
              </w:rPr>
              <w:t>106,125</w:t>
            </w: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33.8%</w:t>
            </w:r>
          </w:p>
        </w:tc>
        <w:tc>
          <w:tcPr>
            <w:tcW w:w="120" w:type="dxa"/>
            <w:vAlign w:val="bottom"/>
          </w:tcPr>
          <w:p>
            <w:pPr>
              <w:spacing w:after="0"/>
              <w:rPr>
                <w:sz w:val="13"/>
                <w:szCs w:val="13"/>
                <w:color w:val="auto"/>
              </w:rPr>
            </w:pPr>
          </w:p>
        </w:tc>
      </w:tr>
      <w:tr>
        <w:trPr>
          <w:trHeight w:val="153"/>
        </w:trPr>
        <w:tc>
          <w:tcPr>
            <w:tcW w:w="70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Enterprise and wholesale</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86,390</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28.9%</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78,702</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25.0%</w:t>
            </w:r>
          </w:p>
        </w:tc>
        <w:tc>
          <w:tcPr>
            <w:tcW w:w="120" w:type="dxa"/>
            <w:vAlign w:val="bottom"/>
            <w:shd w:val="clear" w:color="auto" w:fill="CFF0FC"/>
          </w:tcPr>
          <w:p>
            <w:pPr>
              <w:spacing w:after="0"/>
              <w:rPr>
                <w:sz w:val="13"/>
                <w:szCs w:val="13"/>
                <w:color w:val="auto"/>
              </w:rPr>
            </w:pPr>
          </w:p>
        </w:tc>
      </w:tr>
      <w:tr>
        <w:trPr>
          <w:trHeight w:val="153"/>
        </w:trPr>
        <w:tc>
          <w:tcPr>
            <w:tcW w:w="7060" w:type="dxa"/>
            <w:vAlign w:val="bottom"/>
            <w:gridSpan w:val="2"/>
          </w:tcPr>
          <w:p>
            <w:pPr>
              <w:ind w:left="160"/>
              <w:spacing w:after="0"/>
              <w:rPr>
                <w:sz w:val="20"/>
                <w:szCs w:val="20"/>
                <w:color w:val="auto"/>
              </w:rPr>
            </w:pPr>
            <w:r>
              <w:rPr>
                <w:rFonts w:ascii="Arial" w:cs="Arial" w:eastAsia="Arial" w:hAnsi="Arial"/>
                <w:sz w:val="12"/>
                <w:szCs w:val="12"/>
                <w:color w:val="auto"/>
              </w:rPr>
              <w:t>E-Rate and government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74,396</w:t>
            </w: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24.9%</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80,428</w:t>
            </w: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25.6%</w:t>
            </w:r>
          </w:p>
        </w:tc>
        <w:tc>
          <w:tcPr>
            <w:tcW w:w="120" w:type="dxa"/>
            <w:vAlign w:val="bottom"/>
          </w:tcPr>
          <w:p>
            <w:pPr>
              <w:spacing w:after="0"/>
              <w:rPr>
                <w:sz w:val="13"/>
                <w:szCs w:val="13"/>
                <w:color w:val="auto"/>
              </w:rPr>
            </w:pPr>
          </w:p>
        </w:tc>
      </w:tr>
      <w:tr>
        <w:trPr>
          <w:trHeight w:val="153"/>
        </w:trPr>
        <w:tc>
          <w:tcPr>
            <w:tcW w:w="70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Dark fiber and small cells</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48,052</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16.1%</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44,767</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14.2%</w:t>
            </w:r>
          </w:p>
        </w:tc>
        <w:tc>
          <w:tcPr>
            <w:tcW w:w="120" w:type="dxa"/>
            <w:vAlign w:val="bottom"/>
            <w:shd w:val="clear" w:color="auto" w:fill="CFF0FC"/>
          </w:tcPr>
          <w:p>
            <w:pPr>
              <w:spacing w:after="0"/>
              <w:rPr>
                <w:sz w:val="13"/>
                <w:szCs w:val="13"/>
                <w:color w:val="auto"/>
              </w:rPr>
            </w:pPr>
          </w:p>
        </w:tc>
      </w:tr>
      <w:tr>
        <w:trPr>
          <w:trHeight w:val="153"/>
        </w:trPr>
        <w:tc>
          <w:tcPr>
            <w:tcW w:w="706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Other services</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3,272</w:t>
            </w:r>
          </w:p>
        </w:tc>
        <w:tc>
          <w:tcPr>
            <w:tcW w:w="2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1.1%</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4,341</w:t>
            </w:r>
          </w:p>
        </w:tc>
        <w:tc>
          <w:tcPr>
            <w:tcW w:w="2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1.4%</w:t>
            </w:r>
          </w:p>
        </w:tc>
        <w:tc>
          <w:tcPr>
            <w:tcW w:w="120" w:type="dxa"/>
            <w:vAlign w:val="bottom"/>
            <w:tcBorders>
              <w:bottom w:val="single" w:sz="8" w:color="CFF0FC"/>
            </w:tcBorders>
          </w:tcPr>
          <w:p>
            <w:pPr>
              <w:spacing w:after="0"/>
              <w:rPr>
                <w:sz w:val="13"/>
                <w:szCs w:val="13"/>
                <w:color w:val="auto"/>
              </w:rPr>
            </w:pPr>
          </w:p>
        </w:tc>
      </w:tr>
      <w:tr>
        <w:trPr>
          <w:trHeight w:val="149"/>
        </w:trPr>
        <w:tc>
          <w:tcPr>
            <w:tcW w:w="70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Total Fiber Infrastructure revenues</w:t>
            </w: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299,025</w:t>
            </w: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100.0%</w:t>
            </w:r>
          </w:p>
        </w:tc>
        <w:tc>
          <w:tcPr>
            <w:tcW w:w="2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314,363</w:t>
            </w: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100.0%</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2021, we recognized no revenue from the Towers business, as we completed the sale of our U.S. tower business on June 1, 2020.</w:t>
      </w:r>
    </w:p>
    <w:p>
      <w:pPr>
        <w:spacing w:after="0" w:line="150" w:lineRule="exact"/>
        <w:rPr>
          <w:sz w:val="20"/>
          <w:szCs w:val="20"/>
          <w:color w:val="auto"/>
        </w:rPr>
      </w:pPr>
    </w:p>
    <w:p>
      <w:pPr>
        <w:jc w:val="center"/>
        <w:ind w:right="540"/>
        <w:spacing w:after="0"/>
        <w:rPr>
          <w:sz w:val="20"/>
          <w:szCs w:val="20"/>
          <w:color w:val="auto"/>
        </w:rPr>
      </w:pPr>
      <w:r>
        <w:rPr>
          <w:rFonts w:ascii="Arial" w:cs="Arial" w:eastAsia="Arial" w:hAnsi="Arial"/>
          <w:sz w:val="10"/>
          <w:szCs w:val="10"/>
          <w:i w:val="1"/>
          <w:iCs w:val="1"/>
          <w:u w:val="single" w:color="auto"/>
          <w:color w:val="auto"/>
        </w:rPr>
        <w:t>Consumer CLEC</w:t>
      </w:r>
      <w:r>
        <w:rPr>
          <w:rFonts w:ascii="Arial" w:cs="Arial" w:eastAsia="Arial" w:hAnsi="Arial"/>
          <w:sz w:val="10"/>
          <w:szCs w:val="10"/>
          <w:i w:val="1"/>
          <w:iCs w:val="1"/>
          <w:color w:val="auto"/>
        </w:rPr>
        <w:t xml:space="preserve"> </w:t>
      </w:r>
      <w:r>
        <w:rPr>
          <w:rFonts w:ascii="Arial" w:cs="Arial" w:eastAsia="Arial" w:hAnsi="Arial"/>
          <w:sz w:val="10"/>
          <w:szCs w:val="10"/>
          <w:color w:val="auto"/>
        </w:rPr>
        <w:t>– For the year ended December 31, 2021, we recognized no revenue from the Consumer CLEC business, as we substantially completed the wind down of business as of the end of the second quarter of 2020.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38"/>
        </w:trPr>
        <w:tc>
          <w:tcPr>
            <w:tcW w:w="668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6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Interest Expense, net</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w w:val="89"/>
              </w:rPr>
              <w:t>Year Ended December 31,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80" w:type="dxa"/>
            <w:vAlign w:val="bottom"/>
            <w:gridSpan w:val="3"/>
          </w:tcPr>
          <w:p>
            <w:pPr>
              <w:spacing w:after="0"/>
              <w:rPr>
                <w:sz w:val="20"/>
                <w:szCs w:val="20"/>
                <w:color w:val="auto"/>
              </w:rPr>
            </w:pPr>
            <w:r>
              <w:rPr>
                <w:rFonts w:ascii="Arial" w:cs="Arial" w:eastAsia="Arial" w:hAnsi="Arial"/>
                <w:sz w:val="12"/>
                <w:szCs w:val="12"/>
                <w:color w:val="auto"/>
              </w:rPr>
              <w:t>(Thousands)</w:t>
            </w:r>
          </w:p>
        </w:tc>
        <w:tc>
          <w:tcPr>
            <w:tcW w:w="280" w:type="dxa"/>
            <w:vAlign w:val="bottom"/>
          </w:tcPr>
          <w:p>
            <w:pPr>
              <w:spacing w:after="0"/>
              <w:rPr>
                <w:sz w:val="12"/>
                <w:szCs w:val="12"/>
                <w:color w:val="auto"/>
              </w:rPr>
            </w:pPr>
          </w:p>
        </w:tc>
        <w:tc>
          <w:tcPr>
            <w:tcW w:w="940" w:type="dxa"/>
            <w:vAlign w:val="bottom"/>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ind w:right="560"/>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b w:val="1"/>
                <w:bCs w:val="1"/>
                <w:color w:val="auto"/>
                <w:w w:val="88"/>
              </w:rPr>
              <w:t>Increase / (Decrease)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Interest expense, net:</w:t>
            </w: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80" w:type="dxa"/>
            <w:vAlign w:val="bottom"/>
            <w:gridSpan w:val="3"/>
          </w:tcPr>
          <w:p>
            <w:pPr>
              <w:spacing w:after="0"/>
              <w:rPr>
                <w:sz w:val="20"/>
                <w:szCs w:val="20"/>
                <w:color w:val="auto"/>
              </w:rPr>
            </w:pPr>
            <w:r>
              <w:rPr>
                <w:rFonts w:ascii="Arial" w:cs="Arial" w:eastAsia="Arial" w:hAnsi="Arial"/>
                <w:sz w:val="12"/>
                <w:szCs w:val="12"/>
                <w:b w:val="1"/>
                <w:bCs w:val="1"/>
                <w:color w:val="auto"/>
              </w:rPr>
              <w:t>Cash:</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Senior secured term loan B - variable rate</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15,709</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(15,709)</w:t>
            </w:r>
          </w:p>
        </w:tc>
        <w:tc>
          <w:tcPr>
            <w:tcW w:w="0" w:type="dxa"/>
            <w:vAlign w:val="bottom"/>
          </w:tcPr>
          <w:p>
            <w:pPr>
              <w:spacing w:after="0"/>
              <w:rPr>
                <w:sz w:val="1"/>
                <w:szCs w:val="1"/>
                <w:color w:val="auto"/>
              </w:rPr>
            </w:pPr>
          </w:p>
        </w:tc>
      </w:tr>
      <w:tr>
        <w:trPr>
          <w:trHeight w:val="153"/>
        </w:trPr>
        <w:tc>
          <w:tcPr>
            <w:tcW w:w="6680" w:type="dxa"/>
            <w:vAlign w:val="bottom"/>
            <w:gridSpan w:val="3"/>
          </w:tcPr>
          <w:p>
            <w:pPr>
              <w:ind w:left="80"/>
              <w:spacing w:after="0"/>
              <w:rPr>
                <w:sz w:val="20"/>
                <w:szCs w:val="20"/>
                <w:color w:val="auto"/>
              </w:rPr>
            </w:pPr>
            <w:r>
              <w:rPr>
                <w:rFonts w:ascii="Arial" w:cs="Arial" w:eastAsia="Arial" w:hAnsi="Arial"/>
                <w:sz w:val="12"/>
                <w:szCs w:val="12"/>
                <w:color w:val="auto"/>
              </w:rPr>
              <w:t>Senior secured notes - 4.75%, 6.00% and 7.875%</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207,615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190,992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16,623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Senior unsecured notes - 4.00%, 6.00%. 6.50%, 7.125%, and 8.25%</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138,931</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148,125</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(9,194)</w:t>
            </w:r>
          </w:p>
        </w:tc>
        <w:tc>
          <w:tcPr>
            <w:tcW w:w="0" w:type="dxa"/>
            <w:vAlign w:val="bottom"/>
          </w:tcPr>
          <w:p>
            <w:pPr>
              <w:spacing w:after="0"/>
              <w:rPr>
                <w:sz w:val="1"/>
                <w:szCs w:val="1"/>
                <w:color w:val="auto"/>
              </w:rPr>
            </w:pPr>
          </w:p>
        </w:tc>
      </w:tr>
      <w:tr>
        <w:trPr>
          <w:trHeight w:val="153"/>
        </w:trPr>
        <w:tc>
          <w:tcPr>
            <w:tcW w:w="6680" w:type="dxa"/>
            <w:vAlign w:val="bottom"/>
            <w:gridSpan w:val="3"/>
          </w:tcPr>
          <w:p>
            <w:pPr>
              <w:ind w:left="80"/>
              <w:spacing w:after="0"/>
              <w:rPr>
                <w:sz w:val="20"/>
                <w:szCs w:val="20"/>
                <w:color w:val="auto"/>
              </w:rPr>
            </w:pPr>
            <w:r>
              <w:rPr>
                <w:rFonts w:ascii="Arial" w:cs="Arial" w:eastAsia="Arial" w:hAnsi="Arial"/>
                <w:sz w:val="12"/>
                <w:szCs w:val="12"/>
                <w:color w:val="auto"/>
              </w:rPr>
              <w:t>Senior secured revolving credit facility - variable rate</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9,467</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14,691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(5,224)</w:t>
            </w: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Tender premium and early redemption payments</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24,694</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tcPr>
          <w:p>
            <w:pPr>
              <w:ind w:left="80"/>
              <w:spacing w:after="0"/>
              <w:rPr>
                <w:sz w:val="20"/>
                <w:szCs w:val="20"/>
                <w:color w:val="auto"/>
              </w:rPr>
            </w:pPr>
            <w:r>
              <w:rPr>
                <w:rFonts w:ascii="Arial" w:cs="Arial" w:eastAsia="Arial" w:hAnsi="Arial"/>
                <w:sz w:val="12"/>
                <w:szCs w:val="12"/>
                <w:color w:val="auto"/>
              </w:rPr>
              <w:t>Interest rate swap termination</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11,317</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10,155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Other</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2,437</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3,986</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(1,549)</w:t>
            </w:r>
          </w:p>
        </w:tc>
        <w:tc>
          <w:tcPr>
            <w:tcW w:w="0" w:type="dxa"/>
            <w:vAlign w:val="bottom"/>
          </w:tcPr>
          <w:p>
            <w:pPr>
              <w:spacing w:after="0"/>
              <w:rPr>
                <w:sz w:val="1"/>
                <w:szCs w:val="1"/>
                <w:color w:val="auto"/>
              </w:rPr>
            </w:pPr>
          </w:p>
        </w:tc>
      </w:tr>
      <w:tr>
        <w:trPr>
          <w:trHeight w:val="142"/>
        </w:trPr>
        <w:tc>
          <w:tcPr>
            <w:tcW w:w="6680" w:type="dxa"/>
            <w:vAlign w:val="bottom"/>
            <w:gridSpan w:val="3"/>
          </w:tcPr>
          <w:p>
            <w:pPr>
              <w:ind w:left="160"/>
              <w:spacing w:after="0"/>
              <w:rPr>
                <w:sz w:val="20"/>
                <w:szCs w:val="20"/>
                <w:color w:val="auto"/>
              </w:rPr>
            </w:pPr>
            <w:r>
              <w:rPr>
                <w:rFonts w:ascii="Arial" w:cs="Arial" w:eastAsia="Arial" w:hAnsi="Arial"/>
                <w:sz w:val="12"/>
                <w:szCs w:val="12"/>
                <w:color w:val="auto"/>
              </w:rPr>
              <w:t>Total cash interest</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394,461</w:t>
            </w:r>
          </w:p>
        </w:tc>
        <w:tc>
          <w:tcPr>
            <w:tcW w:w="3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383,658</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spacing w:after="0"/>
              <w:rPr>
                <w:sz w:val="20"/>
                <w:szCs w:val="20"/>
                <w:color w:val="auto"/>
              </w:rPr>
            </w:pPr>
            <w:r>
              <w:rPr>
                <w:rFonts w:ascii="Arial" w:cs="Arial" w:eastAsia="Arial" w:hAnsi="Arial"/>
                <w:sz w:val="12"/>
                <w:szCs w:val="12"/>
                <w:b w:val="1"/>
                <w:bCs w:val="1"/>
                <w:color w:val="auto"/>
              </w:rPr>
              <w:t>Non-cash:</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tcPr>
          <w:p>
            <w:pPr>
              <w:ind w:left="80"/>
              <w:spacing w:after="0"/>
              <w:rPr>
                <w:sz w:val="20"/>
                <w:szCs w:val="20"/>
                <w:color w:val="auto"/>
              </w:rPr>
            </w:pPr>
            <w:r>
              <w:rPr>
                <w:rFonts w:ascii="Arial" w:cs="Arial" w:eastAsia="Arial" w:hAnsi="Arial"/>
                <w:sz w:val="12"/>
                <w:szCs w:val="12"/>
                <w:color w:val="auto"/>
              </w:rPr>
              <w:t>Amortization of deferred financing costs and debt discount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18,122</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36,955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(18,833)</w:t>
            </w: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Write off of deferred financing costs and debt discount</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24,587</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73,952</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(49,365)</w:t>
            </w:r>
          </w:p>
        </w:tc>
        <w:tc>
          <w:tcPr>
            <w:tcW w:w="0" w:type="dxa"/>
            <w:vAlign w:val="bottom"/>
          </w:tcPr>
          <w:p>
            <w:pPr>
              <w:spacing w:after="0"/>
              <w:rPr>
                <w:sz w:val="1"/>
                <w:szCs w:val="1"/>
                <w:color w:val="auto"/>
              </w:rPr>
            </w:pPr>
          </w:p>
        </w:tc>
      </w:tr>
      <w:tr>
        <w:trPr>
          <w:trHeight w:val="153"/>
        </w:trPr>
        <w:tc>
          <w:tcPr>
            <w:tcW w:w="6680" w:type="dxa"/>
            <w:vAlign w:val="bottom"/>
            <w:gridSpan w:val="3"/>
          </w:tcPr>
          <w:p>
            <w:pPr>
              <w:ind w:left="80"/>
              <w:spacing w:after="0"/>
              <w:rPr>
                <w:sz w:val="20"/>
                <w:szCs w:val="20"/>
                <w:color w:val="auto"/>
              </w:rPr>
            </w:pPr>
            <w:r>
              <w:rPr>
                <w:rFonts w:ascii="Arial" w:cs="Arial" w:eastAsia="Arial" w:hAnsi="Arial"/>
                <w:sz w:val="12"/>
                <w:szCs w:val="12"/>
                <w:color w:val="auto"/>
              </w:rPr>
              <w:t>Accretion of settlement payable</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16,901</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4,768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12,133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Gain on prepayment of settlement payable</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(5,432)</w:t>
            </w: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(5,432)</w:t>
            </w:r>
          </w:p>
        </w:tc>
        <w:tc>
          <w:tcPr>
            <w:tcW w:w="0" w:type="dxa"/>
            <w:vAlign w:val="bottom"/>
          </w:tcPr>
          <w:p>
            <w:pPr>
              <w:spacing w:after="0"/>
              <w:rPr>
                <w:sz w:val="1"/>
                <w:szCs w:val="1"/>
                <w:color w:val="auto"/>
              </w:rPr>
            </w:pPr>
          </w:p>
        </w:tc>
      </w:tr>
      <w:tr>
        <w:trPr>
          <w:trHeight w:val="153"/>
        </w:trPr>
        <w:tc>
          <w:tcPr>
            <w:tcW w:w="6680" w:type="dxa"/>
            <w:vAlign w:val="bottom"/>
            <w:gridSpan w:val="3"/>
          </w:tcPr>
          <w:p>
            <w:pPr>
              <w:ind w:left="80"/>
              <w:spacing w:after="0"/>
              <w:rPr>
                <w:sz w:val="20"/>
                <w:szCs w:val="20"/>
                <w:color w:val="auto"/>
              </w:rPr>
            </w:pPr>
            <w:r>
              <w:rPr>
                <w:rFonts w:ascii="Arial" w:cs="Arial" w:eastAsia="Arial" w:hAnsi="Arial"/>
                <w:sz w:val="12"/>
                <w:szCs w:val="12"/>
                <w:color w:val="auto"/>
              </w:rPr>
              <w:t>Capitalized Interest</w:t>
            </w:r>
          </w:p>
        </w:tc>
        <w:tc>
          <w:tcPr>
            <w:tcW w:w="28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(2,343)</w:t>
            </w:r>
          </w:p>
        </w:tc>
        <w:tc>
          <w:tcPr>
            <w:tcW w:w="60" w:type="dxa"/>
            <w:vAlign w:val="bottom"/>
          </w:tcPr>
          <w:p>
            <w:pPr>
              <w:spacing w:after="0"/>
              <w:rPr>
                <w:sz w:val="13"/>
                <w:szCs w:val="1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2"/>
                <w:szCs w:val="12"/>
                <w:color w:val="auto"/>
              </w:rPr>
              <w:t>(2,205)</w:t>
            </w:r>
          </w:p>
        </w:tc>
        <w:tc>
          <w:tcPr>
            <w:tcW w:w="8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20"/>
        </w:trPr>
        <w:tc>
          <w:tcPr>
            <w:tcW w:w="6680" w:type="dxa"/>
            <w:vAlign w:val="bottom"/>
            <w:gridSpan w:val="3"/>
            <w:vMerge w:val="restart"/>
            <w:shd w:val="clear" w:color="auto" w:fill="CFF0FC"/>
          </w:tcPr>
          <w:p>
            <w:pPr>
              <w:ind w:left="160"/>
              <w:spacing w:after="0"/>
              <w:rPr>
                <w:sz w:val="20"/>
                <w:szCs w:val="20"/>
                <w:color w:val="auto"/>
              </w:rPr>
            </w:pPr>
            <w:r>
              <w:rPr>
                <w:rFonts w:ascii="Arial" w:cs="Arial" w:eastAsia="Arial" w:hAnsi="Arial"/>
                <w:sz w:val="12"/>
                <w:szCs w:val="12"/>
                <w:color w:val="auto"/>
              </w:rPr>
              <w:t>Total non-cash interest</w:t>
            </w: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80" w:type="dxa"/>
            <w:vAlign w:val="bottom"/>
            <w:gridSpan w:val="3"/>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51,835</w:t>
            </w:r>
          </w:p>
        </w:tc>
        <w:tc>
          <w:tcPr>
            <w:tcW w:w="3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113,470</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(61,635)</w:t>
            </w: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2"/>
                <w:szCs w:val="12"/>
                <w:color w:val="auto"/>
              </w:rPr>
              <w:t>Total interest expense, net</w:t>
            </w: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80" w:type="dxa"/>
            <w:vAlign w:val="bottom"/>
            <w:gridSpan w:val="3"/>
            <w:vMerge w:val="continue"/>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446,296</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497,128</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(50,832)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Interest expense for the year ended December 31, 2021 decreased $50.8 million compared to the year ended December 31, 2020. The decrease is primarily due to the decrease in debt extinguishment loss of $24.7 million on the 2023 Secured Notes, the 2023 Notes and the 2024 Notes and lower cash interest expense of $19.4 million resulting from extinguishment of 2023 Secured Notes and 2023 Notes, lower cash interest expense of $5.2 million related to the revolving credit facility and partially offset by higher cash interest expense of $7.2 million related to the extinguishment of the 2024 Notes during the year ended December 31, 2021.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incur depreciation and amortization expense related to our property, plant and equipment, corporate assets and intangible assets. Depreciation and amortization expense for our reportable segments for the years ended December 31, 2021 and 2020 consisted of the following: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38"/>
        </w:trPr>
        <w:tc>
          <w:tcPr>
            <w:tcW w:w="668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40" w:type="dxa"/>
            <w:vAlign w:val="bottom"/>
            <w:tcBorders>
              <w:top w:val="single" w:sz="8" w:color="0000EE"/>
            </w:tcBorders>
          </w:tcPr>
          <w:p>
            <w:pPr>
              <w:spacing w:after="0"/>
              <w:rPr>
                <w:sz w:val="13"/>
                <w:szCs w:val="13"/>
                <w:color w:val="auto"/>
              </w:rPr>
            </w:pPr>
          </w:p>
        </w:tc>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80" w:type="dxa"/>
            <w:vAlign w:val="bottom"/>
            <w:gridSpan w:val="3"/>
          </w:tcPr>
          <w:p>
            <w:pPr>
              <w:spacing w:after="0"/>
              <w:rPr>
                <w:sz w:val="20"/>
                <w:szCs w:val="20"/>
                <w:color w:val="auto"/>
              </w:rPr>
            </w:pPr>
            <w:r>
              <w:rPr>
                <w:rFonts w:ascii="Arial" w:cs="Arial" w:eastAsia="Arial" w:hAnsi="Arial"/>
                <w:sz w:val="12"/>
                <w:szCs w:val="12"/>
                <w:color w:val="auto"/>
              </w:rPr>
              <w:t>(Thousands)</w:t>
            </w:r>
          </w:p>
        </w:tc>
        <w:tc>
          <w:tcPr>
            <w:tcW w:w="280" w:type="dxa"/>
            <w:vAlign w:val="bottom"/>
          </w:tcPr>
          <w:p>
            <w:pPr>
              <w:spacing w:after="0"/>
              <w:rPr>
                <w:sz w:val="12"/>
                <w:szCs w:val="12"/>
                <w:color w:val="auto"/>
              </w:rPr>
            </w:pPr>
          </w:p>
        </w:tc>
        <w:tc>
          <w:tcPr>
            <w:tcW w:w="940" w:type="dxa"/>
            <w:vAlign w:val="bottom"/>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ind w:right="560"/>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b w:val="1"/>
                <w:bCs w:val="1"/>
                <w:color w:val="auto"/>
                <w:w w:val="86"/>
              </w:rPr>
              <w:t>Increase / (Decrease)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Depreciation and amortization expense by segment:</w:t>
            </w:r>
          </w:p>
        </w:tc>
        <w:tc>
          <w:tcPr>
            <w:tcW w:w="1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80" w:type="dxa"/>
            <w:vAlign w:val="bottom"/>
            <w:gridSpan w:val="3"/>
          </w:tcPr>
          <w:p>
            <w:pPr>
              <w:ind w:left="160"/>
              <w:spacing w:after="0"/>
              <w:rPr>
                <w:sz w:val="20"/>
                <w:szCs w:val="20"/>
                <w:color w:val="auto"/>
              </w:rPr>
            </w:pPr>
            <w:r>
              <w:rPr>
                <w:rFonts w:ascii="Arial" w:cs="Arial" w:eastAsia="Arial" w:hAnsi="Arial"/>
                <w:sz w:val="12"/>
                <w:szCs w:val="12"/>
                <w:color w:val="auto"/>
              </w:rPr>
              <w:t>Depreciation expense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Leasing</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167,705</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198,805</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(31,100)</w:t>
            </w:r>
          </w:p>
        </w:tc>
        <w:tc>
          <w:tcPr>
            <w:tcW w:w="0" w:type="dxa"/>
            <w:vAlign w:val="bottom"/>
          </w:tcPr>
          <w:p>
            <w:pPr>
              <w:spacing w:after="0"/>
              <w:rPr>
                <w:sz w:val="1"/>
                <w:szCs w:val="1"/>
                <w:color w:val="auto"/>
              </w:rPr>
            </w:pPr>
          </w:p>
        </w:tc>
      </w:tr>
      <w:tr>
        <w:trPr>
          <w:trHeight w:val="153"/>
        </w:trPr>
        <w:tc>
          <w:tcPr>
            <w:tcW w:w="6680" w:type="dxa"/>
            <w:vAlign w:val="bottom"/>
            <w:gridSpan w:val="3"/>
          </w:tcPr>
          <w:p>
            <w:pPr>
              <w:ind w:left="240"/>
              <w:spacing w:after="0"/>
              <w:rPr>
                <w:sz w:val="20"/>
                <w:szCs w:val="20"/>
                <w:color w:val="auto"/>
              </w:rPr>
            </w:pPr>
            <w:r>
              <w:rPr>
                <w:rFonts w:ascii="Arial" w:cs="Arial" w:eastAsia="Arial" w:hAnsi="Arial"/>
                <w:sz w:val="12"/>
                <w:szCs w:val="12"/>
                <w:color w:val="auto"/>
              </w:rPr>
              <w:t>Fiber Infrastructure</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93,193</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101,332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(8,139)</w:t>
            </w: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Corporate</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255</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3"/>
        </w:trPr>
        <w:tc>
          <w:tcPr>
            <w:tcW w:w="6680" w:type="dxa"/>
            <w:vAlign w:val="bottom"/>
            <w:gridSpan w:val="3"/>
          </w:tcPr>
          <w:p>
            <w:pPr>
              <w:ind w:left="240"/>
              <w:spacing w:after="0"/>
              <w:rPr>
                <w:sz w:val="20"/>
                <w:szCs w:val="20"/>
                <w:color w:val="auto"/>
              </w:rPr>
            </w:pPr>
            <w:r>
              <w:rPr>
                <w:rFonts w:ascii="Arial" w:cs="Arial" w:eastAsia="Arial" w:hAnsi="Arial"/>
                <w:sz w:val="12"/>
                <w:szCs w:val="12"/>
                <w:color w:val="auto"/>
              </w:rPr>
              <w:t>Towers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783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(783)</w:t>
            </w: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Consumer CLEC</w:t>
            </w:r>
          </w:p>
        </w:tc>
        <w:tc>
          <w:tcPr>
            <w:tcW w:w="2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80" w:type="dxa"/>
            <w:vAlign w:val="bottom"/>
            <w:gridSpan w:val="3"/>
          </w:tcPr>
          <w:p>
            <w:pPr>
              <w:ind w:left="160"/>
              <w:spacing w:after="0"/>
              <w:rPr>
                <w:sz w:val="20"/>
                <w:szCs w:val="20"/>
                <w:color w:val="auto"/>
              </w:rPr>
            </w:pPr>
            <w:r>
              <w:rPr>
                <w:rFonts w:ascii="Arial" w:cs="Arial" w:eastAsia="Arial" w:hAnsi="Arial"/>
                <w:sz w:val="12"/>
                <w:szCs w:val="12"/>
                <w:color w:val="auto"/>
              </w:rPr>
              <w:t>Total depreciation expense</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261,153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301,217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(40,064)</w:t>
            </w: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Amortization expense</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tcPr>
          <w:p>
            <w:pPr>
              <w:ind w:left="240"/>
              <w:spacing w:after="0"/>
              <w:rPr>
                <w:sz w:val="20"/>
                <w:szCs w:val="20"/>
                <w:color w:val="auto"/>
              </w:rPr>
            </w:pPr>
            <w:r>
              <w:rPr>
                <w:rFonts w:ascii="Arial" w:cs="Arial" w:eastAsia="Arial" w:hAnsi="Arial"/>
                <w:sz w:val="12"/>
                <w:szCs w:val="12"/>
                <w:color w:val="auto"/>
              </w:rPr>
              <w:t>Leasing</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6,917</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2,516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4,401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Fiber Infrastructure</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22,872</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24,879</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153"/>
        </w:trPr>
        <w:tc>
          <w:tcPr>
            <w:tcW w:w="6680" w:type="dxa"/>
            <w:vAlign w:val="bottom"/>
            <w:gridSpan w:val="3"/>
          </w:tcPr>
          <w:p>
            <w:pPr>
              <w:ind w:left="240"/>
              <w:spacing w:after="0"/>
              <w:rPr>
                <w:sz w:val="20"/>
                <w:szCs w:val="20"/>
                <w:color w:val="auto"/>
              </w:rPr>
            </w:pPr>
            <w:r>
              <w:rPr>
                <w:rFonts w:ascii="Arial" w:cs="Arial" w:eastAsia="Arial" w:hAnsi="Arial"/>
                <w:sz w:val="12"/>
                <w:szCs w:val="12"/>
                <w:color w:val="auto"/>
              </w:rPr>
              <w:t>Corporate</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Towers</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3"/>
          </w:tcPr>
          <w:p>
            <w:pPr>
              <w:ind w:left="240"/>
              <w:spacing w:after="0"/>
              <w:rPr>
                <w:sz w:val="20"/>
                <w:szCs w:val="20"/>
                <w:color w:val="auto"/>
              </w:rPr>
            </w:pPr>
            <w:r>
              <w:rPr>
                <w:rFonts w:ascii="Arial" w:cs="Arial" w:eastAsia="Arial" w:hAnsi="Arial"/>
                <w:sz w:val="12"/>
                <w:szCs w:val="12"/>
                <w:color w:val="auto"/>
              </w:rPr>
              <w:t>Consumer CLEC</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791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(791)</w:t>
            </w:r>
          </w:p>
        </w:tc>
        <w:tc>
          <w:tcPr>
            <w:tcW w:w="0" w:type="dxa"/>
            <w:vAlign w:val="bottom"/>
          </w:tcPr>
          <w:p>
            <w:pPr>
              <w:spacing w:after="0"/>
              <w:rPr>
                <w:sz w:val="1"/>
                <w:szCs w:val="1"/>
                <w:color w:val="auto"/>
              </w:rPr>
            </w:pPr>
          </w:p>
        </w:tc>
      </w:tr>
      <w:tr>
        <w:trPr>
          <w:trHeight w:val="142"/>
        </w:trPr>
        <w:tc>
          <w:tcPr>
            <w:tcW w:w="6680" w:type="dxa"/>
            <w:vAlign w:val="bottom"/>
            <w:tcBorders>
              <w:top w:val="single" w:sz="8" w:color="CFF0FC"/>
            </w:tcBorders>
            <w:gridSpan w:val="3"/>
            <w:shd w:val="clear" w:color="auto" w:fill="CFF0FC"/>
          </w:tcPr>
          <w:p>
            <w:pPr>
              <w:ind w:left="160"/>
              <w:spacing w:after="0"/>
              <w:rPr>
                <w:sz w:val="20"/>
                <w:szCs w:val="20"/>
                <w:color w:val="auto"/>
              </w:rPr>
            </w:pPr>
            <w:r>
              <w:rPr>
                <w:rFonts w:ascii="Arial" w:cs="Arial" w:eastAsia="Arial" w:hAnsi="Arial"/>
                <w:sz w:val="12"/>
                <w:szCs w:val="12"/>
                <w:color w:val="auto"/>
              </w:rPr>
              <w:t>Total amortization expense</w:t>
            </w: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29,789</w:t>
            </w:r>
          </w:p>
        </w:tc>
        <w:tc>
          <w:tcPr>
            <w:tcW w:w="3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28,186</w:t>
            </w:r>
          </w:p>
        </w:tc>
        <w:tc>
          <w:tcPr>
            <w:tcW w:w="2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1,603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gridSpan w:val="3"/>
          </w:tcPr>
          <w:p>
            <w:pPr>
              <w:spacing w:after="0"/>
              <w:rPr>
                <w:sz w:val="20"/>
                <w:szCs w:val="20"/>
                <w:color w:val="auto"/>
              </w:rPr>
            </w:pPr>
            <w:r>
              <w:rPr>
                <w:rFonts w:ascii="Arial" w:cs="Arial" w:eastAsia="Arial" w:hAnsi="Arial"/>
                <w:sz w:val="12"/>
                <w:szCs w:val="12"/>
                <w:color w:val="auto"/>
              </w:rPr>
              <w:t>Total depreciation and amortization expense</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290,942</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329,403</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(38,461)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i w:val="1"/>
          <w:iCs w:val="1"/>
          <w:color w:val="auto"/>
        </w:rPr>
        <w:t xml:space="preserve"> </w:t>
      </w:r>
      <w:r>
        <w:rPr>
          <w:rFonts w:ascii="Arial" w:cs="Arial" w:eastAsia="Arial" w:hAnsi="Arial"/>
          <w:sz w:val="12"/>
          <w:szCs w:val="12"/>
          <w:color w:val="auto"/>
        </w:rPr>
        <w:t>– Leasing depreciation expense decreased $31.1 million for the year ended December 31, 2021 as compared to the year ended December 31, 2020. The decrease is primarily attributable to the natural decrease in remaining</w:t>
      </w:r>
      <w:r>
        <w:rPr>
          <w:rFonts w:ascii="Arial" w:cs="Arial" w:eastAsia="Arial" w:hAnsi="Arial"/>
          <w:sz w:val="12"/>
          <w:szCs w:val="12"/>
          <w:i w:val="1"/>
          <w:iCs w:val="1"/>
          <w:color w:val="auto"/>
        </w:rPr>
        <w:t xml:space="preserve"> </w:t>
      </w:r>
      <w:r>
        <w:rPr>
          <w:rFonts w:ascii="Arial" w:cs="Arial" w:eastAsia="Arial" w:hAnsi="Arial"/>
          <w:sz w:val="12"/>
          <w:szCs w:val="12"/>
          <w:color w:val="auto"/>
        </w:rPr>
        <w:t>useful life of the Windstream Distribution System assets which utilize the group composite depreciation method. Amortization expense increased $4.4 million for the year ended December 31, 2021 as compared to the year ended December 31, 2020.</w:t>
      </w:r>
    </w:p>
    <w:p>
      <w:pPr>
        <w:spacing w:after="0" w:line="122"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 Fiber Infrastructure depreciation and amortization expense decreased $8.1 million for the year ended December 31, 2021 as compared to the year ended December 31, 2020. The decrease in depreciation expense</w:t>
      </w:r>
      <w:r>
        <w:rPr>
          <w:rFonts w:ascii="Arial" w:cs="Arial" w:eastAsia="Arial" w:hAnsi="Arial"/>
          <w:sz w:val="12"/>
          <w:szCs w:val="12"/>
          <w:i w:val="1"/>
          <w:iCs w:val="1"/>
          <w:color w:val="auto"/>
        </w:rPr>
        <w:t xml:space="preserve"> </w:t>
      </w:r>
      <w:r>
        <w:rPr>
          <w:rFonts w:ascii="Arial" w:cs="Arial" w:eastAsia="Arial" w:hAnsi="Arial"/>
          <w:sz w:val="12"/>
          <w:szCs w:val="12"/>
          <w:color w:val="auto"/>
        </w:rPr>
        <w:t>is primarily attributable to the Everstream transaction completed on May 28, 2021. The $2.0 million decrease in amortization expense relates to a trademark intangible asset, associated with the wind down of the construction business, that became fully amortized in 2020.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General and administrative expenses include compensation costs, including stock-based compensation awards, professional and legal services, corporate office costs and other costs associated with the administrative activities of our segments.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2"/>
                <w:szCs w:val="12"/>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1120"/>
              <w:spacing w:after="0"/>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110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r>
      <w:tr>
        <w:trPr>
          <w:trHeight w:val="129"/>
        </w:trPr>
        <w:tc>
          <w:tcPr>
            <w:tcW w:w="40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 of Consolidated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 of Consolidated</w:t>
            </w:r>
          </w:p>
        </w:tc>
        <w:tc>
          <w:tcPr>
            <w:tcW w:w="120" w:type="dxa"/>
            <w:vAlign w:val="bottom"/>
          </w:tcPr>
          <w:p>
            <w:pPr>
              <w:spacing w:after="0"/>
              <w:rPr>
                <w:sz w:val="11"/>
                <w:szCs w:val="11"/>
                <w:color w:val="auto"/>
              </w:rPr>
            </w:pPr>
          </w:p>
        </w:tc>
      </w:tr>
      <w:tr>
        <w:trPr>
          <w:trHeight w:val="157"/>
        </w:trPr>
        <w:tc>
          <w:tcPr>
            <w:tcW w:w="4040" w:type="dxa"/>
            <w:vAlign w:val="bottom"/>
          </w:tcPr>
          <w:p>
            <w:pPr>
              <w:spacing w:after="0"/>
              <w:rPr>
                <w:sz w:val="20"/>
                <w:szCs w:val="20"/>
                <w:color w:val="auto"/>
              </w:rPr>
            </w:pPr>
            <w:r>
              <w:rPr>
                <w:rFonts w:ascii="Arial" w:cs="Arial" w:eastAsia="Arial" w:hAnsi="Arial"/>
                <w:sz w:val="12"/>
                <w:szCs w:val="12"/>
                <w:color w:val="auto"/>
              </w:rPr>
              <w:t>(Thousands)</w:t>
            </w: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4"/>
              </w:rPr>
              <w:t>Revenues</w:t>
            </w:r>
          </w:p>
        </w:tc>
        <w:tc>
          <w:tcPr>
            <w:tcW w:w="200" w:type="dxa"/>
            <w:vAlign w:val="bottom"/>
          </w:tcPr>
          <w:p>
            <w:pPr>
              <w:spacing w:after="0"/>
              <w:rPr>
                <w:sz w:val="13"/>
                <w:szCs w:val="13"/>
                <w:color w:val="auto"/>
              </w:rPr>
            </w:pPr>
          </w:p>
        </w:tc>
        <w:tc>
          <w:tcPr>
            <w:tcW w:w="860" w:type="dxa"/>
            <w:vAlign w:val="bottom"/>
          </w:tcPr>
          <w:p>
            <w:pPr>
              <w:jc w:val="right"/>
              <w:ind w:right="2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Revenues</w:t>
            </w:r>
          </w:p>
        </w:tc>
      </w:tr>
      <w:tr>
        <w:trPr>
          <w:trHeight w:val="142"/>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General and administrative expense by segment:</w:t>
            </w:r>
          </w:p>
        </w:tc>
        <w:tc>
          <w:tcPr>
            <w:tcW w:w="15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4040" w:type="dxa"/>
            <w:vAlign w:val="bottom"/>
          </w:tcPr>
          <w:p>
            <w:pPr>
              <w:ind w:left="160"/>
              <w:spacing w:after="0"/>
              <w:rPr>
                <w:sz w:val="20"/>
                <w:szCs w:val="20"/>
                <w:color w:val="auto"/>
              </w:rPr>
            </w:pPr>
            <w:r>
              <w:rPr>
                <w:rFonts w:ascii="Arial" w:cs="Arial" w:eastAsia="Arial" w:hAnsi="Arial"/>
                <w:sz w:val="12"/>
                <w:szCs w:val="12"/>
                <w:color w:val="auto"/>
              </w:rPr>
              <w:t>Leasing</w:t>
            </w:r>
          </w:p>
        </w:tc>
        <w:tc>
          <w:tcPr>
            <w:tcW w:w="19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10,127</w:t>
            </w:r>
          </w:p>
        </w:tc>
        <w:tc>
          <w:tcPr>
            <w:tcW w:w="1520" w:type="dxa"/>
            <w:vAlign w:val="bottom"/>
            <w:gridSpan w:val="2"/>
          </w:tcPr>
          <w:p>
            <w:pPr>
              <w:jc w:val="center"/>
              <w:ind w:left="200"/>
              <w:spacing w:after="0"/>
              <w:rPr>
                <w:sz w:val="20"/>
                <w:szCs w:val="20"/>
                <w:color w:val="auto"/>
              </w:rPr>
            </w:pPr>
            <w:r>
              <w:rPr>
                <w:rFonts w:ascii="Arial" w:cs="Arial" w:eastAsia="Arial" w:hAnsi="Arial"/>
                <w:sz w:val="12"/>
                <w:szCs w:val="12"/>
                <w:color w:val="auto"/>
                <w:w w:val="94"/>
              </w:rPr>
              <w:t>0.9%</w:t>
            </w:r>
          </w:p>
        </w:tc>
        <w:tc>
          <w:tcPr>
            <w:tcW w:w="26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7,022</w:t>
            </w:r>
          </w:p>
        </w:tc>
        <w:tc>
          <w:tcPr>
            <w:tcW w:w="1520" w:type="dxa"/>
            <w:vAlign w:val="bottom"/>
            <w:gridSpan w:val="2"/>
          </w:tcPr>
          <w:p>
            <w:pPr>
              <w:jc w:val="center"/>
              <w:ind w:left="200"/>
              <w:spacing w:after="0"/>
              <w:rPr>
                <w:sz w:val="20"/>
                <w:szCs w:val="20"/>
                <w:color w:val="auto"/>
              </w:rPr>
            </w:pPr>
            <w:r>
              <w:rPr>
                <w:rFonts w:ascii="Arial" w:cs="Arial" w:eastAsia="Arial" w:hAnsi="Arial"/>
                <w:sz w:val="12"/>
                <w:szCs w:val="12"/>
                <w:color w:val="auto"/>
                <w:w w:val="94"/>
              </w:rPr>
              <w:t>0.7%</w:t>
            </w:r>
          </w:p>
        </w:tc>
        <w:tc>
          <w:tcPr>
            <w:tcW w:w="120" w:type="dxa"/>
            <w:vAlign w:val="bottom"/>
          </w:tcPr>
          <w:p>
            <w:pPr>
              <w:spacing w:after="0"/>
              <w:rPr>
                <w:sz w:val="13"/>
                <w:szCs w:val="13"/>
                <w:color w:val="auto"/>
              </w:rPr>
            </w:pPr>
          </w:p>
        </w:tc>
      </w:tr>
      <w:tr>
        <w:trPr>
          <w:trHeight w:val="153"/>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Fiber Infrastructure</w:t>
            </w:r>
          </w:p>
        </w:tc>
        <w:tc>
          <w:tcPr>
            <w:tcW w:w="1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55,074</w:t>
            </w:r>
          </w:p>
        </w:tc>
        <w:tc>
          <w:tcPr>
            <w:tcW w:w="152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4"/>
              </w:rPr>
              <w:t>5.0%</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54,529</w:t>
            </w:r>
          </w:p>
        </w:tc>
        <w:tc>
          <w:tcPr>
            <w:tcW w:w="152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4"/>
              </w:rPr>
              <w:t>5.1%</w:t>
            </w:r>
          </w:p>
        </w:tc>
        <w:tc>
          <w:tcPr>
            <w:tcW w:w="120" w:type="dxa"/>
            <w:vAlign w:val="bottom"/>
            <w:shd w:val="clear" w:color="auto" w:fill="CFF0FC"/>
          </w:tcPr>
          <w:p>
            <w:pPr>
              <w:spacing w:after="0"/>
              <w:rPr>
                <w:sz w:val="13"/>
                <w:szCs w:val="13"/>
                <w:color w:val="auto"/>
              </w:rPr>
            </w:pPr>
          </w:p>
        </w:tc>
      </w:tr>
      <w:tr>
        <w:trPr>
          <w:trHeight w:val="153"/>
        </w:trPr>
        <w:tc>
          <w:tcPr>
            <w:tcW w:w="4040" w:type="dxa"/>
            <w:vAlign w:val="bottom"/>
          </w:tcPr>
          <w:p>
            <w:pPr>
              <w:ind w:left="160"/>
              <w:spacing w:after="0"/>
              <w:rPr>
                <w:sz w:val="20"/>
                <w:szCs w:val="20"/>
                <w:color w:val="auto"/>
              </w:rPr>
            </w:pPr>
            <w:r>
              <w:rPr>
                <w:rFonts w:ascii="Arial" w:cs="Arial" w:eastAsia="Arial" w:hAnsi="Arial"/>
                <w:sz w:val="12"/>
                <w:szCs w:val="12"/>
                <w:color w:val="auto"/>
              </w:rPr>
              <w:t>Corporate</w:t>
            </w: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35,975</w:t>
            </w:r>
          </w:p>
        </w:tc>
        <w:tc>
          <w:tcPr>
            <w:tcW w:w="1520" w:type="dxa"/>
            <w:vAlign w:val="bottom"/>
            <w:gridSpan w:val="2"/>
          </w:tcPr>
          <w:p>
            <w:pPr>
              <w:jc w:val="center"/>
              <w:ind w:left="200"/>
              <w:spacing w:after="0"/>
              <w:rPr>
                <w:sz w:val="20"/>
                <w:szCs w:val="20"/>
                <w:color w:val="auto"/>
              </w:rPr>
            </w:pPr>
            <w:r>
              <w:rPr>
                <w:rFonts w:ascii="Arial" w:cs="Arial" w:eastAsia="Arial" w:hAnsi="Arial"/>
                <w:sz w:val="12"/>
                <w:szCs w:val="12"/>
                <w:color w:val="auto"/>
                <w:w w:val="94"/>
              </w:rPr>
              <w:t>3.3%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40,587</w:t>
            </w:r>
          </w:p>
        </w:tc>
        <w:tc>
          <w:tcPr>
            <w:tcW w:w="1520" w:type="dxa"/>
            <w:vAlign w:val="bottom"/>
            <w:gridSpan w:val="2"/>
          </w:tcPr>
          <w:p>
            <w:pPr>
              <w:jc w:val="center"/>
              <w:ind w:left="200"/>
              <w:spacing w:after="0"/>
              <w:rPr>
                <w:sz w:val="20"/>
                <w:szCs w:val="20"/>
                <w:color w:val="auto"/>
              </w:rPr>
            </w:pPr>
            <w:r>
              <w:rPr>
                <w:rFonts w:ascii="Arial" w:cs="Arial" w:eastAsia="Arial" w:hAnsi="Arial"/>
                <w:sz w:val="12"/>
                <w:szCs w:val="12"/>
                <w:color w:val="auto"/>
                <w:w w:val="94"/>
              </w:rPr>
              <w:t>3.8%</w:t>
            </w:r>
          </w:p>
        </w:tc>
        <w:tc>
          <w:tcPr>
            <w:tcW w:w="120" w:type="dxa"/>
            <w:vAlign w:val="bottom"/>
          </w:tcPr>
          <w:p>
            <w:pPr>
              <w:spacing w:after="0"/>
              <w:rPr>
                <w:sz w:val="13"/>
                <w:szCs w:val="13"/>
                <w:color w:val="auto"/>
              </w:rPr>
            </w:pPr>
          </w:p>
        </w:tc>
      </w:tr>
      <w:tr>
        <w:trPr>
          <w:trHeight w:val="153"/>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Towers</w:t>
            </w:r>
          </w:p>
        </w:tc>
        <w:tc>
          <w:tcPr>
            <w:tcW w:w="1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4"/>
              </w:rPr>
              <w:t>0.0%</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2,607</w:t>
            </w:r>
          </w:p>
        </w:tc>
        <w:tc>
          <w:tcPr>
            <w:tcW w:w="152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4"/>
              </w:rPr>
              <w:t>0.2%</w:t>
            </w:r>
          </w:p>
        </w:tc>
        <w:tc>
          <w:tcPr>
            <w:tcW w:w="120" w:type="dxa"/>
            <w:vAlign w:val="bottom"/>
            <w:shd w:val="clear" w:color="auto" w:fill="CFF0FC"/>
          </w:tcPr>
          <w:p>
            <w:pPr>
              <w:spacing w:after="0"/>
              <w:rPr>
                <w:sz w:val="13"/>
                <w:szCs w:val="13"/>
                <w:color w:val="auto"/>
              </w:rPr>
            </w:pPr>
          </w:p>
        </w:tc>
      </w:tr>
      <w:tr>
        <w:trPr>
          <w:trHeight w:val="153"/>
        </w:trPr>
        <w:tc>
          <w:tcPr>
            <w:tcW w:w="40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Consumer CLEC</w:t>
            </w:r>
          </w:p>
        </w:tc>
        <w:tc>
          <w:tcPr>
            <w:tcW w:w="15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0.0%</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w:t>
            </w:r>
          </w:p>
        </w:tc>
        <w:tc>
          <w:tcPr>
            <w:tcW w:w="26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tcBorders>
              <w:bottom w:val="single" w:sz="8" w:color="CFF0FC"/>
            </w:tcBorders>
          </w:tcPr>
          <w:p>
            <w:pPr>
              <w:spacing w:after="0"/>
              <w:rPr>
                <w:sz w:val="13"/>
                <w:szCs w:val="13"/>
                <w:color w:val="auto"/>
              </w:rPr>
            </w:pPr>
          </w:p>
        </w:tc>
      </w:tr>
      <w:tr>
        <w:trPr>
          <w:trHeight w:val="162"/>
        </w:trPr>
        <w:tc>
          <w:tcPr>
            <w:tcW w:w="40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Total general and administrative expenses</w:t>
            </w:r>
          </w:p>
        </w:tc>
        <w:tc>
          <w:tcPr>
            <w:tcW w:w="192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101,176</w:t>
            </w:r>
          </w:p>
        </w:tc>
        <w:tc>
          <w:tcPr>
            <w:tcW w:w="152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4"/>
              </w:rPr>
              <w:t>9.2%</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104,975</w:t>
            </w:r>
          </w:p>
        </w:tc>
        <w:tc>
          <w:tcPr>
            <w:tcW w:w="1520" w:type="dxa"/>
            <w:vAlign w:val="bottom"/>
            <w:gridSpan w:val="2"/>
            <w:shd w:val="clear" w:color="auto" w:fill="CFF0FC"/>
          </w:tcPr>
          <w:p>
            <w:pPr>
              <w:jc w:val="center"/>
              <w:ind w:left="200"/>
              <w:spacing w:after="0"/>
              <w:rPr>
                <w:sz w:val="20"/>
                <w:szCs w:val="20"/>
                <w:color w:val="auto"/>
              </w:rPr>
            </w:pPr>
            <w:r>
              <w:rPr>
                <w:rFonts w:ascii="Arial" w:cs="Arial" w:eastAsia="Arial" w:hAnsi="Arial"/>
                <w:sz w:val="12"/>
                <w:szCs w:val="12"/>
                <w:color w:val="auto"/>
                <w:w w:val="94"/>
              </w:rPr>
              <w:t>9.8%</w:t>
            </w:r>
          </w:p>
        </w:tc>
        <w:tc>
          <w:tcPr>
            <w:tcW w:w="120" w:type="dxa"/>
            <w:vAlign w:val="bottom"/>
            <w:shd w:val="clear" w:color="auto" w:fill="CFF0FC"/>
          </w:tcPr>
          <w:p>
            <w:pPr>
              <w:spacing w:after="0"/>
              <w:rPr>
                <w:sz w:val="14"/>
                <w:szCs w:val="14"/>
                <w:color w:val="auto"/>
              </w:rPr>
            </w:pPr>
          </w:p>
        </w:tc>
      </w:tr>
      <w:tr>
        <w:trPr>
          <w:trHeight w:val="275"/>
        </w:trPr>
        <w:tc>
          <w:tcPr>
            <w:tcW w:w="4040" w:type="dxa"/>
            <w:vAlign w:val="bottom"/>
            <w:tcBorders>
              <w:top w:val="single" w:sz="8" w:color="CFF0FC"/>
            </w:tcBorders>
          </w:tcPr>
          <w:p>
            <w:pPr>
              <w:spacing w:after="0"/>
              <w:rPr>
                <w:sz w:val="23"/>
                <w:szCs w:val="23"/>
                <w:color w:val="auto"/>
              </w:rPr>
            </w:pPr>
          </w:p>
        </w:tc>
        <w:tc>
          <w:tcPr>
            <w:tcW w:w="172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2"/>
                <w:szCs w:val="12"/>
                <w:color w:val="auto"/>
              </w:rPr>
              <w:t>38</w:t>
            </w:r>
          </w:p>
        </w:tc>
        <w:tc>
          <w:tcPr>
            <w:tcW w:w="2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r>
      <w:tr>
        <w:trPr>
          <w:trHeight w:val="72"/>
        </w:trPr>
        <w:tc>
          <w:tcPr>
            <w:tcW w:w="404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38" w:name="page39"/>
    <w:bookmarkEnd w:id="38"/>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i w:val="1"/>
          <w:iCs w:val="1"/>
          <w:color w:val="auto"/>
        </w:rPr>
        <w:t xml:space="preserve"> </w:t>
      </w:r>
      <w:r>
        <w:rPr>
          <w:rFonts w:ascii="Arial" w:cs="Arial" w:eastAsia="Arial" w:hAnsi="Arial"/>
          <w:sz w:val="12"/>
          <w:szCs w:val="12"/>
          <w:color w:val="auto"/>
        </w:rPr>
        <w:t>– Leasing general and administrative expense increased $3.1 million for the year ended December 31, 2021 as compared to the year ended December 31, 2020. The increase is primarily attributable to increased personnel</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of $1.9 million.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 Fiber Infrastructure general and administrative expense increased $0.5 million for the year ended December 31, 2021 as compared to the year ended December 31, 2020.</w:t>
      </w:r>
    </w:p>
    <w:p>
      <w:pPr>
        <w:spacing w:after="0" w:line="150"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color w:val="auto"/>
        </w:rPr>
        <w:t>- For the year ended December 31, 2021, Towers general and administrative expenses were not incurred as the U.S. tower business sale was completed on June 1, 2020. Towers general and administrative expense was $2.6</w:t>
      </w:r>
      <w:r>
        <w:rPr>
          <w:rFonts w:ascii="Arial" w:cs="Arial" w:eastAsia="Arial" w:hAnsi="Arial"/>
          <w:sz w:val="12"/>
          <w:szCs w:val="12"/>
          <w:i w:val="1"/>
          <w:iCs w:val="1"/>
          <w:color w:val="auto"/>
        </w:rPr>
        <w:t xml:space="preserve"> </w:t>
      </w:r>
      <w:r>
        <w:rPr>
          <w:rFonts w:ascii="Arial" w:cs="Arial" w:eastAsia="Arial" w:hAnsi="Arial"/>
          <w:sz w:val="12"/>
          <w:szCs w:val="12"/>
          <w:color w:val="auto"/>
        </w:rPr>
        <w:t>million for the year ended December 31, 2020.</w:t>
      </w:r>
    </w:p>
    <w:p>
      <w:pPr>
        <w:spacing w:after="0" w:line="115" w:lineRule="exact"/>
        <w:rPr>
          <w:sz w:val="20"/>
          <w:szCs w:val="20"/>
          <w:color w:val="auto"/>
        </w:rPr>
      </w:pPr>
    </w:p>
    <w:p>
      <w:pPr>
        <w:ind w:right="560"/>
        <w:spacing w:after="0" w:line="276" w:lineRule="auto"/>
        <w:rPr>
          <w:sz w:val="20"/>
          <w:szCs w:val="20"/>
          <w:color w:val="auto"/>
        </w:rPr>
      </w:pPr>
      <w:r>
        <w:rPr>
          <w:rFonts w:ascii="Arial" w:cs="Arial" w:eastAsia="Arial" w:hAnsi="Arial"/>
          <w:sz w:val="12"/>
          <w:szCs w:val="12"/>
          <w:i w:val="1"/>
          <w:iCs w:val="1"/>
          <w:u w:val="single" w:color="auto"/>
          <w:color w:val="auto"/>
        </w:rPr>
        <w:t>Corporate</w:t>
      </w:r>
      <w:r>
        <w:rPr>
          <w:rFonts w:ascii="Arial" w:cs="Arial" w:eastAsia="Arial" w:hAnsi="Arial"/>
          <w:sz w:val="12"/>
          <w:szCs w:val="12"/>
          <w:i w:val="1"/>
          <w:iCs w:val="1"/>
          <w:color w:val="auto"/>
        </w:rPr>
        <w:t xml:space="preserve"> </w:t>
      </w:r>
      <w:r>
        <w:rPr>
          <w:rFonts w:ascii="Arial" w:cs="Arial" w:eastAsia="Arial" w:hAnsi="Arial"/>
          <w:sz w:val="12"/>
          <w:szCs w:val="12"/>
          <w:color w:val="auto"/>
        </w:rPr>
        <w:t>– Corporate general and administrative expense decreased $4.6 million for the year ended December 31, 2021 as compared to the year ended December 31, 2020. The decrease is primarily attributable to decreased</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and legal expenses of $2.6 million and decreased insurance expense of $1.1 million.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w:t>
      </w:r>
    </w:p>
    <w:p>
      <w:pPr>
        <w:spacing w:after="0" w:line="150"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Operating expense for the year ended December 31, 2021, totaled $146.9 million compared to $159.3 million for the year ended December 31, 2020. This decrease was primarily attributable to decreases in Fiber Infrastructure, Towers and Consumer CLEC Business operating expenses offset by an increase in Leasing operating expenses discussed below. Operating expense for our reportable segments for the years ended December 31, 2021 and 2020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5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99"/>
        </w:trPr>
        <w:tc>
          <w:tcPr>
            <w:tcW w:w="5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Consolidated</w:t>
            </w: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Consolidated</w:t>
            </w:r>
          </w:p>
        </w:tc>
      </w:tr>
      <w:tr>
        <w:trPr>
          <w:trHeight w:val="113"/>
        </w:trPr>
        <w:tc>
          <w:tcPr>
            <w:tcW w:w="588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300" w:type="dxa"/>
            <w:vAlign w:val="bottom"/>
          </w:tcPr>
          <w:p>
            <w:pPr>
              <w:spacing w:after="0"/>
              <w:rPr>
                <w:sz w:val="9"/>
                <w:szCs w:val="9"/>
                <w:color w:val="auto"/>
              </w:rPr>
            </w:pPr>
          </w:p>
        </w:tc>
        <w:tc>
          <w:tcPr>
            <w:tcW w:w="1420" w:type="dxa"/>
            <w:vAlign w:val="bottom"/>
            <w:gridSpan w:val="2"/>
          </w:tcPr>
          <w:p>
            <w:pPr>
              <w:ind w:left="260"/>
              <w:spacing w:after="0" w:line="114" w:lineRule="exact"/>
              <w:rPr>
                <w:sz w:val="20"/>
                <w:szCs w:val="20"/>
                <w:color w:val="auto"/>
              </w:rPr>
            </w:pPr>
            <w:r>
              <w:rPr>
                <w:rFonts w:ascii="Arial" w:cs="Arial" w:eastAsia="Arial" w:hAnsi="Arial"/>
                <w:sz w:val="10"/>
                <w:szCs w:val="10"/>
                <w:b w:val="1"/>
                <w:bCs w:val="1"/>
                <w:color w:val="auto"/>
              </w:rPr>
              <w:t>Amount</w:t>
            </w:r>
          </w:p>
        </w:tc>
        <w:tc>
          <w:tcPr>
            <w:tcW w:w="10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Revenues</w:t>
            </w:r>
          </w:p>
        </w:tc>
        <w:tc>
          <w:tcPr>
            <w:tcW w:w="980" w:type="dxa"/>
            <w:vAlign w:val="bottom"/>
          </w:tcPr>
          <w:p>
            <w:pPr>
              <w:jc w:val="right"/>
              <w:ind w:right="32"/>
              <w:spacing w:after="0" w:line="114" w:lineRule="exact"/>
              <w:rPr>
                <w:sz w:val="20"/>
                <w:szCs w:val="20"/>
                <w:color w:val="auto"/>
              </w:rPr>
            </w:pPr>
            <w:r>
              <w:rPr>
                <w:rFonts w:ascii="Arial" w:cs="Arial" w:eastAsia="Arial" w:hAnsi="Arial"/>
                <w:sz w:val="10"/>
                <w:szCs w:val="10"/>
                <w:b w:val="1"/>
                <w:bCs w:val="1"/>
                <w:color w:val="auto"/>
              </w:rPr>
              <w:t>Amount</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0"/>
              </w:rPr>
              <w:t>Revenues</w:t>
            </w:r>
          </w:p>
        </w:tc>
      </w:tr>
      <w:tr>
        <w:trPr>
          <w:trHeight w:val="142"/>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Operating expense by segment:</w:t>
            </w: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880" w:type="dxa"/>
            <w:vAlign w:val="bottom"/>
            <w:gridSpan w:val="2"/>
          </w:tcPr>
          <w:p>
            <w:pPr>
              <w:ind w:left="160"/>
              <w:spacing w:after="0"/>
              <w:rPr>
                <w:sz w:val="20"/>
                <w:szCs w:val="20"/>
                <w:color w:val="auto"/>
              </w:rPr>
            </w:pPr>
            <w:r>
              <w:rPr>
                <w:rFonts w:ascii="Arial" w:cs="Arial" w:eastAsia="Arial" w:hAnsi="Arial"/>
                <w:sz w:val="12"/>
                <w:szCs w:val="12"/>
                <w:color w:val="auto"/>
              </w:rPr>
              <w:t>Leasing</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16,556</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1.5%</w:t>
            </w:r>
          </w:p>
        </w:tc>
        <w:tc>
          <w:tcPr>
            <w:tcW w:w="260" w:type="dxa"/>
            <w:vAlign w:val="bottom"/>
          </w:tcPr>
          <w:p>
            <w:pPr>
              <w:spacing w:after="0"/>
              <w:rPr>
                <w:sz w:val="13"/>
                <w:szCs w:val="13"/>
                <w:color w:val="auto"/>
              </w:rPr>
            </w:pPr>
          </w:p>
        </w:tc>
        <w:tc>
          <w:tcPr>
            <w:tcW w:w="980" w:type="dxa"/>
            <w:vAlign w:val="bottom"/>
          </w:tcPr>
          <w:p>
            <w:pPr>
              <w:jc w:val="right"/>
              <w:ind w:right="87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4,438</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4"/>
              </w:rPr>
              <w:t>0.4%</w:t>
            </w:r>
          </w:p>
        </w:tc>
        <w:tc>
          <w:tcPr>
            <w:tcW w:w="120" w:type="dxa"/>
            <w:vAlign w:val="bottom"/>
          </w:tcPr>
          <w:p>
            <w:pPr>
              <w:spacing w:after="0"/>
              <w:rPr>
                <w:sz w:val="13"/>
                <w:szCs w:val="13"/>
                <w:color w:val="auto"/>
              </w:rPr>
            </w:pPr>
          </w:p>
        </w:tc>
      </w:tr>
      <w:tr>
        <w:trPr>
          <w:trHeight w:val="153"/>
        </w:trPr>
        <w:tc>
          <w:tcPr>
            <w:tcW w:w="58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Fiber Infrastructure</w:t>
            </w: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130,313</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11.8%</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150,241</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14.1%</w:t>
            </w:r>
          </w:p>
        </w:tc>
        <w:tc>
          <w:tcPr>
            <w:tcW w:w="120" w:type="dxa"/>
            <w:vAlign w:val="bottom"/>
            <w:shd w:val="clear" w:color="auto" w:fill="CFF0FC"/>
          </w:tcPr>
          <w:p>
            <w:pPr>
              <w:spacing w:after="0"/>
              <w:rPr>
                <w:sz w:val="13"/>
                <w:szCs w:val="13"/>
                <w:color w:val="auto"/>
              </w:rPr>
            </w:pPr>
          </w:p>
        </w:tc>
      </w:tr>
      <w:tr>
        <w:trPr>
          <w:trHeight w:val="153"/>
        </w:trPr>
        <w:tc>
          <w:tcPr>
            <w:tcW w:w="5880" w:type="dxa"/>
            <w:vAlign w:val="bottom"/>
            <w:gridSpan w:val="2"/>
          </w:tcPr>
          <w:p>
            <w:pPr>
              <w:ind w:left="160"/>
              <w:spacing w:after="0"/>
              <w:rPr>
                <w:sz w:val="20"/>
                <w:szCs w:val="20"/>
                <w:color w:val="auto"/>
              </w:rPr>
            </w:pPr>
            <w:r>
              <w:rPr>
                <w:rFonts w:ascii="Arial" w:cs="Arial" w:eastAsia="Arial" w:hAnsi="Arial"/>
                <w:sz w:val="12"/>
                <w:szCs w:val="12"/>
                <w:color w:val="auto"/>
              </w:rPr>
              <w:t>Towers</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0.0%</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3,692</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4"/>
              </w:rPr>
              <w:t>0.3%</w:t>
            </w:r>
          </w:p>
        </w:tc>
        <w:tc>
          <w:tcPr>
            <w:tcW w:w="120" w:type="dxa"/>
            <w:vAlign w:val="bottom"/>
          </w:tcPr>
          <w:p>
            <w:pPr>
              <w:spacing w:after="0"/>
              <w:rPr>
                <w:sz w:val="13"/>
                <w:szCs w:val="13"/>
                <w:color w:val="auto"/>
              </w:rPr>
            </w:pPr>
          </w:p>
        </w:tc>
      </w:tr>
      <w:tr>
        <w:trPr>
          <w:trHeight w:val="153"/>
        </w:trPr>
        <w:tc>
          <w:tcPr>
            <w:tcW w:w="58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CLEC</w:t>
            </w: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0.0%</w:t>
            </w:r>
          </w:p>
        </w:tc>
        <w:tc>
          <w:tcPr>
            <w:tcW w:w="26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966</w:t>
            </w:r>
          </w:p>
        </w:tc>
        <w:tc>
          <w:tcPr>
            <w:tcW w:w="26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0.1%</w:t>
            </w:r>
          </w:p>
        </w:tc>
        <w:tc>
          <w:tcPr>
            <w:tcW w:w="120" w:type="dxa"/>
            <w:vAlign w:val="bottom"/>
            <w:shd w:val="clear" w:color="auto" w:fill="CFF0FC"/>
          </w:tcPr>
          <w:p>
            <w:pPr>
              <w:spacing w:after="0"/>
              <w:rPr>
                <w:sz w:val="13"/>
                <w:szCs w:val="13"/>
                <w:color w:val="auto"/>
              </w:rPr>
            </w:pPr>
          </w:p>
        </w:tc>
      </w:tr>
      <w:tr>
        <w:trPr>
          <w:trHeight w:val="149"/>
        </w:trPr>
        <w:tc>
          <w:tcPr>
            <w:tcW w:w="5880" w:type="dxa"/>
            <w:vAlign w:val="bottom"/>
            <w:gridSpan w:val="2"/>
          </w:tcPr>
          <w:p>
            <w:pPr>
              <w:ind w:left="240"/>
              <w:spacing w:after="0"/>
              <w:rPr>
                <w:sz w:val="20"/>
                <w:szCs w:val="20"/>
                <w:color w:val="auto"/>
              </w:rPr>
            </w:pPr>
            <w:r>
              <w:rPr>
                <w:rFonts w:ascii="Arial" w:cs="Arial" w:eastAsia="Arial" w:hAnsi="Arial"/>
                <w:sz w:val="12"/>
                <w:szCs w:val="12"/>
                <w:color w:val="auto"/>
              </w:rPr>
              <w:t>Total operating expenses</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146,869</w:t>
            </w:r>
          </w:p>
        </w:tc>
        <w:tc>
          <w:tcPr>
            <w:tcW w:w="28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13.3%</w:t>
            </w: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159,337</w:t>
            </w:r>
          </w:p>
        </w:tc>
        <w:tc>
          <w:tcPr>
            <w:tcW w:w="26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14.9%</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i w:val="1"/>
          <w:iCs w:val="1"/>
          <w:color w:val="auto"/>
        </w:rPr>
        <w:t xml:space="preserve"> </w:t>
      </w:r>
      <w:r>
        <w:rPr>
          <w:rFonts w:ascii="Arial" w:cs="Arial" w:eastAsia="Arial" w:hAnsi="Arial"/>
          <w:sz w:val="12"/>
          <w:szCs w:val="12"/>
          <w:color w:val="auto"/>
        </w:rPr>
        <w:t>– Leasing operating expense was $16.6 million and $4.4 million for the years ended December 31, 2021 and 2020, respectively. The increase is primarily driven by a $10.2 million increase in network expenses due to the Asset</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 Agreement the Company entered into with Windstream which was completed in the third quarter of 2020.</w:t>
      </w:r>
    </w:p>
    <w:p>
      <w:pPr>
        <w:spacing w:after="0" w:line="115"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2021, Fiber Infrastructure operating expenses totaled $130.3 million as compared to $150.2 million for the year ended December 31, 2020. The $19.9 million decrease in</w:t>
      </w:r>
      <w:r>
        <w:rPr>
          <w:rFonts w:ascii="Arial" w:cs="Arial" w:eastAsia="Arial" w:hAnsi="Arial"/>
          <w:sz w:val="12"/>
          <w:szCs w:val="12"/>
          <w:i w:val="1"/>
          <w:iCs w:val="1"/>
          <w:color w:val="auto"/>
        </w:rPr>
        <w:t xml:space="preserve"> </w:t>
      </w:r>
      <w:r>
        <w:rPr>
          <w:rFonts w:ascii="Arial" w:cs="Arial" w:eastAsia="Arial" w:hAnsi="Arial"/>
          <w:sz w:val="12"/>
          <w:szCs w:val="12"/>
          <w:color w:val="auto"/>
        </w:rPr>
        <w:t>operating expenses is primarily attributable to a $13.3 million decrease related to the wind down of our construction activities and a $5.9 million decrease related to the Uniti Fiber Northeast operations sold on May 28, 2021. Other decrease of $0.7 million in operating expenses were driven by reduced network restoration and off-net expenses.</w:t>
      </w:r>
    </w:p>
    <w:p>
      <w:pPr>
        <w:spacing w:after="0" w:line="12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2021, Towers operating expenses were not incurred as the U.S. tower business sale was completed on June 1, 2020. Towers operating expense was $3.7 million for the year ended December</w:t>
      </w:r>
      <w:r>
        <w:rPr>
          <w:rFonts w:ascii="Arial" w:cs="Arial" w:eastAsia="Arial" w:hAnsi="Arial"/>
          <w:sz w:val="12"/>
          <w:szCs w:val="12"/>
          <w:i w:val="1"/>
          <w:iCs w:val="1"/>
          <w:color w:val="auto"/>
        </w:rPr>
        <w:t xml:space="preserve"> </w:t>
      </w:r>
      <w:r>
        <w:rPr>
          <w:rFonts w:ascii="Arial" w:cs="Arial" w:eastAsia="Arial" w:hAnsi="Arial"/>
          <w:sz w:val="12"/>
          <w:szCs w:val="12"/>
          <w:color w:val="auto"/>
        </w:rPr>
        <w:t>31, 2020.</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i w:val="1"/>
          <w:iCs w:val="1"/>
          <w:u w:val="single" w:color="auto"/>
          <w:color w:val="auto"/>
        </w:rPr>
        <w:t>Consumer CLEC</w:t>
      </w:r>
      <w:r>
        <w:rPr>
          <w:rFonts w:ascii="Arial" w:cs="Arial" w:eastAsia="Arial" w:hAnsi="Arial"/>
          <w:sz w:val="10"/>
          <w:szCs w:val="10"/>
          <w:i w:val="1"/>
          <w:iCs w:val="1"/>
          <w:color w:val="auto"/>
        </w:rPr>
        <w:t xml:space="preserve"> </w:t>
      </w:r>
      <w:r>
        <w:rPr>
          <w:rFonts w:ascii="Arial" w:cs="Arial" w:eastAsia="Arial" w:hAnsi="Arial"/>
          <w:sz w:val="10"/>
          <w:szCs w:val="10"/>
          <w:color w:val="auto"/>
        </w:rPr>
        <w:t>– For the year ended December 31, 2021, Consumer CLEC Business operating expenses were not incurred, as we substantially completed the wind down of the business as of the end of the second quarter of 2020.</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CLEC operating expense was $0.9 million for the year ended December 31, 2020.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9" w:name="page40"/>
    <w:bookmarkEnd w:id="39"/>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Settlement Expense</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As described in Note 16 to our consolidated financial statements contained in Part II, Item 8 “Financial Statements and Supplementary Data,” on July 25, 2019, in connection with Windstream’s bankruptcy, Windstream Holdings and Windstream Services filed a complaint with the U.S. Bankruptcy Court for the Southern District of New York in an adversary proceeding against Uniti and certain of its affiliates. On March 2, 2020, Uniti and Windstream jointly announced that they agreed to the Settlement, as defined in Note 16 to our consolidated financial statements in Part II, Item 8 “Financial Statements and Supplementary Data,”)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As a result, during the second quarter of 2020, we estimated that $650.0 million of the consideration paid to Windstream should be classified as settlement of litigation, and therefore, recorded a $650.0 million charge. The charge represented our estimated fair value of the litigation settlement component of the Settlement.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Impairment</w:t>
      </w:r>
    </w:p>
    <w:p>
      <w:pPr>
        <w:spacing w:after="0" w:line="150"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We performed our annual goodwill impairment analysis during the fourth quarter of 2021. We concluded that the fair value of the Fiber Infrastructure reporting unit, estimated using a combination of the income approach and market approach, approximates its carrying amount. Accordingly, we recorded no goodwill impairment in the Fiber Infrastructure reporting unit for the year ended December 31, 2021.</w:t>
      </w:r>
    </w:p>
    <w:p>
      <w:pPr>
        <w:spacing w:after="0" w:line="115"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We performed our annual goodwill impairment analysis during the fourth quarter of 2020. As a result of increased capital expenditure investments in dark fiber and small cell projects and less than anticipated cash flow growth, we concluded that the fair value of the Fiber Infrastructure reporting unit, estimated using a combination of the income approach and market approach, was less that its carrying amount. Accordingly, we recorded a $71.0 million goodwill impairment in the Fiber Infrastructure reporting unit during the year ended December 31, 2020.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Transaction Related and Other Costs</w:t>
      </w:r>
    </w:p>
    <w:p>
      <w:pPr>
        <w:spacing w:after="0" w:line="150"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enterprise resource planning system. For the year ended December 31, 2021, we incurred $7.5 million of transaction related and other costs, compared to $63.9 million of such costs during the year ended December 31, 2020. The decrease is primarily related to incurring $1.3 million of total costs related to the Windstream bankruptcy for the year ended December 31, 2021, as compared to $43.4 million for year ended December 31, 2020, and we incurred $5.2 million in costs related to the sale of our U.S. towers business during the year ended December 31, 2020.</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on Sale of Real Estate</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For the year ended December 31, 2020, we recognized gains of $63.4 million and $23.0 million related to the sale of Uniti Towers’ U.S tower portfolio and the Company’s Midwest fiber network assets,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on Sale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2021, we recognized a gain of $28.1 million related to the May 28, 2021 completion of the Everstream OpCo-PropCo Transaction. See Note 6.</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Expense (Income), net</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We recognized $18.6 million of other expense for the year ended December 31, 2021, which included $17.6 million of expenses related to the issuance of the 2028 Secured Notes and 2030 Notes. Other expense for the year ended December 31, 2020, totaled $11.7 million, which included a $7.2 million unrealized loss for mark-to-market adjustments on our contingent consideration arrangements.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38"/>
        </w:trPr>
        <w:tc>
          <w:tcPr>
            <w:tcW w:w="770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770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Income Tax (Benefit) Expense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7700" w:type="dxa"/>
            <w:vAlign w:val="bottom"/>
            <w:gridSpan w:val="3"/>
          </w:tcPr>
          <w:p>
            <w:pPr>
              <w:spacing w:after="0"/>
              <w:rPr>
                <w:sz w:val="20"/>
                <w:szCs w:val="20"/>
                <w:color w:val="auto"/>
              </w:rPr>
            </w:pPr>
            <w:r>
              <w:rPr>
                <w:rFonts w:ascii="Arial" w:cs="Arial" w:eastAsia="Arial" w:hAnsi="Arial"/>
                <w:sz w:val="12"/>
                <w:szCs w:val="12"/>
                <w:color w:val="auto"/>
                <w:w w:val="90"/>
              </w:rPr>
              <w:t>The recorded income tax (benefit) expense recorded for the years ended December 31, 2021 and 2020, respectively, is related to the tax impact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2"/>
                <w:szCs w:val="12"/>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1"/>
        </w:trPr>
        <w:tc>
          <w:tcPr>
            <w:tcW w:w="7700" w:type="dxa"/>
            <w:vAlign w:val="bottom"/>
            <w:gridSpan w:val="3"/>
          </w:tcPr>
          <w:p>
            <w:pPr>
              <w:spacing w:after="0"/>
              <w:rPr>
                <w:sz w:val="20"/>
                <w:szCs w:val="20"/>
                <w:color w:val="auto"/>
              </w:rPr>
            </w:pPr>
            <w:r>
              <w:rPr>
                <w:rFonts w:ascii="Arial" w:cs="Arial" w:eastAsia="Arial" w:hAnsi="Arial"/>
                <w:sz w:val="12"/>
                <w:szCs w:val="12"/>
                <w:color w:val="auto"/>
              </w:rPr>
              <w:t>(Thousands)</w:t>
            </w:r>
          </w:p>
        </w:tc>
        <w:tc>
          <w:tcPr>
            <w:tcW w:w="340" w:type="dxa"/>
            <w:vAlign w:val="bottom"/>
          </w:tcPr>
          <w:p>
            <w:pPr>
              <w:spacing w:after="0"/>
              <w:rPr>
                <w:sz w:val="13"/>
                <w:szCs w:val="13"/>
                <w:color w:val="auto"/>
              </w:rPr>
            </w:pPr>
          </w:p>
        </w:tc>
        <w:tc>
          <w:tcPr>
            <w:tcW w:w="1100" w:type="dxa"/>
            <w:vAlign w:val="bottom"/>
          </w:tcPr>
          <w:p>
            <w:pPr>
              <w:jc w:val="right"/>
              <w:ind w:right="540"/>
              <w:spacing w:after="0"/>
              <w:rPr>
                <w:sz w:val="20"/>
                <w:szCs w:val="20"/>
                <w:color w:val="auto"/>
              </w:rPr>
            </w:pPr>
            <w:r>
              <w:rPr>
                <w:rFonts w:ascii="Arial" w:cs="Arial" w:eastAsia="Arial" w:hAnsi="Arial"/>
                <w:sz w:val="12"/>
                <w:szCs w:val="12"/>
                <w:b w:val="1"/>
                <w:bCs w:val="1"/>
                <w:color w:val="auto"/>
              </w:rPr>
              <w:t>2021</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ind w:right="680"/>
              <w:spacing w:after="0"/>
              <w:rPr>
                <w:sz w:val="20"/>
                <w:szCs w:val="20"/>
                <w:color w:val="auto"/>
              </w:rPr>
            </w:pPr>
            <w:r>
              <w:rPr>
                <w:rFonts w:ascii="Arial" w:cs="Arial" w:eastAsia="Arial" w:hAnsi="Arial"/>
                <w:sz w:val="12"/>
                <w:szCs w:val="12"/>
                <w:b w:val="1"/>
                <w:bCs w:val="1"/>
                <w:color w:val="auto"/>
                <w:w w:val="97"/>
              </w:rPr>
              <w:t>2020</w:t>
            </w:r>
          </w:p>
        </w:tc>
        <w:tc>
          <w:tcPr>
            <w:tcW w:w="120" w:type="dxa"/>
            <w:vAlign w:val="bottom"/>
          </w:tcPr>
          <w:p>
            <w:pPr>
              <w:spacing w:after="0"/>
              <w:rPr>
                <w:sz w:val="13"/>
                <w:szCs w:val="13"/>
                <w:color w:val="auto"/>
              </w:rPr>
            </w:pPr>
          </w:p>
        </w:tc>
      </w:tr>
      <w:tr>
        <w:trPr>
          <w:trHeight w:val="142"/>
        </w:trPr>
        <w:tc>
          <w:tcPr>
            <w:tcW w:w="74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Income tax benefit</w:t>
            </w:r>
          </w:p>
        </w:tc>
        <w:tc>
          <w:tcPr>
            <w:tcW w:w="2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7700" w:type="dxa"/>
            <w:vAlign w:val="bottom"/>
            <w:gridSpan w:val="3"/>
          </w:tcPr>
          <w:p>
            <w:pPr>
              <w:ind w:left="160"/>
              <w:spacing w:after="0"/>
              <w:rPr>
                <w:sz w:val="20"/>
                <w:szCs w:val="20"/>
                <w:color w:val="auto"/>
              </w:rPr>
            </w:pPr>
            <w:r>
              <w:rPr>
                <w:rFonts w:ascii="Arial" w:cs="Arial" w:eastAsia="Arial" w:hAnsi="Arial"/>
                <w:sz w:val="12"/>
                <w:szCs w:val="12"/>
                <w:color w:val="auto"/>
              </w:rPr>
              <w:t>Pre-tax loss (Fiber Infrastructure)</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2"/>
                <w:szCs w:val="12"/>
                <w:color w:val="auto"/>
              </w:rPr>
              <w:t>(6,657)</w:t>
            </w:r>
          </w:p>
        </w:tc>
        <w:tc>
          <w:tcPr>
            <w:tcW w:w="700" w:type="dxa"/>
            <w:vAlign w:val="bottom"/>
          </w:tcPr>
          <w:p>
            <w:pPr>
              <w:jc w:val="right"/>
              <w:ind w:right="5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(12,758)</w:t>
            </w:r>
          </w:p>
        </w:tc>
      </w:tr>
      <w:tr>
        <w:trPr>
          <w:trHeight w:val="153"/>
        </w:trPr>
        <w:tc>
          <w:tcPr>
            <w:tcW w:w="77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Return to accrual adjustments</w:t>
            </w: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(2,839)</w:t>
            </w:r>
          </w:p>
        </w:tc>
      </w:tr>
      <w:tr>
        <w:trPr>
          <w:trHeight w:val="153"/>
        </w:trPr>
        <w:tc>
          <w:tcPr>
            <w:tcW w:w="7700" w:type="dxa"/>
            <w:vAlign w:val="bottom"/>
            <w:tcBorders>
              <w:bottom w:val="single" w:sz="8" w:color="CFF0FC"/>
            </w:tcBorders>
            <w:gridSpan w:val="3"/>
          </w:tcPr>
          <w:p>
            <w:pPr>
              <w:ind w:left="160"/>
              <w:spacing w:after="0"/>
              <w:rPr>
                <w:sz w:val="20"/>
                <w:szCs w:val="20"/>
                <w:color w:val="auto"/>
              </w:rPr>
            </w:pPr>
            <w:r>
              <w:rPr>
                <w:rFonts w:ascii="Arial" w:cs="Arial" w:eastAsia="Arial" w:hAnsi="Arial"/>
                <w:sz w:val="12"/>
                <w:szCs w:val="12"/>
                <w:color w:val="auto"/>
              </w:rPr>
              <w:t>Other</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1,741</w:t>
            </w:r>
          </w:p>
        </w:tc>
        <w:tc>
          <w:tcPr>
            <w:tcW w:w="3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394</w:t>
            </w:r>
          </w:p>
        </w:tc>
        <w:tc>
          <w:tcPr>
            <w:tcW w:w="120" w:type="dxa"/>
            <w:vAlign w:val="bottom"/>
            <w:tcBorders>
              <w:bottom w:val="single" w:sz="8" w:color="CFF0FC"/>
            </w:tcBorders>
          </w:tcPr>
          <w:p>
            <w:pPr>
              <w:spacing w:after="0"/>
              <w:rPr>
                <w:sz w:val="13"/>
                <w:szCs w:val="13"/>
                <w:color w:val="auto"/>
              </w:rPr>
            </w:pPr>
          </w:p>
        </w:tc>
      </w:tr>
      <w:tr>
        <w:trPr>
          <w:trHeight w:val="162"/>
        </w:trPr>
        <w:tc>
          <w:tcPr>
            <w:tcW w:w="77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Total income tax benefit</w:t>
            </w: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(4,916)</w:t>
            </w:r>
          </w:p>
        </w:tc>
        <w:tc>
          <w:tcPr>
            <w:tcW w:w="700" w:type="dxa"/>
            <w:vAlign w:val="bottom"/>
            <w:shd w:val="clear" w:color="auto" w:fill="CFF0FC"/>
          </w:tcPr>
          <w:p>
            <w:pPr>
              <w:jc w:val="right"/>
              <w:ind w:right="5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(15,203)</w:t>
            </w:r>
          </w:p>
        </w:tc>
      </w:tr>
      <w:tr>
        <w:trPr>
          <w:trHeight w:val="275"/>
        </w:trPr>
        <w:tc>
          <w:tcPr>
            <w:tcW w:w="7480" w:type="dxa"/>
            <w:vAlign w:val="bottom"/>
            <w:tcBorders>
              <w:top w:val="single" w:sz="8" w:color="CFF0FC"/>
            </w:tcBorders>
            <w:gridSpan w:val="2"/>
          </w:tcPr>
          <w:p>
            <w:pPr>
              <w:ind w:left="5580"/>
              <w:spacing w:after="0"/>
              <w:rPr>
                <w:sz w:val="20"/>
                <w:szCs w:val="20"/>
                <w:color w:val="auto"/>
              </w:rPr>
            </w:pPr>
            <w:r>
              <w:rPr>
                <w:rFonts w:ascii="Arial" w:cs="Arial" w:eastAsia="Arial" w:hAnsi="Arial"/>
                <w:sz w:val="12"/>
                <w:szCs w:val="12"/>
                <w:color w:val="auto"/>
              </w:rPr>
              <w:t>41</w:t>
            </w:r>
          </w:p>
        </w:tc>
        <w:tc>
          <w:tcPr>
            <w:tcW w:w="220" w:type="dxa"/>
            <w:vAlign w:val="bottom"/>
            <w:tcBorders>
              <w:top w:val="single" w:sz="8" w:color="CFF0FC"/>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320" w:type="dxa"/>
            <w:vAlign w:val="bottom"/>
            <w:tcBorders>
              <w:top w:val="single" w:sz="8" w:color="CFF0FC"/>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66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54"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05"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2" w:name="page43"/>
    <w:bookmarkEnd w:id="4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40"/>
        <w:spacing w:after="0" w:line="277" w:lineRule="auto"/>
        <w:rPr>
          <w:sz w:val="20"/>
          <w:szCs w:val="20"/>
          <w:color w:val="auto"/>
        </w:rPr>
      </w:pPr>
      <w:r>
        <w:rPr>
          <w:rFonts w:ascii="Arial" w:cs="Arial" w:eastAsia="Arial" w:hAnsi="Arial"/>
          <w:sz w:val="11"/>
          <w:szCs w:val="11"/>
          <w:color w:val="auto"/>
        </w:rPr>
        <w:t>The Company defines AFFO, as FFO excluding (i) Transaction Related and Other Costs; (ii) costs related to the litigation settlement with Windstream, accretion on our settlement obligation, and gains on the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20"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 reconciliation of our net income (loss) to EBITDA and Adjusted EBITDA and of our net income attributable to common shareholders to FFO and AFFO for the years ended December 31, 2021 and 2020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vMerge w:val="restart"/>
          </w:tcPr>
          <w:p>
            <w:pPr>
              <w:spacing w:after="0"/>
              <w:rPr>
                <w:sz w:val="20"/>
                <w:szCs w:val="20"/>
                <w:color w:val="auto"/>
              </w:rPr>
            </w:pPr>
            <w:r>
              <w:rPr>
                <w:rFonts w:ascii="Arial" w:cs="Arial" w:eastAsia="Arial" w:hAnsi="Arial"/>
                <w:sz w:val="10"/>
                <w:szCs w:val="10"/>
                <w:color w:val="auto"/>
              </w:rPr>
              <w:t>(Thousands)</w:t>
            </w:r>
          </w:p>
        </w:tc>
        <w:tc>
          <w:tcPr>
            <w:tcW w:w="24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b w:val="1"/>
                <w:bCs w:val="1"/>
                <w:color w:val="auto"/>
              </w:rPr>
              <w:t>Year Ended December 31,</w:t>
            </w:r>
          </w:p>
        </w:tc>
        <w:tc>
          <w:tcPr>
            <w:tcW w:w="1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360" w:type="dxa"/>
            <w:vAlign w:val="bottom"/>
            <w:tcBorders>
              <w:bottom w:val="single" w:sz="8" w:color="CFF0FC"/>
            </w:tcBorders>
            <w:vMerge w:val="continue"/>
          </w:tcPr>
          <w:p>
            <w:pPr>
              <w:spacing w:after="0"/>
              <w:rPr>
                <w:sz w:val="8"/>
                <w:szCs w:val="8"/>
                <w:color w:val="auto"/>
              </w:rPr>
            </w:pPr>
          </w:p>
        </w:tc>
        <w:tc>
          <w:tcPr>
            <w:tcW w:w="2420" w:type="dxa"/>
            <w:vAlign w:val="bottom"/>
            <w:tcBorders>
              <w:bottom w:val="single" w:sz="8" w:color="CFF0FC"/>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jc w:val="right"/>
              <w:ind w:right="882"/>
              <w:spacing w:after="0" w:line="97" w:lineRule="exact"/>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ind w:right="881"/>
              <w:spacing w:after="0" w:line="97"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3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income (loss)</w:t>
            </w:r>
          </w:p>
        </w:tc>
        <w:tc>
          <w:tcPr>
            <w:tcW w:w="29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124,745</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(718,812)</w:t>
            </w:r>
          </w:p>
        </w:tc>
        <w:tc>
          <w:tcPr>
            <w:tcW w:w="0" w:type="dxa"/>
            <w:vAlign w:val="bottom"/>
          </w:tcPr>
          <w:p>
            <w:pPr>
              <w:spacing w:after="0"/>
              <w:rPr>
                <w:sz w:val="1"/>
                <w:szCs w:val="1"/>
                <w:color w:val="auto"/>
              </w:rPr>
            </w:pPr>
          </w:p>
        </w:tc>
      </w:tr>
      <w:tr>
        <w:trPr>
          <w:trHeight w:val="153"/>
        </w:trPr>
        <w:tc>
          <w:tcPr>
            <w:tcW w:w="436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290,942</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329,403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Interest expense, net</w:t>
            </w:r>
          </w:p>
        </w:tc>
        <w:tc>
          <w:tcPr>
            <w:tcW w:w="24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446,296</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497,128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tcPr>
          <w:p>
            <w:pPr>
              <w:ind w:left="80"/>
              <w:spacing w:after="0"/>
              <w:rPr>
                <w:sz w:val="20"/>
                <w:szCs w:val="20"/>
                <w:color w:val="auto"/>
              </w:rPr>
            </w:pPr>
            <w:r>
              <w:rPr>
                <w:rFonts w:ascii="Arial" w:cs="Arial" w:eastAsia="Arial" w:hAnsi="Arial"/>
                <w:sz w:val="12"/>
                <w:szCs w:val="12"/>
                <w:color w:val="auto"/>
              </w:rPr>
              <w:t>Income tax benefit</w:t>
            </w:r>
          </w:p>
        </w:tc>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2"/>
                <w:szCs w:val="12"/>
                <w:color w:val="auto"/>
              </w:rPr>
              <w:t>(4,916)</w:t>
            </w:r>
          </w:p>
        </w:tc>
        <w:tc>
          <w:tcPr>
            <w:tcW w:w="66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(15,203)</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2"/>
                <w:szCs w:val="12"/>
                <w:b w:val="1"/>
                <w:bCs w:val="1"/>
                <w:color w:val="auto"/>
              </w:rPr>
              <w:t>EBITDA</w:t>
            </w:r>
          </w:p>
        </w:tc>
        <w:tc>
          <w:tcPr>
            <w:tcW w:w="24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60" w:type="dxa"/>
            <w:vAlign w:val="bottom"/>
            <w:vMerge w:val="continue"/>
            <w:shd w:val="clear" w:color="auto" w:fill="CFF0FC"/>
          </w:tcPr>
          <w:p>
            <w:pPr>
              <w:spacing w:after="0"/>
              <w:rPr>
                <w:sz w:val="12"/>
                <w:szCs w:val="12"/>
                <w:color w:val="auto"/>
              </w:rPr>
            </w:pPr>
          </w:p>
        </w:tc>
        <w:tc>
          <w:tcPr>
            <w:tcW w:w="29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857,067</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6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13,847</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13,721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24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7,544</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tcPr>
          <w:p>
            <w:pPr>
              <w:ind w:left="80"/>
              <w:spacing w:after="0"/>
              <w:rPr>
                <w:sz w:val="20"/>
                <w:szCs w:val="20"/>
                <w:color w:val="auto"/>
              </w:rPr>
            </w:pPr>
            <w:r>
              <w:rPr>
                <w:rFonts w:ascii="Arial" w:cs="Arial" w:eastAsia="Arial" w:hAnsi="Arial"/>
                <w:sz w:val="12"/>
                <w:szCs w:val="12"/>
                <w:color w:val="auto"/>
              </w:rPr>
              <w:t>Settlement expense</w:t>
            </w:r>
          </w:p>
        </w:tc>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650,000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FF0FC"/>
          </w:tcPr>
          <w:p>
            <w:pPr>
              <w:ind w:left="80"/>
              <w:spacing w:after="0"/>
              <w:rPr>
                <w:sz w:val="20"/>
                <w:szCs w:val="20"/>
                <w:color w:val="auto"/>
              </w:rPr>
            </w:pPr>
            <w:r>
              <w:rPr>
                <w:rFonts w:ascii="Arial" w:cs="Arial" w:eastAsia="Arial" w:hAnsi="Arial"/>
                <w:sz w:val="12"/>
                <w:szCs w:val="12"/>
                <w:color w:val="auto"/>
              </w:rPr>
              <w:t>Goodwill impairment</w:t>
            </w:r>
          </w:p>
        </w:tc>
        <w:tc>
          <w:tcPr>
            <w:tcW w:w="24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tcPr>
          <w:p>
            <w:pPr>
              <w:ind w:left="80"/>
              <w:spacing w:after="0"/>
              <w:rPr>
                <w:sz w:val="20"/>
                <w:szCs w:val="20"/>
                <w:color w:val="auto"/>
              </w:rPr>
            </w:pPr>
            <w:r>
              <w:rPr>
                <w:rFonts w:ascii="Arial" w:cs="Arial" w:eastAsia="Arial" w:hAnsi="Arial"/>
                <w:sz w:val="12"/>
                <w:szCs w:val="12"/>
                <w:color w:val="auto"/>
              </w:rPr>
              <w:t>Gain on sale of operations</w:t>
            </w:r>
          </w:p>
        </w:tc>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2"/>
                <w:szCs w:val="12"/>
                <w:color w:val="auto"/>
              </w:rPr>
              <w:t>(28,143)</w:t>
            </w: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ind w:left="80"/>
              <w:spacing w:after="0"/>
              <w:rPr>
                <w:sz w:val="20"/>
                <w:szCs w:val="20"/>
                <w:color w:val="auto"/>
              </w:rPr>
            </w:pPr>
            <w:r>
              <w:rPr>
                <w:rFonts w:ascii="Arial" w:cs="Arial" w:eastAsia="Arial" w:hAnsi="Arial"/>
                <w:sz w:val="12"/>
                <w:szCs w:val="12"/>
                <w:color w:val="auto"/>
              </w:rPr>
              <w:t>Gain on sale of real estate</w:t>
            </w:r>
          </w:p>
        </w:tc>
        <w:tc>
          <w:tcPr>
            <w:tcW w:w="24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(442)</w:t>
            </w:r>
          </w:p>
        </w:tc>
        <w:tc>
          <w:tcPr>
            <w:tcW w:w="6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(86,267)</w:t>
            </w:r>
          </w:p>
        </w:tc>
        <w:tc>
          <w:tcPr>
            <w:tcW w:w="0" w:type="dxa"/>
            <w:vAlign w:val="bottom"/>
          </w:tcPr>
          <w:p>
            <w:pPr>
              <w:spacing w:after="0"/>
              <w:rPr>
                <w:sz w:val="1"/>
                <w:szCs w:val="1"/>
                <w:color w:val="auto"/>
              </w:rPr>
            </w:pPr>
          </w:p>
        </w:tc>
      </w:tr>
      <w:tr>
        <w:trPr>
          <w:trHeight w:val="153"/>
        </w:trPr>
        <w:tc>
          <w:tcPr>
            <w:tcW w:w="4360" w:type="dxa"/>
            <w:vAlign w:val="bottom"/>
          </w:tcPr>
          <w:p>
            <w:pPr>
              <w:ind w:left="80"/>
              <w:spacing w:after="0"/>
              <w:rPr>
                <w:sz w:val="20"/>
                <w:szCs w:val="20"/>
                <w:color w:val="auto"/>
              </w:rPr>
            </w:pPr>
            <w:r>
              <w:rPr>
                <w:rFonts w:ascii="Arial" w:cs="Arial" w:eastAsia="Arial" w:hAnsi="Arial"/>
                <w:sz w:val="12"/>
                <w:szCs w:val="12"/>
                <w:color w:val="auto"/>
              </w:rPr>
              <w:t>Other, net</w:t>
            </w:r>
          </w:p>
        </w:tc>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24,917</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11,703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Adjustments for equity in earnings from unconsolidated entities</w:t>
            </w:r>
          </w:p>
        </w:tc>
        <w:tc>
          <w:tcPr>
            <w:tcW w:w="242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3,491</w:t>
            </w:r>
          </w:p>
        </w:tc>
        <w:tc>
          <w:tcPr>
            <w:tcW w:w="28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2,287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292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878,281</w:t>
            </w:r>
          </w:p>
        </w:tc>
        <w:tc>
          <w:tcPr>
            <w:tcW w:w="280" w:type="dxa"/>
            <w:vAlign w:val="bottom"/>
          </w:tcPr>
          <w:p>
            <w:pPr>
              <w:spacing w:after="0"/>
              <w:rPr>
                <w:sz w:val="12"/>
                <w:szCs w:val="12"/>
                <w:color w:val="auto"/>
              </w:rPr>
            </w:pP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818,835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3"/>
        </w:trPr>
        <w:tc>
          <w:tcPr>
            <w:tcW w:w="4360" w:type="dxa"/>
            <w:vAlign w:val="bottom"/>
          </w:tcPr>
          <w:p>
            <w:pPr>
              <w:spacing w:after="0"/>
              <w:rPr>
                <w:sz w:val="24"/>
                <w:szCs w:val="24"/>
                <w:color w:val="auto"/>
              </w:rPr>
            </w:pPr>
          </w:p>
        </w:tc>
        <w:tc>
          <w:tcPr>
            <w:tcW w:w="2420" w:type="dxa"/>
            <w:vAlign w:val="bottom"/>
          </w:tcPr>
          <w:p>
            <w:pPr>
              <w:jc w:val="right"/>
              <w:ind w:right="1020"/>
              <w:spacing w:after="0"/>
              <w:rPr>
                <w:sz w:val="20"/>
                <w:szCs w:val="20"/>
                <w:color w:val="auto"/>
              </w:rPr>
            </w:pPr>
            <w:r>
              <w:rPr>
                <w:rFonts w:ascii="Arial" w:cs="Arial" w:eastAsia="Arial" w:hAnsi="Arial"/>
                <w:sz w:val="12"/>
                <w:szCs w:val="12"/>
                <w:color w:val="auto"/>
              </w:rPr>
              <w:t>43</w:t>
            </w:r>
          </w:p>
        </w:tc>
        <w:tc>
          <w:tcPr>
            <w:tcW w:w="5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36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3" w:name="page44"/>
    <w:bookmarkEnd w:id="43"/>
    <w:p>
      <w:pPr>
        <w:spacing w:after="0"/>
        <w:rPr>
          <w:sz w:val="20"/>
          <w:szCs w:val="20"/>
          <w:color w:val="auto"/>
        </w:rPr>
      </w:pPr>
      <w:r>
        <w:rPr>
          <w:rFonts w:ascii="Arial" w:cs="Arial" w:eastAsia="Arial" w:hAnsi="Arial"/>
          <w:sz w:val="12"/>
          <w:szCs w:val="12"/>
          <w:u w:val="single" w:color="auto"/>
          <w:color w:val="0000EE"/>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vMerge w:val="restart"/>
          </w:tcPr>
          <w:p>
            <w:pPr>
              <w:spacing w:after="0"/>
              <w:rPr>
                <w:sz w:val="20"/>
                <w:szCs w:val="20"/>
                <w:color w:val="auto"/>
              </w:rPr>
            </w:pPr>
            <w:r>
              <w:rPr>
                <w:rFonts w:ascii="Arial" w:cs="Arial" w:eastAsia="Arial" w:hAnsi="Arial"/>
                <w:sz w:val="10"/>
                <w:szCs w:val="10"/>
                <w:color w:val="auto"/>
              </w:rPr>
              <w:t>(Thousands)</w:t>
            </w:r>
          </w:p>
        </w:tc>
        <w:tc>
          <w:tcPr>
            <w:tcW w:w="5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b w:val="1"/>
                <w:bCs w:val="1"/>
                <w:color w:val="auto"/>
              </w:rPr>
              <w:t>Year Ended December 31,</w:t>
            </w:r>
          </w:p>
        </w:tc>
        <w:tc>
          <w:tcPr>
            <w:tcW w:w="1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780" w:type="dxa"/>
            <w:vAlign w:val="bottom"/>
            <w:tcBorders>
              <w:bottom w:val="single" w:sz="8" w:color="CFF0FC"/>
            </w:tcBorders>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jc w:val="right"/>
              <w:ind w:right="881"/>
              <w:spacing w:after="0" w:line="97" w:lineRule="exact"/>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ind w:right="880"/>
              <w:spacing w:after="0" w:line="97"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122,573</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(707,388)</w:t>
            </w: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Real estate depreciation and amortization</w:t>
            </w: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211,472</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246,713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Gain on sale of real estate, net of tax</w:t>
            </w:r>
          </w:p>
        </w:tc>
        <w:tc>
          <w:tcPr>
            <w:tcW w:w="5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(442)</w:t>
            </w:r>
          </w:p>
        </w:tc>
        <w:tc>
          <w:tcPr>
            <w:tcW w:w="6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(85,860)</w:t>
            </w: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Participating securities' share in earnings</w:t>
            </w: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1,077</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Participating securities' share in FFO</w:t>
            </w:r>
          </w:p>
        </w:tc>
        <w:tc>
          <w:tcPr>
            <w:tcW w:w="5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(2,188)</w:t>
            </w:r>
          </w:p>
        </w:tc>
        <w:tc>
          <w:tcPr>
            <w:tcW w:w="6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(1,162)</w:t>
            </w: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Real estate depreciation and amortization from unconsolidated entities</w:t>
            </w: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2,465</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Adjustments for noncontrolling interests</w:t>
            </w:r>
          </w:p>
        </w:tc>
        <w:tc>
          <w:tcPr>
            <w:tcW w:w="5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(2,154)</w:t>
            </w:r>
          </w:p>
        </w:tc>
        <w:tc>
          <w:tcPr>
            <w:tcW w:w="6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(2,622)</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2"/>
                <w:szCs w:val="12"/>
                <w:b w:val="1"/>
                <w:bCs w:val="1"/>
                <w:color w:val="auto"/>
              </w:rPr>
              <w:t>FFO attributable to common shareholders</w:t>
            </w:r>
          </w:p>
        </w:tc>
        <w:tc>
          <w:tcPr>
            <w:tcW w:w="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332,803</w:t>
            </w:r>
          </w:p>
        </w:tc>
        <w:tc>
          <w:tcPr>
            <w:tcW w:w="280" w:type="dxa"/>
            <w:vAlign w:val="bottom"/>
          </w:tcPr>
          <w:p>
            <w:pPr>
              <w:spacing w:after="0"/>
              <w:rPr>
                <w:sz w:val="12"/>
                <w:szCs w:val="12"/>
                <w:color w:val="auto"/>
              </w:rPr>
            </w:pP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(548,193)</w:t>
            </w: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5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7,544</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Change in fair value of contingent consideration</w:t>
            </w: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21</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7,163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Amortization of deferred financing costs and debt discount</w:t>
            </w:r>
          </w:p>
        </w:tc>
        <w:tc>
          <w:tcPr>
            <w:tcW w:w="5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18,122</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Write off deferred financing costs and debt discount</w:t>
            </w: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24,587</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73,952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Costs related to the early repayment of debt</w:t>
            </w:r>
          </w:p>
        </w:tc>
        <w:tc>
          <w:tcPr>
            <w:tcW w:w="5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49,414</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13,847</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13,721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Gain on sale of operations</w:t>
            </w:r>
          </w:p>
        </w:tc>
        <w:tc>
          <w:tcPr>
            <w:tcW w:w="5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(28,143)</w:t>
            </w:r>
          </w:p>
        </w:tc>
        <w:tc>
          <w:tcPr>
            <w:tcW w:w="6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Non-real estate depreciation and amortization</w:t>
            </w: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79,470</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82,690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Settlement expense</w:t>
            </w:r>
          </w:p>
        </w:tc>
        <w:tc>
          <w:tcPr>
            <w:tcW w:w="5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Goodwill impairment</w:t>
            </w: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71,000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Straight-line revenue</w:t>
            </w:r>
          </w:p>
        </w:tc>
        <w:tc>
          <w:tcPr>
            <w:tcW w:w="5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(41,239)</w:t>
            </w:r>
          </w:p>
        </w:tc>
        <w:tc>
          <w:tcPr>
            <w:tcW w:w="6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(6,872)</w:t>
            </w: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Maintenance capital expenditures</w:t>
            </w:r>
          </w:p>
        </w:tc>
        <w:tc>
          <w:tcPr>
            <w:tcW w:w="500" w:type="dxa"/>
            <w:vAlign w:val="bottom"/>
          </w:tcPr>
          <w:p>
            <w:pPr>
              <w:spacing w:after="0"/>
              <w:rPr>
                <w:sz w:val="13"/>
                <w:szCs w:val="13"/>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2"/>
                <w:szCs w:val="12"/>
                <w:color w:val="auto"/>
              </w:rPr>
              <w:t>(8,342)</w:t>
            </w:r>
          </w:p>
        </w:tc>
        <w:tc>
          <w:tcPr>
            <w:tcW w:w="66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(7,149)</w:t>
            </w: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Other, net</w:t>
            </w:r>
          </w:p>
        </w:tc>
        <w:tc>
          <w:tcPr>
            <w:tcW w:w="5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(17,694)</w:t>
            </w:r>
          </w:p>
        </w:tc>
        <w:tc>
          <w:tcPr>
            <w:tcW w:w="6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(32,374)</w:t>
            </w: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Adjustments for equity earnings from unconsolidated entities</w:t>
            </w: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1,026</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1,238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Adjustments for noncontrolling interests</w:t>
            </w:r>
          </w:p>
        </w:tc>
        <w:tc>
          <w:tcPr>
            <w:tcW w:w="5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(1,090)</w:t>
            </w:r>
          </w:p>
        </w:tc>
        <w:tc>
          <w:tcPr>
            <w:tcW w:w="6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(16,496)</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20"/>
                <w:szCs w:val="20"/>
                <w:color w:val="auto"/>
              </w:rPr>
            </w:pPr>
            <w:r>
              <w:rPr>
                <w:rFonts w:ascii="Arial" w:cs="Arial" w:eastAsia="Arial" w:hAnsi="Arial"/>
                <w:sz w:val="12"/>
                <w:szCs w:val="12"/>
                <w:b w:val="1"/>
                <w:bCs w:val="1"/>
                <w:color w:val="auto"/>
              </w:rPr>
              <w:t>AFFO attributable to common shareholders</w:t>
            </w:r>
          </w:p>
        </w:tc>
        <w:tc>
          <w:tcPr>
            <w:tcW w:w="5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430,326</w:t>
            </w:r>
          </w:p>
        </w:tc>
        <w:tc>
          <w:tcPr>
            <w:tcW w:w="2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389,510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jc w:val="both"/>
        <w:ind w:right="200"/>
        <w:spacing w:after="0" w:line="263" w:lineRule="auto"/>
        <w:rPr>
          <w:sz w:val="20"/>
          <w:szCs w:val="20"/>
          <w:color w:val="auto"/>
        </w:rPr>
      </w:pPr>
      <w:r>
        <w:rPr>
          <w:rFonts w:ascii="Arial" w:cs="Arial" w:eastAsia="Arial" w:hAnsi="Arial"/>
          <w:sz w:val="12"/>
          <w:szCs w:val="12"/>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w:t>
      </w:r>
    </w:p>
    <w:p>
      <w:pPr>
        <w:spacing w:after="0" w:line="122" w:lineRule="exact"/>
        <w:rPr>
          <w:sz w:val="20"/>
          <w:szCs w:val="20"/>
          <w:color w:val="auto"/>
        </w:rPr>
      </w:pPr>
    </w:p>
    <w:p>
      <w:pPr>
        <w:jc w:val="both"/>
        <w:ind w:right="160"/>
        <w:spacing w:after="0" w:line="379" w:lineRule="auto"/>
        <w:rPr>
          <w:sz w:val="20"/>
          <w:szCs w:val="20"/>
          <w:color w:val="auto"/>
        </w:rPr>
      </w:pPr>
      <w:r>
        <w:rPr>
          <w:rFonts w:ascii="Arial" w:cs="Arial" w:eastAsia="Arial" w:hAnsi="Arial"/>
          <w:sz w:val="10"/>
          <w:szCs w:val="10"/>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Income Taxes</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4" w:name="page45"/>
    <w:bookmarkEnd w:id="44"/>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certain Code provisions, we also would be disqualified from reelecting to be taxed as a REIT for the four taxable years following the year in which we failed to qualify as a REIT.</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Subject to the restrictions imposed by our 7.875% senior secured notes due 2025 (as discussed below),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8"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The Company is subject to restrictions on distributions to its shareholders based on our 7.875% senior secured notes due 2025. The restrictions permit the Company to make the minimum required distribution to maintain its status as a REIT, which is limited to 90% of our REIT taxable income, as estimated in good faith as of the date on which the first quarterly dividend for the relevant tax year is declared. The restrictions will remain in place until Company’s net leverage ratio (as defined) is below 5.75 : 1.00.</w:t>
      </w:r>
    </w:p>
    <w:p>
      <w:pPr>
        <w:spacing w:after="0" w:line="12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w:t>
      </w:r>
    </w:p>
    <w:p>
      <w:pPr>
        <w:spacing w:after="0" w:line="115"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The Company may be subject to state corporate level tax in a certain limited number of states on any built-in gain recognized from a sale of assets occurring within a ten-year recognition period after the Spin-Off. The five-year recognition period applicable for federal corporate level tax on any built-in gain recognized from a sale of assets occurring within five years after the Spin-Off expired in 2020</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Revenue Recognition</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Leasing revenues are primarily derived from providing access to or usage of leased networks and facilities. Leasing revenues are recognized on a straight-line basis over the initial lease term. Revenues derived from other telecommunications services, including broadband, long distance and enhanced service revenues are recognized monthly as services are provided. Sales of customer premise equipment are recognized when products are delivered to and accepted by customers.</w:t>
      </w:r>
    </w:p>
    <w:p>
      <w:pPr>
        <w:spacing w:after="0" w:line="122" w:lineRule="exact"/>
        <w:rPr>
          <w:sz w:val="20"/>
          <w:szCs w:val="20"/>
          <w:color w:val="auto"/>
        </w:rPr>
      </w:pPr>
    </w:p>
    <w:p>
      <w:pPr>
        <w:jc w:val="both"/>
        <w:ind w:right="120"/>
        <w:spacing w:after="0" w:line="147" w:lineRule="exact"/>
        <w:rPr>
          <w:sz w:val="20"/>
          <w:szCs w:val="20"/>
          <w:color w:val="auto"/>
        </w:rPr>
      </w:pPr>
      <w:r>
        <w:rPr>
          <w:rFonts w:ascii="Arial" w:cs="Arial" w:eastAsia="Arial" w:hAnsi="Arial"/>
          <w:sz w:val="10"/>
          <w:szCs w:val="10"/>
          <w:color w:val="auto"/>
        </w:rPr>
        <w:t>Service revenues are primarily derived from providing broadband transport and backhaul communications services and are recognized when (i) persuasive evidence of an arrangement exists, (ii) the services have been provided to the customer, (iii) the sales price is fixed or determinable, and (iv) the collection of the sales price is reasonably assured. Services provided to the Company’s customers are pursuant to contractual fee</w:t>
      </w:r>
      <w:r>
        <w:rPr>
          <w:rFonts w:ascii="MS PGothic" w:cs="MS PGothic" w:eastAsia="MS PGothic" w:hAnsi="MS PGothic"/>
          <w:sz w:val="10"/>
          <w:szCs w:val="10"/>
          <w:color w:val="auto"/>
        </w:rPr>
        <w:t>‑</w:t>
      </w:r>
      <w:r>
        <w:rPr>
          <w:rFonts w:ascii="Arial" w:cs="Arial" w:eastAsia="Arial" w:hAnsi="Arial"/>
          <w:sz w:val="10"/>
          <w:szCs w:val="10"/>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5" w:name="page46"/>
    <w:bookmarkEnd w:id="45"/>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Impairment of Property, Plant and Equipment</w:t>
      </w:r>
    </w:p>
    <w:p>
      <w:pPr>
        <w:spacing w:after="0" w:line="150"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 During the years ended December 31, 2021 and 2020, no impairment losses were recognized.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Business Combinations and Asset Acquisitions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 these assumptions or estimates include customer retention, execution of our business plans, which impact growth, cost escalation impacting margin, the level of capital expenditures required to sustain our growth and market factors, including stock price fluctuations and increased rates, impacting our cost of capital.</w:t>
      </w:r>
    </w:p>
    <w:p>
      <w:pPr>
        <w:spacing w:after="0" w:line="128" w:lineRule="exact"/>
        <w:rPr>
          <w:sz w:val="20"/>
          <w:szCs w:val="20"/>
          <w:color w:val="auto"/>
        </w:rPr>
      </w:pPr>
    </w:p>
    <w:p>
      <w:pPr>
        <w:ind w:right="100"/>
        <w:spacing w:after="0" w:line="289" w:lineRule="auto"/>
        <w:rPr>
          <w:sz w:val="20"/>
          <w:szCs w:val="20"/>
          <w:color w:val="auto"/>
        </w:rPr>
      </w:pPr>
      <w:r>
        <w:rPr>
          <w:rFonts w:ascii="Arial" w:cs="Arial" w:eastAsia="Arial" w:hAnsi="Arial"/>
          <w:sz w:val="11"/>
          <w:szCs w:val="11"/>
          <w:color w:val="auto"/>
        </w:rPr>
        <w:t xml:space="preserve">For acquisitions meeting the definition of a business combination, any excess of the purchase price paid by the Company over the amounts recognized for assets acquired and liabilities assumed is recorded as goodwill. Accounting Standards Codification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xml:space="preserve">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For 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 include assumptions with respect to items such as replacement cost, land value, assemblage factor, discount rate, lease-up period, implied rents per strand mile, and useful life. No goodwill is recognized in an asset acquisition.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Goodwill</w:t>
      </w:r>
    </w:p>
    <w:p>
      <w:pPr>
        <w:spacing w:after="0" w:line="150" w:lineRule="exact"/>
        <w:rPr>
          <w:sz w:val="20"/>
          <w:szCs w:val="20"/>
          <w:color w:val="auto"/>
        </w:rPr>
      </w:pPr>
    </w:p>
    <w:p>
      <w:pPr>
        <w:jc w:val="center"/>
        <w:ind w:right="380"/>
        <w:spacing w:after="0"/>
        <w:rPr>
          <w:sz w:val="20"/>
          <w:szCs w:val="20"/>
          <w:color w:val="auto"/>
        </w:rPr>
      </w:pPr>
      <w:r>
        <w:rPr>
          <w:rFonts w:ascii="Arial" w:cs="Arial" w:eastAsia="Arial" w:hAnsi="Arial"/>
          <w:sz w:val="10"/>
          <w:szCs w:val="10"/>
          <w:color w:val="auto"/>
        </w:rPr>
        <w:t>As of December 31, 2021 and 2020, all of our goodwill is included in our Fiber Infrastructure segment. Goodwill is recognized for the excess of purchase price over the fair value of net assets of businesses acquired. Goodwill 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6" w:name="page47"/>
    <w:bookmarkEnd w:id="46"/>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reviewed for impairment at least annually. In accordance with ASC 350-20, Intangibles-Goodwill and Other,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and assignment of goodwill to reporting units. As a result of our 2021 annual goodwill impairment test, we concluded the implied fair value of our Fiber Infrastructure reporting unit approximates its carrying value.</w:t>
      </w:r>
    </w:p>
    <w:p>
      <w:pPr>
        <w:spacing w:after="0" w:line="124" w:lineRule="exact"/>
        <w:rPr>
          <w:sz w:val="20"/>
          <w:szCs w:val="20"/>
          <w:color w:val="auto"/>
        </w:rPr>
      </w:pPr>
    </w:p>
    <w:p>
      <w:pPr>
        <w:ind w:right="240"/>
        <w:spacing w:after="0" w:line="289" w:lineRule="auto"/>
        <w:rPr>
          <w:sz w:val="20"/>
          <w:szCs w:val="20"/>
          <w:color w:val="auto"/>
        </w:rPr>
      </w:pPr>
      <w:r>
        <w:rPr>
          <w:rFonts w:ascii="Arial" w:cs="Arial" w:eastAsia="Arial" w:hAnsi="Arial"/>
          <w:sz w:val="11"/>
          <w:szCs w:val="11"/>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Income (Loss) not to exceed the carrying value of goodwill.</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We performed our goodwill impairment analysis during the fourth quarter of 2021. We concluded that the fair value of the Fiber Infrastructure reporting unit, estimated using a combination of the income approach and market approach, approximates its carrying amount. Accordingly, we recorded no goodwill impairment in the Fiber Infrastructure reporting unit for the year ended December 31, 2021. During the year ended December 31, 2020, we recorded a $71 million goodwill impairment. During the year ended December 31, 2019, no impairment loss was recorded.</w:t>
      </w:r>
    </w:p>
    <w:p>
      <w:pPr>
        <w:spacing w:after="0" w:line="122"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$215.4 million of the $490.1 million due to Windstream under the settlement agreement, including $92.9 million that we pre-paid on October 14, 2021, $78.0 million of which was funded from a portion of the proceeds of the 2030 Notes. Uniti’s reimbursement commitment for Growth Capital Improvements does not require Uniti to reimburse Windstream for maintenance or repair expenditures (except for costs incurred for fiber replacements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7" w:name="page48"/>
    <w:bookmarkEnd w:id="47"/>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are limited to $225 million per year in 2021 through 2024; $175 million per year in 2025 and 2026; and $125 million per year in 2027 through 2029.</w:t>
      </w:r>
    </w:p>
    <w:p>
      <w:pPr>
        <w:spacing w:after="0" w:line="122"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Our primary sources of liquidity and capital resources are cash on hand, cash provided by operating activities (primarily from Windstream), available borrowings under our credit agreement by and among the Operating Partnership, CSL Capital, LLC and Uniti Group Finance 2019 Inc., the guarantors and lenders party thereto and Bank of America, N.A., as administrative agent and collateral agent (the “Credit Agreement”), and proceeds from the issuance of debt and equity securities.</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As of December 31, 2021, we had cash and cash equivalents of $58.9 million and approximately $360.5 million of borrowing availability under our Revolving Credit Facility. Subsequent to December 31, 2021, other than $13.4 million of Growth Capital Improvements, 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debt instruments would impose restrictions on our ability to pay dividends.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2"/>
                <w:szCs w:val="12"/>
                <w:b w:val="1"/>
                <w:bCs w:val="1"/>
                <w:color w:val="auto"/>
              </w:rPr>
              <w:t>Year Ended December 31,</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7700" w:type="dxa"/>
            <w:vAlign w:val="bottom"/>
            <w:gridSpan w:val="2"/>
          </w:tcPr>
          <w:p>
            <w:pPr>
              <w:spacing w:after="0"/>
              <w:rPr>
                <w:sz w:val="20"/>
                <w:szCs w:val="20"/>
                <w:color w:val="auto"/>
              </w:rPr>
            </w:pPr>
            <w:r>
              <w:rPr>
                <w:rFonts w:ascii="Arial" w:cs="Arial" w:eastAsia="Arial" w:hAnsi="Arial"/>
                <w:sz w:val="12"/>
                <w:szCs w:val="12"/>
                <w:color w:val="auto"/>
              </w:rPr>
              <w:t>(Thousands)</w:t>
            </w:r>
          </w:p>
        </w:tc>
        <w:tc>
          <w:tcPr>
            <w:tcW w:w="340" w:type="dxa"/>
            <w:vAlign w:val="bottom"/>
          </w:tcPr>
          <w:p>
            <w:pPr>
              <w:spacing w:after="0"/>
              <w:rPr>
                <w:sz w:val="13"/>
                <w:szCs w:val="13"/>
                <w:color w:val="auto"/>
              </w:rPr>
            </w:pPr>
          </w:p>
        </w:tc>
        <w:tc>
          <w:tcPr>
            <w:tcW w:w="1100" w:type="dxa"/>
            <w:vAlign w:val="bottom"/>
          </w:tcPr>
          <w:p>
            <w:pPr>
              <w:jc w:val="right"/>
              <w:ind w:right="540"/>
              <w:spacing w:after="0"/>
              <w:rPr>
                <w:sz w:val="20"/>
                <w:szCs w:val="20"/>
                <w:color w:val="auto"/>
              </w:rPr>
            </w:pPr>
            <w:r>
              <w:rPr>
                <w:rFonts w:ascii="Arial" w:cs="Arial" w:eastAsia="Arial" w:hAnsi="Arial"/>
                <w:sz w:val="12"/>
                <w:szCs w:val="12"/>
                <w:b w:val="1"/>
                <w:bCs w:val="1"/>
                <w:color w:val="auto"/>
              </w:rPr>
              <w:t>2021</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ind w:right="680"/>
              <w:spacing w:after="0"/>
              <w:rPr>
                <w:sz w:val="20"/>
                <w:szCs w:val="20"/>
                <w:color w:val="auto"/>
              </w:rPr>
            </w:pPr>
            <w:r>
              <w:rPr>
                <w:rFonts w:ascii="Arial" w:cs="Arial" w:eastAsia="Arial" w:hAnsi="Arial"/>
                <w:sz w:val="12"/>
                <w:szCs w:val="12"/>
                <w:b w:val="1"/>
                <w:bCs w:val="1"/>
                <w:color w:val="auto"/>
                <w:w w:val="97"/>
              </w:rPr>
              <w:t>2020</w:t>
            </w:r>
          </w:p>
        </w:tc>
        <w:tc>
          <w:tcPr>
            <w:tcW w:w="120" w:type="dxa"/>
            <w:vAlign w:val="bottom"/>
          </w:tcPr>
          <w:p>
            <w:pPr>
              <w:spacing w:after="0"/>
              <w:rPr>
                <w:sz w:val="13"/>
                <w:szCs w:val="13"/>
                <w:color w:val="auto"/>
              </w:rPr>
            </w:pPr>
          </w:p>
        </w:tc>
      </w:tr>
      <w:tr>
        <w:trPr>
          <w:trHeight w:val="142"/>
        </w:trPr>
        <w:tc>
          <w:tcPr>
            <w:tcW w:w="7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2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7700" w:type="dxa"/>
            <w:vAlign w:val="bottom"/>
            <w:gridSpan w:val="2"/>
          </w:tcPr>
          <w:p>
            <w:pPr>
              <w:ind w:left="160"/>
              <w:spacing w:after="0"/>
              <w:rPr>
                <w:sz w:val="20"/>
                <w:szCs w:val="20"/>
                <w:color w:val="auto"/>
              </w:rPr>
            </w:pPr>
            <w:r>
              <w:rPr>
                <w:rFonts w:ascii="Arial" w:cs="Arial" w:eastAsia="Arial" w:hAnsi="Arial"/>
                <w:sz w:val="12"/>
                <w:szCs w:val="12"/>
                <w:color w:val="auto"/>
              </w:rPr>
              <w:t>Net cash provided by operating activities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499,157</w:t>
            </w:r>
          </w:p>
        </w:tc>
        <w:tc>
          <w:tcPr>
            <w:tcW w:w="320" w:type="dxa"/>
            <w:vAlign w:val="bottom"/>
          </w:tcPr>
          <w:p>
            <w:pPr>
              <w:spacing w:after="0"/>
              <w:rPr>
                <w:sz w:val="13"/>
                <w:szCs w:val="13"/>
                <w:color w:val="auto"/>
              </w:rPr>
            </w:pPr>
          </w:p>
        </w:tc>
        <w:tc>
          <w:tcPr>
            <w:tcW w:w="700" w:type="dxa"/>
            <w:vAlign w:val="bottom"/>
          </w:tcPr>
          <w:p>
            <w:pPr>
              <w:jc w:val="right"/>
              <w:ind w:right="5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157,233</w:t>
            </w:r>
          </w:p>
        </w:tc>
        <w:tc>
          <w:tcPr>
            <w:tcW w:w="120" w:type="dxa"/>
            <w:vAlign w:val="bottom"/>
          </w:tcPr>
          <w:p>
            <w:pPr>
              <w:spacing w:after="0"/>
              <w:rPr>
                <w:sz w:val="13"/>
                <w:szCs w:val="13"/>
                <w:color w:val="auto"/>
              </w:rPr>
            </w:pPr>
          </w:p>
        </w:tc>
      </w:tr>
    </w:tbl>
    <w:p>
      <w:pPr>
        <w:spacing w:after="0" w:line="13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Cash provided by operating activities totaled $499.2 million and $157.2 million for the years ended December 31, 2021 and 2020, respectively. Cash provided by operating activities is primarily attributable to our leasing activities, a substantial portion of which is derived from the Windstream Leases.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2"/>
                <w:szCs w:val="12"/>
                <w:b w:val="1"/>
                <w:bCs w:val="1"/>
                <w:color w:val="auto"/>
              </w:rPr>
              <w:t>Year Ended December 31,</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20" w:type="dxa"/>
            <w:vAlign w:val="bottom"/>
            <w:gridSpan w:val="2"/>
          </w:tcPr>
          <w:p>
            <w:pPr>
              <w:spacing w:after="0"/>
              <w:rPr>
                <w:sz w:val="20"/>
                <w:szCs w:val="20"/>
                <w:color w:val="auto"/>
              </w:rPr>
            </w:pPr>
            <w:r>
              <w:rPr>
                <w:rFonts w:ascii="Arial" w:cs="Arial" w:eastAsia="Arial" w:hAnsi="Arial"/>
                <w:sz w:val="12"/>
                <w:szCs w:val="12"/>
                <w:color w:val="auto"/>
              </w:rPr>
              <w:t>(Thousands)</w:t>
            </w:r>
          </w:p>
        </w:tc>
        <w:tc>
          <w:tcPr>
            <w:tcW w:w="320" w:type="dxa"/>
            <w:vAlign w:val="bottom"/>
          </w:tcPr>
          <w:p>
            <w:pPr>
              <w:spacing w:after="0"/>
              <w:rPr>
                <w:sz w:val="13"/>
                <w:szCs w:val="13"/>
                <w:color w:val="auto"/>
              </w:rPr>
            </w:pPr>
          </w:p>
        </w:tc>
        <w:tc>
          <w:tcPr>
            <w:tcW w:w="1120" w:type="dxa"/>
            <w:vAlign w:val="bottom"/>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ind w:right="680"/>
              <w:spacing w:after="0"/>
              <w:rPr>
                <w:sz w:val="20"/>
                <w:szCs w:val="20"/>
                <w:color w:val="auto"/>
              </w:rPr>
            </w:pPr>
            <w:r>
              <w:rPr>
                <w:rFonts w:ascii="Arial" w:cs="Arial" w:eastAsia="Arial" w:hAnsi="Arial"/>
                <w:sz w:val="12"/>
                <w:szCs w:val="12"/>
                <w:b w:val="1"/>
                <w:bCs w:val="1"/>
                <w:color w:val="auto"/>
                <w:w w:val="97"/>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2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20" w:type="dxa"/>
            <w:vAlign w:val="bottom"/>
            <w:gridSpan w:val="2"/>
          </w:tcPr>
          <w:p>
            <w:pPr>
              <w:ind w:left="160"/>
              <w:spacing w:after="0"/>
              <w:rPr>
                <w:sz w:val="20"/>
                <w:szCs w:val="20"/>
                <w:color w:val="auto"/>
              </w:rPr>
            </w:pPr>
            <w:r>
              <w:rPr>
                <w:rFonts w:ascii="Arial" w:cs="Arial" w:eastAsia="Arial" w:hAnsi="Arial"/>
                <w:sz w:val="12"/>
                <w:szCs w:val="12"/>
                <w:color w:val="auto"/>
              </w:rPr>
              <w:t>Asset acquisitions</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00" w:type="dxa"/>
            <w:vAlign w:val="bottom"/>
          </w:tcPr>
          <w:p>
            <w:pPr>
              <w:jc w:val="right"/>
              <w:ind w:right="5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(73,407)</w:t>
            </w:r>
          </w:p>
        </w:tc>
        <w:tc>
          <w:tcPr>
            <w:tcW w:w="0" w:type="dxa"/>
            <w:vAlign w:val="bottom"/>
          </w:tcPr>
          <w:p>
            <w:pPr>
              <w:spacing w:after="0"/>
              <w:rPr>
                <w:sz w:val="1"/>
                <w:szCs w:val="1"/>
                <w:color w:val="auto"/>
              </w:rPr>
            </w:pPr>
          </w:p>
        </w:tc>
      </w:tr>
      <w:tr>
        <w:trPr>
          <w:trHeight w:val="153"/>
        </w:trPr>
        <w:tc>
          <w:tcPr>
            <w:tcW w:w="7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Proceeds from sale of operations</w:t>
            </w: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62,113</w:t>
            </w:r>
          </w:p>
        </w:tc>
        <w:tc>
          <w:tcPr>
            <w:tcW w:w="3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20" w:type="dxa"/>
            <w:vAlign w:val="bottom"/>
            <w:gridSpan w:val="2"/>
          </w:tcPr>
          <w:p>
            <w:pPr>
              <w:ind w:left="160"/>
              <w:spacing w:after="0"/>
              <w:rPr>
                <w:sz w:val="20"/>
                <w:szCs w:val="20"/>
                <w:color w:val="auto"/>
              </w:rPr>
            </w:pPr>
            <w:r>
              <w:rPr>
                <w:rFonts w:ascii="Arial" w:cs="Arial" w:eastAsia="Arial" w:hAnsi="Arial"/>
                <w:sz w:val="12"/>
                <w:szCs w:val="12"/>
                <w:color w:val="auto"/>
              </w:rPr>
              <w:t>Proceeds from sale of other equipment</w:t>
            </w: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1,487</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Proceeds from sale of real estate, net of cash</w:t>
            </w: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1,034</w:t>
            </w:r>
          </w:p>
        </w:tc>
        <w:tc>
          <w:tcPr>
            <w:tcW w:w="3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391,885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20" w:type="dxa"/>
            <w:vAlign w:val="bottom"/>
            <w:gridSpan w:val="2"/>
          </w:tcPr>
          <w:p>
            <w:pPr>
              <w:ind w:left="160"/>
              <w:spacing w:after="0"/>
              <w:rPr>
                <w:sz w:val="20"/>
                <w:szCs w:val="20"/>
                <w:color w:val="auto"/>
              </w:rPr>
            </w:pPr>
            <w:r>
              <w:rPr>
                <w:rFonts w:ascii="Arial" w:cs="Arial" w:eastAsia="Arial" w:hAnsi="Arial"/>
                <w:sz w:val="12"/>
                <w:szCs w:val="12"/>
                <w:color w:val="auto"/>
              </w:rPr>
              <w:t>Other capital expenditures</w:t>
            </w:r>
          </w:p>
        </w:tc>
        <w:tc>
          <w:tcPr>
            <w:tcW w:w="32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2"/>
                <w:szCs w:val="12"/>
                <w:color w:val="auto"/>
              </w:rPr>
              <w:t>(385,855)</w:t>
            </w:r>
          </w:p>
        </w:tc>
        <w:tc>
          <w:tcPr>
            <w:tcW w:w="7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(317,084)</w:t>
            </w:r>
          </w:p>
        </w:tc>
        <w:tc>
          <w:tcPr>
            <w:tcW w:w="0" w:type="dxa"/>
            <w:vAlign w:val="bottom"/>
          </w:tcPr>
          <w:p>
            <w:pPr>
              <w:spacing w:after="0"/>
              <w:rPr>
                <w:sz w:val="1"/>
                <w:szCs w:val="1"/>
                <w:color w:val="auto"/>
              </w:rPr>
            </w:pPr>
          </w:p>
        </w:tc>
      </w:tr>
      <w:tr>
        <w:trPr>
          <w:trHeight w:val="20"/>
        </w:trPr>
        <w:tc>
          <w:tcPr>
            <w:tcW w:w="7720" w:type="dxa"/>
            <w:vAlign w:val="bottom"/>
            <w:gridSpan w:val="2"/>
            <w:vMerge w:val="restart"/>
            <w:shd w:val="clear" w:color="auto" w:fill="CFF0FC"/>
          </w:tcPr>
          <w:p>
            <w:pPr>
              <w:ind w:left="240"/>
              <w:spacing w:after="0"/>
              <w:rPr>
                <w:sz w:val="20"/>
                <w:szCs w:val="20"/>
                <w:color w:val="auto"/>
              </w:rPr>
            </w:pPr>
            <w:r>
              <w:rPr>
                <w:rFonts w:ascii="Arial" w:cs="Arial" w:eastAsia="Arial" w:hAnsi="Arial"/>
                <w:sz w:val="12"/>
                <w:szCs w:val="12"/>
                <w:color w:val="auto"/>
              </w:rPr>
              <w:t>Net cash (used in) provided by investing activities</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gridSpan w:val="2"/>
            <w:vMerge w:val="continue"/>
            <w:shd w:val="clear" w:color="auto" w:fill="CFF0FC"/>
          </w:tcPr>
          <w:p>
            <w:pPr>
              <w:spacing w:after="0"/>
              <w:rPr>
                <w:sz w:val="12"/>
                <w:szCs w:val="12"/>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(321,221)</w:t>
            </w:r>
          </w:p>
        </w:tc>
        <w:tc>
          <w:tcPr>
            <w:tcW w:w="700" w:type="dxa"/>
            <w:vAlign w:val="bottom"/>
            <w:shd w:val="clear" w:color="auto" w:fill="CFF0FC"/>
          </w:tcPr>
          <w:p>
            <w:pPr>
              <w:jc w:val="right"/>
              <w:ind w:right="5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5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80"/>
        <w:spacing w:after="0" w:line="256" w:lineRule="auto"/>
        <w:rPr>
          <w:sz w:val="20"/>
          <w:szCs w:val="20"/>
          <w:color w:val="auto"/>
        </w:rPr>
      </w:pPr>
      <w:r>
        <w:rPr>
          <w:rFonts w:ascii="Arial" w:cs="Arial" w:eastAsia="Arial" w:hAnsi="Arial"/>
          <w:sz w:val="12"/>
          <w:szCs w:val="12"/>
          <w:color w:val="auto"/>
        </w:rPr>
        <w:t>Cash used in investing activities was $321.2 million for the year ended December 31, 2021 and is driven by capital expenditures, primarily related to our Uniti Fiber and Uniti Leasing businesses for deployment of network assets but also includes $221.5 million of Growth Capital Improvements, partially offset by proceeds from the sale of the Uniti Fiber Northeast operations to Everstream ($62.1 million)</w:t>
      </w:r>
      <w:r>
        <w:rPr>
          <w:rFonts w:ascii="Arial" w:cs="Arial" w:eastAsia="Arial" w:hAnsi="Arial"/>
          <w:sz w:val="12"/>
          <w:szCs w:val="12"/>
          <w:color w:val="212529"/>
        </w:rPr>
        <w:t>.</w:t>
      </w:r>
      <w:r>
        <w:rPr>
          <w:rFonts w:ascii="Arial" w:cs="Arial" w:eastAsia="Arial" w:hAnsi="Arial"/>
          <w:sz w:val="12"/>
          <w:szCs w:val="12"/>
          <w:color w:val="auto"/>
        </w:rPr>
        <w:t xml:space="preserve"> Cash provided by investing activities for the year ended December 31, 2020 was $1.4 million, which was driven by proceeds from the sale of our U.S. tower business ($225.1 million), proceeds from the sale of our Midwest fiber network ($166.9 million), partially offset by capital expenditures ($317.1 million), which are primarily related to our Uniti Fiber and Uniti Leasing businesses for the deployment of network assets but also includes $84.7 million of Growth Capital Improvements, and expenditures of $73.4 million in connection with the Asset Purchase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38"/>
        </w:trPr>
        <w:tc>
          <w:tcPr>
            <w:tcW w:w="770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340" w:type="dxa"/>
            <w:vAlign w:val="bottom"/>
          </w:tcPr>
          <w:p>
            <w:pPr>
              <w:spacing w:after="0"/>
              <w:rPr>
                <w:sz w:val="12"/>
                <w:szCs w:val="12"/>
                <w:color w:val="auto"/>
              </w:rPr>
            </w:pPr>
          </w:p>
        </w:tc>
        <w:tc>
          <w:tcPr>
            <w:tcW w:w="2120" w:type="dxa"/>
            <w:vAlign w:val="bottom"/>
            <w:gridSpan w:val="3"/>
            <w:vMerge w:val="restart"/>
          </w:tcPr>
          <w:p>
            <w:pPr>
              <w:jc w:val="right"/>
              <w:ind w:right="12"/>
              <w:spacing w:after="0"/>
              <w:rPr>
                <w:sz w:val="20"/>
                <w:szCs w:val="20"/>
                <w:color w:val="auto"/>
              </w:rPr>
            </w:pPr>
            <w:r>
              <w:rPr>
                <w:rFonts w:ascii="Arial" w:cs="Arial" w:eastAsia="Arial" w:hAnsi="Arial"/>
                <w:sz w:val="12"/>
                <w:szCs w:val="12"/>
                <w:b w:val="1"/>
                <w:bCs w:val="1"/>
                <w:color w:val="auto"/>
              </w:rPr>
              <w:t>Year Ended December 31,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40" w:type="dxa"/>
            <w:vAlign w:val="bottom"/>
            <w:tcBorders>
              <w:top w:val="single" w:sz="8" w:color="0000EE"/>
            </w:tcBorders>
          </w:tcPr>
          <w:p>
            <w:pPr>
              <w:spacing w:after="0"/>
              <w:rPr>
                <w:sz w:val="13"/>
                <w:szCs w:val="13"/>
                <w:color w:val="auto"/>
              </w:rPr>
            </w:pPr>
          </w:p>
        </w:tc>
        <w:tc>
          <w:tcPr>
            <w:tcW w:w="6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vMerge w:val="continue"/>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gridSpan w:val="3"/>
          </w:tcPr>
          <w:p>
            <w:pPr>
              <w:spacing w:after="0"/>
              <w:rPr>
                <w:sz w:val="20"/>
                <w:szCs w:val="20"/>
                <w:color w:val="auto"/>
              </w:rPr>
            </w:pPr>
            <w:r>
              <w:rPr>
                <w:rFonts w:ascii="Arial" w:cs="Arial" w:eastAsia="Arial" w:hAnsi="Arial"/>
                <w:sz w:val="12"/>
                <w:szCs w:val="12"/>
                <w:color w:val="auto"/>
              </w:rPr>
              <w:t>(Thousands)</w:t>
            </w:r>
          </w:p>
        </w:tc>
        <w:tc>
          <w:tcPr>
            <w:tcW w:w="340" w:type="dxa"/>
            <w:vAlign w:val="bottom"/>
          </w:tcPr>
          <w:p>
            <w:pPr>
              <w:spacing w:after="0"/>
              <w:rPr>
                <w:sz w:val="13"/>
                <w:szCs w:val="13"/>
                <w:color w:val="auto"/>
              </w:rPr>
            </w:pPr>
          </w:p>
        </w:tc>
        <w:tc>
          <w:tcPr>
            <w:tcW w:w="1100" w:type="dxa"/>
            <w:vAlign w:val="bottom"/>
          </w:tcPr>
          <w:p>
            <w:pPr>
              <w:jc w:val="right"/>
              <w:ind w:right="540"/>
              <w:spacing w:after="0"/>
              <w:rPr>
                <w:sz w:val="20"/>
                <w:szCs w:val="20"/>
                <w:color w:val="auto"/>
              </w:rPr>
            </w:pPr>
            <w:r>
              <w:rPr>
                <w:rFonts w:ascii="Arial" w:cs="Arial" w:eastAsia="Arial" w:hAnsi="Arial"/>
                <w:sz w:val="12"/>
                <w:szCs w:val="12"/>
                <w:b w:val="1"/>
                <w:bCs w:val="1"/>
                <w:color w:val="auto"/>
              </w:rPr>
              <w:t>2021</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ind w:right="680"/>
              <w:spacing w:after="0"/>
              <w:rPr>
                <w:sz w:val="20"/>
                <w:szCs w:val="20"/>
                <w:color w:val="auto"/>
              </w:rPr>
            </w:pPr>
            <w:r>
              <w:rPr>
                <w:rFonts w:ascii="Arial" w:cs="Arial" w:eastAsia="Arial" w:hAnsi="Arial"/>
                <w:sz w:val="12"/>
                <w:szCs w:val="12"/>
                <w:b w:val="1"/>
                <w:bCs w:val="1"/>
                <w:color w:val="auto"/>
                <w:w w:val="97"/>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2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00" w:type="dxa"/>
            <w:vAlign w:val="bottom"/>
            <w:gridSpan w:val="3"/>
          </w:tcPr>
          <w:p>
            <w:pPr>
              <w:ind w:left="160"/>
              <w:spacing w:after="0"/>
              <w:rPr>
                <w:sz w:val="20"/>
                <w:szCs w:val="20"/>
                <w:color w:val="auto"/>
              </w:rPr>
            </w:pPr>
            <w:r>
              <w:rPr>
                <w:rFonts w:ascii="Arial" w:cs="Arial" w:eastAsia="Arial" w:hAnsi="Arial"/>
                <w:sz w:val="12"/>
                <w:szCs w:val="12"/>
                <w:color w:val="auto"/>
              </w:rPr>
              <w:t>Repayment of debt</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2"/>
                <w:szCs w:val="12"/>
                <w:color w:val="auto"/>
              </w:rPr>
              <w:t>(2,260,000)</w:t>
            </w:r>
          </w:p>
        </w:tc>
        <w:tc>
          <w:tcPr>
            <w:tcW w:w="700" w:type="dxa"/>
            <w:vAlign w:val="bottom"/>
          </w:tcPr>
          <w:p>
            <w:pPr>
              <w:jc w:val="right"/>
              <w:ind w:right="5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(2,044,728)</w:t>
            </w:r>
          </w:p>
        </w:tc>
        <w:tc>
          <w:tcPr>
            <w:tcW w:w="0" w:type="dxa"/>
            <w:vAlign w:val="bottom"/>
          </w:tcPr>
          <w:p>
            <w:pPr>
              <w:spacing w:after="0"/>
              <w:rPr>
                <w:sz w:val="1"/>
                <w:szCs w:val="1"/>
                <w:color w:val="auto"/>
              </w:rPr>
            </w:pPr>
          </w:p>
        </w:tc>
      </w:tr>
      <w:tr>
        <w:trPr>
          <w:trHeight w:val="153"/>
        </w:trPr>
        <w:tc>
          <w:tcPr>
            <w:tcW w:w="77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Proceeds from issuance of notes</w:t>
            </w: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2,380,000</w:t>
            </w:r>
          </w:p>
        </w:tc>
        <w:tc>
          <w:tcPr>
            <w:tcW w:w="3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gridSpan w:val="3"/>
          </w:tcPr>
          <w:p>
            <w:pPr>
              <w:ind w:left="160"/>
              <w:spacing w:after="0"/>
              <w:rPr>
                <w:sz w:val="20"/>
                <w:szCs w:val="20"/>
                <w:color w:val="auto"/>
              </w:rPr>
            </w:pPr>
            <w:r>
              <w:rPr>
                <w:rFonts w:ascii="Arial" w:cs="Arial" w:eastAsia="Arial" w:hAnsi="Arial"/>
                <w:sz w:val="12"/>
                <w:szCs w:val="12"/>
                <w:color w:val="auto"/>
              </w:rPr>
              <w:t>Dividends paid</w:t>
            </w:r>
          </w:p>
        </w:tc>
        <w:tc>
          <w:tcPr>
            <w:tcW w:w="340" w:type="dxa"/>
            <w:vAlign w:val="bottom"/>
          </w:tcPr>
          <w:p>
            <w:pPr>
              <w:spacing w:after="0"/>
              <w:rPr>
                <w:sz w:val="13"/>
                <w:szCs w:val="1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2"/>
                <w:szCs w:val="12"/>
                <w:color w:val="auto"/>
              </w:rPr>
              <w:t>(141,371)</w:t>
            </w:r>
          </w:p>
        </w:tc>
        <w:tc>
          <w:tcPr>
            <w:tcW w:w="7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(135,676)</w:t>
            </w:r>
          </w:p>
        </w:tc>
        <w:tc>
          <w:tcPr>
            <w:tcW w:w="0" w:type="dxa"/>
            <w:vAlign w:val="bottom"/>
          </w:tcPr>
          <w:p>
            <w:pPr>
              <w:spacing w:after="0"/>
              <w:rPr>
                <w:sz w:val="1"/>
                <w:szCs w:val="1"/>
                <w:color w:val="auto"/>
              </w:rPr>
            </w:pPr>
          </w:p>
        </w:tc>
      </w:tr>
      <w:tr>
        <w:trPr>
          <w:trHeight w:val="153"/>
        </w:trPr>
        <w:tc>
          <w:tcPr>
            <w:tcW w:w="77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Payments of settlement obligation</w:t>
            </w:r>
          </w:p>
        </w:tc>
        <w:tc>
          <w:tcPr>
            <w:tcW w:w="34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(190,924)</w:t>
            </w:r>
          </w:p>
        </w:tc>
        <w:tc>
          <w:tcPr>
            <w:tcW w:w="7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gridSpan w:val="3"/>
          </w:tcPr>
          <w:p>
            <w:pPr>
              <w:ind w:left="160"/>
              <w:spacing w:after="0"/>
              <w:rPr>
                <w:sz w:val="20"/>
                <w:szCs w:val="20"/>
                <w:color w:val="auto"/>
              </w:rPr>
            </w:pPr>
            <w:r>
              <w:rPr>
                <w:rFonts w:ascii="Arial" w:cs="Arial" w:eastAsia="Arial" w:hAnsi="Arial"/>
                <w:sz w:val="12"/>
                <w:szCs w:val="12"/>
                <w:color w:val="auto"/>
              </w:rPr>
              <w:t>Payments of contingent consideration</w:t>
            </w:r>
          </w:p>
        </w:tc>
        <w:tc>
          <w:tcPr>
            <w:tcW w:w="340" w:type="dxa"/>
            <w:vAlign w:val="bottom"/>
          </w:tcPr>
          <w:p>
            <w:pPr>
              <w:spacing w:after="0"/>
              <w:rPr>
                <w:sz w:val="13"/>
                <w:szCs w:val="1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2"/>
                <w:szCs w:val="12"/>
                <w:color w:val="auto"/>
              </w:rPr>
              <w:t>(2,979)</w:t>
            </w:r>
          </w:p>
        </w:tc>
        <w:tc>
          <w:tcPr>
            <w:tcW w:w="7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(15,713)</w:t>
            </w:r>
          </w:p>
        </w:tc>
        <w:tc>
          <w:tcPr>
            <w:tcW w:w="0" w:type="dxa"/>
            <w:vAlign w:val="bottom"/>
          </w:tcPr>
          <w:p>
            <w:pPr>
              <w:spacing w:after="0"/>
              <w:rPr>
                <w:sz w:val="1"/>
                <w:szCs w:val="1"/>
                <w:color w:val="auto"/>
              </w:rPr>
            </w:pPr>
          </w:p>
        </w:tc>
      </w:tr>
      <w:tr>
        <w:trPr>
          <w:trHeight w:val="153"/>
        </w:trPr>
        <w:tc>
          <w:tcPr>
            <w:tcW w:w="77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Distributions paid to noncontrolling interests</w:t>
            </w:r>
          </w:p>
        </w:tc>
        <w:tc>
          <w:tcPr>
            <w:tcW w:w="34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(1,700)</w:t>
            </w:r>
          </w:p>
        </w:tc>
        <w:tc>
          <w:tcPr>
            <w:tcW w:w="7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(2,322)</w:t>
            </w:r>
          </w:p>
        </w:tc>
        <w:tc>
          <w:tcPr>
            <w:tcW w:w="0" w:type="dxa"/>
            <w:vAlign w:val="bottom"/>
          </w:tcPr>
          <w:p>
            <w:pPr>
              <w:spacing w:after="0"/>
              <w:rPr>
                <w:sz w:val="1"/>
                <w:szCs w:val="1"/>
                <w:color w:val="auto"/>
              </w:rPr>
            </w:pPr>
          </w:p>
        </w:tc>
      </w:tr>
      <w:tr>
        <w:trPr>
          <w:trHeight w:val="153"/>
        </w:trPr>
        <w:tc>
          <w:tcPr>
            <w:tcW w:w="7700" w:type="dxa"/>
            <w:vAlign w:val="bottom"/>
            <w:gridSpan w:val="3"/>
          </w:tcPr>
          <w:p>
            <w:pPr>
              <w:ind w:left="160"/>
              <w:spacing w:after="0"/>
              <w:rPr>
                <w:sz w:val="20"/>
                <w:szCs w:val="20"/>
                <w:color w:val="auto"/>
              </w:rPr>
            </w:pPr>
            <w:r>
              <w:rPr>
                <w:rFonts w:ascii="Arial" w:cs="Arial" w:eastAsia="Arial" w:hAnsi="Arial"/>
                <w:sz w:val="12"/>
                <w:szCs w:val="12"/>
                <w:color w:val="auto"/>
              </w:rPr>
              <w:t>Borrowings under revolving credit facility</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310,000</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Payments under revolving credit facility</w:t>
            </w:r>
          </w:p>
        </w:tc>
        <w:tc>
          <w:tcPr>
            <w:tcW w:w="34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(220,000)</w:t>
            </w:r>
          </w:p>
        </w:tc>
        <w:tc>
          <w:tcPr>
            <w:tcW w:w="7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(635,019)</w:t>
            </w:r>
          </w:p>
        </w:tc>
        <w:tc>
          <w:tcPr>
            <w:tcW w:w="0" w:type="dxa"/>
            <w:vAlign w:val="bottom"/>
          </w:tcPr>
          <w:p>
            <w:pPr>
              <w:spacing w:after="0"/>
              <w:rPr>
                <w:sz w:val="1"/>
                <w:szCs w:val="1"/>
                <w:color w:val="auto"/>
              </w:rPr>
            </w:pPr>
          </w:p>
        </w:tc>
      </w:tr>
      <w:tr>
        <w:trPr>
          <w:trHeight w:val="153"/>
        </w:trPr>
        <w:tc>
          <w:tcPr>
            <w:tcW w:w="7700" w:type="dxa"/>
            <w:vAlign w:val="bottom"/>
            <w:gridSpan w:val="3"/>
          </w:tcPr>
          <w:p>
            <w:pPr>
              <w:ind w:left="160"/>
              <w:spacing w:after="0"/>
              <w:rPr>
                <w:sz w:val="20"/>
                <w:szCs w:val="20"/>
                <w:color w:val="auto"/>
              </w:rPr>
            </w:pPr>
            <w:r>
              <w:rPr>
                <w:rFonts w:ascii="Arial" w:cs="Arial" w:eastAsia="Arial" w:hAnsi="Arial"/>
                <w:sz w:val="12"/>
                <w:szCs w:val="12"/>
                <w:color w:val="auto"/>
              </w:rPr>
              <w:t>Finance lease payments</w:t>
            </w:r>
          </w:p>
        </w:tc>
        <w:tc>
          <w:tcPr>
            <w:tcW w:w="340" w:type="dxa"/>
            <w:vAlign w:val="bottom"/>
          </w:tcPr>
          <w:p>
            <w:pPr>
              <w:spacing w:after="0"/>
              <w:rPr>
                <w:sz w:val="13"/>
                <w:szCs w:val="1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2"/>
                <w:szCs w:val="12"/>
                <w:color w:val="auto"/>
              </w:rPr>
              <w:t>(2,019)</w:t>
            </w:r>
          </w:p>
        </w:tc>
        <w:tc>
          <w:tcPr>
            <w:tcW w:w="7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(3,702)</w:t>
            </w:r>
          </w:p>
        </w:tc>
        <w:tc>
          <w:tcPr>
            <w:tcW w:w="0" w:type="dxa"/>
            <w:vAlign w:val="bottom"/>
          </w:tcPr>
          <w:p>
            <w:pPr>
              <w:spacing w:after="0"/>
              <w:rPr>
                <w:sz w:val="1"/>
                <w:szCs w:val="1"/>
                <w:color w:val="auto"/>
              </w:rPr>
            </w:pPr>
          </w:p>
        </w:tc>
      </w:tr>
      <w:tr>
        <w:trPr>
          <w:trHeight w:val="153"/>
        </w:trPr>
        <w:tc>
          <w:tcPr>
            <w:tcW w:w="77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Payments for financing costs</w:t>
            </w:r>
          </w:p>
        </w:tc>
        <w:tc>
          <w:tcPr>
            <w:tcW w:w="34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(27,660)</w:t>
            </w:r>
          </w:p>
        </w:tc>
        <w:tc>
          <w:tcPr>
            <w:tcW w:w="7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(50,875)</w:t>
            </w:r>
          </w:p>
        </w:tc>
        <w:tc>
          <w:tcPr>
            <w:tcW w:w="0" w:type="dxa"/>
            <w:vAlign w:val="bottom"/>
          </w:tcPr>
          <w:p>
            <w:pPr>
              <w:spacing w:after="0"/>
              <w:rPr>
                <w:sz w:val="1"/>
                <w:szCs w:val="1"/>
                <w:color w:val="auto"/>
              </w:rPr>
            </w:pPr>
          </w:p>
        </w:tc>
      </w:tr>
      <w:tr>
        <w:trPr>
          <w:trHeight w:val="153"/>
        </w:trPr>
        <w:tc>
          <w:tcPr>
            <w:tcW w:w="7700" w:type="dxa"/>
            <w:vAlign w:val="bottom"/>
            <w:gridSpan w:val="3"/>
          </w:tcPr>
          <w:p>
            <w:pPr>
              <w:ind w:left="160"/>
              <w:spacing w:after="0"/>
              <w:rPr>
                <w:sz w:val="20"/>
                <w:szCs w:val="20"/>
                <w:color w:val="auto"/>
              </w:rPr>
            </w:pPr>
            <w:r>
              <w:rPr>
                <w:rFonts w:ascii="Arial" w:cs="Arial" w:eastAsia="Arial" w:hAnsi="Arial"/>
                <w:sz w:val="12"/>
                <w:szCs w:val="12"/>
                <w:color w:val="auto"/>
              </w:rPr>
              <w:t>Settlement Common Stock</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244,550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Costs related to early repayment of debt</w:t>
            </w:r>
          </w:p>
        </w:tc>
        <w:tc>
          <w:tcPr>
            <w:tcW w:w="34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(36,486)</w:t>
            </w:r>
          </w:p>
        </w:tc>
        <w:tc>
          <w:tcPr>
            <w:tcW w:w="7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gridSpan w:val="3"/>
          </w:tcPr>
          <w:p>
            <w:pPr>
              <w:ind w:left="160"/>
              <w:spacing w:after="0"/>
              <w:rPr>
                <w:sz w:val="20"/>
                <w:szCs w:val="20"/>
                <w:color w:val="auto"/>
              </w:rPr>
            </w:pPr>
            <w:r>
              <w:rPr>
                <w:rFonts w:ascii="Arial" w:cs="Arial" w:eastAsia="Arial" w:hAnsi="Arial"/>
                <w:sz w:val="12"/>
                <w:szCs w:val="12"/>
                <w:color w:val="auto"/>
              </w:rPr>
              <w:t>Employee stock purchase program</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672</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Net share settlement</w:t>
            </w:r>
          </w:p>
        </w:tc>
        <w:tc>
          <w:tcPr>
            <w:tcW w:w="34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(4,100)</w:t>
            </w:r>
          </w:p>
        </w:tc>
        <w:tc>
          <w:tcPr>
            <w:tcW w:w="7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(1,097)</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ind w:left="240"/>
              <w:spacing w:after="0"/>
              <w:rPr>
                <w:sz w:val="20"/>
                <w:szCs w:val="20"/>
                <w:color w:val="auto"/>
              </w:rPr>
            </w:pPr>
            <w:r>
              <w:rPr>
                <w:rFonts w:ascii="Arial" w:cs="Arial" w:eastAsia="Arial" w:hAnsi="Arial"/>
                <w:sz w:val="12"/>
                <w:szCs w:val="12"/>
                <w:color w:val="auto"/>
              </w:rPr>
              <w:t>Net cash used in financing activities</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00" w:type="dxa"/>
            <w:vAlign w:val="bottom"/>
            <w:gridSpan w:val="3"/>
            <w:vMerge w:val="continue"/>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2"/>
                <w:szCs w:val="12"/>
                <w:color w:val="auto"/>
              </w:rPr>
              <w:t>(196,567)</w:t>
            </w:r>
          </w:p>
        </w:tc>
        <w:tc>
          <w:tcPr>
            <w:tcW w:w="700" w:type="dxa"/>
            <w:vAlign w:val="bottom"/>
          </w:tcPr>
          <w:p>
            <w:pPr>
              <w:jc w:val="right"/>
              <w:ind w:right="5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(223,906)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 xml:space="preserve">Cash used in financing activities was $196.6 million for the year ended December 31, 2021, which was </w:t>
      </w:r>
      <w:r>
        <w:rPr>
          <w:rFonts w:ascii="Arial" w:cs="Arial" w:eastAsia="Arial" w:hAnsi="Arial"/>
          <w:sz w:val="11"/>
          <w:szCs w:val="11"/>
          <w:color w:val="212529"/>
        </w:rPr>
        <w:t>primarily driven by the repayment of the 2023 Notes, 2023 Secured Notes and 2024 Notes (</w:t>
      </w:r>
      <w:r>
        <w:rPr>
          <w:rFonts w:ascii="Arial" w:cs="Arial" w:eastAsia="Arial" w:hAnsi="Arial"/>
          <w:sz w:val="11"/>
          <w:szCs w:val="11"/>
          <w:color w:val="auto"/>
        </w:rPr>
        <w:t xml:space="preserve">$2.26 </w:t>
      </w:r>
      <w:r>
        <w:rPr>
          <w:rFonts w:ascii="Arial" w:cs="Arial" w:eastAsia="Arial" w:hAnsi="Arial"/>
          <w:sz w:val="11"/>
          <w:szCs w:val="11"/>
          <w:color w:val="212529"/>
        </w:rPr>
        <w:t>billion), dividend payments</w:t>
      </w:r>
      <w:r>
        <w:rPr>
          <w:rFonts w:ascii="Arial" w:cs="Arial" w:eastAsia="Arial" w:hAnsi="Arial"/>
          <w:sz w:val="11"/>
          <w:szCs w:val="11"/>
          <w:color w:val="auto"/>
        </w:rPr>
        <w:t xml:space="preserve"> </w:t>
      </w:r>
      <w:r>
        <w:rPr>
          <w:rFonts w:ascii="Arial" w:cs="Arial" w:eastAsia="Arial" w:hAnsi="Arial"/>
          <w:sz w:val="11"/>
          <w:szCs w:val="11"/>
          <w:color w:val="212529"/>
        </w:rPr>
        <w:t>(</w:t>
      </w:r>
      <w:r>
        <w:rPr>
          <w:rFonts w:ascii="Arial" w:cs="Arial" w:eastAsia="Arial" w:hAnsi="Arial"/>
          <w:sz w:val="11"/>
          <w:szCs w:val="11"/>
          <w:color w:val="000000"/>
        </w:rPr>
        <w:t>$141.4</w:t>
      </w:r>
      <w:r>
        <w:rPr>
          <w:rFonts w:ascii="Arial" w:cs="Arial" w:eastAsia="Arial" w:hAnsi="Arial"/>
          <w:sz w:val="11"/>
          <w:szCs w:val="11"/>
          <w:color w:val="212529"/>
        </w:rPr>
        <w:t xml:space="preserve"> million), payments for financing costs (</w:t>
      </w:r>
      <w:r>
        <w:rPr>
          <w:rFonts w:ascii="Arial" w:cs="Arial" w:eastAsia="Arial" w:hAnsi="Arial"/>
          <w:sz w:val="11"/>
          <w:szCs w:val="11"/>
          <w:color w:val="000000"/>
        </w:rPr>
        <w:t>$27.7</w:t>
      </w:r>
      <w:r>
        <w:rPr>
          <w:rFonts w:ascii="Arial" w:cs="Arial" w:eastAsia="Arial" w:hAnsi="Arial"/>
          <w:sz w:val="11"/>
          <w:szCs w:val="11"/>
          <w:color w:val="212529"/>
        </w:rPr>
        <w:t xml:space="preserve"> million), payment of settlement obligation (</w:t>
      </w:r>
      <w:r>
        <w:rPr>
          <w:rFonts w:ascii="Arial" w:cs="Arial" w:eastAsia="Arial" w:hAnsi="Arial"/>
          <w:sz w:val="11"/>
          <w:szCs w:val="11"/>
          <w:color w:val="000000"/>
        </w:rPr>
        <w:t>$190.9</w:t>
      </w:r>
      <w:r>
        <w:rPr>
          <w:rFonts w:ascii="Arial" w:cs="Arial" w:eastAsia="Arial" w:hAnsi="Arial"/>
          <w:sz w:val="11"/>
          <w:szCs w:val="11"/>
          <w:color w:val="212529"/>
        </w:rPr>
        <w:t xml:space="preserve"> million), 2023 Notes tender premium payment (</w:t>
      </w:r>
      <w:r>
        <w:rPr>
          <w:rFonts w:ascii="Arial" w:cs="Arial" w:eastAsia="Arial" w:hAnsi="Arial"/>
          <w:sz w:val="11"/>
          <w:szCs w:val="11"/>
          <w:color w:val="000000"/>
        </w:rPr>
        <w:t>$17.6</w:t>
      </w:r>
      <w:r>
        <w:rPr>
          <w:rFonts w:ascii="Arial" w:cs="Arial" w:eastAsia="Arial" w:hAnsi="Arial"/>
          <w:sz w:val="11"/>
          <w:szCs w:val="11"/>
          <w:color w:val="212529"/>
        </w:rPr>
        <w:t xml:space="preserve"> million), 2024 Notes early redemption payment ($10.6 million), 2023 Secured Notes early redemption payment ($8.3 million) and contingent consideration payments (</w:t>
      </w:r>
      <w:r>
        <w:rPr>
          <w:rFonts w:ascii="Arial" w:cs="Arial" w:eastAsia="Arial" w:hAnsi="Arial"/>
          <w:sz w:val="11"/>
          <w:szCs w:val="11"/>
          <w:color w:val="000000"/>
        </w:rPr>
        <w:t>$3.0</w:t>
      </w:r>
      <w:r>
        <w:rPr>
          <w:rFonts w:ascii="Arial" w:cs="Arial" w:eastAsia="Arial" w:hAnsi="Arial"/>
          <w:sz w:val="11"/>
          <w:szCs w:val="11"/>
          <w:color w:val="212529"/>
        </w:rPr>
        <w:t xml:space="preserve"> million), partially offset by proceeds from the issuance of the 2030 Notes, 2029 Notes and 2028 Secured Notes (</w:t>
      </w:r>
      <w:r>
        <w:rPr>
          <w:rFonts w:ascii="Arial" w:cs="Arial" w:eastAsia="Arial" w:hAnsi="Arial"/>
          <w:sz w:val="11"/>
          <w:szCs w:val="11"/>
          <w:color w:val="000000"/>
        </w:rPr>
        <w:t>$2.38</w:t>
      </w:r>
      <w:r>
        <w:rPr>
          <w:rFonts w:ascii="Arial" w:cs="Arial" w:eastAsia="Arial" w:hAnsi="Arial"/>
          <w:sz w:val="11"/>
          <w:szCs w:val="11"/>
          <w:color w:val="212529"/>
        </w:rPr>
        <w:t xml:space="preserve"> billion) and net borrowings under the Revolving Credit Facility (</w:t>
      </w:r>
      <w:r>
        <w:rPr>
          <w:rFonts w:ascii="Arial" w:cs="Arial" w:eastAsia="Arial" w:hAnsi="Arial"/>
          <w:sz w:val="11"/>
          <w:szCs w:val="11"/>
          <w:color w:val="000000"/>
        </w:rPr>
        <w:t>$90.0</w:t>
      </w:r>
      <w:r>
        <w:rPr>
          <w:rFonts w:ascii="Arial" w:cs="Arial" w:eastAsia="Arial" w:hAnsi="Arial"/>
          <w:sz w:val="11"/>
          <w:szCs w:val="11"/>
          <w:color w:val="212529"/>
        </w:rPr>
        <w:t xml:space="preserve"> million). </w:t>
      </w:r>
      <w:r>
        <w:rPr>
          <w:rFonts w:ascii="Arial" w:cs="Arial" w:eastAsia="Arial" w:hAnsi="Arial"/>
          <w:sz w:val="11"/>
          <w:szCs w:val="11"/>
          <w:color w:val="000000"/>
        </w:rPr>
        <w:t>Cash used in financing activities was $223.9 million for the year ended December 31, 2020, which was</w:t>
      </w:r>
      <w:r>
        <w:rPr>
          <w:rFonts w:ascii="Arial" w:cs="Arial" w:eastAsia="Arial" w:hAnsi="Arial"/>
          <w:sz w:val="11"/>
          <w:szCs w:val="11"/>
          <w:color w:val="212529"/>
        </w:rPr>
        <w:t xml:space="preserve"> primarily driven by the repayment of senior secured term loan B ($</w:t>
      </w:r>
      <w:r>
        <w:rPr>
          <w:rFonts w:ascii="Arial" w:cs="Arial" w:eastAsia="Arial" w:hAnsi="Arial"/>
          <w:sz w:val="11"/>
          <w:szCs w:val="11"/>
          <w:color w:val="000000"/>
        </w:rPr>
        <w:t>2.04</w:t>
      </w:r>
      <w:r>
        <w:rPr>
          <w:rFonts w:ascii="Arial" w:cs="Arial" w:eastAsia="Arial" w:hAnsi="Arial"/>
          <w:sz w:val="11"/>
          <w:szCs w:val="11"/>
          <w:color w:val="212529"/>
        </w:rPr>
        <w:t xml:space="preserve"> billion), net payments under the Revolving Credit Facility (</w:t>
      </w:r>
      <w:r>
        <w:rPr>
          <w:rFonts w:ascii="Arial" w:cs="Arial" w:eastAsia="Arial" w:hAnsi="Arial"/>
          <w:sz w:val="11"/>
          <w:szCs w:val="11"/>
          <w:color w:val="000000"/>
        </w:rPr>
        <w:t>$465.0 million</w:t>
      </w:r>
      <w:r>
        <w:rPr>
          <w:rFonts w:ascii="Arial" w:cs="Arial" w:eastAsia="Arial" w:hAnsi="Arial"/>
          <w:sz w:val="11"/>
          <w:szCs w:val="11"/>
          <w:color w:val="212529"/>
        </w:rPr>
        <w:t>), dividend payments (</w:t>
      </w:r>
      <w:r>
        <w:rPr>
          <w:rFonts w:ascii="Arial" w:cs="Arial" w:eastAsia="Arial" w:hAnsi="Arial"/>
          <w:sz w:val="11"/>
          <w:szCs w:val="11"/>
          <w:color w:val="000000"/>
        </w:rPr>
        <w:t>$135.7 million</w:t>
      </w:r>
      <w:r>
        <w:rPr>
          <w:rFonts w:ascii="Arial" w:cs="Arial" w:eastAsia="Arial" w:hAnsi="Arial"/>
          <w:sz w:val="11"/>
          <w:szCs w:val="11"/>
          <w:color w:val="212529"/>
        </w:rPr>
        <w:t>) and payments for financing costs ($</w:t>
      </w:r>
      <w:r>
        <w:rPr>
          <w:rFonts w:ascii="Arial" w:cs="Arial" w:eastAsia="Arial" w:hAnsi="Arial"/>
          <w:sz w:val="11"/>
          <w:szCs w:val="11"/>
          <w:color w:val="000000"/>
        </w:rPr>
        <w:t>50.9</w:t>
      </w:r>
      <w:r>
        <w:rPr>
          <w:rFonts w:ascii="Arial" w:cs="Arial" w:eastAsia="Arial" w:hAnsi="Arial"/>
          <w:sz w:val="11"/>
          <w:szCs w:val="11"/>
          <w:color w:val="212529"/>
        </w:rPr>
        <w:t xml:space="preserve"> million), contingent consideration payments (</w:t>
      </w:r>
      <w:r>
        <w:rPr>
          <w:rFonts w:ascii="Arial" w:cs="Arial" w:eastAsia="Arial" w:hAnsi="Arial"/>
          <w:sz w:val="11"/>
          <w:szCs w:val="11"/>
          <w:color w:val="000000"/>
        </w:rPr>
        <w:t>$15.7 million</w:t>
      </w:r>
      <w:r>
        <w:rPr>
          <w:rFonts w:ascii="Arial" w:cs="Arial" w:eastAsia="Arial" w:hAnsi="Arial"/>
          <w:sz w:val="11"/>
          <w:szCs w:val="11"/>
          <w:color w:val="212529"/>
        </w:rPr>
        <w:t>)</w:t>
      </w:r>
      <w:r>
        <w:rPr>
          <w:rFonts w:ascii="Arial" w:cs="Arial" w:eastAsia="Arial" w:hAnsi="Arial"/>
          <w:sz w:val="11"/>
          <w:szCs w:val="11"/>
          <w:color w:val="000000"/>
        </w:rPr>
        <w:t>, partially</w:t>
      </w:r>
      <w:r>
        <w:rPr>
          <w:rFonts w:ascii="Arial" w:cs="Arial" w:eastAsia="Arial" w:hAnsi="Arial"/>
          <w:sz w:val="11"/>
          <w:szCs w:val="11"/>
          <w:color w:val="212529"/>
        </w:rPr>
        <w:t xml:space="preserve"> </w:t>
      </w:r>
      <w:r>
        <w:rPr>
          <w:rFonts w:ascii="Arial" w:cs="Arial" w:eastAsia="Arial" w:hAnsi="Arial"/>
          <w:sz w:val="11"/>
          <w:szCs w:val="11"/>
          <w:color w:val="000000"/>
        </w:rPr>
        <w:t xml:space="preserve">offset by </w:t>
      </w:r>
      <w:r>
        <w:rPr>
          <w:rFonts w:ascii="Arial" w:cs="Arial" w:eastAsia="Arial" w:hAnsi="Arial"/>
          <w:sz w:val="11"/>
          <w:szCs w:val="11"/>
          <w:color w:val="212529"/>
        </w:rPr>
        <w:t>the proceeds from the issuance of the 2025 Secured Notes ($2.25 billion) and the issuance of the Settlement Common Stock ($</w:t>
      </w:r>
      <w:r>
        <w:rPr>
          <w:rFonts w:ascii="Arial" w:cs="Arial" w:eastAsia="Arial" w:hAnsi="Arial"/>
          <w:sz w:val="11"/>
          <w:szCs w:val="11"/>
          <w:color w:val="000000"/>
        </w:rPr>
        <w:t xml:space="preserve">244.6 </w:t>
      </w:r>
      <w:r>
        <w:rPr>
          <w:rFonts w:ascii="Arial" w:cs="Arial" w:eastAsia="Arial" w:hAnsi="Arial"/>
          <w:sz w:val="11"/>
          <w:szCs w:val="11"/>
          <w:color w:val="212529"/>
        </w:rPr>
        <w:t>million)</w:t>
      </w:r>
      <w:r>
        <w:rPr>
          <w:rFonts w:ascii="Arial" w:cs="Arial" w:eastAsia="Arial" w:hAnsi="Arial"/>
          <w:sz w:val="11"/>
          <w:szCs w:val="11"/>
          <w:color w:val="000000"/>
        </w:rPr>
        <w: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Windstream Master Lease and Windstream Leases</w:t>
      </w:r>
    </w:p>
    <w:p>
      <w:pPr>
        <w:spacing w:after="0" w:line="150"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As described in Note 5 to our consolidated financial statements contained in Part II, Item 8 “Financial Statements and Supplementary Data,” on September 18, 2020, in connection with Windstream’s emergence from bankruptcy and the implementation of the Settlement, Uniti and Windstream bifurcated the Master Lease and entered into the Windstream Leases that each expire on April 30, 2030. The aggregate initial annual rent under the Windstream Leases is equal to the annual rent under the Master Lease previously in effect.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13" w:lineRule="exact"/>
        <w:rPr>
          <w:sz w:val="20"/>
          <w:szCs w:val="20"/>
          <w:color w:val="auto"/>
        </w:rPr>
      </w:pPr>
    </w:p>
    <w:p>
      <w:pPr>
        <w:jc w:val="both"/>
        <w:ind w:right="40"/>
        <w:spacing w:after="0" w:line="256" w:lineRule="auto"/>
        <w:rPr>
          <w:sz w:val="20"/>
          <w:szCs w:val="20"/>
          <w:color w:val="auto"/>
        </w:rPr>
      </w:pPr>
      <w:r>
        <w:rPr>
          <w:rFonts w:ascii="Arial" w:cs="Arial" w:eastAsia="Arial" w:hAnsi="Arial"/>
          <w:sz w:val="12"/>
          <w:szCs w:val="12"/>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are limited to $225 million per year in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w:t>
      </w:r>
    </w:p>
    <w:p>
      <w:pPr>
        <w:spacing w:after="0" w:line="113"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At-the-Market Common Stock Offering Program</w:t>
      </w:r>
    </w:p>
    <w:p>
      <w:pPr>
        <w:spacing w:after="0" w:line="150" w:lineRule="exact"/>
        <w:rPr>
          <w:sz w:val="20"/>
          <w:szCs w:val="20"/>
          <w:color w:val="auto"/>
        </w:rPr>
      </w:pPr>
    </w:p>
    <w:p>
      <w:pPr>
        <w:jc w:val="both"/>
        <w:ind w:right="40"/>
        <w:spacing w:after="0" w:line="259" w:lineRule="auto"/>
        <w:rPr>
          <w:sz w:val="20"/>
          <w:szCs w:val="20"/>
          <w:color w:val="auto"/>
        </w:rPr>
      </w:pPr>
      <w:r>
        <w:rPr>
          <w:rFonts w:ascii="Arial" w:cs="Arial" w:eastAsia="Arial" w:hAnsi="Arial"/>
          <w:sz w:val="12"/>
          <w:szCs w:val="12"/>
          <w:color w:val="auto"/>
        </w:rPr>
        <w:t>We have an effective shelf registration statement on file with the SEC (the “Registration Statement”) to offer and sell various securities from time to time. Under the registration statement, we have established the ATM Program to sell shares of common stock having an aggregate offering price of up to $250 million. The ATM Program supersedes and replaces the $250 million program we commenced on September 2, 2016, which had approximately $117.1 million available for issuance upon termination. During the year ended December 31, 2021, we did not make any sales under the refreshed ATM Program. This program is intended to provide additional financial flexibility and an alternative mechanism to access the capital markets at an efficient cost as and when we need financing, including for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UPREIT Operating Partnership Units</w:t>
      </w:r>
    </w:p>
    <w:p>
      <w:pPr>
        <w:spacing w:after="0" w:line="150"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During 2017, the Company completed its reorganization (the “up-REIT Reorganization”) to operate through a customary “up-REIT” structure. Under this structure, the Operating Partnership now holds substantially all of the Company’s assets and is the direct or indirect parent company of, among others, CSL Capital, LLC, Uniti Group Finance 2019 Inc. and Uniti Fiber Holdings Inc.</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Our UPREIT structure, enables us to acquire properties by issuing to sellers, as a form of consideration, limited partnership interests in our operating partnership, (commonly called “OP Units”). The limited partner equity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50" w:name="page51"/>
    <w:bookmarkEnd w:id="50"/>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interests in the Operating Partnership are exchangeable on a one-for-one basis for shares of our common stock or, at our election, cash of equivalent value.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issued limited partnership interests as part of the acquisition consideration for the 2017 acquisitions of Hunt Telecommunications, LLC and Southern Light, LLC.</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Senior Notes</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At December 31, 2021, the Operating Partnership and certain of its subsidiaries had outstanding $570.0 million aggregate principal amount of 4.750% Senior Secured Notes due April 15, 2028 (the “2028 Secured Notes”), $2.25 billion aggregate principal amount of 7.875% Senior Secured Notes due February 15, 2025 (the “2025 Secured Notes”), $1.11 billion aggregate principal amount of 6.50% Senior Notes due February 15, 2029 (the “2029 Notes”) and $700 million aggregate principal amount of 6.00% Senior Unsecured Notes due January 15, 2030 (the “2030 Notes”).</w:t>
      </w:r>
    </w:p>
    <w:p>
      <w:pPr>
        <w:spacing w:after="0" w:line="12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On February 2, 2021, the Operating Partnership, Uniti Group Finance 2019 Inc. and CSL Capital, LLC (hereinafter, the “Borrowers”) issued $1.11 billion aggregate principal amount of the 2029 Notes and used the net proceeds to fund the tender offer and subsequent redemption of all outstanding 2023 Notes.</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On April 20, 2021, the Borrowers issued $570 million aggregate principal amount of the 2028 Secured Notes and used the net proceeds from the offering to fund the redemption in full of the $550.0 million aggregate principal amount of the 2023 Secured Notes on May 6, 2021.</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On October 13, 2021, Uniti Group LP, Uniti Fiber Holdings Inc., Uniti Group Finance 2019 Inc. and CSL Capital, LLC issued $700 million aggregate principal amount of 6.00% Senior Notes due 2030 and used the proceeds to fund the redemption in full of the 2024 Notes on December 15, 2021.</w:t>
      </w:r>
    </w:p>
    <w:p>
      <w:pPr>
        <w:spacing w:after="0" w:line="115"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In connection with the up-REIT Reorganization, the Operating Partnership replaced the Company and assumed its obligations as an obligor under the Facilities. The Company is a guarantor to all series of senior notes, including the 4.00% exchangeable notes described below, and under the Credit Agreement. Separate financial statements of the Operating Partnership have not been included since the Operating Partnership is not a registrant.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Exchangeable Notes</w:t>
      </w:r>
    </w:p>
    <w:p>
      <w:pPr>
        <w:spacing w:after="0" w:line="150"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On June 28, 2019, Uniti Fiber Holdings Inc. issued $345 million aggregate principal amount of 4.00% Exchangeable Senior Notes due June 15, 2024.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 Holding Inc.’s election.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Credit Agreement</w:t>
      </w:r>
    </w:p>
    <w:p>
      <w:pPr>
        <w:spacing w:after="0" w:line="150"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The Borrowers are party to the Credit Agreement, which as of December 31, 2020, provided for a $60.5 million non-extended revolving credit facility that matures on April 24, 2022 (the “Non-Extended Revolving Credit Facility”) and a $500 million revolving credit facility that matures on December 10, 2024 (the “Extended Revolving Credit Facility” and together with Non-Extended Revolving Credit facility, the “Revolving Credit Facility”), which provide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Credit Agreement previously provided for a term loan facility, of which all $2.05 billion of outstanding loans was repaid in full in connection with the issuance of the 2025 Secured Notes in February 2020.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1" w:name="page52"/>
    <w:bookmarkEnd w:id="51"/>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2021, the Borrowers were in compliance with all of the covenants under the Credit Agreement.</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Borrowings under (a) the Non-Extended Revolving Credit Facility bear interest at a rate equal to either a base rate plus an applicable margin ranging from 3.75% to 4.25% or a eurodollar rate plus an applicable margin ranging from 4.75% to 5.25% and (b) the Extended Revolving Credit Facility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Interest Rate Swaps</w:t>
      </w:r>
    </w:p>
    <w:p>
      <w:pPr>
        <w:spacing w:after="0" w:line="150"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We are party to interest rate swap agreements that we entered into to mitigate interest rate risk associated with our now repaid variable rate term loan facility under the Credit Agreement. These interest rate swaps are designated as cash flow hedges and have a notional value of $2.02 billion and mature on October 24, 2022. The weighted average fixed rate paid is 2.105%, and the variable rate received resets monthly to the one-month LIBOR subject to a minimum rate of 1.0%.</w:t>
      </w:r>
    </w:p>
    <w:p>
      <w:pPr>
        <w:spacing w:after="0" w:line="122"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As result of the repayment of the term loan facility in February of 2020 (discussed above), the Company entered into receive-fixed interest rate swaps (the “Replacement Swaps”) to offset its existing pay-fixed interest rate swaps (the “Existing Swaps”) that were designated as cash flow hedges of interest payments initially associated with the term loan facility. On February 10, 2020, the Company discontinued hedge accounting on its Existing Swaps as the hedge accounting requirements were no longer met. Amounts in accumulated other comprehensive (loss) income associated with the Existing Swaps as of the date of dedesignation, will be reclassified to interest expense as the hedged interest payments impact earnings. The net effect of these offsetting interest rate swaps will result in a monthly cash outflow of approximately $1.1 million through October 2022.</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Outlook</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We anticipate continuing to invest in our network infrastructure across our Uniti Leasing and Uniti Fiber portfolios. We anticipate declaring dividends for the 2022 tax year to comply with our REIT distribution requirements. We anticipate that we will partially finance these needs, as well as operating expenses (including our debt service obligations), from our cash on hand and cash flows provided by operating activities. In December 2020, we amended the Credit Agreement to increase the commitments under our Revolving Credit Facility that mature on December 10, 2024 from $418 million to $500 million and extended the maturity date to December 10, 2024. We refinanced and extended the maturity of our 2023 Notes through the issuance of our 2029 Notes. We expect to access the capital markets to fund Growth Capital Improvements over the term of the Windstream Leases, business operations, announced investment activities, capital expenditures, debt service and distributions to our shareholders. We are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2" w:name="page53"/>
    <w:bookmarkEnd w:id="5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closely monitoring the equity and debt markets and will seek to access them again promptly when we determine market conditions are appropriate. Our debt covenants currently do not permit us to incur material additional debt.</w:t>
      </w:r>
    </w:p>
    <w:p>
      <w:pPr>
        <w:spacing w:after="0" w:line="162"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154"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We enter into various contractual arrangements as a part of our continued operations. Many of these contractual obligations are discussed in the notes (“Notes”) to our consolidated financial statements contained in Part II, Item 8 “Financial Statements and Supplementary Data”. As of December 31, 2021, material obligations discussed in the Notes included principal and interest payments on our long-term debt discussed above and in Note 12, operating and finance leases discussed in Note 5, and reimbursement commitments for growth capital improvements and cash payments related to the settlement agreement discussed in Note 16.</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addition, we have material purchase commitments related to network deployment for success-based projects for which we have a signed customer contract before we commit resources to expand our network. As of December 31, 2021, purchase commitments totaled $21.0 million due in 2022 and $4.0 million due in 2023. Projections of future cash flows are subject to substantial uncertainty as discussed throughout Part II, Item 7 “Management’s Discussion and Analysis of Financial Condition and Results of Operations” and particularly in Part I, Item 1A “Risk Factors” of this Annual Report on Form 10-K. Debt agreements may be renewed or refinanced if we determine it is advantageous to do so.</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Subject to the restrictions imposed by our 7.875% senior secured notes due 2025,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53" w:name="page54"/>
    <w:bookmarkEnd w:id="53"/>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below sets out details regarding our cash dividends on our common stock: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Period</w:t>
            </w:r>
          </w:p>
        </w:tc>
        <w:tc>
          <w:tcPr>
            <w:tcW w:w="200" w:type="dxa"/>
            <w:vAlign w:val="bottom"/>
            <w:tcBorders>
              <w:bottom w:val="single" w:sz="8" w:color="CFF0FC"/>
            </w:tcBorders>
          </w:tcPr>
          <w:p>
            <w:pPr>
              <w:spacing w:after="0"/>
              <w:rPr>
                <w:sz w:val="10"/>
                <w:szCs w:val="1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Payment Date</w:t>
            </w:r>
          </w:p>
        </w:tc>
        <w:tc>
          <w:tcPr>
            <w:tcW w:w="180" w:type="dxa"/>
            <w:vAlign w:val="bottom"/>
            <w:tcBorders>
              <w:bottom w:val="single" w:sz="8" w:color="CFF0FC"/>
            </w:tcBorders>
          </w:tcPr>
          <w:p>
            <w:pPr>
              <w:spacing w:after="0"/>
              <w:rPr>
                <w:sz w:val="10"/>
                <w:szCs w:val="10"/>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Cash Dividend Per Share</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Record Date</w:t>
            </w:r>
          </w:p>
        </w:tc>
      </w:tr>
      <w:tr>
        <w:trPr>
          <w:trHeight w:val="142"/>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2020 - December 31, 2020</w:t>
            </w:r>
          </w:p>
        </w:tc>
        <w:tc>
          <w:tcPr>
            <w:tcW w:w="222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90"/>
              </w:rPr>
              <w:t>January 4, 2021</w:t>
            </w:r>
          </w:p>
        </w:tc>
        <w:tc>
          <w:tcPr>
            <w:tcW w:w="1600" w:type="dxa"/>
            <w:vAlign w:val="bottom"/>
            <w:shd w:val="clear" w:color="auto" w:fill="CFF0FC"/>
          </w:tcPr>
          <w:p>
            <w:pPr>
              <w:jc w:val="right"/>
              <w:ind w:right="149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0.15</w:t>
            </w:r>
          </w:p>
        </w:tc>
        <w:tc>
          <w:tcPr>
            <w:tcW w:w="300" w:type="dxa"/>
            <w:vAlign w:val="bottom"/>
            <w:shd w:val="clear" w:color="auto" w:fill="CFF0FC"/>
          </w:tcPr>
          <w:p>
            <w:pPr>
              <w:spacing w:after="0"/>
              <w:rPr>
                <w:sz w:val="12"/>
                <w:szCs w:val="12"/>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December 15, 2020</w:t>
            </w: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January 1, 2021 - March 31, 2021</w:t>
            </w:r>
          </w:p>
        </w:tc>
        <w:tc>
          <w:tcPr>
            <w:tcW w:w="2220" w:type="dxa"/>
            <w:vAlign w:val="bottom"/>
            <w:gridSpan w:val="2"/>
          </w:tcPr>
          <w:p>
            <w:pPr>
              <w:jc w:val="center"/>
              <w:ind w:right="200"/>
              <w:spacing w:after="0"/>
              <w:rPr>
                <w:sz w:val="20"/>
                <w:szCs w:val="20"/>
                <w:color w:val="auto"/>
              </w:rPr>
            </w:pPr>
            <w:r>
              <w:rPr>
                <w:rFonts w:ascii="Arial" w:cs="Arial" w:eastAsia="Arial" w:hAnsi="Arial"/>
                <w:sz w:val="12"/>
                <w:szCs w:val="12"/>
                <w:color w:val="auto"/>
                <w:w w:val="94"/>
              </w:rPr>
              <w:t>April 16, 2021</w:t>
            </w:r>
          </w:p>
        </w:tc>
        <w:tc>
          <w:tcPr>
            <w:tcW w:w="1600" w:type="dxa"/>
            <w:vAlign w:val="bottom"/>
          </w:tcPr>
          <w:p>
            <w:pPr>
              <w:jc w:val="right"/>
              <w:ind w:right="1492"/>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0.15</w:t>
            </w:r>
          </w:p>
        </w:tc>
        <w:tc>
          <w:tcPr>
            <w:tcW w:w="3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4"/>
              </w:rPr>
              <w:t>April 1, 2021</w:t>
            </w: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April 1, 2021 - June 30, 2021</w:t>
            </w:r>
          </w:p>
        </w:tc>
        <w:tc>
          <w:tcPr>
            <w:tcW w:w="222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89"/>
              </w:rPr>
              <w:t>July 2, 2021</w:t>
            </w:r>
          </w:p>
        </w:tc>
        <w:tc>
          <w:tcPr>
            <w:tcW w:w="1600" w:type="dxa"/>
            <w:vAlign w:val="bottom"/>
            <w:shd w:val="clear" w:color="auto" w:fill="CFF0FC"/>
          </w:tcPr>
          <w:p>
            <w:pPr>
              <w:jc w:val="right"/>
              <w:ind w:right="149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0.15</w:t>
            </w:r>
          </w:p>
        </w:tc>
        <w:tc>
          <w:tcPr>
            <w:tcW w:w="300" w:type="dxa"/>
            <w:vAlign w:val="bottom"/>
            <w:shd w:val="clear" w:color="auto" w:fill="CFF0FC"/>
          </w:tcPr>
          <w:p>
            <w:pPr>
              <w:spacing w:after="0"/>
              <w:rPr>
                <w:sz w:val="13"/>
                <w:szCs w:val="13"/>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June 18, 2021</w:t>
            </w: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July 1, 2021 - September 30, 2021</w:t>
            </w:r>
          </w:p>
        </w:tc>
        <w:tc>
          <w:tcPr>
            <w:tcW w:w="222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October 1, 2021</w:t>
            </w:r>
          </w:p>
        </w:tc>
        <w:tc>
          <w:tcPr>
            <w:tcW w:w="1600" w:type="dxa"/>
            <w:vAlign w:val="bottom"/>
          </w:tcPr>
          <w:p>
            <w:pPr>
              <w:jc w:val="right"/>
              <w:ind w:right="1492"/>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0.15</w:t>
            </w:r>
          </w:p>
        </w:tc>
        <w:tc>
          <w:tcPr>
            <w:tcW w:w="3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8"/>
              </w:rPr>
              <w:t>September 17, 2021</w:t>
            </w: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2021 - December 31, 2021</w:t>
            </w:r>
          </w:p>
        </w:tc>
        <w:tc>
          <w:tcPr>
            <w:tcW w:w="222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90"/>
              </w:rPr>
              <w:t>January 3, 2022</w:t>
            </w:r>
          </w:p>
        </w:tc>
        <w:tc>
          <w:tcPr>
            <w:tcW w:w="1600" w:type="dxa"/>
            <w:vAlign w:val="bottom"/>
            <w:shd w:val="clear" w:color="auto" w:fill="CFF0FC"/>
          </w:tcPr>
          <w:p>
            <w:pPr>
              <w:jc w:val="right"/>
              <w:ind w:right="149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0.15</w:t>
            </w:r>
          </w:p>
        </w:tc>
        <w:tc>
          <w:tcPr>
            <w:tcW w:w="300" w:type="dxa"/>
            <w:vAlign w:val="bottom"/>
            <w:shd w:val="clear" w:color="auto" w:fill="CFF0FC"/>
          </w:tcPr>
          <w:p>
            <w:pPr>
              <w:spacing w:after="0"/>
              <w:rPr>
                <w:sz w:val="13"/>
                <w:szCs w:val="13"/>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December 17, 2021</w:t>
            </w:r>
          </w:p>
        </w:tc>
      </w:tr>
    </w:tbl>
    <w:p>
      <w:pPr>
        <w:spacing w:after="0" w:line="135"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 In addition, until such time our consolidated net leverage ratio (as defined in the indenture governing the 2025 Secured Notes) is no greater than 5.75 to 1.0, our 2025 Secured Notes generally limit our ability to pay cash dividends in excess of 90% of our REIT taxable income, determined without regard to the dividends paid deduction and excluding any net capital gains.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00" w:type="dxa"/>
            <w:vAlign w:val="bottom"/>
            <w:gridSpan w:val="2"/>
          </w:tcPr>
          <w:p>
            <w:pPr>
              <w:spacing w:after="0"/>
              <w:rPr>
                <w:sz w:val="20"/>
                <w:szCs w:val="20"/>
                <w:color w:val="auto"/>
              </w:rPr>
            </w:pPr>
            <w:r>
              <w:rPr>
                <w:rFonts w:ascii="Arial" w:cs="Arial" w:eastAsia="Arial" w:hAnsi="Arial"/>
                <w:sz w:val="12"/>
                <w:szCs w:val="12"/>
                <w:b w:val="1"/>
                <w:bCs w:val="1"/>
                <w:color w:val="auto"/>
              </w:rPr>
              <w:t>Capital Expenditures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740" w:type="dxa"/>
            <w:vAlign w:val="bottom"/>
            <w:gridSpan w:val="7"/>
            <w:vMerge w:val="restart"/>
          </w:tcPr>
          <w:p>
            <w:pPr>
              <w:spacing w:after="0"/>
              <w:rPr>
                <w:sz w:val="20"/>
                <w:szCs w:val="20"/>
                <w:color w:val="auto"/>
              </w:rPr>
            </w:pPr>
            <w:r>
              <w:rPr>
                <w:rFonts w:ascii="Arial" w:cs="Arial" w:eastAsia="Arial" w:hAnsi="Arial"/>
                <w:sz w:val="12"/>
                <w:szCs w:val="12"/>
                <w:b w:val="1"/>
                <w:bCs w:val="1"/>
                <w:color w:val="auto"/>
              </w:rPr>
              <w:t>Year Ended December 31, 2021</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7"/>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gridSpan w:val="2"/>
          </w:tcPr>
          <w:p>
            <w:pPr>
              <w:spacing w:after="0"/>
              <w:rPr>
                <w:sz w:val="20"/>
                <w:szCs w:val="20"/>
                <w:color w:val="auto"/>
              </w:rPr>
            </w:pPr>
            <w:r>
              <w:rPr>
                <w:rFonts w:ascii="Arial" w:cs="Arial" w:eastAsia="Arial" w:hAnsi="Arial"/>
                <w:sz w:val="12"/>
                <w:szCs w:val="12"/>
                <w:color w:val="auto"/>
              </w:rPr>
              <w:t>(Thousands)</w:t>
            </w:r>
          </w:p>
        </w:tc>
        <w:tc>
          <w:tcPr>
            <w:tcW w:w="80" w:type="dxa"/>
            <w:vAlign w:val="bottom"/>
          </w:tcPr>
          <w:p>
            <w:pPr>
              <w:spacing w:after="0"/>
              <w:rPr>
                <w:sz w:val="12"/>
                <w:szCs w:val="12"/>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Success Based</w:t>
            </w:r>
          </w:p>
        </w:tc>
        <w:tc>
          <w:tcPr>
            <w:tcW w:w="120" w:type="dxa"/>
            <w:vAlign w:val="bottom"/>
          </w:tcPr>
          <w:p>
            <w:pPr>
              <w:spacing w:after="0"/>
              <w:rPr>
                <w:sz w:val="12"/>
                <w:szCs w:val="12"/>
                <w:color w:val="auto"/>
              </w:rPr>
            </w:pPr>
          </w:p>
        </w:tc>
        <w:tc>
          <w:tcPr>
            <w:tcW w:w="960" w:type="dxa"/>
            <w:vAlign w:val="bottom"/>
          </w:tcPr>
          <w:p>
            <w:pPr>
              <w:jc w:val="right"/>
              <w:ind w:right="160"/>
              <w:spacing w:after="0"/>
              <w:rPr>
                <w:sz w:val="20"/>
                <w:szCs w:val="20"/>
                <w:color w:val="auto"/>
              </w:rPr>
            </w:pPr>
            <w:r>
              <w:rPr>
                <w:rFonts w:ascii="Arial" w:cs="Arial" w:eastAsia="Arial" w:hAnsi="Arial"/>
                <w:sz w:val="12"/>
                <w:szCs w:val="12"/>
                <w:b w:val="1"/>
                <w:bCs w:val="1"/>
                <w:color w:val="auto"/>
                <w:w w:val="98"/>
              </w:rPr>
              <w:t>Maintenance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Integration</w:t>
            </w:r>
          </w:p>
        </w:tc>
        <w:tc>
          <w:tcPr>
            <w:tcW w:w="12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Non-Network</w:t>
            </w:r>
          </w:p>
        </w:tc>
        <w:tc>
          <w:tcPr>
            <w:tcW w:w="240" w:type="dxa"/>
            <w:vAlign w:val="bottom"/>
          </w:tcPr>
          <w:p>
            <w:pPr>
              <w:spacing w:after="0"/>
              <w:rPr>
                <w:sz w:val="12"/>
                <w:szCs w:val="12"/>
                <w:color w:val="auto"/>
              </w:rPr>
            </w:pPr>
          </w:p>
        </w:tc>
        <w:tc>
          <w:tcPr>
            <w:tcW w:w="860" w:type="dxa"/>
            <w:vAlign w:val="bottom"/>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Capital expenditures:</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00" w:type="dxa"/>
            <w:vAlign w:val="bottom"/>
            <w:gridSpan w:val="2"/>
          </w:tcPr>
          <w:p>
            <w:pPr>
              <w:ind w:left="160"/>
              <w:spacing w:after="0"/>
              <w:rPr>
                <w:sz w:val="20"/>
                <w:szCs w:val="20"/>
                <w:color w:val="auto"/>
              </w:rPr>
            </w:pPr>
            <w:r>
              <w:rPr>
                <w:rFonts w:ascii="Arial" w:cs="Arial" w:eastAsia="Arial" w:hAnsi="Arial"/>
                <w:sz w:val="12"/>
                <w:szCs w:val="12"/>
                <w:color w:val="auto"/>
              </w:rPr>
              <w:t>Leasing</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1,753</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1,753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Growth capital improvements</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221,498</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221,498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00" w:type="dxa"/>
            <w:vAlign w:val="bottom"/>
            <w:gridSpan w:val="2"/>
          </w:tcPr>
          <w:p>
            <w:pPr>
              <w:ind w:left="160"/>
              <w:spacing w:after="0"/>
              <w:rPr>
                <w:sz w:val="20"/>
                <w:szCs w:val="20"/>
                <w:color w:val="auto"/>
              </w:rPr>
            </w:pPr>
            <w:r>
              <w:rPr>
                <w:rFonts w:ascii="Arial" w:cs="Arial" w:eastAsia="Arial" w:hAnsi="Arial"/>
                <w:sz w:val="12"/>
                <w:szCs w:val="12"/>
                <w:color w:val="auto"/>
              </w:rPr>
              <w:t>Fiber Infrastructure</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152,219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8,342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490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1,412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162,463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Corporate</w:t>
            </w:r>
          </w:p>
        </w:tc>
        <w:tc>
          <w:tcPr>
            <w:tcW w:w="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141</w:t>
            </w:r>
          </w:p>
        </w:tc>
        <w:tc>
          <w:tcPr>
            <w:tcW w:w="24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00" w:type="dxa"/>
            <w:vAlign w:val="bottom"/>
            <w:gridSpan w:val="2"/>
          </w:tcPr>
          <w:p>
            <w:pPr>
              <w:ind w:left="240"/>
              <w:spacing w:after="0"/>
              <w:rPr>
                <w:sz w:val="20"/>
                <w:szCs w:val="20"/>
                <w:color w:val="auto"/>
              </w:rPr>
            </w:pPr>
            <w:r>
              <w:rPr>
                <w:rFonts w:ascii="Arial" w:cs="Arial" w:eastAsia="Arial" w:hAnsi="Arial"/>
                <w:sz w:val="12"/>
                <w:szCs w:val="12"/>
                <w:color w:val="auto"/>
              </w:rPr>
              <w:t>Total capital expenditures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375,470</w:t>
            </w:r>
          </w:p>
        </w:tc>
        <w:tc>
          <w:tcPr>
            <w:tcW w:w="24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8,342</w:t>
            </w:r>
          </w:p>
        </w:tc>
        <w:tc>
          <w:tcPr>
            <w:tcW w:w="24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w:t>
            </w:r>
          </w:p>
        </w:tc>
        <w:tc>
          <w:tcPr>
            <w:tcW w:w="24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1,553</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385,855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under the terms of the Windstream Leases), to reimburse growth capital expenditures in certain of our lease arrangements where we are the lessor.</w:t>
      </w:r>
    </w:p>
    <w:p>
      <w:pPr>
        <w:spacing w:after="0" w:line="128" w:lineRule="exact"/>
        <w:rPr>
          <w:sz w:val="20"/>
          <w:szCs w:val="20"/>
          <w:color w:val="auto"/>
        </w:rPr>
      </w:pPr>
    </w:p>
    <w:p>
      <w:pPr>
        <w:ind w:right="40"/>
        <w:spacing w:after="0" w:line="379" w:lineRule="auto"/>
        <w:rPr>
          <w:sz w:val="20"/>
          <w:szCs w:val="20"/>
          <w:color w:val="auto"/>
        </w:rPr>
      </w:pPr>
      <w:r>
        <w:rPr>
          <w:rFonts w:ascii="Arial" w:cs="Arial" w:eastAsia="Arial" w:hAnsi="Arial"/>
          <w:sz w:val="10"/>
          <w:szCs w:val="10"/>
          <w:color w:val="auto"/>
        </w:rPr>
        <w:t>Uniti’s total annual reimbursement commitments to Windstream for the Growth Capital Improvements is discussed above in this Part II, Item 7 “Management’s Discussion and Analysis of Financial Condition and Results of Operations in “Liquidity and Capital Resources—Windstream Master Lease and Windstream Leases.” Growth Capital Improvements are treated as success-based capital improvements based on the rents paid with respect to such amounts.</w:t>
      </w:r>
    </w:p>
    <w:p>
      <w:pPr>
        <w:spacing w:after="0" w:line="69"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If circumstances warrant, we may need to take measures to conserve cash, which may include a suspension, delay or reduction in success-based capital expenditures. We continually assess our capital expenditure plans in light of developments the impact COVID-19 has on our business and that of our tenants and customers.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Rate Risk</w:t>
      </w:r>
    </w:p>
    <w:p>
      <w:pPr>
        <w:spacing w:after="0" w:line="150"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In fiscal year 2021, our primary market risk exposure was interest rate risk with respect to our variable rate indebtedness under our Revolving Credit Facility, which had an aggregate principal amount of $200 million as of December 31, 2021. A hypothetical 10% change in interest rates effective at December 31, 2021, would have had a $0.9 million impact on Uniti’s results of operations for the year ended December 31, 2021.</w:t>
      </w:r>
    </w:p>
    <w:p>
      <w:pPr>
        <w:spacing w:after="0" w:line="9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31" w:right="419" w:bottom="1440" w:gutter="0" w:footer="0" w:header="0"/>
        </w:sectPr>
      </w:pPr>
    </w:p>
    <w:bookmarkStart w:id="55" w:name="page56"/>
    <w:bookmarkEnd w:id="55"/>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60" w:type="dxa"/>
            <w:vAlign w:val="bottom"/>
            <w:gridSpan w:val="2"/>
          </w:tcPr>
          <w:p>
            <w:pPr>
              <w:jc w:val="center"/>
              <w:ind w:right="4380"/>
              <w:spacing w:after="0"/>
              <w:rPr>
                <w:sz w:val="20"/>
                <w:szCs w:val="20"/>
                <w:color w:val="auto"/>
              </w:rPr>
            </w:pPr>
            <w:r>
              <w:rPr>
                <w:rFonts w:ascii="Arial" w:cs="Arial" w:eastAsia="Arial" w:hAnsi="Arial"/>
                <w:sz w:val="12"/>
                <w:szCs w:val="12"/>
                <w:b w:val="1"/>
                <w:bCs w:val="1"/>
                <w:color w:val="auto"/>
                <w:w w:val="95"/>
              </w:rPr>
              <w:t>Uniti Group Inc.</w:t>
            </w:r>
          </w:p>
        </w:tc>
      </w:tr>
      <w:tr>
        <w:trPr>
          <w:trHeight w:val="144"/>
        </w:trPr>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60" w:type="dxa"/>
            <w:vAlign w:val="bottom"/>
            <w:gridSpan w:val="2"/>
          </w:tcPr>
          <w:p>
            <w:pPr>
              <w:jc w:val="center"/>
              <w:ind w:right="4380"/>
              <w:spacing w:after="0"/>
              <w:rPr>
                <w:sz w:val="20"/>
                <w:szCs w:val="20"/>
                <w:color w:val="auto"/>
              </w:rPr>
            </w:pPr>
            <w:r>
              <w:rPr>
                <w:rFonts w:ascii="Arial" w:cs="Arial" w:eastAsia="Arial" w:hAnsi="Arial"/>
                <w:sz w:val="12"/>
                <w:szCs w:val="12"/>
                <w:b w:val="1"/>
                <w:bCs w:val="1"/>
                <w:color w:val="auto"/>
                <w:w w:val="89"/>
              </w:rPr>
              <w:t>Consolidated Financial Statements</w:t>
            </w:r>
          </w:p>
        </w:tc>
      </w:tr>
      <w:tr>
        <w:trPr>
          <w:trHeight w:val="157"/>
        </w:trPr>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60" w:type="dxa"/>
            <w:vAlign w:val="bottom"/>
            <w:gridSpan w:val="2"/>
          </w:tcPr>
          <w:p>
            <w:pPr>
              <w:jc w:val="center"/>
              <w:ind w:right="4400"/>
              <w:spacing w:after="0"/>
              <w:rPr>
                <w:sz w:val="20"/>
                <w:szCs w:val="20"/>
                <w:color w:val="auto"/>
              </w:rPr>
            </w:pPr>
            <w:r>
              <w:rPr>
                <w:rFonts w:ascii="Arial" w:cs="Arial" w:eastAsia="Arial" w:hAnsi="Arial"/>
                <w:sz w:val="12"/>
                <w:szCs w:val="12"/>
                <w:b w:val="1"/>
                <w:bCs w:val="1"/>
                <w:color w:val="auto"/>
                <w:w w:val="89"/>
              </w:rPr>
              <w:t>Index to Financial Statements</w:t>
            </w:r>
          </w:p>
        </w:tc>
      </w:tr>
      <w:tr>
        <w:trPr>
          <w:trHeight w:val="297"/>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Page</w:t>
            </w:r>
          </w:p>
        </w:tc>
      </w:tr>
      <w:tr>
        <w:trPr>
          <w:trHeight w:val="115"/>
        </w:trPr>
        <w:tc>
          <w:tcPr>
            <w:tcW w:w="4440" w:type="dxa"/>
            <w:vAlign w:val="bottom"/>
            <w:gridSpan w:val="28"/>
          </w:tcPr>
          <w:p>
            <w:pPr>
              <w:spacing w:after="0" w:line="115" w:lineRule="exact"/>
              <w:rPr>
                <w:rFonts w:ascii="Arial" w:cs="Arial" w:eastAsia="Arial" w:hAnsi="Arial"/>
                <w:sz w:val="12"/>
                <w:szCs w:val="12"/>
                <w:color w:val="0000EE"/>
                <w:w w:val="98"/>
              </w:rPr>
            </w:pPr>
            <w:hyperlink w:anchor="page57">
              <w:r>
                <w:rPr>
                  <w:rFonts w:ascii="Arial" w:cs="Arial" w:eastAsia="Arial" w:hAnsi="Arial"/>
                  <w:sz w:val="12"/>
                  <w:szCs w:val="12"/>
                  <w:color w:val="0000EE"/>
                  <w:w w:val="98"/>
                </w:rPr>
                <w:t xml:space="preserve">Report of Independent Registered Public Accounting Firm </w:t>
              </w:r>
            </w:hyperlink>
            <w:r>
              <w:rPr>
                <w:rFonts w:ascii="Arial" w:cs="Arial" w:eastAsia="Arial" w:hAnsi="Arial"/>
                <w:sz w:val="12"/>
                <w:szCs w:val="12"/>
                <w:color w:val="000000"/>
                <w:w w:val="98"/>
              </w:rPr>
              <w:t>(PCAOB</w:t>
            </w:r>
            <w:r>
              <w:rPr>
                <w:rFonts w:ascii="Arial" w:cs="Arial" w:eastAsia="Arial" w:hAnsi="Arial"/>
                <w:sz w:val="12"/>
                <w:szCs w:val="12"/>
                <w:color w:val="0000EE"/>
                <w:w w:val="98"/>
              </w:rPr>
              <w:t xml:space="preserve"> </w:t>
            </w:r>
            <w:r>
              <w:rPr>
                <w:rFonts w:ascii="Arial" w:cs="Arial" w:eastAsia="Arial" w:hAnsi="Arial"/>
                <w:sz w:val="12"/>
                <w:szCs w:val="12"/>
                <w:color w:val="000000"/>
                <w:w w:val="98"/>
              </w:rPr>
              <w:t>ID: 185 and 238)</w:t>
            </w:r>
          </w:p>
        </w:tc>
        <w:tc>
          <w:tcPr>
            <w:tcW w:w="68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57</w:t>
            </w:r>
          </w:p>
        </w:tc>
      </w:tr>
      <w:tr>
        <w:trPr>
          <w:trHeight w:val="313"/>
        </w:trPr>
        <w:tc>
          <w:tcPr>
            <w:tcW w:w="2800" w:type="dxa"/>
            <w:vAlign w:val="bottom"/>
            <w:tcBorders>
              <w:top w:val="single" w:sz="8" w:color="0000EE"/>
            </w:tcBorders>
            <w:gridSpan w:val="25"/>
          </w:tcPr>
          <w:p>
            <w:pPr>
              <w:spacing w:after="0"/>
              <w:rPr>
                <w:sz w:val="20"/>
                <w:szCs w:val="20"/>
                <w:color w:val="auto"/>
              </w:rPr>
            </w:pPr>
            <w:r>
              <w:rPr>
                <w:rFonts w:ascii="Arial" w:cs="Arial" w:eastAsia="Arial" w:hAnsi="Arial"/>
                <w:sz w:val="12"/>
                <w:szCs w:val="12"/>
                <w:b w:val="1"/>
                <w:bCs w:val="1"/>
                <w:color w:val="auto"/>
              </w:rPr>
              <w:t>Uniti Group Inc.</w:t>
            </w:r>
          </w:p>
        </w:tc>
        <w:tc>
          <w:tcPr>
            <w:tcW w:w="1640" w:type="dxa"/>
            <w:vAlign w:val="bottom"/>
            <w:gridSpan w:val="3"/>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6"/>
        </w:trPr>
        <w:tc>
          <w:tcPr>
            <w:tcW w:w="4440" w:type="dxa"/>
            <w:vAlign w:val="bottom"/>
            <w:gridSpan w:val="28"/>
          </w:tcPr>
          <w:p>
            <w:pPr>
              <w:spacing w:after="0" w:line="126" w:lineRule="exact"/>
              <w:rPr>
                <w:rFonts w:ascii="Arial" w:cs="Arial" w:eastAsia="Arial" w:hAnsi="Arial"/>
                <w:sz w:val="12"/>
                <w:szCs w:val="12"/>
                <w:color w:val="0000EE"/>
              </w:rPr>
            </w:pPr>
            <w:hyperlink w:anchor="page62">
              <w:r>
                <w:rPr>
                  <w:rFonts w:ascii="Arial" w:cs="Arial" w:eastAsia="Arial" w:hAnsi="Arial"/>
                  <w:sz w:val="12"/>
                  <w:szCs w:val="12"/>
                  <w:color w:val="0000EE"/>
                </w:rPr>
                <w:t>Consolidated Balance Sheets</w:t>
              </w:r>
            </w:hyperlink>
          </w:p>
        </w:tc>
        <w:tc>
          <w:tcPr>
            <w:tcW w:w="686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62</w:t>
            </w:r>
          </w:p>
        </w:tc>
      </w:tr>
      <w:tr>
        <w:trPr>
          <w:trHeight w:val="20"/>
        </w:trPr>
        <w:tc>
          <w:tcPr>
            <w:tcW w:w="2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33"/>
        </w:trPr>
        <w:tc>
          <w:tcPr>
            <w:tcW w:w="4440" w:type="dxa"/>
            <w:vAlign w:val="bottom"/>
            <w:gridSpan w:val="28"/>
          </w:tcPr>
          <w:p>
            <w:pPr>
              <w:spacing w:after="0" w:line="133" w:lineRule="exact"/>
              <w:rPr>
                <w:rFonts w:ascii="Arial" w:cs="Arial" w:eastAsia="Arial" w:hAnsi="Arial"/>
                <w:sz w:val="12"/>
                <w:szCs w:val="12"/>
                <w:color w:val="0000EE"/>
              </w:rPr>
            </w:pPr>
            <w:hyperlink w:anchor="page63">
              <w:r>
                <w:rPr>
                  <w:rFonts w:ascii="Arial" w:cs="Arial" w:eastAsia="Arial" w:hAnsi="Arial"/>
                  <w:sz w:val="12"/>
                  <w:szCs w:val="12"/>
                  <w:color w:val="0000EE"/>
                </w:rPr>
                <w:t xml:space="preserve">Consolidated Statements of Income </w:t>
              </w:r>
            </w:hyperlink>
            <w:r>
              <w:rPr>
                <w:rFonts w:ascii="Arial" w:cs="Arial" w:eastAsia="Arial" w:hAnsi="Arial"/>
                <w:sz w:val="12"/>
                <w:szCs w:val="12"/>
                <w:color w:val="000000"/>
              </w:rPr>
              <w:t>(Loss)</w:t>
            </w: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63</w:t>
            </w:r>
          </w:p>
        </w:tc>
      </w:tr>
      <w:tr>
        <w:trPr>
          <w:trHeight w:val="20"/>
        </w:trPr>
        <w:tc>
          <w:tcPr>
            <w:tcW w:w="2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33"/>
        </w:trPr>
        <w:tc>
          <w:tcPr>
            <w:tcW w:w="4440" w:type="dxa"/>
            <w:vAlign w:val="bottom"/>
            <w:gridSpan w:val="28"/>
          </w:tcPr>
          <w:p>
            <w:pPr>
              <w:spacing w:after="0" w:line="133" w:lineRule="exact"/>
              <w:rPr>
                <w:rFonts w:ascii="Arial" w:cs="Arial" w:eastAsia="Arial" w:hAnsi="Arial"/>
                <w:sz w:val="12"/>
                <w:szCs w:val="12"/>
                <w:color w:val="0000EE"/>
              </w:rPr>
            </w:pPr>
            <w:hyperlink w:anchor="page64">
              <w:r>
                <w:rPr>
                  <w:rFonts w:ascii="Arial" w:cs="Arial" w:eastAsia="Arial" w:hAnsi="Arial"/>
                  <w:sz w:val="12"/>
                  <w:szCs w:val="12"/>
                  <w:color w:val="0000EE"/>
                </w:rPr>
                <w:t>Consolidated Statements of Comprehensive Income (Loss)</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64</w:t>
            </w:r>
          </w:p>
        </w:tc>
      </w:tr>
      <w:tr>
        <w:trPr>
          <w:trHeight w:val="133"/>
        </w:trPr>
        <w:tc>
          <w:tcPr>
            <w:tcW w:w="2380" w:type="dxa"/>
            <w:vAlign w:val="bottom"/>
            <w:tcBorders>
              <w:top w:val="single" w:sz="8" w:color="0000EE"/>
              <w:bottom w:val="single" w:sz="8" w:color="0000EE"/>
            </w:tcBorders>
            <w:gridSpan w:val="21"/>
          </w:tcPr>
          <w:p>
            <w:pPr>
              <w:spacing w:after="0" w:line="133" w:lineRule="exact"/>
              <w:rPr>
                <w:rFonts w:ascii="Arial" w:cs="Arial" w:eastAsia="Arial" w:hAnsi="Arial"/>
                <w:sz w:val="12"/>
                <w:szCs w:val="12"/>
                <w:color w:val="0000EE"/>
                <w:w w:val="90"/>
              </w:rPr>
            </w:pPr>
            <w:hyperlink w:anchor="page65">
              <w:r>
                <w:rPr>
                  <w:rFonts w:ascii="Arial" w:cs="Arial" w:eastAsia="Arial" w:hAnsi="Arial"/>
                  <w:sz w:val="12"/>
                  <w:szCs w:val="12"/>
                  <w:color w:val="0000EE"/>
                  <w:w w:val="90"/>
                </w:rPr>
                <w:t>Consolidated Statements of Shareholders’ Deficit</w:t>
              </w:r>
            </w:hyperlink>
          </w:p>
        </w:tc>
        <w:tc>
          <w:tcPr>
            <w:tcW w:w="440" w:type="dxa"/>
            <w:vAlign w:val="bottom"/>
            <w:tcBorders>
              <w:top w:val="single" w:sz="8" w:color="0000EE"/>
            </w:tcBorders>
            <w:gridSpan w:val="5"/>
          </w:tcPr>
          <w:p>
            <w:pPr>
              <w:spacing w:after="0"/>
              <w:rPr>
                <w:sz w:val="11"/>
                <w:szCs w:val="11"/>
                <w:color w:val="auto"/>
              </w:rPr>
            </w:pPr>
          </w:p>
        </w:tc>
        <w:tc>
          <w:tcPr>
            <w:tcW w:w="1620" w:type="dxa"/>
            <w:vAlign w:val="bottom"/>
            <w:gridSpan w:val="2"/>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65</w:t>
            </w:r>
          </w:p>
        </w:tc>
      </w:tr>
      <w:tr>
        <w:trPr>
          <w:trHeight w:val="133"/>
        </w:trPr>
        <w:tc>
          <w:tcPr>
            <w:tcW w:w="4440" w:type="dxa"/>
            <w:vAlign w:val="bottom"/>
            <w:gridSpan w:val="28"/>
          </w:tcPr>
          <w:p>
            <w:pPr>
              <w:spacing w:after="0" w:line="133" w:lineRule="exact"/>
              <w:rPr>
                <w:rFonts w:ascii="Arial" w:cs="Arial" w:eastAsia="Arial" w:hAnsi="Arial"/>
                <w:sz w:val="12"/>
                <w:szCs w:val="12"/>
                <w:color w:val="0000EE"/>
              </w:rPr>
            </w:pPr>
            <w:hyperlink w:anchor="page66">
              <w:r>
                <w:rPr>
                  <w:rFonts w:ascii="Arial" w:cs="Arial" w:eastAsia="Arial" w:hAnsi="Arial"/>
                  <w:sz w:val="12"/>
                  <w:szCs w:val="12"/>
                  <w:color w:val="0000EE"/>
                </w:rPr>
                <w:t>Consolidated Statements of Cash Flows</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66</w:t>
            </w:r>
          </w:p>
        </w:tc>
      </w:tr>
      <w:tr>
        <w:trPr>
          <w:trHeight w:val="20"/>
        </w:trPr>
        <w:tc>
          <w:tcPr>
            <w:tcW w:w="2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33"/>
        </w:trPr>
        <w:tc>
          <w:tcPr>
            <w:tcW w:w="2100" w:type="dxa"/>
            <w:vAlign w:val="bottom"/>
            <w:tcBorders>
              <w:bottom w:val="single" w:sz="8" w:color="0000EE"/>
            </w:tcBorders>
            <w:gridSpan w:val="17"/>
          </w:tcPr>
          <w:p>
            <w:pPr>
              <w:spacing w:after="0" w:line="133" w:lineRule="exact"/>
              <w:rPr>
                <w:rFonts w:ascii="Arial" w:cs="Arial" w:eastAsia="Arial" w:hAnsi="Arial"/>
                <w:sz w:val="12"/>
                <w:szCs w:val="12"/>
                <w:color w:val="0000EE"/>
                <w:w w:val="89"/>
              </w:rPr>
            </w:pPr>
            <w:hyperlink w:anchor="page67">
              <w:r>
                <w:rPr>
                  <w:rFonts w:ascii="Arial" w:cs="Arial" w:eastAsia="Arial" w:hAnsi="Arial"/>
                  <w:sz w:val="12"/>
                  <w:szCs w:val="12"/>
                  <w:color w:val="0000EE"/>
                  <w:w w:val="89"/>
                </w:rPr>
                <w:t>Notes to Consolidated Financial Statements</w:t>
              </w:r>
            </w:hyperlink>
          </w:p>
        </w:tc>
        <w:tc>
          <w:tcPr>
            <w:tcW w:w="2340" w:type="dxa"/>
            <w:vAlign w:val="bottom"/>
            <w:gridSpan w:val="11"/>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67</w:t>
            </w:r>
          </w:p>
        </w:tc>
      </w:tr>
      <w:tr>
        <w:trPr>
          <w:trHeight w:val="133"/>
        </w:trPr>
        <w:tc>
          <w:tcPr>
            <w:tcW w:w="200" w:type="dxa"/>
            <w:vAlign w:val="bottom"/>
          </w:tcPr>
          <w:p>
            <w:pPr>
              <w:spacing w:after="0"/>
              <w:rPr>
                <w:sz w:val="11"/>
                <w:szCs w:val="11"/>
                <w:color w:val="auto"/>
              </w:rPr>
            </w:pPr>
          </w:p>
        </w:tc>
        <w:tc>
          <w:tcPr>
            <w:tcW w:w="160" w:type="dxa"/>
            <w:vAlign w:val="bottom"/>
          </w:tcPr>
          <w:p>
            <w:pPr>
              <w:spacing w:after="0" w:line="133" w:lineRule="exact"/>
              <w:rPr>
                <w:rFonts w:ascii="Arial" w:cs="Arial" w:eastAsia="Arial" w:hAnsi="Arial"/>
                <w:sz w:val="12"/>
                <w:szCs w:val="12"/>
                <w:color w:val="0000EE"/>
              </w:rPr>
            </w:pPr>
            <w:hyperlink w:anchor="page67">
              <w:r>
                <w:rPr>
                  <w:rFonts w:ascii="Arial" w:cs="Arial" w:eastAsia="Arial" w:hAnsi="Arial"/>
                  <w:sz w:val="12"/>
                  <w:szCs w:val="12"/>
                  <w:color w:val="0000EE"/>
                </w:rPr>
                <w:t>1.</w:t>
              </w:r>
            </w:hyperlink>
          </w:p>
        </w:tc>
        <w:tc>
          <w:tcPr>
            <w:tcW w:w="4080" w:type="dxa"/>
            <w:vAlign w:val="bottom"/>
            <w:gridSpan w:val="26"/>
          </w:tcPr>
          <w:p>
            <w:pPr>
              <w:ind w:left="60"/>
              <w:spacing w:after="0" w:line="133" w:lineRule="exact"/>
              <w:rPr>
                <w:rFonts w:ascii="Arial" w:cs="Arial" w:eastAsia="Arial" w:hAnsi="Arial"/>
                <w:sz w:val="12"/>
                <w:szCs w:val="12"/>
                <w:color w:val="0000EE"/>
              </w:rPr>
            </w:pPr>
            <w:hyperlink w:anchor="page67">
              <w:r>
                <w:rPr>
                  <w:rFonts w:ascii="Arial" w:cs="Arial" w:eastAsia="Arial" w:hAnsi="Arial"/>
                  <w:sz w:val="12"/>
                  <w:szCs w:val="12"/>
                  <w:color w:val="0000EE"/>
                </w:rPr>
                <w:t>Organization and Description of Business</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67</w:t>
            </w:r>
          </w:p>
        </w:tc>
      </w:tr>
      <w:tr>
        <w:trPr>
          <w:trHeight w:val="133"/>
        </w:trPr>
        <w:tc>
          <w:tcPr>
            <w:tcW w:w="200" w:type="dxa"/>
            <w:vAlign w:val="bottom"/>
          </w:tcPr>
          <w:p>
            <w:pPr>
              <w:spacing w:after="0"/>
              <w:rPr>
                <w:sz w:val="11"/>
                <w:szCs w:val="11"/>
                <w:color w:val="auto"/>
              </w:rPr>
            </w:pPr>
          </w:p>
        </w:tc>
        <w:tc>
          <w:tcPr>
            <w:tcW w:w="160" w:type="dxa"/>
            <w:vAlign w:val="bottom"/>
            <w:tcBorders>
              <w:top w:val="single" w:sz="8" w:color="0000EE"/>
              <w:bottom w:val="single" w:sz="8" w:color="0000EE"/>
            </w:tcBorders>
          </w:tcPr>
          <w:p>
            <w:pPr>
              <w:spacing w:after="0" w:line="133" w:lineRule="exact"/>
              <w:rPr>
                <w:rFonts w:ascii="Arial" w:cs="Arial" w:eastAsia="Arial" w:hAnsi="Arial"/>
                <w:sz w:val="12"/>
                <w:szCs w:val="12"/>
                <w:color w:val="0000EE"/>
              </w:rPr>
            </w:pPr>
            <w:hyperlink w:anchor="page67">
              <w:r>
                <w:rPr>
                  <w:rFonts w:ascii="Arial" w:cs="Arial" w:eastAsia="Arial" w:hAnsi="Arial"/>
                  <w:sz w:val="12"/>
                  <w:szCs w:val="12"/>
                  <w:color w:val="0000EE"/>
                </w:rPr>
                <w:t>2.</w:t>
              </w:r>
            </w:hyperlink>
          </w:p>
        </w:tc>
        <w:tc>
          <w:tcPr>
            <w:tcW w:w="20" w:type="dxa"/>
            <w:vAlign w:val="bottom"/>
            <w:tcBorders>
              <w:top w:val="single" w:sz="8" w:color="0000EE"/>
              <w:bottom w:val="single" w:sz="8" w:color="0000EE"/>
            </w:tcBorders>
          </w:tcPr>
          <w:p>
            <w:pPr>
              <w:spacing w:after="0"/>
              <w:rPr>
                <w:sz w:val="11"/>
                <w:szCs w:val="11"/>
                <w:color w:val="auto"/>
              </w:rPr>
            </w:pPr>
          </w:p>
        </w:tc>
        <w:tc>
          <w:tcPr>
            <w:tcW w:w="1060" w:type="dxa"/>
            <w:vAlign w:val="bottom"/>
            <w:tcBorders>
              <w:top w:val="single" w:sz="8" w:color="0000EE"/>
              <w:bottom w:val="single" w:sz="8" w:color="0000EE"/>
            </w:tcBorders>
            <w:gridSpan w:val="6"/>
          </w:tcPr>
          <w:p>
            <w:pPr>
              <w:ind w:left="40"/>
              <w:spacing w:after="0" w:line="133" w:lineRule="exact"/>
              <w:rPr>
                <w:rFonts w:ascii="Arial" w:cs="Arial" w:eastAsia="Arial" w:hAnsi="Arial"/>
                <w:sz w:val="12"/>
                <w:szCs w:val="12"/>
                <w:color w:val="0000EE"/>
                <w:w w:val="88"/>
              </w:rPr>
            </w:pPr>
            <w:hyperlink w:anchor="page67">
              <w:r>
                <w:rPr>
                  <w:rFonts w:ascii="Arial" w:cs="Arial" w:eastAsia="Arial" w:hAnsi="Arial"/>
                  <w:sz w:val="12"/>
                  <w:szCs w:val="12"/>
                  <w:color w:val="0000EE"/>
                  <w:w w:val="88"/>
                </w:rPr>
                <w:t>Basis of Presentation</w:t>
              </w:r>
            </w:hyperlink>
          </w:p>
        </w:tc>
        <w:tc>
          <w:tcPr>
            <w:tcW w:w="980" w:type="dxa"/>
            <w:vAlign w:val="bottom"/>
            <w:tcBorders>
              <w:top w:val="single" w:sz="8" w:color="0000EE"/>
            </w:tcBorders>
            <w:gridSpan w:val="13"/>
          </w:tcPr>
          <w:p>
            <w:pPr>
              <w:spacing w:after="0"/>
              <w:rPr>
                <w:sz w:val="11"/>
                <w:szCs w:val="11"/>
                <w:color w:val="auto"/>
              </w:rPr>
            </w:pPr>
          </w:p>
        </w:tc>
        <w:tc>
          <w:tcPr>
            <w:tcW w:w="2020" w:type="dxa"/>
            <w:vAlign w:val="bottom"/>
            <w:gridSpan w:val="6"/>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67</w:t>
            </w:r>
          </w:p>
        </w:tc>
      </w:tr>
      <w:tr>
        <w:trPr>
          <w:trHeight w:val="133"/>
        </w:trPr>
        <w:tc>
          <w:tcPr>
            <w:tcW w:w="200" w:type="dxa"/>
            <w:vAlign w:val="bottom"/>
          </w:tcPr>
          <w:p>
            <w:pPr>
              <w:spacing w:after="0"/>
              <w:rPr>
                <w:sz w:val="11"/>
                <w:szCs w:val="11"/>
                <w:color w:val="auto"/>
              </w:rPr>
            </w:pPr>
          </w:p>
        </w:tc>
        <w:tc>
          <w:tcPr>
            <w:tcW w:w="160" w:type="dxa"/>
            <w:vAlign w:val="bottom"/>
            <w:tcBorders>
              <w:bottom w:val="single" w:sz="8" w:color="0000EE"/>
            </w:tcBorders>
          </w:tcPr>
          <w:p>
            <w:pPr>
              <w:spacing w:after="0" w:line="133" w:lineRule="exact"/>
              <w:rPr>
                <w:rFonts w:ascii="Arial" w:cs="Arial" w:eastAsia="Arial" w:hAnsi="Arial"/>
                <w:sz w:val="12"/>
                <w:szCs w:val="12"/>
                <w:color w:val="0000EE"/>
              </w:rPr>
            </w:pPr>
            <w:hyperlink w:anchor="page68">
              <w:r>
                <w:rPr>
                  <w:rFonts w:ascii="Arial" w:cs="Arial" w:eastAsia="Arial" w:hAnsi="Arial"/>
                  <w:sz w:val="12"/>
                  <w:szCs w:val="12"/>
                  <w:color w:val="0000EE"/>
                </w:rPr>
                <w:t>3.</w:t>
              </w:r>
            </w:hyperlink>
          </w:p>
        </w:tc>
        <w:tc>
          <w:tcPr>
            <w:tcW w:w="2220" w:type="dxa"/>
            <w:vAlign w:val="bottom"/>
            <w:tcBorders>
              <w:bottom w:val="single" w:sz="8" w:color="0000EE"/>
            </w:tcBorders>
            <w:gridSpan w:val="21"/>
          </w:tcPr>
          <w:p>
            <w:pPr>
              <w:ind w:left="60"/>
              <w:spacing w:after="0" w:line="133" w:lineRule="exact"/>
              <w:rPr>
                <w:rFonts w:ascii="Arial" w:cs="Arial" w:eastAsia="Arial" w:hAnsi="Arial"/>
                <w:sz w:val="12"/>
                <w:szCs w:val="12"/>
                <w:color w:val="0000EE"/>
                <w:w w:val="92"/>
              </w:rPr>
            </w:pPr>
            <w:hyperlink w:anchor="page68">
              <w:r>
                <w:rPr>
                  <w:rFonts w:ascii="Arial" w:cs="Arial" w:eastAsia="Arial" w:hAnsi="Arial"/>
                  <w:sz w:val="12"/>
                  <w:szCs w:val="12"/>
                  <w:color w:val="0000EE"/>
                  <w:w w:val="92"/>
                </w:rPr>
                <w:t>Summary of Significant Accounting Policies</w:t>
              </w:r>
            </w:hyperlink>
          </w:p>
        </w:tc>
        <w:tc>
          <w:tcPr>
            <w:tcW w:w="1860" w:type="dxa"/>
            <w:vAlign w:val="bottom"/>
            <w:gridSpan w:val="5"/>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68</w:t>
            </w:r>
          </w:p>
        </w:tc>
      </w:tr>
      <w:tr>
        <w:trPr>
          <w:trHeight w:val="133"/>
        </w:trPr>
        <w:tc>
          <w:tcPr>
            <w:tcW w:w="200" w:type="dxa"/>
            <w:vAlign w:val="bottom"/>
          </w:tcPr>
          <w:p>
            <w:pPr>
              <w:spacing w:after="0"/>
              <w:rPr>
                <w:sz w:val="11"/>
                <w:szCs w:val="11"/>
                <w:color w:val="auto"/>
              </w:rPr>
            </w:pPr>
          </w:p>
        </w:tc>
        <w:tc>
          <w:tcPr>
            <w:tcW w:w="160" w:type="dxa"/>
            <w:vAlign w:val="bottom"/>
          </w:tcPr>
          <w:p>
            <w:pPr>
              <w:spacing w:after="0" w:line="133" w:lineRule="exact"/>
              <w:rPr>
                <w:rFonts w:ascii="Arial" w:cs="Arial" w:eastAsia="Arial" w:hAnsi="Arial"/>
                <w:sz w:val="12"/>
                <w:szCs w:val="12"/>
                <w:color w:val="0000EE"/>
              </w:rPr>
            </w:pPr>
            <w:hyperlink w:anchor="page79">
              <w:r>
                <w:rPr>
                  <w:rFonts w:ascii="Arial" w:cs="Arial" w:eastAsia="Arial" w:hAnsi="Arial"/>
                  <w:sz w:val="12"/>
                  <w:szCs w:val="12"/>
                  <w:color w:val="0000EE"/>
                </w:rPr>
                <w:t>4.</w:t>
              </w:r>
            </w:hyperlink>
          </w:p>
        </w:tc>
        <w:tc>
          <w:tcPr>
            <w:tcW w:w="20" w:type="dxa"/>
            <w:vAlign w:val="bottom"/>
          </w:tcPr>
          <w:p>
            <w:pPr>
              <w:spacing w:after="0"/>
              <w:rPr>
                <w:sz w:val="11"/>
                <w:szCs w:val="11"/>
                <w:color w:val="auto"/>
              </w:rPr>
            </w:pPr>
          </w:p>
        </w:tc>
        <w:tc>
          <w:tcPr>
            <w:tcW w:w="4060" w:type="dxa"/>
            <w:vAlign w:val="bottom"/>
            <w:gridSpan w:val="25"/>
          </w:tcPr>
          <w:p>
            <w:pPr>
              <w:ind w:left="40"/>
              <w:spacing w:after="0" w:line="133" w:lineRule="exact"/>
              <w:rPr>
                <w:rFonts w:ascii="Arial" w:cs="Arial" w:eastAsia="Arial" w:hAnsi="Arial"/>
                <w:sz w:val="12"/>
                <w:szCs w:val="12"/>
                <w:color w:val="0000EE"/>
              </w:rPr>
            </w:pPr>
            <w:hyperlink w:anchor="page79">
              <w:r>
                <w:rPr>
                  <w:rFonts w:ascii="Arial" w:cs="Arial" w:eastAsia="Arial" w:hAnsi="Arial"/>
                  <w:sz w:val="12"/>
                  <w:szCs w:val="12"/>
                  <w:color w:val="0000EE"/>
                </w:rPr>
                <w:t>Revenues</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79</w:t>
            </w:r>
          </w:p>
        </w:tc>
      </w:tr>
      <w:tr>
        <w:trPr>
          <w:trHeight w:val="133"/>
        </w:trPr>
        <w:tc>
          <w:tcPr>
            <w:tcW w:w="200" w:type="dxa"/>
            <w:vAlign w:val="bottom"/>
          </w:tcPr>
          <w:p>
            <w:pPr>
              <w:spacing w:after="0"/>
              <w:rPr>
                <w:sz w:val="11"/>
                <w:szCs w:val="11"/>
                <w:color w:val="auto"/>
              </w:rPr>
            </w:pPr>
          </w:p>
        </w:tc>
        <w:tc>
          <w:tcPr>
            <w:tcW w:w="160" w:type="dxa"/>
            <w:vAlign w:val="bottom"/>
            <w:tcBorders>
              <w:top w:val="single" w:sz="8" w:color="0000EE"/>
            </w:tcBorders>
          </w:tcPr>
          <w:p>
            <w:pPr>
              <w:spacing w:after="0" w:line="133" w:lineRule="exact"/>
              <w:rPr>
                <w:rFonts w:ascii="Arial" w:cs="Arial" w:eastAsia="Arial" w:hAnsi="Arial"/>
                <w:sz w:val="12"/>
                <w:szCs w:val="12"/>
                <w:color w:val="0000EE"/>
              </w:rPr>
            </w:pPr>
            <w:hyperlink w:anchor="page80">
              <w:r>
                <w:rPr>
                  <w:rFonts w:ascii="Arial" w:cs="Arial" w:eastAsia="Arial" w:hAnsi="Arial"/>
                  <w:sz w:val="12"/>
                  <w:szCs w:val="12"/>
                  <w:color w:val="0000EE"/>
                </w:rPr>
                <w:t>5.</w:t>
              </w:r>
            </w:hyperlink>
          </w:p>
        </w:tc>
        <w:tc>
          <w:tcPr>
            <w:tcW w:w="2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gridSpan w:val="2"/>
          </w:tcPr>
          <w:p>
            <w:pPr>
              <w:ind w:left="40"/>
              <w:spacing w:after="0" w:line="133" w:lineRule="exact"/>
              <w:rPr>
                <w:rFonts w:ascii="Arial" w:cs="Arial" w:eastAsia="Arial" w:hAnsi="Arial"/>
                <w:sz w:val="12"/>
                <w:szCs w:val="12"/>
                <w:color w:val="0000EE"/>
              </w:rPr>
            </w:pPr>
            <w:hyperlink w:anchor="page80">
              <w:r>
                <w:rPr>
                  <w:rFonts w:ascii="Arial" w:cs="Arial" w:eastAsia="Arial" w:hAnsi="Arial"/>
                  <w:sz w:val="12"/>
                  <w:szCs w:val="12"/>
                  <w:color w:val="0000EE"/>
                </w:rPr>
                <w:t>Leases</w:t>
              </w:r>
            </w:hyperlink>
          </w:p>
        </w:tc>
        <w:tc>
          <w:tcPr>
            <w:tcW w:w="3560" w:type="dxa"/>
            <w:vAlign w:val="bottom"/>
            <w:gridSpan w:val="23"/>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80</w:t>
            </w:r>
          </w:p>
        </w:tc>
      </w:tr>
      <w:tr>
        <w:trPr>
          <w:trHeight w:val="20"/>
        </w:trPr>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160" w:type="dxa"/>
            <w:vAlign w:val="bottom"/>
          </w:tcPr>
          <w:p>
            <w:pPr>
              <w:spacing w:after="0" w:line="133" w:lineRule="exact"/>
              <w:rPr>
                <w:rFonts w:ascii="Arial" w:cs="Arial" w:eastAsia="Arial" w:hAnsi="Arial"/>
                <w:sz w:val="12"/>
                <w:szCs w:val="12"/>
                <w:color w:val="0000EE"/>
              </w:rPr>
            </w:pPr>
            <w:hyperlink w:anchor="page85">
              <w:r>
                <w:rPr>
                  <w:rFonts w:ascii="Arial" w:cs="Arial" w:eastAsia="Arial" w:hAnsi="Arial"/>
                  <w:sz w:val="12"/>
                  <w:szCs w:val="12"/>
                  <w:color w:val="0000EE"/>
                </w:rPr>
                <w:t>6.</w:t>
              </w:r>
            </w:hyperlink>
          </w:p>
        </w:tc>
        <w:tc>
          <w:tcPr>
            <w:tcW w:w="4080" w:type="dxa"/>
            <w:vAlign w:val="bottom"/>
            <w:gridSpan w:val="26"/>
          </w:tcPr>
          <w:p>
            <w:pPr>
              <w:ind w:left="60"/>
              <w:spacing w:after="0" w:line="133" w:lineRule="exact"/>
              <w:rPr>
                <w:rFonts w:ascii="Arial" w:cs="Arial" w:eastAsia="Arial" w:hAnsi="Arial"/>
                <w:sz w:val="12"/>
                <w:szCs w:val="12"/>
                <w:color w:val="0000EE"/>
              </w:rPr>
            </w:pPr>
            <w:hyperlink w:anchor="page85">
              <w:r>
                <w:rPr>
                  <w:rFonts w:ascii="Arial" w:cs="Arial" w:eastAsia="Arial" w:hAnsi="Arial"/>
                  <w:sz w:val="12"/>
                  <w:szCs w:val="12"/>
                  <w:color w:val="0000EE"/>
                </w:rPr>
                <w:t>Business Combinations, Asset Acquisitions and Dispositions</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85</w:t>
            </w:r>
          </w:p>
        </w:tc>
      </w:tr>
      <w:tr>
        <w:trPr>
          <w:trHeight w:val="133"/>
        </w:trPr>
        <w:tc>
          <w:tcPr>
            <w:tcW w:w="200" w:type="dxa"/>
            <w:vAlign w:val="bottom"/>
          </w:tcPr>
          <w:p>
            <w:pPr>
              <w:spacing w:after="0"/>
              <w:rPr>
                <w:sz w:val="11"/>
                <w:szCs w:val="11"/>
                <w:color w:val="auto"/>
              </w:rPr>
            </w:pPr>
          </w:p>
        </w:tc>
        <w:tc>
          <w:tcPr>
            <w:tcW w:w="160" w:type="dxa"/>
            <w:vAlign w:val="bottom"/>
            <w:tcBorders>
              <w:top w:val="single" w:sz="8" w:color="0000EE"/>
              <w:bottom w:val="single" w:sz="8" w:color="0000EE"/>
            </w:tcBorders>
          </w:tcPr>
          <w:p>
            <w:pPr>
              <w:spacing w:after="0" w:line="133" w:lineRule="exact"/>
              <w:rPr>
                <w:rFonts w:ascii="Arial" w:cs="Arial" w:eastAsia="Arial" w:hAnsi="Arial"/>
                <w:sz w:val="12"/>
                <w:szCs w:val="12"/>
                <w:color w:val="0000EE"/>
              </w:rPr>
            </w:pPr>
            <w:hyperlink w:anchor="page88">
              <w:r>
                <w:rPr>
                  <w:rFonts w:ascii="Arial" w:cs="Arial" w:eastAsia="Arial" w:hAnsi="Arial"/>
                  <w:sz w:val="12"/>
                  <w:szCs w:val="12"/>
                  <w:color w:val="0000EE"/>
                </w:rPr>
                <w:t>7.</w:t>
              </w:r>
            </w:hyperlink>
          </w:p>
        </w:tc>
        <w:tc>
          <w:tcPr>
            <w:tcW w:w="1900" w:type="dxa"/>
            <w:vAlign w:val="bottom"/>
            <w:tcBorders>
              <w:top w:val="single" w:sz="8" w:color="0000EE"/>
              <w:bottom w:val="single" w:sz="8" w:color="0000EE"/>
            </w:tcBorders>
            <w:gridSpan w:val="17"/>
          </w:tcPr>
          <w:p>
            <w:pPr>
              <w:ind w:left="60"/>
              <w:spacing w:after="0" w:line="133" w:lineRule="exact"/>
              <w:rPr>
                <w:rFonts w:ascii="Arial" w:cs="Arial" w:eastAsia="Arial" w:hAnsi="Arial"/>
                <w:sz w:val="12"/>
                <w:szCs w:val="12"/>
                <w:color w:val="0000EE"/>
                <w:w w:val="90"/>
              </w:rPr>
            </w:pPr>
            <w:hyperlink w:anchor="page88">
              <w:r>
                <w:rPr>
                  <w:rFonts w:ascii="Arial" w:cs="Arial" w:eastAsia="Arial" w:hAnsi="Arial"/>
                  <w:sz w:val="12"/>
                  <w:szCs w:val="12"/>
                  <w:color w:val="0000EE"/>
                  <w:w w:val="90"/>
                </w:rPr>
                <w:t>Investment in Unconsolidated Entities</w:t>
              </w:r>
            </w:hyperlink>
          </w:p>
        </w:tc>
        <w:tc>
          <w:tcPr>
            <w:tcW w:w="1080" w:type="dxa"/>
            <w:vAlign w:val="bottom"/>
            <w:tcBorders>
              <w:top w:val="single" w:sz="8" w:color="0000EE"/>
            </w:tcBorders>
            <w:gridSpan w:val="8"/>
          </w:tcPr>
          <w:p>
            <w:pPr>
              <w:spacing w:after="0"/>
              <w:rPr>
                <w:sz w:val="11"/>
                <w:szCs w:val="11"/>
                <w:color w:val="auto"/>
              </w:rPr>
            </w:pPr>
          </w:p>
        </w:tc>
        <w:tc>
          <w:tcPr>
            <w:tcW w:w="1100" w:type="dxa"/>
            <w:vAlign w:val="bottom"/>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88</w:t>
            </w:r>
          </w:p>
        </w:tc>
      </w:tr>
      <w:tr>
        <w:trPr>
          <w:trHeight w:val="133"/>
        </w:trPr>
        <w:tc>
          <w:tcPr>
            <w:tcW w:w="200" w:type="dxa"/>
            <w:vAlign w:val="bottom"/>
          </w:tcPr>
          <w:p>
            <w:pPr>
              <w:spacing w:after="0"/>
              <w:rPr>
                <w:sz w:val="11"/>
                <w:szCs w:val="11"/>
                <w:color w:val="auto"/>
              </w:rPr>
            </w:pPr>
          </w:p>
        </w:tc>
        <w:tc>
          <w:tcPr>
            <w:tcW w:w="160" w:type="dxa"/>
            <w:vAlign w:val="bottom"/>
            <w:tcBorders>
              <w:bottom w:val="single" w:sz="8" w:color="0000EE"/>
            </w:tcBorders>
          </w:tcPr>
          <w:p>
            <w:pPr>
              <w:spacing w:after="0" w:line="133" w:lineRule="exact"/>
              <w:rPr>
                <w:rFonts w:ascii="Arial" w:cs="Arial" w:eastAsia="Arial" w:hAnsi="Arial"/>
                <w:sz w:val="12"/>
                <w:szCs w:val="12"/>
                <w:color w:val="0000EE"/>
              </w:rPr>
            </w:pPr>
            <w:hyperlink w:anchor="page88">
              <w:r>
                <w:rPr>
                  <w:rFonts w:ascii="Arial" w:cs="Arial" w:eastAsia="Arial" w:hAnsi="Arial"/>
                  <w:sz w:val="12"/>
                  <w:szCs w:val="12"/>
                  <w:color w:val="0000EE"/>
                </w:rPr>
                <w:t>8.</w:t>
              </w:r>
            </w:hyperlink>
          </w:p>
        </w:tc>
        <w:tc>
          <w:tcPr>
            <w:tcW w:w="1760" w:type="dxa"/>
            <w:vAlign w:val="bottom"/>
            <w:tcBorders>
              <w:bottom w:val="single" w:sz="8" w:color="0000EE"/>
            </w:tcBorders>
            <w:gridSpan w:val="16"/>
          </w:tcPr>
          <w:p>
            <w:pPr>
              <w:ind w:left="60"/>
              <w:spacing w:after="0" w:line="133" w:lineRule="exact"/>
              <w:rPr>
                <w:rFonts w:ascii="Arial" w:cs="Arial" w:eastAsia="Arial" w:hAnsi="Arial"/>
                <w:sz w:val="12"/>
                <w:szCs w:val="12"/>
                <w:color w:val="0000EE"/>
                <w:w w:val="90"/>
              </w:rPr>
            </w:pPr>
            <w:hyperlink w:anchor="page88">
              <w:r>
                <w:rPr>
                  <w:rFonts w:ascii="Arial" w:cs="Arial" w:eastAsia="Arial" w:hAnsi="Arial"/>
                  <w:sz w:val="12"/>
                  <w:szCs w:val="12"/>
                  <w:color w:val="0000EE"/>
                  <w:w w:val="90"/>
                </w:rPr>
                <w:t>Fair Value of Financial Instruments</w:t>
              </w:r>
            </w:hyperlink>
          </w:p>
        </w:tc>
        <w:tc>
          <w:tcPr>
            <w:tcW w:w="2320" w:type="dxa"/>
            <w:vAlign w:val="bottom"/>
            <w:gridSpan w:val="10"/>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88</w:t>
            </w:r>
          </w:p>
        </w:tc>
      </w:tr>
      <w:tr>
        <w:trPr>
          <w:trHeight w:val="133"/>
        </w:trPr>
        <w:tc>
          <w:tcPr>
            <w:tcW w:w="200" w:type="dxa"/>
            <w:vAlign w:val="bottom"/>
          </w:tcPr>
          <w:p>
            <w:pPr>
              <w:spacing w:after="0"/>
              <w:rPr>
                <w:sz w:val="11"/>
                <w:szCs w:val="11"/>
                <w:color w:val="auto"/>
              </w:rPr>
            </w:pPr>
          </w:p>
        </w:tc>
        <w:tc>
          <w:tcPr>
            <w:tcW w:w="160" w:type="dxa"/>
            <w:vAlign w:val="bottom"/>
          </w:tcPr>
          <w:p>
            <w:pPr>
              <w:spacing w:after="0" w:line="133" w:lineRule="exact"/>
              <w:rPr>
                <w:rFonts w:ascii="Arial" w:cs="Arial" w:eastAsia="Arial" w:hAnsi="Arial"/>
                <w:sz w:val="12"/>
                <w:szCs w:val="12"/>
                <w:color w:val="0000EE"/>
              </w:rPr>
            </w:pPr>
            <w:hyperlink w:anchor="page91">
              <w:r>
                <w:rPr>
                  <w:rFonts w:ascii="Arial" w:cs="Arial" w:eastAsia="Arial" w:hAnsi="Arial"/>
                  <w:sz w:val="12"/>
                  <w:szCs w:val="12"/>
                  <w:color w:val="0000EE"/>
                </w:rPr>
                <w:t>9.</w:t>
              </w:r>
            </w:hyperlink>
          </w:p>
        </w:tc>
        <w:tc>
          <w:tcPr>
            <w:tcW w:w="4080" w:type="dxa"/>
            <w:vAlign w:val="bottom"/>
            <w:gridSpan w:val="26"/>
          </w:tcPr>
          <w:p>
            <w:pPr>
              <w:ind w:left="60"/>
              <w:spacing w:after="0" w:line="133" w:lineRule="exact"/>
              <w:rPr>
                <w:rFonts w:ascii="Arial" w:cs="Arial" w:eastAsia="Arial" w:hAnsi="Arial"/>
                <w:sz w:val="12"/>
                <w:szCs w:val="12"/>
                <w:color w:val="0000EE"/>
              </w:rPr>
            </w:pPr>
            <w:hyperlink w:anchor="page91">
              <w:r>
                <w:rPr>
                  <w:rFonts w:ascii="Arial" w:cs="Arial" w:eastAsia="Arial" w:hAnsi="Arial"/>
                  <w:sz w:val="12"/>
                  <w:szCs w:val="12"/>
                  <w:color w:val="0000EE"/>
                </w:rPr>
                <w:t>Property, Plant and Equipment</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91</w:t>
            </w:r>
          </w:p>
        </w:tc>
      </w:tr>
      <w:tr>
        <w:trPr>
          <w:trHeight w:val="20"/>
        </w:trPr>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180" w:type="dxa"/>
            <w:vAlign w:val="bottom"/>
            <w:gridSpan w:val="2"/>
          </w:tcPr>
          <w:p>
            <w:pPr>
              <w:spacing w:after="0" w:line="133" w:lineRule="exact"/>
              <w:rPr>
                <w:rFonts w:ascii="Arial" w:cs="Arial" w:eastAsia="Arial" w:hAnsi="Arial"/>
                <w:sz w:val="12"/>
                <w:szCs w:val="12"/>
                <w:color w:val="0000EE"/>
                <w:w w:val="95"/>
              </w:rPr>
            </w:pPr>
            <w:hyperlink w:anchor="page92">
              <w:r>
                <w:rPr>
                  <w:rFonts w:ascii="Arial" w:cs="Arial" w:eastAsia="Arial" w:hAnsi="Arial"/>
                  <w:sz w:val="12"/>
                  <w:szCs w:val="12"/>
                  <w:color w:val="0000EE"/>
                  <w:w w:val="95"/>
                </w:rPr>
                <w:t>10.</w:t>
              </w:r>
            </w:hyperlink>
          </w:p>
        </w:tc>
        <w:tc>
          <w:tcPr>
            <w:tcW w:w="4060" w:type="dxa"/>
            <w:vAlign w:val="bottom"/>
            <w:gridSpan w:val="25"/>
          </w:tcPr>
          <w:p>
            <w:pPr>
              <w:ind w:left="100"/>
              <w:spacing w:after="0" w:line="133" w:lineRule="exact"/>
              <w:rPr>
                <w:rFonts w:ascii="Arial" w:cs="Arial" w:eastAsia="Arial" w:hAnsi="Arial"/>
                <w:sz w:val="12"/>
                <w:szCs w:val="12"/>
                <w:color w:val="0000EE"/>
              </w:rPr>
            </w:pPr>
            <w:hyperlink w:anchor="page92">
              <w:r>
                <w:rPr>
                  <w:rFonts w:ascii="Arial" w:cs="Arial" w:eastAsia="Arial" w:hAnsi="Arial"/>
                  <w:sz w:val="12"/>
                  <w:szCs w:val="12"/>
                  <w:color w:val="0000EE"/>
                </w:rPr>
                <w:t>Derivative Instruments and Hedging Activities</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92</w:t>
            </w:r>
          </w:p>
        </w:tc>
      </w:tr>
      <w:tr>
        <w:trPr>
          <w:trHeight w:val="133"/>
        </w:trPr>
        <w:tc>
          <w:tcPr>
            <w:tcW w:w="200" w:type="dxa"/>
            <w:vAlign w:val="bottom"/>
          </w:tcPr>
          <w:p>
            <w:pPr>
              <w:spacing w:after="0"/>
              <w:rPr>
                <w:sz w:val="11"/>
                <w:szCs w:val="11"/>
                <w:color w:val="auto"/>
              </w:rPr>
            </w:pPr>
          </w:p>
        </w:tc>
        <w:tc>
          <w:tcPr>
            <w:tcW w:w="2520" w:type="dxa"/>
            <w:vAlign w:val="bottom"/>
            <w:tcBorders>
              <w:top w:val="single" w:sz="8" w:color="0000EE"/>
            </w:tcBorders>
            <w:gridSpan w:val="23"/>
          </w:tcPr>
          <w:p>
            <w:pPr>
              <w:spacing w:after="0" w:line="133" w:lineRule="exact"/>
              <w:rPr>
                <w:rFonts w:ascii="Arial" w:cs="Arial" w:eastAsia="Arial" w:hAnsi="Arial"/>
                <w:sz w:val="12"/>
                <w:szCs w:val="12"/>
                <w:color w:val="0000EE"/>
              </w:rPr>
            </w:pPr>
            <w:hyperlink w:anchor="page93">
              <w:r>
                <w:rPr>
                  <w:rFonts w:ascii="Arial" w:cs="Arial" w:eastAsia="Arial" w:hAnsi="Arial"/>
                  <w:sz w:val="12"/>
                  <w:szCs w:val="12"/>
                  <w:color w:val="0000EE"/>
                </w:rPr>
                <w:t>11.  Goodwill and Intangible Assets</w:t>
              </w:r>
            </w:hyperlink>
          </w:p>
        </w:tc>
        <w:tc>
          <w:tcPr>
            <w:tcW w:w="1720" w:type="dxa"/>
            <w:vAlign w:val="bottom"/>
            <w:gridSpan w:val="4"/>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93</w:t>
            </w:r>
          </w:p>
        </w:tc>
      </w:tr>
      <w:tr>
        <w:trPr>
          <w:trHeight w:val="133"/>
        </w:trPr>
        <w:tc>
          <w:tcPr>
            <w:tcW w:w="200" w:type="dxa"/>
            <w:vAlign w:val="bottom"/>
          </w:tcPr>
          <w:p>
            <w:pPr>
              <w:spacing w:after="0"/>
              <w:rPr>
                <w:sz w:val="11"/>
                <w:szCs w:val="11"/>
                <w:color w:val="auto"/>
              </w:rPr>
            </w:pPr>
          </w:p>
        </w:tc>
        <w:tc>
          <w:tcPr>
            <w:tcW w:w="180" w:type="dxa"/>
            <w:vAlign w:val="bottom"/>
            <w:tcBorders>
              <w:top w:val="single" w:sz="8" w:color="0000EE"/>
            </w:tcBorders>
            <w:gridSpan w:val="2"/>
          </w:tcPr>
          <w:p>
            <w:pPr>
              <w:spacing w:after="0" w:line="133" w:lineRule="exact"/>
              <w:rPr>
                <w:rFonts w:ascii="Arial" w:cs="Arial" w:eastAsia="Arial" w:hAnsi="Arial"/>
                <w:sz w:val="12"/>
                <w:szCs w:val="12"/>
                <w:color w:val="0000EE"/>
                <w:w w:val="95"/>
              </w:rPr>
            </w:pPr>
            <w:hyperlink w:anchor="page94">
              <w:r>
                <w:rPr>
                  <w:rFonts w:ascii="Arial" w:cs="Arial" w:eastAsia="Arial" w:hAnsi="Arial"/>
                  <w:sz w:val="12"/>
                  <w:szCs w:val="12"/>
                  <w:color w:val="0000EE"/>
                  <w:w w:val="95"/>
                </w:rPr>
                <w:t>12.</w:t>
              </w:r>
            </w:hyperlink>
          </w:p>
        </w:tc>
        <w:tc>
          <w:tcPr>
            <w:tcW w:w="1600" w:type="dxa"/>
            <w:vAlign w:val="bottom"/>
            <w:tcBorders>
              <w:top w:val="single" w:sz="8" w:color="0000EE"/>
            </w:tcBorders>
            <w:gridSpan w:val="12"/>
          </w:tcPr>
          <w:p>
            <w:pPr>
              <w:ind w:left="100"/>
              <w:spacing w:after="0" w:line="133" w:lineRule="exact"/>
              <w:rPr>
                <w:rFonts w:ascii="Arial" w:cs="Arial" w:eastAsia="Arial" w:hAnsi="Arial"/>
                <w:sz w:val="12"/>
                <w:szCs w:val="12"/>
                <w:color w:val="0000EE"/>
              </w:rPr>
            </w:pPr>
            <w:hyperlink w:anchor="page94">
              <w:r>
                <w:rPr>
                  <w:rFonts w:ascii="Arial" w:cs="Arial" w:eastAsia="Arial" w:hAnsi="Arial"/>
                  <w:sz w:val="12"/>
                  <w:szCs w:val="12"/>
                  <w:color w:val="0000EE"/>
                </w:rPr>
                <w:t>Notes and Other Debt</w:t>
              </w:r>
            </w:hyperlink>
          </w:p>
        </w:tc>
        <w:tc>
          <w:tcPr>
            <w:tcW w:w="2460" w:type="dxa"/>
            <w:vAlign w:val="bottom"/>
            <w:gridSpan w:val="13"/>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94</w:t>
            </w:r>
          </w:p>
        </w:tc>
      </w:tr>
      <w:tr>
        <w:trPr>
          <w:trHeight w:val="20"/>
        </w:trPr>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180" w:type="dxa"/>
            <w:vAlign w:val="bottom"/>
            <w:gridSpan w:val="2"/>
          </w:tcPr>
          <w:p>
            <w:pPr>
              <w:spacing w:after="0" w:line="133" w:lineRule="exact"/>
              <w:rPr>
                <w:rFonts w:ascii="Arial" w:cs="Arial" w:eastAsia="Arial" w:hAnsi="Arial"/>
                <w:sz w:val="12"/>
                <w:szCs w:val="12"/>
                <w:color w:val="0000EE"/>
                <w:w w:val="95"/>
              </w:rPr>
            </w:pPr>
            <w:hyperlink w:anchor="page100">
              <w:r>
                <w:rPr>
                  <w:rFonts w:ascii="Arial" w:cs="Arial" w:eastAsia="Arial" w:hAnsi="Arial"/>
                  <w:sz w:val="12"/>
                  <w:szCs w:val="12"/>
                  <w:color w:val="0000EE"/>
                  <w:w w:val="95"/>
                </w:rPr>
                <w:t>13.</w:t>
              </w:r>
            </w:hyperlink>
          </w:p>
        </w:tc>
        <w:tc>
          <w:tcPr>
            <w:tcW w:w="4060" w:type="dxa"/>
            <w:vAlign w:val="bottom"/>
            <w:gridSpan w:val="25"/>
          </w:tcPr>
          <w:p>
            <w:pPr>
              <w:ind w:left="100"/>
              <w:spacing w:after="0" w:line="133" w:lineRule="exact"/>
              <w:rPr>
                <w:rFonts w:ascii="Arial" w:cs="Arial" w:eastAsia="Arial" w:hAnsi="Arial"/>
                <w:sz w:val="12"/>
                <w:szCs w:val="12"/>
                <w:color w:val="0000EE"/>
              </w:rPr>
            </w:pPr>
            <w:hyperlink w:anchor="page100">
              <w:r>
                <w:rPr>
                  <w:rFonts w:ascii="Arial" w:cs="Arial" w:eastAsia="Arial" w:hAnsi="Arial"/>
                  <w:sz w:val="12"/>
                  <w:szCs w:val="12"/>
                  <w:color w:val="0000EE"/>
                </w:rPr>
                <w:t>Stock-Based Compensation</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100</w:t>
            </w:r>
          </w:p>
        </w:tc>
      </w:tr>
      <w:tr>
        <w:trPr>
          <w:trHeight w:val="133"/>
        </w:trPr>
        <w:tc>
          <w:tcPr>
            <w:tcW w:w="200" w:type="dxa"/>
            <w:vAlign w:val="bottom"/>
          </w:tcPr>
          <w:p>
            <w:pPr>
              <w:spacing w:after="0"/>
              <w:rPr>
                <w:sz w:val="11"/>
                <w:szCs w:val="11"/>
                <w:color w:val="auto"/>
              </w:rPr>
            </w:pPr>
          </w:p>
        </w:tc>
        <w:tc>
          <w:tcPr>
            <w:tcW w:w="180" w:type="dxa"/>
            <w:vAlign w:val="bottom"/>
            <w:tcBorders>
              <w:top w:val="single" w:sz="8" w:color="0000EE"/>
              <w:bottom w:val="single" w:sz="8" w:color="0000EE"/>
            </w:tcBorders>
            <w:gridSpan w:val="2"/>
          </w:tcPr>
          <w:p>
            <w:pPr>
              <w:spacing w:after="0" w:line="133" w:lineRule="exact"/>
              <w:rPr>
                <w:rFonts w:ascii="Arial" w:cs="Arial" w:eastAsia="Arial" w:hAnsi="Arial"/>
                <w:sz w:val="12"/>
                <w:szCs w:val="12"/>
                <w:color w:val="0000EE"/>
                <w:w w:val="95"/>
              </w:rPr>
            </w:pPr>
            <w:hyperlink w:anchor="page102">
              <w:r>
                <w:rPr>
                  <w:rFonts w:ascii="Arial" w:cs="Arial" w:eastAsia="Arial" w:hAnsi="Arial"/>
                  <w:sz w:val="12"/>
                  <w:szCs w:val="12"/>
                  <w:color w:val="0000EE"/>
                  <w:w w:val="95"/>
                </w:rPr>
                <w:t>14.</w:t>
              </w:r>
            </w:hyperlink>
          </w:p>
        </w:tc>
        <w:tc>
          <w:tcPr>
            <w:tcW w:w="1020" w:type="dxa"/>
            <w:vAlign w:val="bottom"/>
            <w:tcBorders>
              <w:top w:val="single" w:sz="8" w:color="0000EE"/>
              <w:bottom w:val="single" w:sz="8" w:color="0000EE"/>
            </w:tcBorders>
            <w:gridSpan w:val="5"/>
          </w:tcPr>
          <w:p>
            <w:pPr>
              <w:ind w:left="100"/>
              <w:spacing w:after="0" w:line="133" w:lineRule="exact"/>
              <w:rPr>
                <w:rFonts w:ascii="Arial" w:cs="Arial" w:eastAsia="Arial" w:hAnsi="Arial"/>
                <w:sz w:val="12"/>
                <w:szCs w:val="12"/>
                <w:color w:val="0000EE"/>
                <w:w w:val="85"/>
              </w:rPr>
            </w:pPr>
            <w:hyperlink w:anchor="page102">
              <w:r>
                <w:rPr>
                  <w:rFonts w:ascii="Arial" w:cs="Arial" w:eastAsia="Arial" w:hAnsi="Arial"/>
                  <w:sz w:val="12"/>
                  <w:szCs w:val="12"/>
                  <w:color w:val="0000EE"/>
                  <w:w w:val="85"/>
                </w:rPr>
                <w:t>Earnings Per Share</w:t>
              </w:r>
            </w:hyperlink>
          </w:p>
        </w:tc>
        <w:tc>
          <w:tcPr>
            <w:tcW w:w="400" w:type="dxa"/>
            <w:vAlign w:val="bottom"/>
            <w:tcBorders>
              <w:top w:val="single" w:sz="8" w:color="0000EE"/>
            </w:tcBorders>
            <w:gridSpan w:val="5"/>
          </w:tcPr>
          <w:p>
            <w:pPr>
              <w:spacing w:after="0"/>
              <w:rPr>
                <w:sz w:val="11"/>
                <w:szCs w:val="11"/>
                <w:color w:val="auto"/>
              </w:rPr>
            </w:pPr>
          </w:p>
        </w:tc>
        <w:tc>
          <w:tcPr>
            <w:tcW w:w="2640" w:type="dxa"/>
            <w:vAlign w:val="bottom"/>
            <w:gridSpan w:val="15"/>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102</w:t>
            </w:r>
          </w:p>
        </w:tc>
      </w:tr>
      <w:tr>
        <w:trPr>
          <w:trHeight w:val="133"/>
        </w:trPr>
        <w:tc>
          <w:tcPr>
            <w:tcW w:w="200" w:type="dxa"/>
            <w:vAlign w:val="bottom"/>
          </w:tcPr>
          <w:p>
            <w:pPr>
              <w:spacing w:after="0"/>
              <w:rPr>
                <w:sz w:val="11"/>
                <w:szCs w:val="11"/>
                <w:color w:val="auto"/>
              </w:rPr>
            </w:pPr>
          </w:p>
        </w:tc>
        <w:tc>
          <w:tcPr>
            <w:tcW w:w="180" w:type="dxa"/>
            <w:vAlign w:val="bottom"/>
            <w:gridSpan w:val="2"/>
          </w:tcPr>
          <w:p>
            <w:pPr>
              <w:spacing w:after="0" w:line="133" w:lineRule="exact"/>
              <w:rPr>
                <w:rFonts w:ascii="Arial" w:cs="Arial" w:eastAsia="Arial" w:hAnsi="Arial"/>
                <w:sz w:val="12"/>
                <w:szCs w:val="12"/>
                <w:color w:val="0000EE"/>
                <w:w w:val="95"/>
              </w:rPr>
            </w:pPr>
            <w:hyperlink w:anchor="page104">
              <w:r>
                <w:rPr>
                  <w:rFonts w:ascii="Arial" w:cs="Arial" w:eastAsia="Arial" w:hAnsi="Arial"/>
                  <w:sz w:val="12"/>
                  <w:szCs w:val="12"/>
                  <w:color w:val="0000EE"/>
                  <w:w w:val="95"/>
                </w:rPr>
                <w:t>15.</w:t>
              </w:r>
            </w:hyperlink>
          </w:p>
        </w:tc>
        <w:tc>
          <w:tcPr>
            <w:tcW w:w="4060" w:type="dxa"/>
            <w:vAlign w:val="bottom"/>
            <w:gridSpan w:val="25"/>
          </w:tcPr>
          <w:p>
            <w:pPr>
              <w:ind w:left="100"/>
              <w:spacing w:after="0" w:line="133" w:lineRule="exact"/>
              <w:rPr>
                <w:rFonts w:ascii="Arial" w:cs="Arial" w:eastAsia="Arial" w:hAnsi="Arial"/>
                <w:sz w:val="12"/>
                <w:szCs w:val="12"/>
                <w:color w:val="0000EE"/>
              </w:rPr>
            </w:pPr>
            <w:hyperlink w:anchor="page104">
              <w:r>
                <w:rPr>
                  <w:rFonts w:ascii="Arial" w:cs="Arial" w:eastAsia="Arial" w:hAnsi="Arial"/>
                  <w:sz w:val="12"/>
                  <w:szCs w:val="12"/>
                  <w:color w:val="0000EE"/>
                </w:rPr>
                <w:t>Segment Information</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105</w:t>
            </w:r>
          </w:p>
        </w:tc>
      </w:tr>
      <w:tr>
        <w:trPr>
          <w:trHeight w:val="20"/>
        </w:trPr>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180" w:type="dxa"/>
            <w:vAlign w:val="bottom"/>
            <w:tcBorders>
              <w:bottom w:val="single" w:sz="8" w:color="0000EE"/>
            </w:tcBorders>
            <w:gridSpan w:val="2"/>
          </w:tcPr>
          <w:p>
            <w:pPr>
              <w:spacing w:after="0" w:line="133" w:lineRule="exact"/>
              <w:rPr>
                <w:rFonts w:ascii="Arial" w:cs="Arial" w:eastAsia="Arial" w:hAnsi="Arial"/>
                <w:sz w:val="12"/>
                <w:szCs w:val="12"/>
                <w:color w:val="0000EE"/>
                <w:w w:val="95"/>
              </w:rPr>
            </w:pPr>
            <w:hyperlink w:anchor="page108">
              <w:r>
                <w:rPr>
                  <w:rFonts w:ascii="Arial" w:cs="Arial" w:eastAsia="Arial" w:hAnsi="Arial"/>
                  <w:sz w:val="12"/>
                  <w:szCs w:val="12"/>
                  <w:color w:val="0000EE"/>
                  <w:w w:val="95"/>
                </w:rPr>
                <w:t>16.</w:t>
              </w:r>
            </w:hyperlink>
          </w:p>
        </w:tc>
        <w:tc>
          <w:tcPr>
            <w:tcW w:w="1700" w:type="dxa"/>
            <w:vAlign w:val="bottom"/>
            <w:tcBorders>
              <w:bottom w:val="single" w:sz="8" w:color="0000EE"/>
            </w:tcBorders>
            <w:gridSpan w:val="13"/>
          </w:tcPr>
          <w:p>
            <w:pPr>
              <w:ind w:left="100"/>
              <w:spacing w:after="0" w:line="133" w:lineRule="exact"/>
              <w:rPr>
                <w:rFonts w:ascii="Arial" w:cs="Arial" w:eastAsia="Arial" w:hAnsi="Arial"/>
                <w:sz w:val="12"/>
                <w:szCs w:val="12"/>
                <w:color w:val="0000EE"/>
                <w:w w:val="89"/>
              </w:rPr>
            </w:pPr>
            <w:hyperlink w:anchor="page108">
              <w:r>
                <w:rPr>
                  <w:rFonts w:ascii="Arial" w:cs="Arial" w:eastAsia="Arial" w:hAnsi="Arial"/>
                  <w:sz w:val="12"/>
                  <w:szCs w:val="12"/>
                  <w:color w:val="0000EE"/>
                  <w:w w:val="89"/>
                </w:rPr>
                <w:t>Commitments and Contingencies</w:t>
              </w:r>
            </w:hyperlink>
          </w:p>
        </w:tc>
        <w:tc>
          <w:tcPr>
            <w:tcW w:w="2360" w:type="dxa"/>
            <w:vAlign w:val="bottom"/>
            <w:gridSpan w:val="12"/>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108</w:t>
            </w:r>
          </w:p>
        </w:tc>
      </w:tr>
      <w:tr>
        <w:trPr>
          <w:trHeight w:val="133"/>
        </w:trPr>
        <w:tc>
          <w:tcPr>
            <w:tcW w:w="200" w:type="dxa"/>
            <w:vAlign w:val="bottom"/>
          </w:tcPr>
          <w:p>
            <w:pPr>
              <w:spacing w:after="0"/>
              <w:rPr>
                <w:sz w:val="11"/>
                <w:szCs w:val="11"/>
                <w:color w:val="auto"/>
              </w:rPr>
            </w:pPr>
          </w:p>
        </w:tc>
        <w:tc>
          <w:tcPr>
            <w:tcW w:w="180" w:type="dxa"/>
            <w:vAlign w:val="bottom"/>
            <w:gridSpan w:val="2"/>
          </w:tcPr>
          <w:p>
            <w:pPr>
              <w:spacing w:after="0" w:line="133" w:lineRule="exact"/>
              <w:rPr>
                <w:rFonts w:ascii="Arial" w:cs="Arial" w:eastAsia="Arial" w:hAnsi="Arial"/>
                <w:sz w:val="12"/>
                <w:szCs w:val="12"/>
                <w:color w:val="0000EE"/>
                <w:w w:val="95"/>
              </w:rPr>
            </w:pPr>
            <w:hyperlink w:anchor="page112">
              <w:r>
                <w:rPr>
                  <w:rFonts w:ascii="Arial" w:cs="Arial" w:eastAsia="Arial" w:hAnsi="Arial"/>
                  <w:sz w:val="12"/>
                  <w:szCs w:val="12"/>
                  <w:color w:val="0000EE"/>
                  <w:w w:val="95"/>
                </w:rPr>
                <w:t>17.</w:t>
              </w:r>
            </w:hyperlink>
          </w:p>
        </w:tc>
        <w:tc>
          <w:tcPr>
            <w:tcW w:w="4060" w:type="dxa"/>
            <w:vAlign w:val="bottom"/>
            <w:gridSpan w:val="25"/>
          </w:tcPr>
          <w:p>
            <w:pPr>
              <w:ind w:left="100"/>
              <w:spacing w:after="0" w:line="133" w:lineRule="exact"/>
              <w:rPr>
                <w:rFonts w:ascii="Arial" w:cs="Arial" w:eastAsia="Arial" w:hAnsi="Arial"/>
                <w:sz w:val="12"/>
                <w:szCs w:val="12"/>
                <w:color w:val="0000EE"/>
              </w:rPr>
            </w:pPr>
            <w:hyperlink w:anchor="page112">
              <w:r>
                <w:rPr>
                  <w:rFonts w:ascii="Arial" w:cs="Arial" w:eastAsia="Arial" w:hAnsi="Arial"/>
                  <w:sz w:val="12"/>
                  <w:szCs w:val="12"/>
                  <w:color w:val="0000EE"/>
                </w:rPr>
                <w:t>Accumulated Other Comprehensive Income</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112</w:t>
            </w:r>
          </w:p>
        </w:tc>
      </w:tr>
      <w:tr>
        <w:trPr>
          <w:trHeight w:val="133"/>
        </w:trPr>
        <w:tc>
          <w:tcPr>
            <w:tcW w:w="200" w:type="dxa"/>
            <w:vAlign w:val="bottom"/>
          </w:tcPr>
          <w:p>
            <w:pPr>
              <w:spacing w:after="0"/>
              <w:rPr>
                <w:sz w:val="11"/>
                <w:szCs w:val="11"/>
                <w:color w:val="auto"/>
              </w:rPr>
            </w:pPr>
          </w:p>
        </w:tc>
        <w:tc>
          <w:tcPr>
            <w:tcW w:w="180" w:type="dxa"/>
            <w:vAlign w:val="bottom"/>
            <w:tcBorders>
              <w:top w:val="single" w:sz="8" w:color="0000EE"/>
            </w:tcBorders>
            <w:gridSpan w:val="2"/>
          </w:tcPr>
          <w:p>
            <w:pPr>
              <w:spacing w:after="0" w:line="133" w:lineRule="exact"/>
              <w:rPr>
                <w:rFonts w:ascii="Arial" w:cs="Arial" w:eastAsia="Arial" w:hAnsi="Arial"/>
                <w:sz w:val="12"/>
                <w:szCs w:val="12"/>
                <w:color w:val="0000EE"/>
                <w:w w:val="95"/>
              </w:rPr>
            </w:pPr>
            <w:hyperlink w:anchor="page112">
              <w:r>
                <w:rPr>
                  <w:rFonts w:ascii="Arial" w:cs="Arial" w:eastAsia="Arial" w:hAnsi="Arial"/>
                  <w:sz w:val="12"/>
                  <w:szCs w:val="12"/>
                  <w:color w:val="0000EE"/>
                  <w:w w:val="95"/>
                </w:rPr>
                <w:t>18.</w:t>
              </w:r>
            </w:hyperlink>
          </w:p>
        </w:tc>
        <w:tc>
          <w:tcPr>
            <w:tcW w:w="2200" w:type="dxa"/>
            <w:vAlign w:val="bottom"/>
            <w:tcBorders>
              <w:top w:val="single" w:sz="8" w:color="0000EE"/>
            </w:tcBorders>
            <w:gridSpan w:val="20"/>
          </w:tcPr>
          <w:p>
            <w:pPr>
              <w:ind w:left="100"/>
              <w:spacing w:after="0" w:line="133" w:lineRule="exact"/>
              <w:rPr>
                <w:rFonts w:ascii="Arial" w:cs="Arial" w:eastAsia="Arial" w:hAnsi="Arial"/>
                <w:sz w:val="12"/>
                <w:szCs w:val="12"/>
                <w:color w:val="0000EE"/>
              </w:rPr>
            </w:pPr>
            <w:hyperlink w:anchor="page112">
              <w:r>
                <w:rPr>
                  <w:rFonts w:ascii="Arial" w:cs="Arial" w:eastAsia="Arial" w:hAnsi="Arial"/>
                  <w:sz w:val="12"/>
                  <w:szCs w:val="12"/>
                  <w:color w:val="0000EE"/>
                </w:rPr>
                <w:t>Income Taxes</w:t>
              </w:r>
            </w:hyperlink>
          </w:p>
        </w:tc>
        <w:tc>
          <w:tcPr>
            <w:tcW w:w="1860" w:type="dxa"/>
            <w:vAlign w:val="bottom"/>
            <w:gridSpan w:val="5"/>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112</w:t>
            </w:r>
          </w:p>
        </w:tc>
      </w:tr>
      <w:tr>
        <w:trPr>
          <w:trHeight w:val="20"/>
        </w:trPr>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180" w:type="dxa"/>
            <w:vAlign w:val="bottom"/>
            <w:gridSpan w:val="2"/>
          </w:tcPr>
          <w:p>
            <w:pPr>
              <w:spacing w:after="0" w:line="133" w:lineRule="exact"/>
              <w:rPr>
                <w:rFonts w:ascii="Arial" w:cs="Arial" w:eastAsia="Arial" w:hAnsi="Arial"/>
                <w:sz w:val="12"/>
                <w:szCs w:val="12"/>
                <w:color w:val="0000EE"/>
                <w:w w:val="95"/>
              </w:rPr>
            </w:pPr>
            <w:hyperlink w:anchor="page115">
              <w:r>
                <w:rPr>
                  <w:rFonts w:ascii="Arial" w:cs="Arial" w:eastAsia="Arial" w:hAnsi="Arial"/>
                  <w:sz w:val="12"/>
                  <w:szCs w:val="12"/>
                  <w:color w:val="0000EE"/>
                  <w:w w:val="95"/>
                </w:rPr>
                <w:t>19.</w:t>
              </w:r>
            </w:hyperlink>
          </w:p>
        </w:tc>
        <w:tc>
          <w:tcPr>
            <w:tcW w:w="4060" w:type="dxa"/>
            <w:vAlign w:val="bottom"/>
            <w:gridSpan w:val="25"/>
          </w:tcPr>
          <w:p>
            <w:pPr>
              <w:ind w:left="100"/>
              <w:spacing w:after="0" w:line="133" w:lineRule="exact"/>
              <w:rPr>
                <w:rFonts w:ascii="Arial" w:cs="Arial" w:eastAsia="Arial" w:hAnsi="Arial"/>
                <w:sz w:val="12"/>
                <w:szCs w:val="12"/>
                <w:color w:val="0000EE"/>
              </w:rPr>
            </w:pPr>
            <w:hyperlink w:anchor="page115">
              <w:r>
                <w:rPr>
                  <w:rFonts w:ascii="Arial" w:cs="Arial" w:eastAsia="Arial" w:hAnsi="Arial"/>
                  <w:sz w:val="12"/>
                  <w:szCs w:val="12"/>
                  <w:color w:val="0000EE"/>
                </w:rPr>
                <w:t>Supplemental Cash Flow Information</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115</w:t>
            </w:r>
          </w:p>
        </w:tc>
      </w:tr>
      <w:tr>
        <w:trPr>
          <w:trHeight w:val="133"/>
        </w:trPr>
        <w:tc>
          <w:tcPr>
            <w:tcW w:w="200" w:type="dxa"/>
            <w:vAlign w:val="bottom"/>
          </w:tcPr>
          <w:p>
            <w:pPr>
              <w:spacing w:after="0"/>
              <w:rPr>
                <w:sz w:val="11"/>
                <w:szCs w:val="11"/>
                <w:color w:val="auto"/>
              </w:rPr>
            </w:pPr>
          </w:p>
        </w:tc>
        <w:tc>
          <w:tcPr>
            <w:tcW w:w="180" w:type="dxa"/>
            <w:vAlign w:val="bottom"/>
            <w:tcBorders>
              <w:top w:val="single" w:sz="8" w:color="0000EE"/>
            </w:tcBorders>
            <w:gridSpan w:val="2"/>
          </w:tcPr>
          <w:p>
            <w:pPr>
              <w:spacing w:after="0" w:line="133" w:lineRule="exact"/>
              <w:rPr>
                <w:rFonts w:ascii="Arial" w:cs="Arial" w:eastAsia="Arial" w:hAnsi="Arial"/>
                <w:sz w:val="12"/>
                <w:szCs w:val="12"/>
                <w:color w:val="0000EE"/>
                <w:w w:val="95"/>
              </w:rPr>
            </w:pPr>
            <w:hyperlink w:anchor="page115">
              <w:r>
                <w:rPr>
                  <w:rFonts w:ascii="Arial" w:cs="Arial" w:eastAsia="Arial" w:hAnsi="Arial"/>
                  <w:sz w:val="12"/>
                  <w:szCs w:val="12"/>
                  <w:color w:val="0000EE"/>
                  <w:w w:val="95"/>
                </w:rPr>
                <w:t>20.</w:t>
              </w:r>
            </w:hyperlink>
          </w:p>
        </w:tc>
        <w:tc>
          <w:tcPr>
            <w:tcW w:w="1900" w:type="dxa"/>
            <w:vAlign w:val="bottom"/>
            <w:tcBorders>
              <w:top w:val="single" w:sz="8" w:color="0000EE"/>
            </w:tcBorders>
            <w:gridSpan w:val="17"/>
          </w:tcPr>
          <w:p>
            <w:pPr>
              <w:ind w:left="100"/>
              <w:spacing w:after="0" w:line="133" w:lineRule="exact"/>
              <w:rPr>
                <w:rFonts w:ascii="Arial" w:cs="Arial" w:eastAsia="Arial" w:hAnsi="Arial"/>
                <w:sz w:val="12"/>
                <w:szCs w:val="12"/>
                <w:color w:val="0000EE"/>
              </w:rPr>
            </w:pPr>
            <w:hyperlink w:anchor="page115">
              <w:r>
                <w:rPr>
                  <w:rFonts w:ascii="Arial" w:cs="Arial" w:eastAsia="Arial" w:hAnsi="Arial"/>
                  <w:sz w:val="12"/>
                  <w:szCs w:val="12"/>
                  <w:color w:val="0000EE"/>
                </w:rPr>
                <w:t>Capital Stock</w:t>
              </w:r>
            </w:hyperlink>
          </w:p>
        </w:tc>
        <w:tc>
          <w:tcPr>
            <w:tcW w:w="2160" w:type="dxa"/>
            <w:vAlign w:val="bottom"/>
            <w:gridSpan w:val="8"/>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115</w:t>
            </w:r>
          </w:p>
        </w:tc>
      </w:tr>
      <w:tr>
        <w:trPr>
          <w:trHeight w:val="20"/>
        </w:trPr>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16"/>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180" w:type="dxa"/>
            <w:vAlign w:val="bottom"/>
            <w:gridSpan w:val="2"/>
          </w:tcPr>
          <w:p>
            <w:pPr>
              <w:spacing w:after="0" w:line="133" w:lineRule="exact"/>
              <w:rPr>
                <w:rFonts w:ascii="Arial" w:cs="Arial" w:eastAsia="Arial" w:hAnsi="Arial"/>
                <w:sz w:val="12"/>
                <w:szCs w:val="12"/>
                <w:color w:val="0000EE"/>
                <w:w w:val="95"/>
              </w:rPr>
            </w:pPr>
            <w:hyperlink w:anchor="page116">
              <w:r>
                <w:rPr>
                  <w:rFonts w:ascii="Arial" w:cs="Arial" w:eastAsia="Arial" w:hAnsi="Arial"/>
                  <w:sz w:val="12"/>
                  <w:szCs w:val="12"/>
                  <w:color w:val="0000EE"/>
                  <w:w w:val="95"/>
                </w:rPr>
                <w:t>21.</w:t>
              </w:r>
            </w:hyperlink>
          </w:p>
        </w:tc>
        <w:tc>
          <w:tcPr>
            <w:tcW w:w="4060" w:type="dxa"/>
            <w:vAlign w:val="bottom"/>
            <w:gridSpan w:val="25"/>
          </w:tcPr>
          <w:p>
            <w:pPr>
              <w:ind w:left="100"/>
              <w:spacing w:after="0" w:line="133" w:lineRule="exact"/>
              <w:rPr>
                <w:rFonts w:ascii="Arial" w:cs="Arial" w:eastAsia="Arial" w:hAnsi="Arial"/>
                <w:sz w:val="12"/>
                <w:szCs w:val="12"/>
                <w:color w:val="0000EE"/>
              </w:rPr>
            </w:pPr>
            <w:hyperlink w:anchor="page116">
              <w:r>
                <w:rPr>
                  <w:rFonts w:ascii="Arial" w:cs="Arial" w:eastAsia="Arial" w:hAnsi="Arial"/>
                  <w:sz w:val="12"/>
                  <w:szCs w:val="12"/>
                  <w:color w:val="0000EE"/>
                </w:rPr>
                <w:t>Dividends (Distributions)</w:t>
              </w:r>
            </w:hyperlink>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116</w:t>
            </w:r>
          </w:p>
        </w:tc>
      </w:tr>
      <w:tr>
        <w:trPr>
          <w:trHeight w:val="133"/>
        </w:trPr>
        <w:tc>
          <w:tcPr>
            <w:tcW w:w="200" w:type="dxa"/>
            <w:vAlign w:val="bottom"/>
          </w:tcPr>
          <w:p>
            <w:pPr>
              <w:spacing w:after="0"/>
              <w:rPr>
                <w:sz w:val="11"/>
                <w:szCs w:val="11"/>
                <w:color w:val="auto"/>
              </w:rPr>
            </w:pPr>
          </w:p>
        </w:tc>
        <w:tc>
          <w:tcPr>
            <w:tcW w:w="180" w:type="dxa"/>
            <w:vAlign w:val="bottom"/>
            <w:tcBorders>
              <w:top w:val="single" w:sz="8" w:color="0000EE"/>
            </w:tcBorders>
            <w:gridSpan w:val="2"/>
          </w:tcPr>
          <w:p>
            <w:pPr>
              <w:spacing w:after="0" w:line="133" w:lineRule="exact"/>
              <w:rPr>
                <w:rFonts w:ascii="Arial" w:cs="Arial" w:eastAsia="Arial" w:hAnsi="Arial"/>
                <w:sz w:val="12"/>
                <w:szCs w:val="12"/>
                <w:color w:val="0000EE"/>
                <w:w w:val="95"/>
              </w:rPr>
            </w:pPr>
            <w:hyperlink w:anchor="page116">
              <w:r>
                <w:rPr>
                  <w:rFonts w:ascii="Arial" w:cs="Arial" w:eastAsia="Arial" w:hAnsi="Arial"/>
                  <w:sz w:val="12"/>
                  <w:szCs w:val="12"/>
                  <w:color w:val="0000EE"/>
                  <w:w w:val="95"/>
                </w:rPr>
                <w:t>22.</w:t>
              </w:r>
            </w:hyperlink>
          </w:p>
        </w:tc>
        <w:tc>
          <w:tcPr>
            <w:tcW w:w="1320" w:type="dxa"/>
            <w:vAlign w:val="bottom"/>
            <w:tcBorders>
              <w:top w:val="single" w:sz="8" w:color="0000EE"/>
            </w:tcBorders>
            <w:gridSpan w:val="9"/>
          </w:tcPr>
          <w:p>
            <w:pPr>
              <w:ind w:left="100"/>
              <w:spacing w:after="0" w:line="133" w:lineRule="exact"/>
              <w:rPr>
                <w:rFonts w:ascii="Arial" w:cs="Arial" w:eastAsia="Arial" w:hAnsi="Arial"/>
                <w:sz w:val="12"/>
                <w:szCs w:val="12"/>
                <w:color w:val="0000EE"/>
                <w:w w:val="98"/>
              </w:rPr>
            </w:pPr>
            <w:hyperlink w:anchor="page116">
              <w:r>
                <w:rPr>
                  <w:rFonts w:ascii="Arial" w:cs="Arial" w:eastAsia="Arial" w:hAnsi="Arial"/>
                  <w:sz w:val="12"/>
                  <w:szCs w:val="12"/>
                  <w:color w:val="0000EE"/>
                  <w:w w:val="98"/>
                </w:rPr>
                <w:t>Employee Benefit Plan</w:t>
              </w:r>
            </w:hyperlink>
          </w:p>
        </w:tc>
        <w:tc>
          <w:tcPr>
            <w:tcW w:w="2740" w:type="dxa"/>
            <w:vAlign w:val="bottom"/>
            <w:gridSpan w:val="16"/>
          </w:tcPr>
          <w:p>
            <w:pPr>
              <w:spacing w:after="0"/>
              <w:rPr>
                <w:sz w:val="11"/>
                <w:szCs w:val="11"/>
                <w:color w:val="auto"/>
              </w:rPr>
            </w:pPr>
          </w:p>
        </w:tc>
        <w:tc>
          <w:tcPr>
            <w:tcW w:w="6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116</w:t>
            </w:r>
          </w:p>
        </w:tc>
      </w:tr>
      <w:tr>
        <w:trPr>
          <w:trHeight w:val="583"/>
        </w:trPr>
        <w:tc>
          <w:tcPr>
            <w:tcW w:w="2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900" w:type="dxa"/>
            <w:vAlign w:val="bottom"/>
          </w:tcPr>
          <w:p>
            <w:pPr>
              <w:jc w:val="center"/>
              <w:ind w:right="3440"/>
              <w:spacing w:after="0"/>
              <w:rPr>
                <w:sz w:val="20"/>
                <w:szCs w:val="20"/>
                <w:color w:val="auto"/>
              </w:rPr>
            </w:pPr>
            <w:r>
              <w:rPr>
                <w:rFonts w:ascii="Arial" w:cs="Arial" w:eastAsia="Arial" w:hAnsi="Arial"/>
                <w:sz w:val="12"/>
                <w:szCs w:val="12"/>
                <w:color w:val="auto"/>
                <w:w w:val="89"/>
              </w:rPr>
              <w:t>56</w:t>
            </w:r>
          </w:p>
        </w:tc>
        <w:tc>
          <w:tcPr>
            <w:tcW w:w="960" w:type="dxa"/>
            <w:vAlign w:val="bottom"/>
          </w:tcPr>
          <w:p>
            <w:pPr>
              <w:spacing w:after="0"/>
              <w:rPr>
                <w:sz w:val="24"/>
                <w:szCs w:val="24"/>
                <w:color w:val="auto"/>
              </w:rPr>
            </w:pPr>
          </w:p>
        </w:tc>
      </w:tr>
      <w:tr>
        <w:trPr>
          <w:trHeight w:val="72"/>
        </w:trPr>
        <w:tc>
          <w:tcPr>
            <w:tcW w:w="2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59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6" w:name="page57"/>
    <w:bookmarkEnd w:id="56"/>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To the 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50"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We have audited the accompanying consolidated balance sheets of Uniti Group Inc. and subsidiaries (the Company) as of December 31, 2021 and 2020, the related consolidated statements of income (loss), comprehensive income (loss), shareholders’ deficit, and cash flows for the years then ended, and the related notes and financial statement schedules I to III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then ended, in conformity with U.S. generally accepted accounting principles.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25, 2022 expressed an unqualified opinion on the effectiveness of the Company’s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Accounting Principle</w:t>
      </w:r>
    </w:p>
    <w:p>
      <w:pPr>
        <w:spacing w:after="0" w:line="150"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color w:val="auto"/>
        </w:rPr>
        <w:t>As discussed in Note 3 to the consolidated financial statements, the Company has changed its method of accounting for certain financial instruments with characteristics of liabilities and equity as of January 1, 2021 due to the adoption of Accounting Standards Update No. 2020-06, Debt - Debt with Conversion and Other Options (Subtopic 470-20) and Derivatives and Hedging - Contracts in an Entity’s Own Equity (Subtopic 815-40).</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120"/>
        <w:spacing w:after="0" w:line="326" w:lineRule="auto"/>
        <w:rPr>
          <w:sz w:val="20"/>
          <w:szCs w:val="20"/>
          <w:color w:val="auto"/>
        </w:rPr>
      </w:pPr>
      <w:r>
        <w:rPr>
          <w:rFonts w:ascii="Arial" w:cs="Arial" w:eastAsia="Arial" w:hAnsi="Arial"/>
          <w:sz w:val="10"/>
          <w:szCs w:val="1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Critical Audit Matter</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57" w:name="page58"/>
    <w:bookmarkEnd w:id="57"/>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Fair value of the Fiber Infrastructure reporting unit</w:t>
      </w:r>
    </w:p>
    <w:p>
      <w:pPr>
        <w:spacing w:after="0" w:line="150" w:lineRule="exact"/>
        <w:rPr>
          <w:sz w:val="20"/>
          <w:szCs w:val="20"/>
          <w:color w:val="auto"/>
        </w:rPr>
      </w:pPr>
    </w:p>
    <w:p>
      <w:pPr>
        <w:ind w:left="420" w:right="200"/>
        <w:spacing w:after="0" w:line="259" w:lineRule="auto"/>
        <w:rPr>
          <w:sz w:val="20"/>
          <w:szCs w:val="20"/>
          <w:color w:val="auto"/>
        </w:rPr>
      </w:pPr>
      <w:r>
        <w:rPr>
          <w:rFonts w:ascii="Arial" w:cs="Arial" w:eastAsia="Arial" w:hAnsi="Arial"/>
          <w:sz w:val="12"/>
          <w:szCs w:val="12"/>
          <w:color w:val="auto"/>
        </w:rPr>
        <w:t>As discussed in Notes 3 and 11 to the consolidated financial statements, the Company’s consolidated goodwill balance was $601.9 million as of December 31, 2021, all of which is associated with the Fiber Infrastructure segment. The Company performs goodwill impairment testing on an annual basis and whenever events or changes in circumstances occur that would more likely than not reduce the fair value of the reporting unit below its carrying amount. The Company estimated the fair value of the Fiber Infrastructure reporting unit using a combination of an income approach based on the present value of estimated future cash flows and a market approach based on acquisition multiples paid for fiber companies in recent market transactions.</w:t>
      </w:r>
    </w:p>
    <w:p>
      <w:pPr>
        <w:spacing w:after="0" w:line="124" w:lineRule="exact"/>
        <w:rPr>
          <w:sz w:val="20"/>
          <w:szCs w:val="20"/>
          <w:color w:val="auto"/>
        </w:rPr>
      </w:pPr>
    </w:p>
    <w:p>
      <w:pPr>
        <w:ind w:left="420" w:right="60"/>
        <w:spacing w:after="0" w:line="256" w:lineRule="auto"/>
        <w:rPr>
          <w:sz w:val="20"/>
          <w:szCs w:val="20"/>
          <w:color w:val="auto"/>
        </w:rPr>
      </w:pPr>
      <w:r>
        <w:rPr>
          <w:rFonts w:ascii="Arial" w:cs="Arial" w:eastAsia="Arial" w:hAnsi="Arial"/>
          <w:sz w:val="12"/>
          <w:szCs w:val="12"/>
          <w:color w:val="auto"/>
        </w:rPr>
        <w:t>We identified the evaluation of the fair value of the Fiber Infrastructure reporting unit as a critical audit matter. We performed a sensitivity analysis to determine the significant assumptions used to estimate the fair value of the reporting unit. Specifically, forecasted revenue, profit margin, and capital expenditures were challenging to test as they represent subjective estimates of future operations. The discount rate, long-term growth rate, terminal capitalization rate, and acquisition multiple were also challenging to test as they represent subjective judgments about the investment market for infrastructure operations and assets. Minor changes to these assumptions, either individually or in aggregate, could have a significant effect on the Company’s assessment of the fair value of the reporting unit. Additionally, the audit effort associated with the evaluation of the fair value of the reporting unit required specialized skills and knowledge.</w:t>
      </w:r>
    </w:p>
    <w:p>
      <w:pPr>
        <w:spacing w:after="0" w:line="128" w:lineRule="exact"/>
        <w:rPr>
          <w:sz w:val="20"/>
          <w:szCs w:val="20"/>
          <w:color w:val="auto"/>
        </w:rPr>
      </w:pPr>
    </w:p>
    <w:p>
      <w:pPr>
        <w:ind w:left="420"/>
        <w:spacing w:after="0" w:line="280" w:lineRule="auto"/>
        <w:rPr>
          <w:sz w:val="20"/>
          <w:szCs w:val="20"/>
          <w:color w:val="auto"/>
        </w:rPr>
      </w:pPr>
      <w:r>
        <w:rPr>
          <w:rFonts w:ascii="Arial" w:cs="Arial" w:eastAsia="Arial" w:hAnsi="Arial"/>
          <w:sz w:val="11"/>
          <w:szCs w:val="11"/>
          <w:color w:val="auto"/>
        </w:rPr>
        <w:t>The following are the primary procedures we performed to address this critical audit matter. We evaluated the design and tested the operating effectiveness of certain internal controls related to the Company’s reporting unit fair value determination. This included controls related to forecasted revenue, profit margin, capital expenditures as well as the discount rate, long-term growth rate, terminal capitalization rate, and acquisition multiple. We evaluated the forecasted revenue and profit margins by comparing them to peer company analyst reports. We also obtained an understanding of the Company’s intent to carry out particular courses of action by inspecting their written plans and other relevant documentation, and assessed how the Company incorporated those planned actions into forecasted revenue, profit margins and capital expenditures. We compared the Company’s historical revenue, profit margin and capital expenditure forecasts to actual results to assess the Company’s ability to accurately forecast. We evaluated the Company’s forecasted revenue, profit margin, and capital expenditures by comparing them to historical results. We also evaluated whether the information used in the determination of the fair value of the reporting unit was consistent with other information used internally, presented to the Board of Directors, and used to develop other externally presented financial information. In addition, we involved a valuation professional with specialized skills and knowledge, who assisted in evaluating the Company’s discount rate, long-term growth rate, terminal capitalization rate and acquisition multiples by comparing them to market data for comparable entities and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2020.</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Dallas, Texas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2022</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8" w:name="page59"/>
    <w:bookmarkEnd w:id="58"/>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To the 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Internal Control Over Financial Reporting</w:t>
      </w:r>
    </w:p>
    <w:p>
      <w:pPr>
        <w:spacing w:after="0" w:line="150"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We have audited Uniti Group Inc. and subsidiaries' (the Company) internal control over financial reporting as of December 31,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122"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2021 and 2020, the related consolidated statements of income (loss), comprehensive income (loss), shareholders’ deficit, and cash flows for the years then ended, and the related notes and financial statement schedules I to III (collectively, the consolidated financial statements), and our report dated February 25, 2022 expressed an unqualified opinion on those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Definition and Limitations of Internal Control Over Financial Reporting</w:t>
      </w:r>
    </w:p>
    <w:p>
      <w:pPr>
        <w:spacing w:after="0" w:line="150"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59" w:name="page60"/>
    <w:bookmarkEnd w:id="59"/>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Dallas, Texas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60" w:name="page61"/>
    <w:bookmarkEnd w:id="60"/>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Uniti Group Inc.</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 on the Financial Statements</w:t>
      </w:r>
    </w:p>
    <w:p>
      <w:pPr>
        <w:spacing w:after="0" w:line="123"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We have audited the consolidated statements of income, of comprehensive income (loss), of shareholders’ deficit and of cash flows of Uniti Group Inc. and its subsidiaries (the “Company”) for the year ended December 31, 2019, including the related notes and schedule of condensed financial information of the Registrant for the year ended December 31, 2019, and schedule of valuation and qualifying accounts for the year ended December 31, 2019 listed in the accompanying index appearing under Item 15 (collectively referred to as the “consolidated financial statements”). In our opinion, the consolidated financial statements present fairly, in all material respects, the results of operations and cash flows of the Company for the year ended December 31, 2019 in conformity with accounting principles generally accepted in the United States of America.</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Substantial Doubt About the Company’s Ability to Continue as a Going Concern</w:t>
      </w:r>
    </w:p>
    <w:p>
      <w:pPr>
        <w:spacing w:after="0" w:line="123" w:lineRule="exact"/>
        <w:rPr>
          <w:sz w:val="20"/>
          <w:szCs w:val="20"/>
          <w:color w:val="auto"/>
        </w:rPr>
      </w:pPr>
    </w:p>
    <w:p>
      <w:pPr>
        <w:ind w:right="120"/>
        <w:spacing w:after="0" w:line="289" w:lineRule="auto"/>
        <w:rPr>
          <w:sz w:val="20"/>
          <w:szCs w:val="20"/>
          <w:color w:val="auto"/>
        </w:rPr>
      </w:pPr>
      <w:r>
        <w:rPr>
          <w:rFonts w:ascii="Arial" w:cs="Arial" w:eastAsia="Arial" w:hAnsi="Arial"/>
          <w:sz w:val="11"/>
          <w:szCs w:val="11"/>
          <w:color w:val="auto"/>
        </w:rPr>
        <w:t>The consolidated financial statements have been prepared assuming that the Company will continue as a going concern. As discussed in Note 2 (not presented herein) to the consolidated financial statements, the Company’s most significant customer, Windstream Holdings, Inc., which accounts for approximately 65.0% of consolidated total revenues for the year ended December 31, 2019, filed a voluntary petition for relief under Chapter 11 of the Bankruptcy Code, and uncertainties surrounding potential impacts to the Company resulting from Windstream Holdings, Inc.’s bankruptcy filing raise substantial doubt about the Company’s ability to continue as a going concern. Management's plans in regard to these matters are also described in Note 2 (not presented herein). The consolidated financial statements do not include any adjustments that might result from the outcome of this uncertainty.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w:t>
      </w:r>
    </w:p>
    <w:p>
      <w:pPr>
        <w:spacing w:after="0" w:line="132"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88" w:lineRule="exact"/>
        <w:rPr>
          <w:sz w:val="20"/>
          <w:szCs w:val="20"/>
          <w:color w:val="auto"/>
        </w:rPr>
      </w:pPr>
    </w:p>
    <w:p>
      <w:pPr>
        <w:ind w:right="240"/>
        <w:spacing w:after="0" w:line="298" w:lineRule="auto"/>
        <w:rPr>
          <w:sz w:val="20"/>
          <w:szCs w:val="20"/>
          <w:color w:val="auto"/>
        </w:rPr>
      </w:pPr>
      <w:r>
        <w:rPr>
          <w:rFonts w:ascii="Arial" w:cs="Arial" w:eastAsia="Arial" w:hAnsi="Arial"/>
          <w:sz w:val="11"/>
          <w:szCs w:val="11"/>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12, 2020</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We served as the Company's auditor from 2014 to 2020.</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61" w:name="page62"/>
    <w:bookmarkEnd w:id="61"/>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00" w:type="dxa"/>
            <w:vAlign w:val="bottom"/>
            <w:gridSpan w:val="2"/>
          </w:tcPr>
          <w:p>
            <w:pPr>
              <w:spacing w:after="0"/>
              <w:rPr>
                <w:sz w:val="20"/>
                <w:szCs w:val="20"/>
                <w:color w:val="auto"/>
              </w:rPr>
            </w:pPr>
            <w:r>
              <w:rPr>
                <w:rFonts w:ascii="Arial" w:cs="Arial" w:eastAsia="Arial" w:hAnsi="Arial"/>
                <w:sz w:val="10"/>
                <w:szCs w:val="10"/>
                <w:color w:val="auto"/>
              </w:rPr>
              <w:t>(Thousands, except par value)</w:t>
            </w:r>
          </w:p>
        </w:tc>
        <w:tc>
          <w:tcPr>
            <w:tcW w:w="360" w:type="dxa"/>
            <w:vAlign w:val="bottom"/>
          </w:tcPr>
          <w:p>
            <w:pPr>
              <w:spacing w:after="0"/>
              <w:rPr>
                <w:sz w:val="10"/>
                <w:szCs w:val="10"/>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w w:val="95"/>
              </w:rPr>
              <w:t>December 31, 2021</w:t>
            </w:r>
          </w:p>
        </w:tc>
        <w:tc>
          <w:tcPr>
            <w:tcW w:w="260" w:type="dxa"/>
            <w:vAlign w:val="bottom"/>
          </w:tcPr>
          <w:p>
            <w:pPr>
              <w:spacing w:after="0"/>
              <w:rPr>
                <w:sz w:val="10"/>
                <w:szCs w:val="10"/>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160"/>
        </w:trPr>
        <w:tc>
          <w:tcPr>
            <w:tcW w:w="7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Property, plant and equipment, net</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3,508,939</w:t>
            </w:r>
          </w:p>
        </w:tc>
        <w:tc>
          <w:tcPr>
            <w:tcW w:w="28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3,273,353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58,903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77,534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Accounts receivable, net</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38,455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62,952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Goodwill</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601,878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601,878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Intangible assets, net</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364,630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390,725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Straight-line revenue receivable</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41,323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Other assets, net</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119,171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152,883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Investments in unconsolidated entities</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64,223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Deferred income tax assets, net</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11,721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Assets held for sale</w:t>
            </w:r>
          </w:p>
        </w:tc>
        <w:tc>
          <w:tcPr>
            <w:tcW w:w="36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93,343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5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Assets</w:t>
            </w: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4,809,243</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4,731,818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5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Liabilities and Shareholders' Deficit:</w:t>
            </w:r>
          </w:p>
        </w:tc>
        <w:tc>
          <w:tcPr>
            <w:tcW w:w="36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Accounts payable, accrued expenses and other liabilities, net</w:t>
            </w: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144,223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146,144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Settlement payable (Note 16)</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239,384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418,840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Intangible liabilities, net</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177,786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187,886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Accrued interest payable</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109,826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95,338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Deferred revenue</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1,134,236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995,123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Derivative liability, net</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10,413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22,897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Dividends payable</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Deferred income tax liabilities, net</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10,540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Finance lease obligations</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15,348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Contingent consideration</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2,957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Notes and other debt, net</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5,090,537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4,816,524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Liabilities held for sale</w:t>
            </w: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55,752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0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Total liabilities</w:t>
            </w:r>
          </w:p>
        </w:tc>
        <w:tc>
          <w:tcPr>
            <w:tcW w:w="3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6,923,017</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6,804,194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Commitments and contingencies (Note 16)</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Shareholders' Deficit:</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Preferred stock, $0.0001 par value, 50,000 shares authorized, no shares issued and outstanding</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w w:val="96"/>
              </w:rPr>
              <w:t>Common stock, $0.0001 par value, 500,000 shares authorized, issued and outstanding: 234,779 shares at December 31, 2021 and 231,262 at</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December 31, 2020</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Additional paid-in capital</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1,214,830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1,209,141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Accumulated other comprehensive loss</w:t>
            </w:r>
          </w:p>
        </w:tc>
        <w:tc>
          <w:tcPr>
            <w:tcW w:w="36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(9,164)</w:t>
            </w:r>
          </w:p>
        </w:tc>
        <w:tc>
          <w:tcPr>
            <w:tcW w:w="2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(20,367)</w:t>
            </w: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Distributions in excess of accumulated earnings</w:t>
            </w:r>
          </w:p>
        </w:tc>
        <w:tc>
          <w:tcPr>
            <w:tcW w:w="36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(3,333,481)</w:t>
            </w:r>
          </w:p>
        </w:tc>
        <w:tc>
          <w:tcPr>
            <w:tcW w:w="260" w:type="dxa"/>
            <w:vAlign w:val="bottom"/>
          </w:tcPr>
          <w:p>
            <w:pPr>
              <w:spacing w:after="0"/>
              <w:rPr>
                <w:sz w:val="13"/>
                <w:szCs w:val="13"/>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2"/>
                <w:szCs w:val="12"/>
                <w:color w:val="auto"/>
              </w:rPr>
              <w:t>(3,330,455)</w:t>
            </w:r>
          </w:p>
        </w:tc>
        <w:tc>
          <w:tcPr>
            <w:tcW w:w="0" w:type="dxa"/>
            <w:vAlign w:val="bottom"/>
          </w:tcPr>
          <w:p>
            <w:pPr>
              <w:spacing w:after="0"/>
              <w:rPr>
                <w:sz w:val="1"/>
                <w:szCs w:val="1"/>
                <w:color w:val="auto"/>
              </w:rPr>
            </w:pPr>
          </w:p>
        </w:tc>
      </w:tr>
      <w:tr>
        <w:trPr>
          <w:trHeight w:val="20"/>
        </w:trPr>
        <w:tc>
          <w:tcPr>
            <w:tcW w:w="7500" w:type="dxa"/>
            <w:vAlign w:val="bottom"/>
            <w:gridSpan w:val="2"/>
            <w:vMerge w:val="restart"/>
            <w:shd w:val="clear" w:color="auto" w:fill="CFF0FC"/>
          </w:tcPr>
          <w:p>
            <w:pPr>
              <w:ind w:left="160"/>
              <w:spacing w:after="0"/>
              <w:rPr>
                <w:sz w:val="20"/>
                <w:szCs w:val="20"/>
                <w:color w:val="auto"/>
              </w:rPr>
            </w:pPr>
            <w:r>
              <w:rPr>
                <w:rFonts w:ascii="Arial" w:cs="Arial" w:eastAsia="Arial" w:hAnsi="Arial"/>
                <w:sz w:val="12"/>
                <w:szCs w:val="12"/>
                <w:color w:val="auto"/>
              </w:rPr>
              <w:t>Total Uniti shareholders' deficit</w:t>
            </w: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500" w:type="dxa"/>
            <w:vAlign w:val="bottom"/>
            <w:gridSpan w:val="2"/>
            <w:vMerge w:val="continue"/>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(2,127,792)</w:t>
            </w:r>
          </w:p>
        </w:tc>
        <w:tc>
          <w:tcPr>
            <w:tcW w:w="26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(2,141,658)</w:t>
            </w: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Noncontrolling interests:</w:t>
            </w: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Operating partnership units</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13,893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tcBorders>
              <w:bottom w:val="single" w:sz="8" w:color="CFF0FC"/>
            </w:tcBorders>
            <w:gridSpan w:val="2"/>
          </w:tcPr>
          <w:p>
            <w:pPr>
              <w:ind w:left="240"/>
              <w:spacing w:after="0"/>
              <w:rPr>
                <w:sz w:val="20"/>
                <w:szCs w:val="20"/>
                <w:color w:val="auto"/>
              </w:rPr>
            </w:pPr>
            <w:r>
              <w:rPr>
                <w:rFonts w:ascii="Arial" w:cs="Arial" w:eastAsia="Arial" w:hAnsi="Arial"/>
                <w:sz w:val="12"/>
                <w:szCs w:val="12"/>
                <w:color w:val="auto"/>
              </w:rPr>
              <w:t>Cumulative non-voting convertible preferred stock, $0.01 par value, 3 shares authorized, 1 issued and outstanding</w:t>
            </w: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0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Total shareholders' deficit</w:t>
            </w:r>
          </w:p>
        </w:tc>
        <w:tc>
          <w:tcPr>
            <w:tcW w:w="3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(2,113,774)</w:t>
            </w:r>
          </w:p>
        </w:tc>
        <w:tc>
          <w:tcPr>
            <w:tcW w:w="26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(2,072,376)</w:t>
            </w:r>
          </w:p>
        </w:tc>
        <w:tc>
          <w:tcPr>
            <w:tcW w:w="0" w:type="dxa"/>
            <w:vAlign w:val="bottom"/>
          </w:tcPr>
          <w:p>
            <w:pPr>
              <w:spacing w:after="0"/>
              <w:rPr>
                <w:sz w:val="1"/>
                <w:szCs w:val="1"/>
                <w:color w:val="auto"/>
              </w:rPr>
            </w:pPr>
          </w:p>
        </w:tc>
      </w:tr>
      <w:tr>
        <w:trPr>
          <w:trHeight w:val="149"/>
        </w:trPr>
        <w:tc>
          <w:tcPr>
            <w:tcW w:w="7500" w:type="dxa"/>
            <w:vAlign w:val="bottom"/>
            <w:gridSpan w:val="2"/>
          </w:tcPr>
          <w:p>
            <w:pPr>
              <w:spacing w:after="0"/>
              <w:rPr>
                <w:sz w:val="20"/>
                <w:szCs w:val="20"/>
                <w:color w:val="auto"/>
              </w:rPr>
            </w:pPr>
            <w:r>
              <w:rPr>
                <w:rFonts w:ascii="Arial" w:cs="Arial" w:eastAsia="Arial" w:hAnsi="Arial"/>
                <w:sz w:val="12"/>
                <w:szCs w:val="12"/>
                <w:b w:val="1"/>
                <w:bCs w:val="1"/>
                <w:color w:val="auto"/>
              </w:rPr>
              <w:t>Total Liabilities and Shareholders' Deficit</w:t>
            </w:r>
          </w:p>
        </w:tc>
        <w:tc>
          <w:tcPr>
            <w:tcW w:w="3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4,809,243</w:t>
            </w: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4,731,818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860" w:type="dxa"/>
            <w:vAlign w:val="bottom"/>
            <w:gridSpan w:val="3"/>
          </w:tcPr>
          <w:p>
            <w:pPr>
              <w:ind w:left="3540"/>
              <w:spacing w:after="0"/>
              <w:rPr>
                <w:sz w:val="20"/>
                <w:szCs w:val="20"/>
                <w:color w:val="auto"/>
              </w:rPr>
            </w:pPr>
            <w:r>
              <w:rPr>
                <w:rFonts w:ascii="Arial" w:cs="Arial" w:eastAsia="Arial" w:hAnsi="Arial"/>
                <w:sz w:val="12"/>
                <w:szCs w:val="12"/>
                <w:color w:val="auto"/>
                <w:w w:val="91"/>
              </w:rPr>
              <w:t>The accompanying notes are an integral part of these consolidated financial statements.</w:t>
            </w: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7340" w:type="dxa"/>
            <w:vAlign w:val="bottom"/>
          </w:tcPr>
          <w:p>
            <w:pPr>
              <w:ind w:left="5580"/>
              <w:spacing w:after="0"/>
              <w:rPr>
                <w:sz w:val="20"/>
                <w:szCs w:val="20"/>
                <w:color w:val="auto"/>
              </w:rPr>
            </w:pPr>
            <w:r>
              <w:rPr>
                <w:rFonts w:ascii="Arial" w:cs="Arial" w:eastAsia="Arial" w:hAnsi="Arial"/>
                <w:sz w:val="12"/>
                <w:szCs w:val="12"/>
                <w:color w:val="auto"/>
              </w:rPr>
              <w:t>62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73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2" w:name="page63"/>
    <w:bookmarkEnd w:id="62"/>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Income (Loss)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0"/>
                <w:szCs w:val="10"/>
                <w:b w:val="1"/>
                <w:bCs w:val="1"/>
                <w:color w:val="auto"/>
                <w:w w:val="99"/>
              </w:rPr>
              <w:t>Year Ended December 31,</w:t>
            </w: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180" w:type="dxa"/>
            <w:vAlign w:val="bottom"/>
            <w:gridSpan w:val="2"/>
          </w:tcPr>
          <w:p>
            <w:pPr>
              <w:spacing w:after="0"/>
              <w:rPr>
                <w:sz w:val="20"/>
                <w:szCs w:val="20"/>
                <w:color w:val="auto"/>
              </w:rPr>
            </w:pPr>
            <w:r>
              <w:rPr>
                <w:rFonts w:ascii="Arial" w:cs="Arial" w:eastAsia="Arial" w:hAnsi="Arial"/>
                <w:sz w:val="10"/>
                <w:szCs w:val="10"/>
                <w:color w:val="auto"/>
              </w:rPr>
              <w:t>(Thousands, except per share data)</w:t>
            </w:r>
          </w:p>
        </w:tc>
        <w:tc>
          <w:tcPr>
            <w:tcW w:w="440" w:type="dxa"/>
            <w:vAlign w:val="bottom"/>
          </w:tcPr>
          <w:p>
            <w:pPr>
              <w:spacing w:after="0"/>
              <w:rPr>
                <w:sz w:val="13"/>
                <w:szCs w:val="13"/>
                <w:color w:val="auto"/>
              </w:rPr>
            </w:pPr>
          </w:p>
        </w:tc>
        <w:tc>
          <w:tcPr>
            <w:tcW w:w="1400" w:type="dxa"/>
            <w:vAlign w:val="bottom"/>
          </w:tcPr>
          <w:p>
            <w:pPr>
              <w:jc w:val="right"/>
              <w:ind w:right="760"/>
              <w:spacing w:after="0"/>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ind w:right="761"/>
              <w:spacing w:after="0"/>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ind w:right="760"/>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2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Leasing</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801,497</w:t>
            </w:r>
          </w:p>
        </w:tc>
        <w:tc>
          <w:tcPr>
            <w:tcW w:w="24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745,915</w:t>
            </w:r>
          </w:p>
        </w:tc>
        <w:tc>
          <w:tcPr>
            <w:tcW w:w="24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716,640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Fiber Infrastructure</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299,025</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314,363</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315,605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Tower</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6,112</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14,693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Consumer CLEC</w:t>
            </w:r>
          </w:p>
        </w:tc>
        <w:tc>
          <w:tcPr>
            <w:tcW w:w="4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651</w:t>
            </w:r>
          </w:p>
        </w:tc>
        <w:tc>
          <w:tcPr>
            <w:tcW w:w="24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80" w:type="dxa"/>
            <w:vAlign w:val="bottom"/>
            <w:gridSpan w:val="2"/>
          </w:tcPr>
          <w:p>
            <w:pPr>
              <w:ind w:left="320"/>
              <w:spacing w:after="0"/>
              <w:rPr>
                <w:sz w:val="20"/>
                <w:szCs w:val="20"/>
                <w:color w:val="auto"/>
              </w:rPr>
            </w:pPr>
            <w:r>
              <w:rPr>
                <w:rFonts w:ascii="Arial" w:cs="Arial" w:eastAsia="Arial" w:hAnsi="Arial"/>
                <w:sz w:val="12"/>
                <w:szCs w:val="12"/>
                <w:color w:val="auto"/>
              </w:rPr>
              <w:t>Total revenues</w:t>
            </w:r>
          </w:p>
        </w:tc>
        <w:tc>
          <w:tcPr>
            <w:tcW w:w="4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1,100,522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1,067,041</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1,057,611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4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Interest expense, net</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446,296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497,128</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390,112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290,942</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329,403</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405,754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General and administrative expense</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101,176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104,975</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102,900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Operating expense (exclusive of depreciation, accretion and amortization)</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146,869</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159,337</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Settlement expense (Note 16)</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650,000</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Goodwill impairment (Note 3)</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71,000</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Transaction related and other costs</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7,544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63,875</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43,708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Gain on sale of real estate (Note 6)</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(442)</w:t>
            </w:r>
          </w:p>
        </w:tc>
        <w:tc>
          <w:tcPr>
            <w:tcW w:w="22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(86,267)</w:t>
            </w:r>
          </w:p>
        </w:tc>
        <w:tc>
          <w:tcPr>
            <w:tcW w:w="4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(28,995)</w:t>
            </w: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Gain on sale of operations (Note 6)</w:t>
            </w:r>
          </w:p>
        </w:tc>
        <w:tc>
          <w:tcPr>
            <w:tcW w:w="440" w:type="dxa"/>
            <w:vAlign w:val="bottom"/>
          </w:tcPr>
          <w:p>
            <w:pPr>
              <w:spacing w:after="0"/>
              <w:rPr>
                <w:sz w:val="13"/>
                <w:szCs w:val="13"/>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(28,143)</w:t>
            </w: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expense (income), net</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18,553</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11,703</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(31,463)</w:t>
            </w:r>
          </w:p>
        </w:tc>
        <w:tc>
          <w:tcPr>
            <w:tcW w:w="0" w:type="dxa"/>
            <w:vAlign w:val="bottom"/>
          </w:tcPr>
          <w:p>
            <w:pPr>
              <w:spacing w:after="0"/>
              <w:rPr>
                <w:sz w:val="1"/>
                <w:szCs w:val="1"/>
                <w:color w:val="auto"/>
              </w:rPr>
            </w:pPr>
          </w:p>
        </w:tc>
      </w:tr>
      <w:tr>
        <w:trPr>
          <w:trHeight w:val="142"/>
        </w:trPr>
        <w:tc>
          <w:tcPr>
            <w:tcW w:w="5180" w:type="dxa"/>
            <w:vAlign w:val="bottom"/>
            <w:tcBorders>
              <w:bottom w:val="single" w:sz="8" w:color="CFF0FC"/>
            </w:tcBorders>
            <w:gridSpan w:val="2"/>
          </w:tcPr>
          <w:p>
            <w:pPr>
              <w:ind w:left="320"/>
              <w:spacing w:after="0"/>
              <w:rPr>
                <w:sz w:val="20"/>
                <w:szCs w:val="20"/>
                <w:color w:val="auto"/>
              </w:rPr>
            </w:pPr>
            <w:r>
              <w:rPr>
                <w:rFonts w:ascii="Arial" w:cs="Arial" w:eastAsia="Arial" w:hAnsi="Arial"/>
                <w:sz w:val="12"/>
                <w:szCs w:val="12"/>
                <w:color w:val="auto"/>
              </w:rPr>
              <w:t>Total costs and expenses</w:t>
            </w:r>
          </w:p>
        </w:tc>
        <w:tc>
          <w:tcPr>
            <w:tcW w:w="4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982,795</w:t>
            </w:r>
          </w:p>
        </w:tc>
        <w:tc>
          <w:tcPr>
            <w:tcW w:w="24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1,801,154</w:t>
            </w:r>
          </w:p>
        </w:tc>
        <w:tc>
          <w:tcPr>
            <w:tcW w:w="24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1,042,040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spacing w:after="0"/>
              <w:rPr>
                <w:sz w:val="20"/>
                <w:szCs w:val="20"/>
                <w:color w:val="auto"/>
              </w:rPr>
            </w:pPr>
            <w:r>
              <w:rPr>
                <w:rFonts w:ascii="Arial" w:cs="Arial" w:eastAsia="Arial" w:hAnsi="Arial"/>
                <w:sz w:val="12"/>
                <w:szCs w:val="12"/>
                <w:b w:val="1"/>
                <w:bCs w:val="1"/>
                <w:color w:val="auto"/>
              </w:rPr>
              <w:t>Income (loss) before income taxes and equity in earnings from unconsolidated entities</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117,727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(734,113)</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15,571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Income tax (benefit) expense</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(4,916)</w:t>
            </w:r>
          </w:p>
        </w:tc>
        <w:tc>
          <w:tcPr>
            <w:tcW w:w="22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(15,203)</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Equity in earnings from unconsolidated entities</w:t>
            </w:r>
          </w:p>
        </w:tc>
        <w:tc>
          <w:tcPr>
            <w:tcW w:w="440" w:type="dxa"/>
            <w:vAlign w:val="bottom"/>
          </w:tcPr>
          <w:p>
            <w:pPr>
              <w:spacing w:after="0"/>
              <w:rPr>
                <w:sz w:val="13"/>
                <w:szCs w:val="13"/>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(2,102)</w:t>
            </w:r>
          </w:p>
        </w:tc>
        <w:tc>
          <w:tcPr>
            <w:tcW w:w="22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(98)</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Net income (loss)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gridSpan w:val="2"/>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124,745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(718,812)</w:t>
            </w: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spacing w:after="0"/>
              <w:rPr>
                <w:sz w:val="20"/>
                <w:szCs w:val="20"/>
                <w:color w:val="auto"/>
              </w:rPr>
            </w:pPr>
            <w:r>
              <w:rPr>
                <w:rFonts w:ascii="Arial" w:cs="Arial" w:eastAsia="Arial" w:hAnsi="Arial"/>
                <w:sz w:val="12"/>
                <w:szCs w:val="12"/>
                <w:color w:val="auto"/>
              </w:rPr>
              <w:t>Net income (loss) attributable to noncontrolling interests</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1,085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(12,511)</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Net income (loss) attributable to shareholders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gridSpan w:val="2"/>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123,660</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(706,301)</w:t>
            </w: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Participating securities' share in earnings</w:t>
            </w:r>
          </w:p>
        </w:tc>
        <w:tc>
          <w:tcPr>
            <w:tcW w:w="440" w:type="dxa"/>
            <w:vAlign w:val="bottom"/>
          </w:tcPr>
          <w:p>
            <w:pPr>
              <w:spacing w:after="0"/>
              <w:rPr>
                <w:sz w:val="13"/>
                <w:szCs w:val="13"/>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(1,077)</w:t>
            </w:r>
          </w:p>
        </w:tc>
        <w:tc>
          <w:tcPr>
            <w:tcW w:w="22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(1,078)</w:t>
            </w: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(549)</w:t>
            </w: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Dividends declared on convertible preferred stock</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w:t>
            </w:r>
          </w:p>
        </w:tc>
        <w:tc>
          <w:tcPr>
            <w:tcW w:w="22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w:t>
            </w:r>
          </w:p>
        </w:tc>
        <w:tc>
          <w:tcPr>
            <w:tcW w:w="4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(656)</w:t>
            </w: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Amortization of discount on convertible preferred stock</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(993)</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gridSpan w:val="2"/>
            <w:vMerge w:val="continue"/>
            <w:shd w:val="clear" w:color="auto" w:fill="CFF0FC"/>
          </w:tcPr>
          <w:p>
            <w:pPr>
              <w:spacing w:after="0"/>
              <w:rPr>
                <w:sz w:val="12"/>
                <w:szCs w:val="12"/>
                <w:color w:val="auto"/>
              </w:rPr>
            </w:pP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122,573</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(707,388)</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Earnings (loss) per common share (Note 14):</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Basic</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0.53</w:t>
            </w:r>
          </w:p>
        </w:tc>
        <w:tc>
          <w:tcPr>
            <w:tcW w:w="24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(3.47)</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0.04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shd w:val="clear" w:color="auto" w:fill="CFF0FC"/>
          </w:tcPr>
          <w:p>
            <w:pPr>
              <w:ind w:left="160"/>
              <w:spacing w:after="0"/>
              <w:rPr>
                <w:sz w:val="20"/>
                <w:szCs w:val="20"/>
                <w:color w:val="auto"/>
              </w:rPr>
            </w:pPr>
            <w:r>
              <w:rPr>
                <w:rFonts w:ascii="Arial" w:cs="Arial" w:eastAsia="Arial" w:hAnsi="Arial"/>
                <w:sz w:val="12"/>
                <w:szCs w:val="12"/>
                <w:color w:val="auto"/>
              </w:rPr>
              <w:t>Diluted</w:t>
            </w: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180" w:type="dxa"/>
            <w:vAlign w:val="bottom"/>
            <w:gridSpan w:val="2"/>
            <w:vMerge w:val="continue"/>
            <w:shd w:val="clear" w:color="auto" w:fill="CFF0FC"/>
          </w:tcPr>
          <w:p>
            <w:pPr>
              <w:spacing w:after="0"/>
              <w:rPr>
                <w:sz w:val="13"/>
                <w:szCs w:val="13"/>
                <w:color w:val="auto"/>
              </w:rPr>
            </w:pP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0.51</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(3.47)</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Weighted-average number of common shares outstanding</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8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Basic</w:t>
            </w: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232,888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203,600</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187,358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8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2"/>
                <w:szCs w:val="12"/>
                <w:color w:val="auto"/>
              </w:rPr>
              <w:t>Diluted</w:t>
            </w:r>
          </w:p>
        </w:tc>
        <w:tc>
          <w:tcPr>
            <w:tcW w:w="4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264,077</w:t>
            </w:r>
          </w:p>
        </w:tc>
        <w:tc>
          <w:tcPr>
            <w:tcW w:w="2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203,600</w:t>
            </w:r>
          </w:p>
        </w:tc>
        <w:tc>
          <w:tcPr>
            <w:tcW w:w="24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187,358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3" w:name="page64"/>
    <w:bookmarkEnd w:id="63"/>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0"/>
                <w:szCs w:val="10"/>
                <w:b w:val="1"/>
                <w:bCs w:val="1"/>
                <w:color w:val="auto"/>
              </w:rPr>
              <w:t>Year Ended December 31,</w:t>
            </w:r>
          </w:p>
        </w:tc>
        <w:tc>
          <w:tcPr>
            <w:tcW w:w="4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4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41"/>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41"/>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480" w:type="dxa"/>
            <w:vAlign w:val="bottom"/>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124,745</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(718,812)</w:t>
            </w:r>
          </w:p>
        </w:tc>
        <w:tc>
          <w:tcPr>
            <w:tcW w:w="480" w:type="dxa"/>
            <w:vAlign w:val="bottom"/>
            <w:shd w:val="clear" w:color="auto" w:fill="CFF0FC"/>
          </w:tcPr>
          <w:p>
            <w:pPr>
              <w:jc w:val="right"/>
              <w:ind w:right="34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20" w:type="dxa"/>
            <w:vAlign w:val="bottom"/>
            <w:gridSpan w:val="2"/>
          </w:tcPr>
          <w:p>
            <w:pPr>
              <w:spacing w:after="0"/>
              <w:rPr>
                <w:sz w:val="20"/>
                <w:szCs w:val="20"/>
                <w:color w:val="auto"/>
              </w:rPr>
            </w:pPr>
            <w:r>
              <w:rPr>
                <w:rFonts w:ascii="Arial" w:cs="Arial" w:eastAsia="Arial" w:hAnsi="Arial"/>
                <w:sz w:val="12"/>
                <w:szCs w:val="12"/>
                <w:color w:val="auto"/>
              </w:rPr>
              <w:t>Other comprehensive income (loss):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Unrealized loss on derivative contracts</w:t>
            </w:r>
          </w:p>
        </w:tc>
        <w:tc>
          <w:tcPr>
            <w:tcW w:w="48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(7,036)</w:t>
            </w:r>
          </w:p>
        </w:tc>
        <w:tc>
          <w:tcPr>
            <w:tcW w:w="4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(54,612)</w:t>
            </w:r>
          </w:p>
        </w:tc>
        <w:tc>
          <w:tcPr>
            <w:tcW w:w="0" w:type="dxa"/>
            <w:vAlign w:val="bottom"/>
          </w:tcPr>
          <w:p>
            <w:pPr>
              <w:spacing w:after="0"/>
              <w:rPr>
                <w:sz w:val="1"/>
                <w:szCs w:val="1"/>
                <w:color w:val="auto"/>
              </w:rPr>
            </w:pPr>
          </w:p>
        </w:tc>
      </w:tr>
      <w:tr>
        <w:trPr>
          <w:trHeight w:val="153"/>
        </w:trPr>
        <w:tc>
          <w:tcPr>
            <w:tcW w:w="4720" w:type="dxa"/>
            <w:vAlign w:val="bottom"/>
            <w:gridSpan w:val="2"/>
          </w:tcPr>
          <w:p>
            <w:pPr>
              <w:ind w:left="160"/>
              <w:spacing w:after="0"/>
              <w:rPr>
                <w:sz w:val="20"/>
                <w:szCs w:val="20"/>
                <w:color w:val="auto"/>
              </w:rPr>
            </w:pPr>
            <w:r>
              <w:rPr>
                <w:rFonts w:ascii="Arial" w:cs="Arial" w:eastAsia="Arial" w:hAnsi="Arial"/>
                <w:sz w:val="12"/>
                <w:szCs w:val="12"/>
                <w:color w:val="auto"/>
              </w:rPr>
              <w:t>Changes in foreign currency translation</w:t>
            </w:r>
          </w:p>
        </w:tc>
        <w:tc>
          <w:tcPr>
            <w:tcW w:w="4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53"/>
        </w:trPr>
        <w:tc>
          <w:tcPr>
            <w:tcW w:w="4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Interest rate swap termination</w:t>
            </w:r>
          </w:p>
        </w:tc>
        <w:tc>
          <w:tcPr>
            <w:tcW w:w="48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11,317</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10,155</w:t>
            </w:r>
          </w:p>
        </w:tc>
        <w:tc>
          <w:tcPr>
            <w:tcW w:w="240" w:type="dxa"/>
            <w:vAlign w:val="bottom"/>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20" w:type="dxa"/>
            <w:vAlign w:val="bottom"/>
            <w:gridSpan w:val="2"/>
          </w:tcPr>
          <w:p>
            <w:pPr>
              <w:spacing w:after="0"/>
              <w:rPr>
                <w:sz w:val="20"/>
                <w:szCs w:val="20"/>
                <w:color w:val="auto"/>
              </w:rPr>
            </w:pPr>
            <w:r>
              <w:rPr>
                <w:rFonts w:ascii="Arial" w:cs="Arial" w:eastAsia="Arial" w:hAnsi="Arial"/>
                <w:sz w:val="12"/>
                <w:szCs w:val="12"/>
                <w:color w:val="auto"/>
              </w:rPr>
              <w:t>Other comprehensive income (loss)</w:t>
            </w:r>
          </w:p>
        </w:tc>
        <w:tc>
          <w:tcPr>
            <w:tcW w:w="4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11,317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3,119</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(54,675)</w:t>
            </w: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Comprehensive income (loss)</w:t>
            </w:r>
          </w:p>
        </w:tc>
        <w:tc>
          <w:tcPr>
            <w:tcW w:w="4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gridSpan w:val="2"/>
            <w:vMerge w:val="continue"/>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136,062</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(715,693)</w:t>
            </w:r>
          </w:p>
        </w:tc>
        <w:tc>
          <w:tcPr>
            <w:tcW w:w="4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(43,767)</w:t>
            </w:r>
          </w:p>
        </w:tc>
        <w:tc>
          <w:tcPr>
            <w:tcW w:w="0" w:type="dxa"/>
            <w:vAlign w:val="bottom"/>
          </w:tcPr>
          <w:p>
            <w:pPr>
              <w:spacing w:after="0"/>
              <w:rPr>
                <w:sz w:val="1"/>
                <w:szCs w:val="1"/>
                <w:color w:val="auto"/>
              </w:rPr>
            </w:pPr>
          </w:p>
        </w:tc>
      </w:tr>
      <w:tr>
        <w:trPr>
          <w:trHeight w:val="153"/>
        </w:trPr>
        <w:tc>
          <w:tcPr>
            <w:tcW w:w="4720" w:type="dxa"/>
            <w:vAlign w:val="bottom"/>
            <w:gridSpan w:val="2"/>
          </w:tcPr>
          <w:p>
            <w:pPr>
              <w:spacing w:after="0"/>
              <w:rPr>
                <w:sz w:val="20"/>
                <w:szCs w:val="20"/>
                <w:color w:val="auto"/>
              </w:rPr>
            </w:pPr>
            <w:r>
              <w:rPr>
                <w:rFonts w:ascii="Arial" w:cs="Arial" w:eastAsia="Arial" w:hAnsi="Arial"/>
                <w:sz w:val="12"/>
                <w:szCs w:val="12"/>
                <w:color w:val="auto"/>
              </w:rPr>
              <w:t>Comprehensive income (loss) attributable to noncontrolling interest</w:t>
            </w:r>
          </w:p>
        </w:tc>
        <w:tc>
          <w:tcPr>
            <w:tcW w:w="4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1,199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2"/>
                <w:szCs w:val="12"/>
                <w:color w:val="auto"/>
              </w:rPr>
              <w:t>(12,467)</w:t>
            </w:r>
          </w:p>
        </w:tc>
        <w:tc>
          <w:tcPr>
            <w:tcW w:w="48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(1,128)</w:t>
            </w: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Comprehensive income (loss) attributable to common shareholders</w:t>
            </w:r>
          </w:p>
        </w:tc>
        <w:tc>
          <w:tcPr>
            <w:tcW w:w="4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gridSpan w:val="2"/>
            <w:vMerge w:val="continue"/>
            <w:shd w:val="clear" w:color="auto" w:fill="CFF0FC"/>
          </w:tcPr>
          <w:p>
            <w:pPr>
              <w:spacing w:after="0"/>
              <w:rPr>
                <w:sz w:val="12"/>
                <w:szCs w:val="12"/>
                <w:color w:val="auto"/>
              </w:rPr>
            </w:pPr>
          </w:p>
        </w:tc>
        <w:tc>
          <w:tcPr>
            <w:tcW w:w="480" w:type="dxa"/>
            <w:vAlign w:val="bottom"/>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134,863</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(703,226)</w:t>
            </w:r>
          </w:p>
        </w:tc>
        <w:tc>
          <w:tcPr>
            <w:tcW w:w="480" w:type="dxa"/>
            <w:vAlign w:val="bottom"/>
            <w:shd w:val="clear" w:color="auto" w:fill="CFF0FC"/>
          </w:tcPr>
          <w:p>
            <w:pPr>
              <w:jc w:val="right"/>
              <w:ind w:right="340"/>
              <w:spacing w:after="0"/>
              <w:rPr>
                <w:sz w:val="20"/>
                <w:szCs w:val="20"/>
                <w:color w:val="auto"/>
              </w:rPr>
            </w:pPr>
            <w:r>
              <w:rPr>
                <w:rFonts w:ascii="Arial" w:cs="Arial" w:eastAsia="Arial" w:hAnsi="Arial"/>
                <w:sz w:val="12"/>
                <w:szCs w:val="12"/>
                <w:color w:val="auto"/>
                <w:w w:val="89"/>
              </w:rPr>
              <w:t>$</w:t>
            </w: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(42,639)</w:t>
            </w:r>
          </w:p>
        </w:tc>
        <w:tc>
          <w:tcPr>
            <w:tcW w:w="0" w:type="dxa"/>
            <w:vAlign w:val="bottom"/>
          </w:tcPr>
          <w:p>
            <w:pPr>
              <w:spacing w:after="0"/>
              <w:rPr>
                <w:sz w:val="1"/>
                <w:szCs w:val="1"/>
                <w:color w:val="auto"/>
              </w:rPr>
            </w:pPr>
          </w:p>
        </w:tc>
      </w:tr>
      <w:tr>
        <w:trPr>
          <w:trHeight w:val="27"/>
        </w:trPr>
        <w:tc>
          <w:tcPr>
            <w:tcW w:w="45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4" w:name="page65"/>
    <w:bookmarkEnd w:id="64"/>
    <w:p>
      <w:pPr>
        <w:spacing w:after="0"/>
        <w:rPr>
          <w:sz w:val="20"/>
          <w:szCs w:val="20"/>
          <w:color w:val="auto"/>
        </w:rPr>
      </w:pPr>
      <w:r>
        <w:rPr>
          <w:rFonts w:ascii="Arial" w:cs="Arial" w:eastAsia="Arial" w:hAnsi="Arial"/>
          <w:sz w:val="12"/>
          <w:szCs w:val="12"/>
          <w:u w:val="single" w:color="auto"/>
          <w:color w:val="0000EE"/>
        </w:rPr>
        <w:t>Table of Contents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Shareholders’ Deficit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8"/>
                <w:szCs w:val="8"/>
                <w:color w:val="auto"/>
                <w:w w:val="93"/>
              </w:rPr>
              <w:t>Noncontrolling</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90"/>
        </w:trPr>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tcPr>
          <w:p>
            <w:pPr>
              <w:jc w:val="center"/>
              <w:ind w:right="260"/>
              <w:spacing w:after="0" w:line="90" w:lineRule="exact"/>
              <w:rPr>
                <w:sz w:val="20"/>
                <w:szCs w:val="20"/>
                <w:color w:val="auto"/>
              </w:rPr>
            </w:pPr>
            <w:r>
              <w:rPr>
                <w:rFonts w:ascii="Arial" w:cs="Arial" w:eastAsia="Arial" w:hAnsi="Arial"/>
                <w:sz w:val="8"/>
                <w:szCs w:val="8"/>
                <w:color w:val="auto"/>
                <w:w w:val="86"/>
              </w:rPr>
              <w:t>Accumulated</w:t>
            </w:r>
          </w:p>
        </w:tc>
        <w:tc>
          <w:tcPr>
            <w:tcW w:w="60" w:type="dxa"/>
            <w:vAlign w:val="bottom"/>
          </w:tcPr>
          <w:p>
            <w:pPr>
              <w:spacing w:after="0"/>
              <w:rPr>
                <w:sz w:val="7"/>
                <w:szCs w:val="7"/>
                <w:color w:val="auto"/>
              </w:rPr>
            </w:pPr>
          </w:p>
        </w:tc>
        <w:tc>
          <w:tcPr>
            <w:tcW w:w="740" w:type="dxa"/>
            <w:vAlign w:val="bottom"/>
            <w:gridSpan w:val="2"/>
          </w:tcPr>
          <w:p>
            <w:pPr>
              <w:jc w:val="center"/>
              <w:ind w:right="280"/>
              <w:spacing w:after="0" w:line="90" w:lineRule="exact"/>
              <w:rPr>
                <w:sz w:val="20"/>
                <w:szCs w:val="20"/>
                <w:color w:val="auto"/>
              </w:rPr>
            </w:pPr>
            <w:r>
              <w:rPr>
                <w:rFonts w:ascii="Arial" w:cs="Arial" w:eastAsia="Arial" w:hAnsi="Arial"/>
                <w:sz w:val="8"/>
                <w:szCs w:val="8"/>
                <w:color w:val="auto"/>
                <w:w w:val="95"/>
              </w:rPr>
              <w:t>Distributions</w:t>
            </w: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tcPr>
          <w:p>
            <w:pPr>
              <w:jc w:val="center"/>
              <w:ind w:right="280"/>
              <w:spacing w:after="0" w:line="90" w:lineRule="exact"/>
              <w:rPr>
                <w:sz w:val="20"/>
                <w:szCs w:val="20"/>
                <w:color w:val="auto"/>
              </w:rPr>
            </w:pPr>
            <w:r>
              <w:rPr>
                <w:rFonts w:ascii="Arial" w:cs="Arial" w:eastAsia="Arial" w:hAnsi="Arial"/>
                <w:sz w:val="8"/>
                <w:szCs w:val="8"/>
                <w:color w:val="auto"/>
                <w:w w:val="89"/>
              </w:rPr>
              <w:t>Interest - Non-</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90"/>
        </w:trPr>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right"/>
              <w:ind w:right="340"/>
              <w:spacing w:after="0" w:line="90" w:lineRule="exact"/>
              <w:rPr>
                <w:sz w:val="20"/>
                <w:szCs w:val="20"/>
                <w:color w:val="auto"/>
              </w:rPr>
            </w:pPr>
            <w:r>
              <w:rPr>
                <w:rFonts w:ascii="Arial" w:cs="Arial" w:eastAsia="Arial" w:hAnsi="Arial"/>
                <w:sz w:val="8"/>
                <w:szCs w:val="8"/>
                <w:color w:val="auto"/>
              </w:rPr>
              <w:t>Additional</w:t>
            </w:r>
          </w:p>
        </w:tc>
        <w:tc>
          <w:tcPr>
            <w:tcW w:w="40" w:type="dxa"/>
            <w:vAlign w:val="bottom"/>
          </w:tcPr>
          <w:p>
            <w:pPr>
              <w:spacing w:after="0"/>
              <w:rPr>
                <w:sz w:val="7"/>
                <w:szCs w:val="7"/>
                <w:color w:val="auto"/>
              </w:rPr>
            </w:pPr>
          </w:p>
        </w:tc>
        <w:tc>
          <w:tcPr>
            <w:tcW w:w="740" w:type="dxa"/>
            <w:vAlign w:val="bottom"/>
            <w:gridSpan w:val="2"/>
          </w:tcPr>
          <w:p>
            <w:pPr>
              <w:jc w:val="center"/>
              <w:ind w:right="260"/>
              <w:spacing w:after="0" w:line="90" w:lineRule="exact"/>
              <w:rPr>
                <w:sz w:val="20"/>
                <w:szCs w:val="20"/>
                <w:color w:val="auto"/>
              </w:rPr>
            </w:pPr>
            <w:r>
              <w:rPr>
                <w:rFonts w:ascii="Arial" w:cs="Arial" w:eastAsia="Arial" w:hAnsi="Arial"/>
                <w:sz w:val="8"/>
                <w:szCs w:val="8"/>
                <w:color w:val="auto"/>
                <w:w w:val="79"/>
              </w:rPr>
              <w:t>Other</w:t>
            </w:r>
          </w:p>
        </w:tc>
        <w:tc>
          <w:tcPr>
            <w:tcW w:w="60" w:type="dxa"/>
            <w:vAlign w:val="bottom"/>
          </w:tcPr>
          <w:p>
            <w:pPr>
              <w:spacing w:after="0"/>
              <w:rPr>
                <w:sz w:val="7"/>
                <w:szCs w:val="7"/>
                <w:color w:val="auto"/>
              </w:rPr>
            </w:pPr>
          </w:p>
        </w:tc>
        <w:tc>
          <w:tcPr>
            <w:tcW w:w="740" w:type="dxa"/>
            <w:vAlign w:val="bottom"/>
            <w:gridSpan w:val="2"/>
          </w:tcPr>
          <w:p>
            <w:pPr>
              <w:jc w:val="center"/>
              <w:ind w:right="280"/>
              <w:spacing w:after="0" w:line="90" w:lineRule="exact"/>
              <w:rPr>
                <w:sz w:val="20"/>
                <w:szCs w:val="20"/>
                <w:color w:val="auto"/>
              </w:rPr>
            </w:pPr>
            <w:r>
              <w:rPr>
                <w:rFonts w:ascii="Arial" w:cs="Arial" w:eastAsia="Arial" w:hAnsi="Arial"/>
                <w:sz w:val="8"/>
                <w:szCs w:val="8"/>
                <w:color w:val="auto"/>
                <w:w w:val="87"/>
              </w:rPr>
              <w:t>in Excess of</w:t>
            </w:r>
          </w:p>
        </w:tc>
        <w:tc>
          <w:tcPr>
            <w:tcW w:w="40" w:type="dxa"/>
            <w:vAlign w:val="bottom"/>
          </w:tcPr>
          <w:p>
            <w:pPr>
              <w:spacing w:after="0"/>
              <w:rPr>
                <w:sz w:val="7"/>
                <w:szCs w:val="7"/>
                <w:color w:val="auto"/>
              </w:rPr>
            </w:pPr>
          </w:p>
        </w:tc>
        <w:tc>
          <w:tcPr>
            <w:tcW w:w="760" w:type="dxa"/>
            <w:vAlign w:val="bottom"/>
            <w:gridSpan w:val="2"/>
          </w:tcPr>
          <w:p>
            <w:pPr>
              <w:jc w:val="center"/>
              <w:ind w:right="280"/>
              <w:spacing w:after="0" w:line="90" w:lineRule="exact"/>
              <w:rPr>
                <w:sz w:val="20"/>
                <w:szCs w:val="20"/>
                <w:color w:val="auto"/>
              </w:rPr>
            </w:pPr>
            <w:r>
              <w:rPr>
                <w:rFonts w:ascii="Arial" w:cs="Arial" w:eastAsia="Arial" w:hAnsi="Arial"/>
                <w:sz w:val="8"/>
                <w:szCs w:val="8"/>
                <w:color w:val="auto"/>
                <w:w w:val="93"/>
              </w:rPr>
              <w:t>Noncontrolling</w:t>
            </w:r>
          </w:p>
        </w:tc>
        <w:tc>
          <w:tcPr>
            <w:tcW w:w="40" w:type="dxa"/>
            <w:vAlign w:val="bottom"/>
          </w:tcPr>
          <w:p>
            <w:pPr>
              <w:spacing w:after="0"/>
              <w:rPr>
                <w:sz w:val="7"/>
                <w:szCs w:val="7"/>
                <w:color w:val="auto"/>
              </w:rPr>
            </w:pPr>
          </w:p>
        </w:tc>
        <w:tc>
          <w:tcPr>
            <w:tcW w:w="740" w:type="dxa"/>
            <w:vAlign w:val="bottom"/>
            <w:gridSpan w:val="2"/>
          </w:tcPr>
          <w:p>
            <w:pPr>
              <w:jc w:val="center"/>
              <w:ind w:right="260"/>
              <w:spacing w:after="0" w:line="90" w:lineRule="exact"/>
              <w:rPr>
                <w:sz w:val="20"/>
                <w:szCs w:val="20"/>
                <w:color w:val="auto"/>
              </w:rPr>
            </w:pPr>
            <w:r>
              <w:rPr>
                <w:rFonts w:ascii="Arial" w:cs="Arial" w:eastAsia="Arial" w:hAnsi="Arial"/>
                <w:sz w:val="8"/>
                <w:szCs w:val="8"/>
                <w:color w:val="auto"/>
                <w:w w:val="93"/>
              </w:rPr>
              <w:t>voting</w:t>
            </w:r>
          </w:p>
        </w:tc>
        <w:tc>
          <w:tcPr>
            <w:tcW w:w="60" w:type="dxa"/>
            <w:vAlign w:val="bottom"/>
          </w:tcPr>
          <w:p>
            <w:pPr>
              <w:spacing w:after="0"/>
              <w:rPr>
                <w:sz w:val="7"/>
                <w:szCs w:val="7"/>
                <w:color w:val="auto"/>
              </w:rPr>
            </w:pPr>
          </w:p>
        </w:tc>
        <w:tc>
          <w:tcPr>
            <w:tcW w:w="560" w:type="dxa"/>
            <w:vAlign w:val="bottom"/>
            <w:gridSpan w:val="2"/>
          </w:tcPr>
          <w:p>
            <w:pPr>
              <w:jc w:val="center"/>
              <w:ind w:right="120"/>
              <w:spacing w:after="0" w:line="90" w:lineRule="exact"/>
              <w:rPr>
                <w:sz w:val="20"/>
                <w:szCs w:val="20"/>
                <w:color w:val="auto"/>
              </w:rPr>
            </w:pPr>
            <w:r>
              <w:rPr>
                <w:rFonts w:ascii="Arial" w:cs="Arial" w:eastAsia="Arial" w:hAnsi="Arial"/>
                <w:sz w:val="8"/>
                <w:szCs w:val="8"/>
                <w:color w:val="auto"/>
                <w:w w:val="89"/>
              </w:rPr>
              <w:t>Total</w:t>
            </w:r>
          </w:p>
        </w:tc>
      </w:tr>
      <w:tr>
        <w:trPr>
          <w:trHeight w:val="90"/>
        </w:trPr>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right"/>
              <w:ind w:right="400"/>
              <w:spacing w:after="0" w:line="90" w:lineRule="exact"/>
              <w:rPr>
                <w:sz w:val="20"/>
                <w:szCs w:val="20"/>
                <w:color w:val="auto"/>
              </w:rPr>
            </w:pPr>
            <w:r>
              <w:rPr>
                <w:rFonts w:ascii="Arial" w:cs="Arial" w:eastAsia="Arial" w:hAnsi="Arial"/>
                <w:sz w:val="8"/>
                <w:szCs w:val="8"/>
                <w:color w:val="auto"/>
              </w:rPr>
              <w:t>Paid-in</w:t>
            </w:r>
          </w:p>
        </w:tc>
        <w:tc>
          <w:tcPr>
            <w:tcW w:w="40" w:type="dxa"/>
            <w:vAlign w:val="bottom"/>
          </w:tcPr>
          <w:p>
            <w:pPr>
              <w:spacing w:after="0"/>
              <w:rPr>
                <w:sz w:val="7"/>
                <w:szCs w:val="7"/>
                <w:color w:val="auto"/>
              </w:rPr>
            </w:pPr>
          </w:p>
        </w:tc>
        <w:tc>
          <w:tcPr>
            <w:tcW w:w="740" w:type="dxa"/>
            <w:vAlign w:val="bottom"/>
            <w:gridSpan w:val="2"/>
          </w:tcPr>
          <w:p>
            <w:pPr>
              <w:jc w:val="center"/>
              <w:ind w:right="260"/>
              <w:spacing w:after="0" w:line="90" w:lineRule="exact"/>
              <w:rPr>
                <w:sz w:val="20"/>
                <w:szCs w:val="20"/>
                <w:color w:val="auto"/>
              </w:rPr>
            </w:pPr>
            <w:r>
              <w:rPr>
                <w:rFonts w:ascii="Arial" w:cs="Arial" w:eastAsia="Arial" w:hAnsi="Arial"/>
                <w:sz w:val="8"/>
                <w:szCs w:val="8"/>
                <w:color w:val="auto"/>
                <w:w w:val="85"/>
              </w:rPr>
              <w:t>Comprehensive</w:t>
            </w:r>
          </w:p>
        </w:tc>
        <w:tc>
          <w:tcPr>
            <w:tcW w:w="60" w:type="dxa"/>
            <w:vAlign w:val="bottom"/>
          </w:tcPr>
          <w:p>
            <w:pPr>
              <w:spacing w:after="0"/>
              <w:rPr>
                <w:sz w:val="7"/>
                <w:szCs w:val="7"/>
                <w:color w:val="auto"/>
              </w:rPr>
            </w:pPr>
          </w:p>
        </w:tc>
        <w:tc>
          <w:tcPr>
            <w:tcW w:w="740" w:type="dxa"/>
            <w:vAlign w:val="bottom"/>
            <w:gridSpan w:val="2"/>
          </w:tcPr>
          <w:p>
            <w:pPr>
              <w:jc w:val="center"/>
              <w:ind w:right="280"/>
              <w:spacing w:after="0" w:line="90" w:lineRule="exact"/>
              <w:rPr>
                <w:sz w:val="20"/>
                <w:szCs w:val="20"/>
                <w:color w:val="auto"/>
              </w:rPr>
            </w:pPr>
            <w:r>
              <w:rPr>
                <w:rFonts w:ascii="Arial" w:cs="Arial" w:eastAsia="Arial" w:hAnsi="Arial"/>
                <w:sz w:val="8"/>
                <w:szCs w:val="8"/>
                <w:color w:val="auto"/>
                <w:w w:val="90"/>
              </w:rPr>
              <w:t>Accumulated</w:t>
            </w:r>
          </w:p>
        </w:tc>
        <w:tc>
          <w:tcPr>
            <w:tcW w:w="40" w:type="dxa"/>
            <w:vAlign w:val="bottom"/>
          </w:tcPr>
          <w:p>
            <w:pPr>
              <w:spacing w:after="0"/>
              <w:rPr>
                <w:sz w:val="7"/>
                <w:szCs w:val="7"/>
                <w:color w:val="auto"/>
              </w:rPr>
            </w:pPr>
          </w:p>
        </w:tc>
        <w:tc>
          <w:tcPr>
            <w:tcW w:w="760" w:type="dxa"/>
            <w:vAlign w:val="bottom"/>
            <w:gridSpan w:val="2"/>
          </w:tcPr>
          <w:p>
            <w:pPr>
              <w:jc w:val="center"/>
              <w:ind w:right="280"/>
              <w:spacing w:after="0" w:line="90" w:lineRule="exact"/>
              <w:rPr>
                <w:sz w:val="20"/>
                <w:szCs w:val="20"/>
                <w:color w:val="auto"/>
              </w:rPr>
            </w:pPr>
            <w:r>
              <w:rPr>
                <w:rFonts w:ascii="Arial" w:cs="Arial" w:eastAsia="Arial" w:hAnsi="Arial"/>
                <w:sz w:val="8"/>
                <w:szCs w:val="8"/>
                <w:color w:val="auto"/>
                <w:w w:val="88"/>
              </w:rPr>
              <w:t>Interest - OP</w:t>
            </w:r>
          </w:p>
        </w:tc>
        <w:tc>
          <w:tcPr>
            <w:tcW w:w="40" w:type="dxa"/>
            <w:vAlign w:val="bottom"/>
          </w:tcPr>
          <w:p>
            <w:pPr>
              <w:spacing w:after="0"/>
              <w:rPr>
                <w:sz w:val="7"/>
                <w:szCs w:val="7"/>
                <w:color w:val="auto"/>
              </w:rPr>
            </w:pPr>
          </w:p>
        </w:tc>
        <w:tc>
          <w:tcPr>
            <w:tcW w:w="740" w:type="dxa"/>
            <w:vAlign w:val="bottom"/>
            <w:gridSpan w:val="2"/>
          </w:tcPr>
          <w:p>
            <w:pPr>
              <w:jc w:val="center"/>
              <w:ind w:right="260"/>
              <w:spacing w:after="0" w:line="90" w:lineRule="exact"/>
              <w:rPr>
                <w:sz w:val="20"/>
                <w:szCs w:val="20"/>
                <w:color w:val="auto"/>
              </w:rPr>
            </w:pPr>
            <w:r>
              <w:rPr>
                <w:rFonts w:ascii="Arial" w:cs="Arial" w:eastAsia="Arial" w:hAnsi="Arial"/>
                <w:sz w:val="8"/>
                <w:szCs w:val="8"/>
                <w:color w:val="auto"/>
                <w:w w:val="83"/>
              </w:rPr>
              <w:t>Preferred</w:t>
            </w:r>
          </w:p>
        </w:tc>
        <w:tc>
          <w:tcPr>
            <w:tcW w:w="60" w:type="dxa"/>
            <w:vAlign w:val="bottom"/>
          </w:tcPr>
          <w:p>
            <w:pPr>
              <w:spacing w:after="0"/>
              <w:rPr>
                <w:sz w:val="7"/>
                <w:szCs w:val="7"/>
                <w:color w:val="auto"/>
              </w:rPr>
            </w:pPr>
          </w:p>
        </w:tc>
        <w:tc>
          <w:tcPr>
            <w:tcW w:w="560" w:type="dxa"/>
            <w:vAlign w:val="bottom"/>
            <w:gridSpan w:val="2"/>
          </w:tcPr>
          <w:p>
            <w:pPr>
              <w:jc w:val="center"/>
              <w:ind w:right="100"/>
              <w:spacing w:after="0" w:line="90" w:lineRule="exact"/>
              <w:rPr>
                <w:sz w:val="20"/>
                <w:szCs w:val="20"/>
                <w:color w:val="auto"/>
              </w:rPr>
            </w:pPr>
            <w:r>
              <w:rPr>
                <w:rFonts w:ascii="Arial" w:cs="Arial" w:eastAsia="Arial" w:hAnsi="Arial"/>
                <w:sz w:val="8"/>
                <w:szCs w:val="8"/>
                <w:color w:val="auto"/>
                <w:w w:val="85"/>
              </w:rPr>
              <w:t>Shareholders'</w:t>
            </w:r>
          </w:p>
        </w:tc>
      </w:tr>
      <w:tr>
        <w:trPr>
          <w:trHeight w:val="93"/>
        </w:trPr>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8"/>
                <w:szCs w:val="8"/>
                <w:color w:val="auto"/>
              </w:rPr>
              <w:t>Preferred Stock</w:t>
            </w:r>
          </w:p>
        </w:tc>
        <w:tc>
          <w:tcPr>
            <w:tcW w:w="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color w:val="auto"/>
              </w:rPr>
              <w:t>Common Stock</w:t>
            </w: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8"/>
                <w:szCs w:val="8"/>
                <w:color w:val="auto"/>
              </w:rPr>
              <w:t>Capital</w:t>
            </w: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21"/>
              <w:spacing w:after="0"/>
              <w:rPr>
                <w:sz w:val="20"/>
                <w:szCs w:val="20"/>
                <w:color w:val="auto"/>
              </w:rPr>
            </w:pPr>
            <w:r>
              <w:rPr>
                <w:rFonts w:ascii="Arial" w:cs="Arial" w:eastAsia="Arial" w:hAnsi="Arial"/>
                <w:sz w:val="8"/>
                <w:szCs w:val="8"/>
                <w:color w:val="auto"/>
                <w:w w:val="86"/>
              </w:rPr>
              <w:t>(Loss) Income</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1"/>
              <w:spacing w:after="0"/>
              <w:rPr>
                <w:sz w:val="20"/>
                <w:szCs w:val="20"/>
                <w:color w:val="auto"/>
              </w:rPr>
            </w:pPr>
            <w:r>
              <w:rPr>
                <w:rFonts w:ascii="Arial" w:cs="Arial" w:eastAsia="Arial" w:hAnsi="Arial"/>
                <w:sz w:val="8"/>
                <w:szCs w:val="8"/>
                <w:color w:val="auto"/>
                <w:w w:val="88"/>
              </w:rPr>
              <w:t>Earnings</w:t>
            </w: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21"/>
              <w:spacing w:after="0"/>
              <w:rPr>
                <w:sz w:val="20"/>
                <w:szCs w:val="20"/>
                <w:color w:val="auto"/>
              </w:rPr>
            </w:pPr>
            <w:r>
              <w:rPr>
                <w:rFonts w:ascii="Arial" w:cs="Arial" w:eastAsia="Arial" w:hAnsi="Arial"/>
                <w:sz w:val="8"/>
                <w:szCs w:val="8"/>
                <w:color w:val="auto"/>
                <w:w w:val="87"/>
              </w:rPr>
              <w:t>Units</w:t>
            </w: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1"/>
              <w:spacing w:after="0"/>
              <w:rPr>
                <w:sz w:val="20"/>
                <w:szCs w:val="20"/>
                <w:color w:val="auto"/>
              </w:rPr>
            </w:pPr>
            <w:r>
              <w:rPr>
                <w:rFonts w:ascii="Arial" w:cs="Arial" w:eastAsia="Arial" w:hAnsi="Arial"/>
                <w:sz w:val="8"/>
                <w:szCs w:val="8"/>
                <w:color w:val="auto"/>
                <w:w w:val="78"/>
              </w:rPr>
              <w:t>Shares</w:t>
            </w: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21"/>
              <w:spacing w:after="0"/>
              <w:rPr>
                <w:sz w:val="20"/>
                <w:szCs w:val="20"/>
                <w:color w:val="auto"/>
              </w:rPr>
            </w:pPr>
            <w:r>
              <w:rPr>
                <w:rFonts w:ascii="Arial" w:cs="Arial" w:eastAsia="Arial" w:hAnsi="Arial"/>
                <w:sz w:val="8"/>
                <w:szCs w:val="8"/>
                <w:color w:val="auto"/>
                <w:w w:val="98"/>
              </w:rPr>
              <w:t>Deficit</w:t>
            </w:r>
          </w:p>
        </w:tc>
        <w:tc>
          <w:tcPr>
            <w:tcW w:w="40" w:type="dxa"/>
            <w:vAlign w:val="bottom"/>
          </w:tcPr>
          <w:p>
            <w:pPr>
              <w:spacing w:after="0"/>
              <w:rPr>
                <w:sz w:val="8"/>
                <w:szCs w:val="8"/>
                <w:color w:val="auto"/>
              </w:rPr>
            </w:pPr>
          </w:p>
        </w:tc>
      </w:tr>
      <w:tr>
        <w:trPr>
          <w:trHeight w:val="88"/>
        </w:trPr>
        <w:tc>
          <w:tcPr>
            <w:tcW w:w="3300" w:type="dxa"/>
            <w:vAlign w:val="bottom"/>
            <w:tcBorders>
              <w:bottom w:val="single" w:sz="8" w:color="auto"/>
            </w:tcBorders>
          </w:tcPr>
          <w:p>
            <w:pPr>
              <w:spacing w:after="0" w:line="88" w:lineRule="exact"/>
              <w:rPr>
                <w:sz w:val="20"/>
                <w:szCs w:val="20"/>
                <w:color w:val="auto"/>
              </w:rPr>
            </w:pPr>
            <w:r>
              <w:rPr>
                <w:rFonts w:ascii="Arial" w:cs="Arial" w:eastAsia="Arial" w:hAnsi="Arial"/>
                <w:sz w:val="8"/>
                <w:szCs w:val="8"/>
                <w:color w:val="auto"/>
              </w:rPr>
              <w:t>(Thousands, except share data)</w:t>
            </w:r>
          </w:p>
        </w:tc>
        <w:tc>
          <w:tcPr>
            <w:tcW w:w="120" w:type="dxa"/>
            <w:vAlign w:val="bottom"/>
            <w:tcBorders>
              <w:bottom w:val="single" w:sz="8" w:color="CFF0FC"/>
            </w:tcBorders>
          </w:tcPr>
          <w:p>
            <w:pPr>
              <w:spacing w:after="0"/>
              <w:rPr>
                <w:sz w:val="7"/>
                <w:szCs w:val="7"/>
                <w:color w:val="auto"/>
              </w:rPr>
            </w:pPr>
          </w:p>
        </w:tc>
        <w:tc>
          <w:tcPr>
            <w:tcW w:w="580" w:type="dxa"/>
            <w:vAlign w:val="bottom"/>
            <w:tcBorders>
              <w:bottom w:val="single" w:sz="8" w:color="auto"/>
            </w:tcBorders>
          </w:tcPr>
          <w:p>
            <w:pPr>
              <w:jc w:val="right"/>
              <w:ind w:right="161"/>
              <w:spacing w:after="0" w:line="88" w:lineRule="exact"/>
              <w:rPr>
                <w:sz w:val="20"/>
                <w:szCs w:val="20"/>
                <w:color w:val="auto"/>
              </w:rPr>
            </w:pPr>
            <w:r>
              <w:rPr>
                <w:rFonts w:ascii="Arial" w:cs="Arial" w:eastAsia="Arial" w:hAnsi="Arial"/>
                <w:sz w:val="8"/>
                <w:szCs w:val="8"/>
                <w:color w:val="auto"/>
              </w:rPr>
              <w:t>Shares</w:t>
            </w:r>
          </w:p>
        </w:tc>
        <w:tc>
          <w:tcPr>
            <w:tcW w:w="240" w:type="dxa"/>
            <w:vAlign w:val="bottom"/>
            <w:tcBorders>
              <w:bottom w:val="single" w:sz="8" w:color="CFF0FC"/>
            </w:tcBorders>
          </w:tcPr>
          <w:p>
            <w:pPr>
              <w:spacing w:after="0"/>
              <w:rPr>
                <w:sz w:val="7"/>
                <w:szCs w:val="7"/>
                <w:color w:val="auto"/>
              </w:rPr>
            </w:pPr>
          </w:p>
        </w:tc>
        <w:tc>
          <w:tcPr>
            <w:tcW w:w="480" w:type="dxa"/>
            <w:vAlign w:val="bottom"/>
            <w:tcBorders>
              <w:bottom w:val="single" w:sz="8" w:color="auto"/>
            </w:tcBorders>
          </w:tcPr>
          <w:p>
            <w:pPr>
              <w:jc w:val="right"/>
              <w:ind w:right="31"/>
              <w:spacing w:after="0" w:line="88" w:lineRule="exact"/>
              <w:rPr>
                <w:sz w:val="20"/>
                <w:szCs w:val="20"/>
                <w:color w:val="auto"/>
              </w:rPr>
            </w:pPr>
            <w:r>
              <w:rPr>
                <w:rFonts w:ascii="Arial" w:cs="Arial" w:eastAsia="Arial" w:hAnsi="Arial"/>
                <w:sz w:val="8"/>
                <w:szCs w:val="8"/>
                <w:color w:val="auto"/>
              </w:rPr>
              <w:t>Amount</w:t>
            </w: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CFF0FC"/>
            </w:tcBorders>
          </w:tcPr>
          <w:p>
            <w:pPr>
              <w:spacing w:after="0"/>
              <w:rPr>
                <w:sz w:val="7"/>
                <w:szCs w:val="7"/>
                <w:color w:val="auto"/>
              </w:rPr>
            </w:pPr>
          </w:p>
        </w:tc>
        <w:tc>
          <w:tcPr>
            <w:tcW w:w="600" w:type="dxa"/>
            <w:vAlign w:val="bottom"/>
            <w:tcBorders>
              <w:bottom w:val="single" w:sz="8" w:color="auto"/>
            </w:tcBorders>
          </w:tcPr>
          <w:p>
            <w:pPr>
              <w:jc w:val="right"/>
              <w:ind w:right="161"/>
              <w:spacing w:after="0" w:line="88" w:lineRule="exact"/>
              <w:rPr>
                <w:sz w:val="20"/>
                <w:szCs w:val="20"/>
                <w:color w:val="auto"/>
              </w:rPr>
            </w:pPr>
            <w:r>
              <w:rPr>
                <w:rFonts w:ascii="Arial" w:cs="Arial" w:eastAsia="Arial" w:hAnsi="Arial"/>
                <w:sz w:val="8"/>
                <w:szCs w:val="8"/>
                <w:color w:val="auto"/>
              </w:rPr>
              <w:t>Shares</w:t>
            </w:r>
          </w:p>
        </w:tc>
        <w:tc>
          <w:tcPr>
            <w:tcW w:w="240" w:type="dxa"/>
            <w:vAlign w:val="bottom"/>
            <w:tcBorders>
              <w:bottom w:val="single" w:sz="8" w:color="CFF0FC"/>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121"/>
              <w:spacing w:after="0" w:line="88" w:lineRule="exact"/>
              <w:rPr>
                <w:sz w:val="20"/>
                <w:szCs w:val="20"/>
                <w:color w:val="auto"/>
              </w:rPr>
            </w:pPr>
            <w:r>
              <w:rPr>
                <w:rFonts w:ascii="Arial" w:cs="Arial" w:eastAsia="Arial" w:hAnsi="Arial"/>
                <w:sz w:val="8"/>
                <w:szCs w:val="8"/>
                <w:color w:val="auto"/>
                <w:w w:val="94"/>
              </w:rPr>
              <w:t>Amount</w:t>
            </w:r>
          </w:p>
        </w:tc>
        <w:tc>
          <w:tcPr>
            <w:tcW w:w="240" w:type="dxa"/>
            <w:vAlign w:val="bottom"/>
            <w:tcBorders>
              <w:bottom w:val="single" w:sz="8" w:color="CFF0FC"/>
            </w:tcBorders>
          </w:tcPr>
          <w:p>
            <w:pPr>
              <w:spacing w:after="0"/>
              <w:rPr>
                <w:sz w:val="7"/>
                <w:szCs w:val="7"/>
                <w:color w:val="auto"/>
              </w:rPr>
            </w:pPr>
          </w:p>
        </w:tc>
        <w:tc>
          <w:tcPr>
            <w:tcW w:w="80" w:type="dxa"/>
            <w:vAlign w:val="bottom"/>
            <w:tcBorders>
              <w:bottom w:val="single" w:sz="8" w:color="CFF0FC"/>
            </w:tcBorders>
          </w:tcPr>
          <w:p>
            <w:pPr>
              <w:spacing w:after="0"/>
              <w:rPr>
                <w:sz w:val="7"/>
                <w:szCs w:val="7"/>
                <w:color w:val="auto"/>
              </w:rPr>
            </w:pPr>
          </w:p>
        </w:tc>
        <w:tc>
          <w:tcPr>
            <w:tcW w:w="500" w:type="dxa"/>
            <w:vAlign w:val="bottom"/>
            <w:tcBorders>
              <w:bottom w:val="single" w:sz="8" w:color="CFF0FC"/>
            </w:tcBorders>
          </w:tcPr>
          <w:p>
            <w:pPr>
              <w:spacing w:after="0"/>
              <w:rPr>
                <w:sz w:val="7"/>
                <w:szCs w:val="7"/>
                <w:color w:val="auto"/>
              </w:rPr>
            </w:pPr>
          </w:p>
        </w:tc>
        <w:tc>
          <w:tcPr>
            <w:tcW w:w="220" w:type="dxa"/>
            <w:vAlign w:val="bottom"/>
            <w:tcBorders>
              <w:bottom w:val="single" w:sz="8" w:color="CFF0FC"/>
            </w:tcBorders>
          </w:tcPr>
          <w:p>
            <w:pPr>
              <w:spacing w:after="0"/>
              <w:rPr>
                <w:sz w:val="7"/>
                <w:szCs w:val="7"/>
                <w:color w:val="auto"/>
              </w:rPr>
            </w:pPr>
          </w:p>
        </w:tc>
        <w:tc>
          <w:tcPr>
            <w:tcW w:w="40" w:type="dxa"/>
            <w:vAlign w:val="bottom"/>
            <w:tcBorders>
              <w:bottom w:val="single" w:sz="8" w:color="CFF0FC"/>
            </w:tcBorders>
          </w:tcPr>
          <w:p>
            <w:pPr>
              <w:spacing w:after="0"/>
              <w:rPr>
                <w:sz w:val="7"/>
                <w:szCs w:val="7"/>
                <w:color w:val="auto"/>
              </w:rPr>
            </w:pPr>
          </w:p>
        </w:tc>
        <w:tc>
          <w:tcPr>
            <w:tcW w:w="540" w:type="dxa"/>
            <w:vAlign w:val="bottom"/>
            <w:tcBorders>
              <w:bottom w:val="single" w:sz="8" w:color="CFF0FC"/>
            </w:tcBorders>
          </w:tcPr>
          <w:p>
            <w:pPr>
              <w:spacing w:after="0"/>
              <w:rPr>
                <w:sz w:val="7"/>
                <w:szCs w:val="7"/>
                <w:color w:val="auto"/>
              </w:rPr>
            </w:pPr>
          </w:p>
        </w:tc>
        <w:tc>
          <w:tcPr>
            <w:tcW w:w="200" w:type="dxa"/>
            <w:vAlign w:val="bottom"/>
            <w:tcBorders>
              <w:bottom w:val="single" w:sz="8" w:color="CFF0FC"/>
            </w:tcBorders>
          </w:tcPr>
          <w:p>
            <w:pPr>
              <w:spacing w:after="0"/>
              <w:rPr>
                <w:sz w:val="7"/>
                <w:szCs w:val="7"/>
                <w:color w:val="auto"/>
              </w:rPr>
            </w:pPr>
          </w:p>
        </w:tc>
        <w:tc>
          <w:tcPr>
            <w:tcW w:w="60" w:type="dxa"/>
            <w:vAlign w:val="bottom"/>
            <w:tcBorders>
              <w:bottom w:val="single" w:sz="8" w:color="CFF0FC"/>
            </w:tcBorders>
          </w:tcPr>
          <w:p>
            <w:pPr>
              <w:spacing w:after="0"/>
              <w:rPr>
                <w:sz w:val="7"/>
                <w:szCs w:val="7"/>
                <w:color w:val="auto"/>
              </w:rPr>
            </w:pPr>
          </w:p>
        </w:tc>
        <w:tc>
          <w:tcPr>
            <w:tcW w:w="520" w:type="dxa"/>
            <w:vAlign w:val="bottom"/>
            <w:tcBorders>
              <w:bottom w:val="single" w:sz="8" w:color="CFF0FC"/>
            </w:tcBorders>
          </w:tcPr>
          <w:p>
            <w:pPr>
              <w:spacing w:after="0"/>
              <w:rPr>
                <w:sz w:val="7"/>
                <w:szCs w:val="7"/>
                <w:color w:val="auto"/>
              </w:rPr>
            </w:pPr>
          </w:p>
        </w:tc>
        <w:tc>
          <w:tcPr>
            <w:tcW w:w="220" w:type="dxa"/>
            <w:vAlign w:val="bottom"/>
            <w:tcBorders>
              <w:bottom w:val="single" w:sz="8" w:color="CFF0FC"/>
            </w:tcBorders>
          </w:tcPr>
          <w:p>
            <w:pPr>
              <w:spacing w:after="0"/>
              <w:rPr>
                <w:sz w:val="7"/>
                <w:szCs w:val="7"/>
                <w:color w:val="auto"/>
              </w:rPr>
            </w:pPr>
          </w:p>
        </w:tc>
        <w:tc>
          <w:tcPr>
            <w:tcW w:w="40" w:type="dxa"/>
            <w:vAlign w:val="bottom"/>
            <w:tcBorders>
              <w:bottom w:val="single" w:sz="8" w:color="CFF0FC"/>
            </w:tcBorders>
          </w:tcPr>
          <w:p>
            <w:pPr>
              <w:spacing w:after="0"/>
              <w:rPr>
                <w:sz w:val="7"/>
                <w:szCs w:val="7"/>
                <w:color w:val="auto"/>
              </w:rPr>
            </w:pPr>
          </w:p>
        </w:tc>
        <w:tc>
          <w:tcPr>
            <w:tcW w:w="540" w:type="dxa"/>
            <w:vAlign w:val="bottom"/>
            <w:tcBorders>
              <w:bottom w:val="single" w:sz="8" w:color="CFF0FC"/>
            </w:tcBorders>
          </w:tcPr>
          <w:p>
            <w:pPr>
              <w:spacing w:after="0"/>
              <w:rPr>
                <w:sz w:val="7"/>
                <w:szCs w:val="7"/>
                <w:color w:val="auto"/>
              </w:rPr>
            </w:pPr>
          </w:p>
        </w:tc>
        <w:tc>
          <w:tcPr>
            <w:tcW w:w="220" w:type="dxa"/>
            <w:vAlign w:val="bottom"/>
            <w:tcBorders>
              <w:bottom w:val="single" w:sz="8" w:color="CFF0FC"/>
            </w:tcBorders>
          </w:tcPr>
          <w:p>
            <w:pPr>
              <w:spacing w:after="0"/>
              <w:rPr>
                <w:sz w:val="7"/>
                <w:szCs w:val="7"/>
                <w:color w:val="auto"/>
              </w:rPr>
            </w:pPr>
          </w:p>
        </w:tc>
        <w:tc>
          <w:tcPr>
            <w:tcW w:w="40" w:type="dxa"/>
            <w:vAlign w:val="bottom"/>
            <w:tcBorders>
              <w:bottom w:val="single" w:sz="8" w:color="CFF0FC"/>
            </w:tcBorders>
          </w:tcPr>
          <w:p>
            <w:pPr>
              <w:spacing w:after="0"/>
              <w:rPr>
                <w:sz w:val="7"/>
                <w:szCs w:val="7"/>
                <w:color w:val="auto"/>
              </w:rPr>
            </w:pPr>
          </w:p>
        </w:tc>
        <w:tc>
          <w:tcPr>
            <w:tcW w:w="520" w:type="dxa"/>
            <w:vAlign w:val="bottom"/>
            <w:tcBorders>
              <w:bottom w:val="single" w:sz="8" w:color="CFF0FC"/>
            </w:tcBorders>
          </w:tcPr>
          <w:p>
            <w:pPr>
              <w:spacing w:after="0"/>
              <w:rPr>
                <w:sz w:val="7"/>
                <w:szCs w:val="7"/>
                <w:color w:val="auto"/>
              </w:rPr>
            </w:pPr>
          </w:p>
        </w:tc>
        <w:tc>
          <w:tcPr>
            <w:tcW w:w="220" w:type="dxa"/>
            <w:vAlign w:val="bottom"/>
            <w:tcBorders>
              <w:bottom w:val="single" w:sz="8" w:color="CFF0FC"/>
            </w:tcBorders>
          </w:tcPr>
          <w:p>
            <w:pPr>
              <w:spacing w:after="0"/>
              <w:rPr>
                <w:sz w:val="7"/>
                <w:szCs w:val="7"/>
                <w:color w:val="auto"/>
              </w:rPr>
            </w:pPr>
          </w:p>
        </w:tc>
        <w:tc>
          <w:tcPr>
            <w:tcW w:w="60" w:type="dxa"/>
            <w:vAlign w:val="bottom"/>
            <w:tcBorders>
              <w:bottom w:val="single" w:sz="8" w:color="CFF0FC"/>
            </w:tcBorders>
          </w:tcPr>
          <w:p>
            <w:pPr>
              <w:spacing w:after="0"/>
              <w:rPr>
                <w:sz w:val="7"/>
                <w:szCs w:val="7"/>
                <w:color w:val="auto"/>
              </w:rPr>
            </w:pPr>
          </w:p>
        </w:tc>
        <w:tc>
          <w:tcPr>
            <w:tcW w:w="520" w:type="dxa"/>
            <w:vAlign w:val="bottom"/>
            <w:tcBorders>
              <w:bottom w:val="single" w:sz="8" w:color="CFF0FC"/>
            </w:tcBorders>
          </w:tcPr>
          <w:p>
            <w:pPr>
              <w:spacing w:after="0"/>
              <w:rPr>
                <w:sz w:val="7"/>
                <w:szCs w:val="7"/>
                <w:color w:val="auto"/>
              </w:rPr>
            </w:pPr>
          </w:p>
        </w:tc>
        <w:tc>
          <w:tcPr>
            <w:tcW w:w="40" w:type="dxa"/>
            <w:vAlign w:val="bottom"/>
            <w:tcBorders>
              <w:bottom w:val="single" w:sz="8" w:color="CFF0FC"/>
            </w:tcBorders>
          </w:tcPr>
          <w:p>
            <w:pPr>
              <w:spacing w:after="0"/>
              <w:rPr>
                <w:sz w:val="7"/>
                <w:szCs w:val="7"/>
                <w:color w:val="auto"/>
              </w:rPr>
            </w:pPr>
          </w:p>
        </w:tc>
      </w:tr>
      <w:tr>
        <w:trPr>
          <w:trHeight w:val="88"/>
        </w:trPr>
        <w:tc>
          <w:tcPr>
            <w:tcW w:w="3420" w:type="dxa"/>
            <w:vAlign w:val="bottom"/>
            <w:gridSpan w:val="2"/>
            <w:shd w:val="clear" w:color="auto" w:fill="CFF0FC"/>
          </w:tcPr>
          <w:p>
            <w:pPr>
              <w:spacing w:after="0" w:line="88" w:lineRule="exact"/>
              <w:rPr>
                <w:sz w:val="20"/>
                <w:szCs w:val="20"/>
                <w:color w:val="auto"/>
              </w:rPr>
            </w:pPr>
            <w:r>
              <w:rPr>
                <w:rFonts w:ascii="Arial" w:cs="Arial" w:eastAsia="Arial" w:hAnsi="Arial"/>
                <w:sz w:val="8"/>
                <w:szCs w:val="8"/>
                <w:color w:val="auto"/>
              </w:rPr>
              <w:t>Balance at December 31, 2018</w:t>
            </w:r>
          </w:p>
        </w:tc>
        <w:tc>
          <w:tcPr>
            <w:tcW w:w="58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7"/>
                <w:szCs w:val="7"/>
                <w:color w:val="auto"/>
              </w:rPr>
            </w:pPr>
          </w:p>
        </w:tc>
        <w:tc>
          <w:tcPr>
            <w:tcW w:w="480" w:type="dxa"/>
            <w:vAlign w:val="bottom"/>
            <w:shd w:val="clear" w:color="auto" w:fill="CFF0FC"/>
          </w:tcPr>
          <w:p>
            <w:pPr>
              <w:jc w:val="right"/>
              <w:ind w:right="411"/>
              <w:spacing w:after="0"/>
              <w:rPr>
                <w:sz w:val="20"/>
                <w:szCs w:val="20"/>
                <w:color w:val="auto"/>
              </w:rPr>
            </w:pPr>
            <w:r>
              <w:rPr>
                <w:rFonts w:ascii="Arial" w:cs="Arial" w:eastAsia="Arial" w:hAnsi="Arial"/>
                <w:sz w:val="5"/>
                <w:szCs w:val="5"/>
                <w:color w:val="auto"/>
                <w:w w:val="70"/>
              </w:rPr>
              <w:t>$</w:t>
            </w:r>
          </w:p>
        </w:tc>
        <w:tc>
          <w:tcPr>
            <w:tcW w:w="12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7"/>
                <w:szCs w:val="7"/>
                <w:color w:val="auto"/>
              </w:rPr>
            </w:pPr>
          </w:p>
        </w:tc>
        <w:tc>
          <w:tcPr>
            <w:tcW w:w="60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180,535,971</w:t>
            </w: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18</w:t>
            </w:r>
          </w:p>
        </w:tc>
        <w:tc>
          <w:tcPr>
            <w:tcW w:w="240" w:type="dxa"/>
            <w:vAlign w:val="bottom"/>
            <w:shd w:val="clear" w:color="auto" w:fill="CFF0FC"/>
          </w:tcPr>
          <w:p>
            <w:pPr>
              <w:spacing w:after="0"/>
              <w:rPr>
                <w:sz w:val="7"/>
                <w:szCs w:val="7"/>
                <w:color w:val="auto"/>
              </w:rPr>
            </w:pPr>
          </w:p>
        </w:tc>
        <w:tc>
          <w:tcPr>
            <w:tcW w:w="80" w:type="dxa"/>
            <w:vAlign w:val="bottom"/>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757,517</w:t>
            </w:r>
          </w:p>
        </w:tc>
        <w:tc>
          <w:tcPr>
            <w:tcW w:w="220" w:type="dxa"/>
            <w:vAlign w:val="bottom"/>
            <w:shd w:val="clear" w:color="auto" w:fill="CFF0FC"/>
          </w:tcPr>
          <w:p>
            <w:pPr>
              <w:spacing w:after="0"/>
              <w:rPr>
                <w:sz w:val="7"/>
                <w:szCs w:val="7"/>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30,105</w:t>
            </w:r>
          </w:p>
        </w:tc>
        <w:tc>
          <w:tcPr>
            <w:tcW w:w="200" w:type="dxa"/>
            <w:vAlign w:val="bottom"/>
            <w:shd w:val="clear" w:color="auto" w:fill="CFF0FC"/>
          </w:tcPr>
          <w:p>
            <w:pPr>
              <w:spacing w:after="0"/>
              <w:rPr>
                <w:sz w:val="7"/>
                <w:szCs w:val="7"/>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FF0FC"/>
          </w:tcPr>
          <w:p>
            <w:pPr>
              <w:jc w:val="right"/>
              <w:ind w:right="180"/>
              <w:spacing w:after="0" w:line="88" w:lineRule="exact"/>
              <w:rPr>
                <w:sz w:val="20"/>
                <w:szCs w:val="20"/>
                <w:color w:val="auto"/>
              </w:rPr>
            </w:pPr>
            <w:r>
              <w:rPr>
                <w:rFonts w:ascii="Arial" w:cs="Arial" w:eastAsia="Arial" w:hAnsi="Arial"/>
                <w:sz w:val="8"/>
                <w:szCs w:val="8"/>
                <w:color w:val="auto"/>
              </w:rPr>
              <w:t>(2,373,218)</w:t>
            </w: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92,375</w:t>
            </w:r>
          </w:p>
        </w:tc>
        <w:tc>
          <w:tcPr>
            <w:tcW w:w="220" w:type="dxa"/>
            <w:vAlign w:val="bottom"/>
            <w:shd w:val="clear" w:color="auto" w:fill="CFF0FC"/>
          </w:tcPr>
          <w:p>
            <w:pPr>
              <w:spacing w:after="0"/>
              <w:rPr>
                <w:sz w:val="7"/>
                <w:szCs w:val="7"/>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7"/>
                <w:szCs w:val="7"/>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FF0FC"/>
          </w:tcPr>
          <w:p>
            <w:pPr>
              <w:jc w:val="right"/>
              <w:ind w:right="20"/>
              <w:spacing w:after="0" w:line="88" w:lineRule="exact"/>
              <w:rPr>
                <w:sz w:val="20"/>
                <w:szCs w:val="20"/>
                <w:color w:val="auto"/>
              </w:rPr>
            </w:pPr>
            <w:r>
              <w:rPr>
                <w:rFonts w:ascii="Arial" w:cs="Arial" w:eastAsia="Arial" w:hAnsi="Arial"/>
                <w:sz w:val="8"/>
                <w:szCs w:val="8"/>
                <w:color w:val="auto"/>
              </w:rPr>
              <w:t>(1,493,203)</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2019 Activity:</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Cumulative effect adjustment for adoption of new accounting standard</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(61,826)</w:t>
            </w: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(61,826)</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Net income</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10,582</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326</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10,908</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At-the-market issuance of common stock, net of offering costs</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1,176,186</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21,641</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21,641</w:t>
            </w:r>
          </w:p>
        </w:tc>
        <w:tc>
          <w:tcPr>
            <w:tcW w:w="40" w:type="dxa"/>
            <w:vAlign w:val="bottom"/>
            <w:shd w:val="clear" w:color="auto" w:fill="CFF0FC"/>
          </w:tcPr>
          <w:p>
            <w:pPr>
              <w:spacing w:after="0"/>
              <w:rPr>
                <w:sz w:val="8"/>
                <w:szCs w:val="8"/>
                <w:color w:val="auto"/>
              </w:rPr>
            </w:pP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Amortization of discount on convertible preferred stock</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(993)</w:t>
            </w: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8"/>
                <w:szCs w:val="8"/>
                <w:color w:val="auto"/>
              </w:rPr>
              <w:t>(993)</w:t>
            </w: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Other comprehensive income</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(53,547)</w:t>
            </w: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(1,128)</w:t>
            </w: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(54,675)</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Common stock dividends declared ($0.37 per share)</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8"/>
                <w:szCs w:val="8"/>
                <w:color w:val="auto"/>
              </w:rPr>
              <w:t>(69,403)</w:t>
            </w: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8"/>
                <w:szCs w:val="8"/>
                <w:color w:val="auto"/>
              </w:rPr>
              <w:t>(69,403)</w:t>
            </w: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Distributions to noncontrolling interest</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(1,329)</w:t>
            </w: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(1,329)</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Exchange of noncontrolling interest</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666,576</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6,540</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(6,540)</w:t>
            </w: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Convertible preferred stock dividends</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(875)</w:t>
            </w: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(875)</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Equity settlement convertible preferred stock</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8,677,163</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87,499</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87,500</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Payments related to tax withholding for stock-based compensation</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(1,834)</w:t>
            </w: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(1,834)</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357,066</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10,808</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10,808</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Equity settlement contingent consideration</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645,385</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11,178</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11,178</w:t>
            </w:r>
          </w:p>
        </w:tc>
        <w:tc>
          <w:tcPr>
            <w:tcW w:w="40" w:type="dxa"/>
            <w:vAlign w:val="bottom"/>
            <w:shd w:val="clear" w:color="auto" w:fill="CFF0FC"/>
          </w:tcPr>
          <w:p>
            <w:pPr>
              <w:spacing w:after="0"/>
              <w:rPr>
                <w:sz w:val="8"/>
                <w:szCs w:val="8"/>
                <w:color w:val="auto"/>
              </w:rPr>
            </w:pP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Issuance of common stock - employee stock purchase plan</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83,287</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884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884</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Equity component value of exchangeable note issuance, net</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80,770</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80,770</w:t>
            </w:r>
          </w:p>
        </w:tc>
        <w:tc>
          <w:tcPr>
            <w:tcW w:w="40" w:type="dxa"/>
            <w:vAlign w:val="bottom"/>
            <w:shd w:val="clear" w:color="auto" w:fill="CFF0FC"/>
          </w:tcPr>
          <w:p>
            <w:pPr>
              <w:spacing w:after="0"/>
              <w:rPr>
                <w:sz w:val="8"/>
                <w:szCs w:val="8"/>
                <w:color w:val="auto"/>
              </w:rPr>
            </w:pP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Deferred tax liability related to exchangeable note issuance</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(3,499)</w:t>
            </w: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8"/>
                <w:szCs w:val="8"/>
                <w:color w:val="auto"/>
              </w:rPr>
              <w:t>(3,499)</w:t>
            </w: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Sale of common stock warrant</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50,819</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50,819</w:t>
            </w:r>
          </w:p>
        </w:tc>
        <w:tc>
          <w:tcPr>
            <w:tcW w:w="40" w:type="dxa"/>
            <w:vAlign w:val="bottom"/>
            <w:shd w:val="clear" w:color="auto" w:fill="CFF0FC"/>
          </w:tcPr>
          <w:p>
            <w:pPr>
              <w:spacing w:after="0"/>
              <w:rPr>
                <w:sz w:val="8"/>
                <w:szCs w:val="8"/>
                <w:color w:val="auto"/>
              </w:rPr>
            </w:pP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Payment for bond hedge option</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(70,035)</w:t>
            </w: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8"/>
                <w:szCs w:val="8"/>
                <w:color w:val="auto"/>
              </w:rPr>
              <w:t>(70,035)</w:t>
            </w:r>
          </w:p>
        </w:tc>
      </w:tr>
      <w:tr>
        <w:trPr>
          <w:trHeight w:val="20"/>
        </w:trPr>
        <w:tc>
          <w:tcPr>
            <w:tcW w:w="3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08"/>
        </w:trPr>
        <w:tc>
          <w:tcPr>
            <w:tcW w:w="3420" w:type="dxa"/>
            <w:vAlign w:val="bottom"/>
            <w:gridSpan w:val="2"/>
            <w:shd w:val="clear" w:color="auto" w:fill="CFF0FC"/>
          </w:tcPr>
          <w:p>
            <w:pPr>
              <w:spacing w:after="0" w:line="88" w:lineRule="exact"/>
              <w:rPr>
                <w:sz w:val="20"/>
                <w:szCs w:val="20"/>
                <w:color w:val="auto"/>
              </w:rPr>
            </w:pPr>
            <w:r>
              <w:rPr>
                <w:rFonts w:ascii="Arial" w:cs="Arial" w:eastAsia="Arial" w:hAnsi="Arial"/>
                <w:sz w:val="8"/>
                <w:szCs w:val="8"/>
                <w:color w:val="auto"/>
              </w:rPr>
              <w:t>Balance at December 31, 2019</w:t>
            </w:r>
          </w:p>
        </w:tc>
        <w:tc>
          <w:tcPr>
            <w:tcW w:w="58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411"/>
              <w:spacing w:after="0"/>
              <w:rPr>
                <w:sz w:val="20"/>
                <w:szCs w:val="20"/>
                <w:color w:val="auto"/>
              </w:rPr>
            </w:pPr>
            <w:r>
              <w:rPr>
                <w:rFonts w:ascii="Arial" w:cs="Arial" w:eastAsia="Arial" w:hAnsi="Arial"/>
                <w:sz w:val="5"/>
                <w:szCs w:val="5"/>
                <w:color w:val="auto"/>
                <w:w w:val="70"/>
              </w:rPr>
              <w:t>$</w:t>
            </w:r>
          </w:p>
        </w:tc>
        <w:tc>
          <w:tcPr>
            <w:tcW w:w="12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192,141,634</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19</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951,295</w:t>
            </w: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FF0FC"/>
          </w:tcPr>
          <w:p>
            <w:pPr>
              <w:jc w:val="right"/>
              <w:ind w:right="180"/>
              <w:spacing w:after="0" w:line="88" w:lineRule="exact"/>
              <w:rPr>
                <w:sz w:val="20"/>
                <w:szCs w:val="20"/>
                <w:color w:val="auto"/>
              </w:rPr>
            </w:pPr>
            <w:r>
              <w:rPr>
                <w:rFonts w:ascii="Arial" w:cs="Arial" w:eastAsia="Arial" w:hAnsi="Arial"/>
                <w:sz w:val="8"/>
                <w:szCs w:val="8"/>
                <w:color w:val="auto"/>
              </w:rPr>
              <w:t>(23,442)</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FF0FC"/>
          </w:tcPr>
          <w:p>
            <w:pPr>
              <w:jc w:val="right"/>
              <w:ind w:right="180"/>
              <w:spacing w:after="0" w:line="88" w:lineRule="exact"/>
              <w:rPr>
                <w:sz w:val="20"/>
                <w:szCs w:val="20"/>
                <w:color w:val="auto"/>
              </w:rPr>
            </w:pPr>
            <w:r>
              <w:rPr>
                <w:rFonts w:ascii="Arial" w:cs="Arial" w:eastAsia="Arial" w:hAnsi="Arial"/>
                <w:sz w:val="8"/>
                <w:szCs w:val="8"/>
                <w:color w:val="auto"/>
              </w:rPr>
              <w:t>(2,494,740)</w:t>
            </w: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83,704</w:t>
            </w: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FF0FC"/>
          </w:tcPr>
          <w:p>
            <w:pPr>
              <w:jc w:val="right"/>
              <w:ind w:right="20"/>
              <w:spacing w:after="0" w:line="88" w:lineRule="exact"/>
              <w:rPr>
                <w:sz w:val="20"/>
                <w:szCs w:val="20"/>
                <w:color w:val="auto"/>
              </w:rPr>
            </w:pPr>
            <w:r>
              <w:rPr>
                <w:rFonts w:ascii="Arial" w:cs="Arial" w:eastAsia="Arial" w:hAnsi="Arial"/>
                <w:sz w:val="8"/>
                <w:szCs w:val="8"/>
                <w:color w:val="auto"/>
              </w:rPr>
              <w:t>(1,483,164)</w:t>
            </w:r>
          </w:p>
        </w:tc>
      </w:tr>
      <w:tr>
        <w:trPr>
          <w:trHeight w:val="185"/>
        </w:trPr>
        <w:tc>
          <w:tcPr>
            <w:tcW w:w="3420" w:type="dxa"/>
            <w:vAlign w:val="bottom"/>
            <w:tcBorders>
              <w:top w:val="single" w:sz="8" w:color="CFF0FC"/>
            </w:tcBorders>
            <w:gridSpan w:val="2"/>
          </w:tcPr>
          <w:p>
            <w:pPr>
              <w:spacing w:after="0"/>
              <w:rPr>
                <w:sz w:val="20"/>
                <w:szCs w:val="20"/>
                <w:color w:val="auto"/>
              </w:rPr>
            </w:pPr>
            <w:r>
              <w:rPr>
                <w:rFonts w:ascii="Arial" w:cs="Arial" w:eastAsia="Arial" w:hAnsi="Arial"/>
                <w:sz w:val="8"/>
                <w:szCs w:val="8"/>
                <w:color w:val="auto"/>
              </w:rPr>
              <w:t>2020 Activity:</w:t>
            </w:r>
          </w:p>
        </w:tc>
        <w:tc>
          <w:tcPr>
            <w:tcW w:w="5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Net loss</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(706,301)</w:t>
            </w:r>
          </w:p>
        </w:tc>
        <w:tc>
          <w:tcPr>
            <w:tcW w:w="40" w:type="dxa"/>
            <w:vAlign w:val="bottom"/>
            <w:shd w:val="clear" w:color="auto" w:fill="CFF0FC"/>
          </w:tcPr>
          <w:p>
            <w:pPr>
              <w:spacing w:after="0"/>
              <w:rPr>
                <w:sz w:val="8"/>
                <w:szCs w:val="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(12,511)</w:t>
            </w: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(718,812)</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Other comprehensive income</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3,075</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44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3,119</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Common stock dividends declared ($0.60 per share)</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(129,414)</w:t>
            </w: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(129,414)</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Distributions to noncontrolling interest</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(2,080)</w:t>
            </w: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8"/>
                <w:szCs w:val="8"/>
                <w:color w:val="auto"/>
              </w:rPr>
              <w:t>(2,080)</w:t>
            </w: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Cumulative non-voting convertible preferred stock</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125</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125</w:t>
            </w:r>
          </w:p>
        </w:tc>
        <w:tc>
          <w:tcPr>
            <w:tcW w:w="40" w:type="dxa"/>
            <w:vAlign w:val="bottom"/>
            <w:shd w:val="clear" w:color="auto" w:fill="CFF0FC"/>
          </w:tcPr>
          <w:p>
            <w:pPr>
              <w:spacing w:after="0"/>
              <w:rPr>
                <w:sz w:val="8"/>
                <w:szCs w:val="8"/>
                <w:color w:val="auto"/>
              </w:rPr>
            </w:pP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Payments related to tax withholding for stock-based compensation</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(1,097)</w:t>
            </w: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8"/>
                <w:szCs w:val="8"/>
                <w:color w:val="auto"/>
              </w:rPr>
              <w:t>(1,097)</w:t>
            </w: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Stock-based compensation</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390,066</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13,721</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13,721</w:t>
            </w:r>
          </w:p>
        </w:tc>
        <w:tc>
          <w:tcPr>
            <w:tcW w:w="40" w:type="dxa"/>
            <w:vAlign w:val="bottom"/>
            <w:shd w:val="clear" w:color="auto" w:fill="CFF0FC"/>
          </w:tcPr>
          <w:p>
            <w:pPr>
              <w:spacing w:after="0"/>
              <w:rPr>
                <w:sz w:val="8"/>
                <w:szCs w:val="8"/>
                <w:color w:val="auto"/>
              </w:rPr>
            </w:pP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Issuance of common stock - employee stock purchase plan</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96,788</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676</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676</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Settlement Common Stock (Note 20)</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tcBorders>
              <w:bottom w:val="single" w:sz="8" w:color="auto"/>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38,633,470</w:t>
            </w:r>
          </w:p>
        </w:tc>
        <w:tc>
          <w:tcPr>
            <w:tcW w:w="240" w:type="dxa"/>
            <w:vAlign w:val="bottom"/>
            <w:shd w:val="clear" w:color="auto" w:fill="CFF0FC"/>
          </w:tcPr>
          <w:p>
            <w:pPr>
              <w:spacing w:after="0"/>
              <w:rPr>
                <w:sz w:val="8"/>
                <w:szCs w:val="8"/>
                <w:color w:val="auto"/>
              </w:rPr>
            </w:pPr>
          </w:p>
        </w:tc>
        <w:tc>
          <w:tcPr>
            <w:tcW w:w="1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4</w:t>
            </w:r>
          </w:p>
        </w:tc>
        <w:tc>
          <w:tcPr>
            <w:tcW w:w="240" w:type="dxa"/>
            <w:vAlign w:val="bottom"/>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244,546</w:t>
            </w:r>
          </w:p>
        </w:tc>
        <w:tc>
          <w:tcPr>
            <w:tcW w:w="220" w:type="dxa"/>
            <w:vAlign w:val="bottom"/>
            <w:shd w:val="clear" w:color="auto" w:fill="CFF0FC"/>
          </w:tcPr>
          <w:p>
            <w:pPr>
              <w:spacing w:after="0"/>
              <w:rPr>
                <w:sz w:val="8"/>
                <w:szCs w:val="8"/>
                <w:color w:val="auto"/>
              </w:rPr>
            </w:pPr>
          </w:p>
        </w:tc>
        <w:tc>
          <w:tcPr>
            <w:tcW w:w="40" w:type="dxa"/>
            <w:vAlign w:val="bottom"/>
            <w:tcBorders>
              <w:bottom w:val="single" w:sz="8" w:color="auto"/>
            </w:tcBorders>
            <w:shd w:val="clear" w:color="auto" w:fill="CFF0FC"/>
          </w:tcPr>
          <w:p>
            <w:pPr>
              <w:spacing w:after="0"/>
              <w:rPr>
                <w:sz w:val="8"/>
                <w:szCs w:val="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tcBorders>
              <w:bottom w:val="single" w:sz="8" w:color="auto"/>
            </w:tcBorders>
            <w:shd w:val="clear" w:color="auto" w:fill="CFF0FC"/>
          </w:tcPr>
          <w:p>
            <w:pPr>
              <w:spacing w:after="0"/>
              <w:rPr>
                <w:sz w:val="8"/>
                <w:szCs w:val="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244,550</w:t>
            </w:r>
          </w:p>
        </w:tc>
        <w:tc>
          <w:tcPr>
            <w:tcW w:w="40" w:type="dxa"/>
            <w:vAlign w:val="bottom"/>
            <w:shd w:val="clear" w:color="auto" w:fill="CFF0FC"/>
          </w:tcPr>
          <w:p>
            <w:pPr>
              <w:spacing w:after="0"/>
              <w:rPr>
                <w:sz w:val="8"/>
                <w:szCs w:val="8"/>
                <w:color w:val="auto"/>
              </w:rPr>
            </w:pPr>
          </w:p>
        </w:tc>
      </w:tr>
      <w:tr>
        <w:trPr>
          <w:trHeight w:val="95"/>
        </w:trPr>
        <w:tc>
          <w:tcPr>
            <w:tcW w:w="3420" w:type="dxa"/>
            <w:vAlign w:val="bottom"/>
            <w:gridSpan w:val="2"/>
          </w:tcPr>
          <w:p>
            <w:pPr>
              <w:spacing w:after="0" w:line="88" w:lineRule="exact"/>
              <w:rPr>
                <w:sz w:val="20"/>
                <w:szCs w:val="20"/>
                <w:color w:val="auto"/>
              </w:rPr>
            </w:pPr>
            <w:r>
              <w:rPr>
                <w:rFonts w:ascii="Arial" w:cs="Arial" w:eastAsia="Arial" w:hAnsi="Arial"/>
                <w:sz w:val="8"/>
                <w:szCs w:val="8"/>
                <w:color w:val="auto"/>
              </w:rPr>
              <w:t>Balance at December 31, 2020</w:t>
            </w:r>
          </w:p>
        </w:tc>
        <w:tc>
          <w:tcPr>
            <w:tcW w:w="5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jc w:val="right"/>
              <w:ind w:right="411"/>
              <w:spacing w:after="0"/>
              <w:rPr>
                <w:sz w:val="20"/>
                <w:szCs w:val="20"/>
                <w:color w:val="auto"/>
              </w:rPr>
            </w:pPr>
            <w:r>
              <w:rPr>
                <w:rFonts w:ascii="Arial" w:cs="Arial" w:eastAsia="Arial" w:hAnsi="Arial"/>
                <w:sz w:val="5"/>
                <w:szCs w:val="5"/>
                <w:color w:val="auto"/>
                <w:w w:val="70"/>
              </w:rPr>
              <w:t>$</w:t>
            </w:r>
          </w:p>
        </w:tc>
        <w:tc>
          <w:tcPr>
            <w:tcW w:w="12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line="88" w:lineRule="exact"/>
              <w:rPr>
                <w:sz w:val="20"/>
                <w:szCs w:val="20"/>
                <w:color w:val="auto"/>
              </w:rPr>
            </w:pPr>
            <w:r>
              <w:rPr>
                <w:rFonts w:ascii="Arial" w:cs="Arial" w:eastAsia="Arial" w:hAnsi="Arial"/>
                <w:sz w:val="8"/>
                <w:szCs w:val="8"/>
                <w:color w:val="auto"/>
              </w:rPr>
              <w:t>231,261,958</w:t>
            </w:r>
          </w:p>
        </w:tc>
        <w:tc>
          <w:tcPr>
            <w:tcW w:w="240" w:type="dxa"/>
            <w:vAlign w:val="bottom"/>
          </w:tcPr>
          <w:p>
            <w:pPr>
              <w:spacing w:after="0"/>
              <w:rPr>
                <w:sz w:val="8"/>
                <w:szCs w:val="8"/>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88" w:lineRule="exact"/>
              <w:rPr>
                <w:sz w:val="20"/>
                <w:szCs w:val="20"/>
                <w:color w:val="auto"/>
              </w:rPr>
            </w:pPr>
            <w:r>
              <w:rPr>
                <w:rFonts w:ascii="Arial" w:cs="Arial" w:eastAsia="Arial" w:hAnsi="Arial"/>
                <w:sz w:val="8"/>
                <w:szCs w:val="8"/>
                <w:color w:val="auto"/>
              </w:rPr>
              <w:t>23</w:t>
            </w:r>
          </w:p>
        </w:tc>
        <w:tc>
          <w:tcPr>
            <w:tcW w:w="240" w:type="dxa"/>
            <w:vAlign w:val="bottom"/>
          </w:tcPr>
          <w:p>
            <w:pPr>
              <w:spacing w:after="0"/>
              <w:rPr>
                <w:sz w:val="8"/>
                <w:szCs w:val="8"/>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88" w:lineRule="exact"/>
              <w:rPr>
                <w:sz w:val="20"/>
                <w:szCs w:val="20"/>
                <w:color w:val="auto"/>
              </w:rPr>
            </w:pPr>
            <w:r>
              <w:rPr>
                <w:rFonts w:ascii="Arial" w:cs="Arial" w:eastAsia="Arial" w:hAnsi="Arial"/>
                <w:sz w:val="8"/>
                <w:szCs w:val="8"/>
                <w:color w:val="auto"/>
              </w:rPr>
              <w:t>1,209,141</w:t>
            </w:r>
          </w:p>
        </w:tc>
        <w:tc>
          <w:tcPr>
            <w:tcW w:w="22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(20,367)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(3,330,455)</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88" w:lineRule="exact"/>
              <w:rPr>
                <w:sz w:val="20"/>
                <w:szCs w:val="20"/>
                <w:color w:val="auto"/>
              </w:rPr>
            </w:pPr>
            <w:r>
              <w:rPr>
                <w:rFonts w:ascii="Arial" w:cs="Arial" w:eastAsia="Arial" w:hAnsi="Arial"/>
                <w:sz w:val="8"/>
                <w:szCs w:val="8"/>
                <w:color w:val="auto"/>
              </w:rPr>
              <w:t>69,157</w:t>
            </w:r>
          </w:p>
        </w:tc>
        <w:tc>
          <w:tcPr>
            <w:tcW w:w="22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Pr>
          <w:p>
            <w:pPr>
              <w:jc w:val="right"/>
              <w:spacing w:after="0" w:line="88" w:lineRule="exact"/>
              <w:rPr>
                <w:sz w:val="20"/>
                <w:szCs w:val="20"/>
                <w:color w:val="auto"/>
              </w:rPr>
            </w:pPr>
            <w:r>
              <w:rPr>
                <w:rFonts w:ascii="Arial" w:cs="Arial" w:eastAsia="Arial" w:hAnsi="Arial"/>
                <w:sz w:val="8"/>
                <w:szCs w:val="8"/>
                <w:color w:val="auto"/>
              </w:rPr>
              <w:t>125</w:t>
            </w:r>
          </w:p>
        </w:tc>
        <w:tc>
          <w:tcPr>
            <w:tcW w:w="2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0"/>
              <w:spacing w:after="0" w:line="88" w:lineRule="exact"/>
              <w:rPr>
                <w:sz w:val="20"/>
                <w:szCs w:val="20"/>
                <w:color w:val="auto"/>
              </w:rPr>
            </w:pPr>
            <w:r>
              <w:rPr>
                <w:rFonts w:ascii="Arial" w:cs="Arial" w:eastAsia="Arial" w:hAnsi="Arial"/>
                <w:sz w:val="8"/>
                <w:szCs w:val="8"/>
                <w:color w:val="auto"/>
              </w:rPr>
              <w:t>(2,072,376)</w:t>
            </w:r>
          </w:p>
        </w:tc>
      </w:tr>
      <w:tr>
        <w:trPr>
          <w:trHeight w:val="198"/>
        </w:trPr>
        <w:tc>
          <w:tcPr>
            <w:tcW w:w="3420" w:type="dxa"/>
            <w:vAlign w:val="bottom"/>
            <w:gridSpan w:val="2"/>
          </w:tcPr>
          <w:p>
            <w:pPr>
              <w:spacing w:after="0"/>
              <w:rPr>
                <w:sz w:val="20"/>
                <w:szCs w:val="20"/>
                <w:color w:val="auto"/>
              </w:rPr>
            </w:pPr>
            <w:r>
              <w:rPr>
                <w:rFonts w:ascii="Arial" w:cs="Arial" w:eastAsia="Arial" w:hAnsi="Arial"/>
                <w:sz w:val="8"/>
                <w:szCs w:val="8"/>
                <w:color w:val="auto"/>
              </w:rPr>
              <w:t>2021 Activity:</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Cumulative effect adjustment for adoption of new accounting standard</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(59,908)</w:t>
            </w: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14,598</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(45,310)</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Net income</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123,660</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1,085</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124,745</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Other comprehensive income</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11,203</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114</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11,317</w:t>
            </w:r>
          </w:p>
        </w:tc>
        <w:tc>
          <w:tcPr>
            <w:tcW w:w="40" w:type="dxa"/>
            <w:vAlign w:val="bottom"/>
            <w:shd w:val="clear" w:color="auto" w:fill="CFF0FC"/>
          </w:tcPr>
          <w:p>
            <w:pPr>
              <w:spacing w:after="0"/>
              <w:rPr>
                <w:sz w:val="8"/>
                <w:szCs w:val="8"/>
                <w:color w:val="auto"/>
              </w:rPr>
            </w:pP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Common stock dividends declared ($0.60 per share)</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8"/>
                <w:szCs w:val="8"/>
                <w:color w:val="auto"/>
              </w:rPr>
              <w:t>(141,284)</w:t>
            </w: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8"/>
                <w:szCs w:val="8"/>
                <w:color w:val="auto"/>
              </w:rPr>
              <w:t>(141,284)</w:t>
            </w: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Distributions to noncontrolling interest</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(1,285)</w:t>
            </w: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(1,285)</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Exchange of noncontrolling interest</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2,768,199</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55,178</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(55,178)</w:t>
            </w: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Payments related to tax withholding for stock-based compensation</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(4,100)</w:t>
            </w: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(4,100)</w:t>
            </w:r>
          </w:p>
        </w:tc>
      </w:tr>
      <w:tr>
        <w:trPr>
          <w:trHeight w:val="99"/>
        </w:trPr>
        <w:tc>
          <w:tcPr>
            <w:tcW w:w="3420" w:type="dxa"/>
            <w:vAlign w:val="bottom"/>
            <w:gridSpan w:val="2"/>
          </w:tcPr>
          <w:p>
            <w:pPr>
              <w:spacing w:after="0"/>
              <w:rPr>
                <w:sz w:val="20"/>
                <w:szCs w:val="20"/>
                <w:color w:val="auto"/>
              </w:rPr>
            </w:pPr>
            <w:r>
              <w:rPr>
                <w:rFonts w:ascii="Arial" w:cs="Arial" w:eastAsia="Arial" w:hAnsi="Arial"/>
                <w:sz w:val="8"/>
                <w:szCs w:val="8"/>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674,140</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13,847</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13,847</w:t>
            </w:r>
          </w:p>
        </w:tc>
        <w:tc>
          <w:tcPr>
            <w:tcW w:w="40" w:type="dxa"/>
            <w:vAlign w:val="bottom"/>
          </w:tcPr>
          <w:p>
            <w:pPr>
              <w:spacing w:after="0"/>
              <w:rPr>
                <w:sz w:val="8"/>
                <w:szCs w:val="8"/>
                <w:color w:val="auto"/>
              </w:rPr>
            </w:pPr>
          </w:p>
        </w:tc>
      </w:tr>
      <w:tr>
        <w:trPr>
          <w:trHeight w:val="99"/>
        </w:trPr>
        <w:tc>
          <w:tcPr>
            <w:tcW w:w="3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Issuance of common stock - employee stock purchase plan</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480" w:type="dxa"/>
            <w:vAlign w:val="bottom"/>
            <w:tcBorders>
              <w:bottom w:val="single" w:sz="8" w:color="auto"/>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74,950</w:t>
            </w:r>
          </w:p>
        </w:tc>
        <w:tc>
          <w:tcPr>
            <w:tcW w:w="240" w:type="dxa"/>
            <w:vAlign w:val="bottom"/>
            <w:shd w:val="clear" w:color="auto" w:fill="CFF0FC"/>
          </w:tcPr>
          <w:p>
            <w:pPr>
              <w:spacing w:after="0"/>
              <w:rPr>
                <w:sz w:val="8"/>
                <w:szCs w:val="8"/>
                <w:color w:val="auto"/>
              </w:rPr>
            </w:pPr>
          </w:p>
        </w:tc>
        <w:tc>
          <w:tcPr>
            <w:tcW w:w="1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672</w:t>
            </w:r>
          </w:p>
        </w:tc>
        <w:tc>
          <w:tcPr>
            <w:tcW w:w="220" w:type="dxa"/>
            <w:vAlign w:val="bottom"/>
            <w:shd w:val="clear" w:color="auto" w:fill="CFF0FC"/>
          </w:tcPr>
          <w:p>
            <w:pPr>
              <w:spacing w:after="0"/>
              <w:rPr>
                <w:sz w:val="8"/>
                <w:szCs w:val="8"/>
                <w:color w:val="auto"/>
              </w:rPr>
            </w:pPr>
          </w:p>
        </w:tc>
        <w:tc>
          <w:tcPr>
            <w:tcW w:w="40" w:type="dxa"/>
            <w:vAlign w:val="bottom"/>
            <w:tcBorders>
              <w:bottom w:val="single" w:sz="8" w:color="auto"/>
            </w:tcBorders>
            <w:shd w:val="clear" w:color="auto" w:fill="CFF0FC"/>
          </w:tcPr>
          <w:p>
            <w:pPr>
              <w:spacing w:after="0"/>
              <w:rPr>
                <w:sz w:val="8"/>
                <w:szCs w:val="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FF0FC"/>
          </w:tcPr>
          <w:p>
            <w:pPr>
              <w:spacing w:after="0"/>
              <w:rPr>
                <w:sz w:val="8"/>
                <w:szCs w:val="8"/>
                <w:color w:val="auto"/>
              </w:rPr>
            </w:pPr>
          </w:p>
        </w:tc>
        <w:tc>
          <w:tcPr>
            <w:tcW w:w="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tcBorders>
              <w:bottom w:val="single" w:sz="8" w:color="auto"/>
            </w:tcBorders>
            <w:shd w:val="clear" w:color="auto" w:fill="CFF0FC"/>
          </w:tcPr>
          <w:p>
            <w:pPr>
              <w:spacing w:after="0"/>
              <w:rPr>
                <w:sz w:val="8"/>
                <w:szCs w:val="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4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672</w:t>
            </w:r>
          </w:p>
        </w:tc>
        <w:tc>
          <w:tcPr>
            <w:tcW w:w="40" w:type="dxa"/>
            <w:vAlign w:val="bottom"/>
            <w:shd w:val="clear" w:color="auto" w:fill="CFF0FC"/>
          </w:tcPr>
          <w:p>
            <w:pPr>
              <w:spacing w:after="0"/>
              <w:rPr>
                <w:sz w:val="8"/>
                <w:szCs w:val="8"/>
                <w:color w:val="auto"/>
              </w:rPr>
            </w:pPr>
          </w:p>
        </w:tc>
      </w:tr>
      <w:tr>
        <w:trPr>
          <w:trHeight w:val="88"/>
        </w:trPr>
        <w:tc>
          <w:tcPr>
            <w:tcW w:w="3420" w:type="dxa"/>
            <w:vAlign w:val="bottom"/>
            <w:gridSpan w:val="2"/>
          </w:tcPr>
          <w:p>
            <w:pPr>
              <w:spacing w:after="0" w:line="88" w:lineRule="exact"/>
              <w:rPr>
                <w:sz w:val="20"/>
                <w:szCs w:val="20"/>
                <w:color w:val="auto"/>
              </w:rPr>
            </w:pPr>
            <w:r>
              <w:rPr>
                <w:rFonts w:ascii="Arial" w:cs="Arial" w:eastAsia="Arial" w:hAnsi="Arial"/>
                <w:sz w:val="8"/>
                <w:szCs w:val="8"/>
                <w:color w:val="auto"/>
              </w:rPr>
              <w:t>Balance at December 31, 2021</w:t>
            </w:r>
          </w:p>
        </w:tc>
        <w:tc>
          <w:tcPr>
            <w:tcW w:w="5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7"/>
                <w:szCs w:val="7"/>
                <w:color w:val="auto"/>
              </w:rPr>
            </w:pPr>
          </w:p>
        </w:tc>
        <w:tc>
          <w:tcPr>
            <w:tcW w:w="480" w:type="dxa"/>
            <w:vAlign w:val="bottom"/>
          </w:tcPr>
          <w:p>
            <w:pPr>
              <w:jc w:val="right"/>
              <w:ind w:right="411"/>
              <w:spacing w:after="0"/>
              <w:rPr>
                <w:sz w:val="20"/>
                <w:szCs w:val="20"/>
                <w:color w:val="auto"/>
              </w:rPr>
            </w:pPr>
            <w:r>
              <w:rPr>
                <w:rFonts w:ascii="Arial" w:cs="Arial" w:eastAsia="Arial" w:hAnsi="Arial"/>
                <w:sz w:val="5"/>
                <w:szCs w:val="5"/>
                <w:color w:val="auto"/>
                <w:w w:val="70"/>
              </w:rPr>
              <w:t>$</w:t>
            </w:r>
          </w:p>
        </w:tc>
        <w:tc>
          <w:tcPr>
            <w:tcW w:w="12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7"/>
                <w:szCs w:val="7"/>
                <w:color w:val="auto"/>
              </w:rPr>
            </w:pPr>
          </w:p>
        </w:tc>
        <w:tc>
          <w:tcPr>
            <w:tcW w:w="600" w:type="dxa"/>
            <w:vAlign w:val="bottom"/>
          </w:tcPr>
          <w:p>
            <w:pPr>
              <w:jc w:val="right"/>
              <w:spacing w:after="0" w:line="88" w:lineRule="exact"/>
              <w:rPr>
                <w:sz w:val="20"/>
                <w:szCs w:val="20"/>
                <w:color w:val="auto"/>
              </w:rPr>
            </w:pPr>
            <w:r>
              <w:rPr>
                <w:rFonts w:ascii="Arial" w:cs="Arial" w:eastAsia="Arial" w:hAnsi="Arial"/>
                <w:sz w:val="8"/>
                <w:szCs w:val="8"/>
                <w:color w:val="auto"/>
              </w:rPr>
              <w:t>234,779,247</w:t>
            </w:r>
          </w:p>
        </w:tc>
        <w:tc>
          <w:tcPr>
            <w:tcW w:w="240" w:type="dxa"/>
            <w:vAlign w:val="bottom"/>
          </w:tcPr>
          <w:p>
            <w:pPr>
              <w:spacing w:after="0"/>
              <w:rPr>
                <w:sz w:val="7"/>
                <w:szCs w:val="7"/>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88" w:lineRule="exact"/>
              <w:rPr>
                <w:sz w:val="20"/>
                <w:szCs w:val="20"/>
                <w:color w:val="auto"/>
              </w:rPr>
            </w:pPr>
            <w:r>
              <w:rPr>
                <w:rFonts w:ascii="Arial" w:cs="Arial" w:eastAsia="Arial" w:hAnsi="Arial"/>
                <w:sz w:val="8"/>
                <w:szCs w:val="8"/>
                <w:color w:val="auto"/>
              </w:rPr>
              <w:t>23</w:t>
            </w:r>
          </w:p>
        </w:tc>
        <w:tc>
          <w:tcPr>
            <w:tcW w:w="240" w:type="dxa"/>
            <w:vAlign w:val="bottom"/>
          </w:tcPr>
          <w:p>
            <w:pPr>
              <w:spacing w:after="0"/>
              <w:rPr>
                <w:sz w:val="7"/>
                <w:szCs w:val="7"/>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88" w:lineRule="exact"/>
              <w:rPr>
                <w:sz w:val="20"/>
                <w:szCs w:val="20"/>
                <w:color w:val="auto"/>
              </w:rPr>
            </w:pPr>
            <w:r>
              <w:rPr>
                <w:rFonts w:ascii="Arial" w:cs="Arial" w:eastAsia="Arial" w:hAnsi="Arial"/>
                <w:sz w:val="8"/>
                <w:szCs w:val="8"/>
                <w:color w:val="auto"/>
              </w:rPr>
              <w:t>1,214,830</w:t>
            </w:r>
          </w:p>
        </w:tc>
        <w:tc>
          <w:tcPr>
            <w:tcW w:w="220" w:type="dxa"/>
            <w:vAlign w:val="bottom"/>
          </w:tcPr>
          <w:p>
            <w:pPr>
              <w:spacing w:after="0"/>
              <w:rPr>
                <w:sz w:val="7"/>
                <w:szCs w:val="7"/>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(9,164)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(3,333,481)</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88" w:lineRule="exact"/>
              <w:rPr>
                <w:sz w:val="20"/>
                <w:szCs w:val="20"/>
                <w:color w:val="auto"/>
              </w:rPr>
            </w:pPr>
            <w:r>
              <w:rPr>
                <w:rFonts w:ascii="Arial" w:cs="Arial" w:eastAsia="Arial" w:hAnsi="Arial"/>
                <w:sz w:val="8"/>
                <w:szCs w:val="8"/>
                <w:color w:val="auto"/>
              </w:rPr>
              <w:t>13,893</w:t>
            </w:r>
          </w:p>
        </w:tc>
        <w:tc>
          <w:tcPr>
            <w:tcW w:w="220" w:type="dxa"/>
            <w:vAlign w:val="bottom"/>
          </w:tcPr>
          <w:p>
            <w:pPr>
              <w:spacing w:after="0"/>
              <w:rPr>
                <w:sz w:val="7"/>
                <w:szCs w:val="7"/>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Pr>
          <w:p>
            <w:pPr>
              <w:jc w:val="right"/>
              <w:spacing w:after="0" w:line="88" w:lineRule="exact"/>
              <w:rPr>
                <w:sz w:val="20"/>
                <w:szCs w:val="20"/>
                <w:color w:val="auto"/>
              </w:rPr>
            </w:pPr>
            <w:r>
              <w:rPr>
                <w:rFonts w:ascii="Arial" w:cs="Arial" w:eastAsia="Arial" w:hAnsi="Arial"/>
                <w:sz w:val="8"/>
                <w:szCs w:val="8"/>
                <w:color w:val="auto"/>
              </w:rPr>
              <w:t>125</w:t>
            </w:r>
          </w:p>
        </w:tc>
        <w:tc>
          <w:tcPr>
            <w:tcW w:w="22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0"/>
              <w:spacing w:after="0" w:line="88" w:lineRule="exact"/>
              <w:rPr>
                <w:sz w:val="20"/>
                <w:szCs w:val="20"/>
                <w:color w:val="auto"/>
              </w:rPr>
            </w:pPr>
            <w:r>
              <w:rPr>
                <w:rFonts w:ascii="Arial" w:cs="Arial" w:eastAsia="Arial" w:hAnsi="Arial"/>
                <w:sz w:val="8"/>
                <w:szCs w:val="8"/>
                <w:color w:val="auto"/>
              </w:rPr>
              <w:t>(2,113,774)</w:t>
            </w: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5" w:name="page66"/>
    <w:bookmarkEnd w:id="65"/>
    <w:p>
      <w:pPr>
        <w:spacing w:after="0"/>
        <w:rPr>
          <w:sz w:val="20"/>
          <w:szCs w:val="20"/>
          <w:color w:val="auto"/>
        </w:rPr>
      </w:pPr>
      <w:r>
        <w:rPr>
          <w:rFonts w:ascii="Arial" w:cs="Arial" w:eastAsia="Arial" w:hAnsi="Arial"/>
          <w:sz w:val="12"/>
          <w:szCs w:val="12"/>
          <w:u w:val="single" w:color="auto"/>
          <w:color w:val="0000EE"/>
        </w:rPr>
        <w:t>Table of Contents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8"/>
                <w:szCs w:val="8"/>
                <w:b w:val="1"/>
                <w:bCs w:val="1"/>
                <w:color w:val="auto"/>
              </w:rPr>
              <w:t>Year Ended December 31,</w:t>
            </w:r>
          </w:p>
        </w:tc>
        <w:tc>
          <w:tcPr>
            <w:tcW w:w="3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760" w:type="dxa"/>
            <w:vAlign w:val="bottom"/>
            <w:gridSpan w:val="2"/>
          </w:tcPr>
          <w:p>
            <w:pPr>
              <w:spacing w:after="0" w:line="88" w:lineRule="exact"/>
              <w:rPr>
                <w:sz w:val="20"/>
                <w:szCs w:val="20"/>
                <w:color w:val="auto"/>
              </w:rPr>
            </w:pPr>
            <w:r>
              <w:rPr>
                <w:rFonts w:ascii="Arial" w:cs="Arial" w:eastAsia="Arial" w:hAnsi="Arial"/>
                <w:sz w:val="8"/>
                <w:szCs w:val="8"/>
                <w:color w:val="auto"/>
              </w:rPr>
              <w:t>(Thousands)</w:t>
            </w:r>
          </w:p>
        </w:tc>
        <w:tc>
          <w:tcPr>
            <w:tcW w:w="380" w:type="dxa"/>
            <w:vAlign w:val="bottom"/>
          </w:tcPr>
          <w:p>
            <w:pPr>
              <w:spacing w:after="0"/>
              <w:rPr>
                <w:sz w:val="7"/>
                <w:szCs w:val="7"/>
                <w:color w:val="auto"/>
              </w:rPr>
            </w:pPr>
          </w:p>
        </w:tc>
        <w:tc>
          <w:tcPr>
            <w:tcW w:w="1240" w:type="dxa"/>
            <w:vAlign w:val="bottom"/>
          </w:tcPr>
          <w:p>
            <w:pPr>
              <w:jc w:val="right"/>
              <w:ind w:right="678"/>
              <w:spacing w:after="0" w:line="88" w:lineRule="exact"/>
              <w:rPr>
                <w:sz w:val="20"/>
                <w:szCs w:val="20"/>
                <w:color w:val="auto"/>
              </w:rPr>
            </w:pPr>
            <w:r>
              <w:rPr>
                <w:rFonts w:ascii="Arial" w:cs="Arial" w:eastAsia="Arial" w:hAnsi="Arial"/>
                <w:sz w:val="8"/>
                <w:szCs w:val="8"/>
                <w:b w:val="1"/>
                <w:bCs w:val="1"/>
                <w:color w:val="auto"/>
              </w:rPr>
              <w:t>2021</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jc w:val="right"/>
              <w:ind w:right="698"/>
              <w:spacing w:after="0" w:line="88" w:lineRule="exact"/>
              <w:rPr>
                <w:sz w:val="20"/>
                <w:szCs w:val="20"/>
                <w:color w:val="auto"/>
              </w:rPr>
            </w:pPr>
            <w:r>
              <w:rPr>
                <w:rFonts w:ascii="Arial" w:cs="Arial" w:eastAsia="Arial" w:hAnsi="Arial"/>
                <w:sz w:val="8"/>
                <w:szCs w:val="8"/>
                <w:b w:val="1"/>
                <w:bCs w:val="1"/>
                <w:color w:val="auto"/>
              </w:rPr>
              <w:t>2020</w:t>
            </w: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jc w:val="right"/>
              <w:ind w:right="698"/>
              <w:spacing w:after="0" w:line="88" w:lineRule="exact"/>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580" w:type="dxa"/>
            <w:vAlign w:val="bottom"/>
            <w:tcBorders>
              <w:top w:val="single" w:sz="8" w:color="auto"/>
            </w:tcBorders>
            <w:shd w:val="clear" w:color="auto" w:fill="CFF0FC"/>
          </w:tcPr>
          <w:p>
            <w:pPr>
              <w:spacing w:after="0" w:line="88" w:lineRule="exact"/>
              <w:rPr>
                <w:sz w:val="20"/>
                <w:szCs w:val="20"/>
                <w:color w:val="auto"/>
              </w:rPr>
            </w:pPr>
            <w:r>
              <w:rPr>
                <w:rFonts w:ascii="Arial" w:cs="Arial" w:eastAsia="Arial" w:hAnsi="Arial"/>
                <w:sz w:val="8"/>
                <w:szCs w:val="8"/>
                <w:b w:val="1"/>
                <w:bCs w:val="1"/>
                <w:color w:val="auto"/>
              </w:rPr>
              <w:t>Cash flow from operating activities</w:t>
            </w:r>
          </w:p>
        </w:tc>
        <w:tc>
          <w:tcPr>
            <w:tcW w:w="180" w:type="dxa"/>
            <w:vAlign w:val="bottom"/>
            <w:tcBorders>
              <w:top w:val="single" w:sz="8" w:color="CFF0FC"/>
            </w:tcBorders>
            <w:shd w:val="clear" w:color="auto" w:fill="CFF0FC"/>
          </w:tcPr>
          <w:p>
            <w:pPr>
              <w:spacing w:after="0"/>
              <w:rPr>
                <w:sz w:val="7"/>
                <w:szCs w:val="7"/>
                <w:color w:val="auto"/>
              </w:rPr>
            </w:pPr>
          </w:p>
        </w:tc>
        <w:tc>
          <w:tcPr>
            <w:tcW w:w="380" w:type="dxa"/>
            <w:vAlign w:val="bottom"/>
            <w:tcBorders>
              <w:top w:val="single" w:sz="8" w:color="auto"/>
            </w:tcBorders>
            <w:shd w:val="clear" w:color="auto" w:fill="CFF0FC"/>
          </w:tcPr>
          <w:p>
            <w:pPr>
              <w:spacing w:after="0"/>
              <w:rPr>
                <w:sz w:val="7"/>
                <w:szCs w:val="7"/>
                <w:color w:val="auto"/>
              </w:rPr>
            </w:pPr>
          </w:p>
        </w:tc>
        <w:tc>
          <w:tcPr>
            <w:tcW w:w="124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142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380" w:type="dxa"/>
            <w:vAlign w:val="bottom"/>
            <w:tcBorders>
              <w:top w:val="single" w:sz="8" w:color="auto"/>
            </w:tcBorders>
            <w:shd w:val="clear" w:color="auto" w:fill="CFF0FC"/>
          </w:tcPr>
          <w:p>
            <w:pPr>
              <w:spacing w:after="0"/>
              <w:rPr>
                <w:sz w:val="7"/>
                <w:szCs w:val="7"/>
                <w:color w:val="auto"/>
              </w:rPr>
            </w:pPr>
          </w:p>
        </w:tc>
        <w:tc>
          <w:tcPr>
            <w:tcW w:w="124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spacing w:after="0"/>
              <w:rPr>
                <w:sz w:val="20"/>
                <w:szCs w:val="20"/>
                <w:color w:val="auto"/>
              </w:rPr>
            </w:pPr>
            <w:r>
              <w:rPr>
                <w:rFonts w:ascii="Arial" w:cs="Arial" w:eastAsia="Arial" w:hAnsi="Arial"/>
                <w:sz w:val="8"/>
                <w:szCs w:val="8"/>
                <w:color w:val="auto"/>
              </w:rPr>
              <w:t>Net income (loss)</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spacing w:after="0"/>
              <w:rPr>
                <w:sz w:val="20"/>
                <w:szCs w:val="20"/>
                <w:color w:val="auto"/>
              </w:rPr>
            </w:pPr>
            <w:r>
              <w:rPr>
                <w:rFonts w:ascii="Arial" w:cs="Arial" w:eastAsia="Arial" w:hAnsi="Arial"/>
                <w:sz w:val="8"/>
                <w:szCs w:val="8"/>
                <w:color w:val="auto"/>
              </w:rPr>
              <w:t>124,745</w:t>
            </w:r>
          </w:p>
        </w:tc>
        <w:tc>
          <w:tcPr>
            <w:tcW w:w="280" w:type="dxa"/>
            <w:vAlign w:val="bottom"/>
          </w:tcPr>
          <w:p>
            <w:pPr>
              <w:spacing w:after="0"/>
              <w:rPr>
                <w:sz w:val="8"/>
                <w:szCs w:val="8"/>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1700" w:type="dxa"/>
            <w:vAlign w:val="bottom"/>
            <w:gridSpan w:val="2"/>
          </w:tcPr>
          <w:p>
            <w:pPr>
              <w:jc w:val="right"/>
              <w:ind w:right="260"/>
              <w:spacing w:after="0"/>
              <w:rPr>
                <w:sz w:val="20"/>
                <w:szCs w:val="20"/>
                <w:color w:val="auto"/>
              </w:rPr>
            </w:pPr>
            <w:r>
              <w:rPr>
                <w:rFonts w:ascii="Arial" w:cs="Arial" w:eastAsia="Arial" w:hAnsi="Arial"/>
                <w:sz w:val="8"/>
                <w:szCs w:val="8"/>
                <w:color w:val="auto"/>
              </w:rPr>
              <w:t>(718,812)</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spacing w:after="0"/>
              <w:rPr>
                <w:sz w:val="20"/>
                <w:szCs w:val="20"/>
                <w:color w:val="auto"/>
              </w:rPr>
            </w:pPr>
            <w:r>
              <w:rPr>
                <w:rFonts w:ascii="Arial" w:cs="Arial" w:eastAsia="Arial" w:hAnsi="Arial"/>
                <w:sz w:val="8"/>
                <w:szCs w:val="8"/>
                <w:color w:val="auto"/>
              </w:rPr>
              <w:t>10,908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spacing w:after="0"/>
              <w:rPr>
                <w:sz w:val="20"/>
                <w:szCs w:val="20"/>
                <w:color w:val="auto"/>
              </w:rPr>
            </w:pPr>
            <w:r>
              <w:rPr>
                <w:rFonts w:ascii="Arial" w:cs="Arial" w:eastAsia="Arial" w:hAnsi="Arial"/>
                <w:sz w:val="8"/>
                <w:szCs w:val="8"/>
                <w:color w:val="auto"/>
              </w:rPr>
              <w:t>Adjustments to reconcile net income (loss) to net cash provided by operating activities:</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Depreciation and amortization</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290,942</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329,403</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405,754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Amortization of deferred financing costs and debt discount</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18,122</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36,955</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42,779</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Loss on debt extinguishment</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49,280</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73,952</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Interest rate swap termination</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11,317</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10,155</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Deferred income taxes</w:t>
            </w:r>
          </w:p>
        </w:tc>
        <w:tc>
          <w:tcPr>
            <w:tcW w:w="380" w:type="dxa"/>
            <w:vAlign w:val="bottom"/>
          </w:tcPr>
          <w:p>
            <w:pPr>
              <w:spacing w:after="0"/>
              <w:rPr>
                <w:sz w:val="8"/>
                <w:szCs w:val="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8"/>
                <w:szCs w:val="8"/>
                <w:color w:val="auto"/>
              </w:rPr>
              <w:t>(6,467)</w:t>
            </w:r>
          </w:p>
        </w:tc>
        <w:tc>
          <w:tcPr>
            <w:tcW w:w="200" w:type="dxa"/>
            <w:vAlign w:val="bottom"/>
          </w:tcPr>
          <w:p>
            <w:pPr>
              <w:spacing w:after="0"/>
              <w:rPr>
                <w:sz w:val="8"/>
                <w:szCs w:val="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8"/>
                <w:szCs w:val="8"/>
                <w:color w:val="auto"/>
              </w:rPr>
              <w:t>(13,891)</w:t>
            </w:r>
          </w:p>
        </w:tc>
        <w:tc>
          <w:tcPr>
            <w:tcW w:w="380" w:type="dxa"/>
            <w:vAlign w:val="bottom"/>
          </w:tcPr>
          <w:p>
            <w:pPr>
              <w:spacing w:after="0"/>
              <w:rPr>
                <w:sz w:val="8"/>
                <w:szCs w:val="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8"/>
                <w:szCs w:val="8"/>
                <w:color w:val="auto"/>
              </w:rPr>
              <w:t>(11,428)</w:t>
            </w: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Equity in earnings of unconsolidated entities</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(2,102)</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(98)</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Distributions of cumulative earnings from unconsolidated entities</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3,922</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1,960</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Cash paid for interest rate swap settlement</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(12,483)</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(7,818)</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Straight-line rental revenues</w:t>
            </w:r>
          </w:p>
        </w:tc>
        <w:tc>
          <w:tcPr>
            <w:tcW w:w="380" w:type="dxa"/>
            <w:vAlign w:val="bottom"/>
          </w:tcPr>
          <w:p>
            <w:pPr>
              <w:spacing w:after="0"/>
              <w:rPr>
                <w:sz w:val="8"/>
                <w:szCs w:val="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8"/>
                <w:szCs w:val="8"/>
                <w:color w:val="auto"/>
              </w:rPr>
              <w:t>(41,239)</w:t>
            </w:r>
          </w:p>
        </w:tc>
        <w:tc>
          <w:tcPr>
            <w:tcW w:w="200" w:type="dxa"/>
            <w:vAlign w:val="bottom"/>
          </w:tcPr>
          <w:p>
            <w:pPr>
              <w:spacing w:after="0"/>
              <w:rPr>
                <w:sz w:val="8"/>
                <w:szCs w:val="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8"/>
                <w:szCs w:val="8"/>
                <w:color w:val="auto"/>
              </w:rPr>
              <w:t>(6,872)</w:t>
            </w:r>
          </w:p>
        </w:tc>
        <w:tc>
          <w:tcPr>
            <w:tcW w:w="380" w:type="dxa"/>
            <w:vAlign w:val="bottom"/>
          </w:tcPr>
          <w:p>
            <w:pPr>
              <w:spacing w:after="0"/>
              <w:rPr>
                <w:sz w:val="8"/>
                <w:szCs w:val="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8"/>
                <w:szCs w:val="8"/>
                <w:color w:val="auto"/>
              </w:rPr>
              <w:t>(208)</w:t>
            </w: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Stock-based compensation</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13,847</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13,721</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10,808</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Change in fair value of contingent consideration</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21</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7,163</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8"/>
                <w:szCs w:val="8"/>
                <w:color w:val="auto"/>
              </w:rPr>
              <w:t>(28,463)</w:t>
            </w: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Goodwill impairment (Note 3)</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71,000</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Gain on prepayment of settlement payable (Note 16)</w:t>
            </w:r>
          </w:p>
        </w:tc>
        <w:tc>
          <w:tcPr>
            <w:tcW w:w="380" w:type="dxa"/>
            <w:vAlign w:val="bottom"/>
          </w:tcPr>
          <w:p>
            <w:pPr>
              <w:spacing w:after="0"/>
              <w:rPr>
                <w:sz w:val="8"/>
                <w:szCs w:val="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8"/>
                <w:szCs w:val="8"/>
                <w:color w:val="auto"/>
              </w:rPr>
              <w:t>(5,432)</w:t>
            </w: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Gain on sale of real estate</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(442)</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(86,267)</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(28,995)</w:t>
            </w: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(Gain) loss on sale of operations</w:t>
            </w:r>
          </w:p>
        </w:tc>
        <w:tc>
          <w:tcPr>
            <w:tcW w:w="380" w:type="dxa"/>
            <w:vAlign w:val="bottom"/>
          </w:tcPr>
          <w:p>
            <w:pPr>
              <w:spacing w:after="0"/>
              <w:rPr>
                <w:sz w:val="8"/>
                <w:szCs w:val="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8"/>
                <w:szCs w:val="8"/>
                <w:color w:val="auto"/>
              </w:rPr>
              <w:t>(28,143)</w:t>
            </w: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2,242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(Gain) loss on asset disposals</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(213)</w:t>
            </w: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1,796</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6,891</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Accretion of settlement payable</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16,901</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Other</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124</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(297)</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(435)</w:t>
            </w: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Changes in assets and liabilities, net of acquisitions:</w:t>
            </w: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8"/>
                <w:szCs w:val="8"/>
                <w:color w:val="auto"/>
              </w:rPr>
              <w:t>Accounts receivable</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24,497</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12,634</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25,592</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240"/>
              <w:spacing w:after="0"/>
              <w:rPr>
                <w:sz w:val="20"/>
                <w:szCs w:val="20"/>
                <w:color w:val="auto"/>
              </w:rPr>
            </w:pPr>
            <w:r>
              <w:rPr>
                <w:rFonts w:ascii="Arial" w:cs="Arial" w:eastAsia="Arial" w:hAnsi="Arial"/>
                <w:sz w:val="8"/>
                <w:szCs w:val="8"/>
                <w:color w:val="auto"/>
              </w:rPr>
              <w:t>Other assets</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14,161</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8"/>
                <w:szCs w:val="8"/>
                <w:color w:val="auto"/>
              </w:rPr>
              <w:t>(24,141)</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10,297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8"/>
                <w:szCs w:val="8"/>
                <w:color w:val="auto"/>
              </w:rPr>
              <w:t>Accounts payable, accrued expenses and other liabilities</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27,799</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37,850</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(3,260)</w:t>
            </w:r>
          </w:p>
        </w:tc>
        <w:tc>
          <w:tcPr>
            <w:tcW w:w="0" w:type="dxa"/>
            <w:vAlign w:val="bottom"/>
          </w:tcPr>
          <w:p>
            <w:pPr>
              <w:spacing w:after="0"/>
              <w:rPr>
                <w:sz w:val="1"/>
                <w:szCs w:val="1"/>
                <w:color w:val="auto"/>
              </w:rPr>
            </w:pPr>
          </w:p>
        </w:tc>
      </w:tr>
      <w:tr>
        <w:trPr>
          <w:trHeight w:val="99"/>
        </w:trPr>
        <w:tc>
          <w:tcPr>
            <w:tcW w:w="5760" w:type="dxa"/>
            <w:vAlign w:val="bottom"/>
            <w:gridSpan w:val="2"/>
          </w:tcPr>
          <w:p>
            <w:pPr>
              <w:ind w:left="240"/>
              <w:spacing w:after="0"/>
              <w:rPr>
                <w:sz w:val="20"/>
                <w:szCs w:val="20"/>
                <w:color w:val="auto"/>
              </w:rPr>
            </w:pPr>
            <w:r>
              <w:rPr>
                <w:rFonts w:ascii="Arial" w:cs="Arial" w:eastAsia="Arial" w:hAnsi="Arial"/>
                <w:sz w:val="8"/>
                <w:szCs w:val="8"/>
                <w:color w:val="auto"/>
              </w:rPr>
              <w:t>Deferred revenue from prepaid rent - Bluebird transaction (Note 6)</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174,500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8"/>
                <w:szCs w:val="8"/>
                <w:color w:val="auto"/>
              </w:rPr>
              <w:t>Settlement payable (Note 16)</w:t>
            </w:r>
          </w:p>
        </w:tc>
        <w:tc>
          <w:tcPr>
            <w:tcW w:w="380" w:type="dxa"/>
            <w:vAlign w:val="bottom"/>
            <w:tcBorders>
              <w:bottom w:val="single" w:sz="8" w:color="auto"/>
            </w:tcBorders>
            <w:shd w:val="clear" w:color="auto" w:fill="CFF0FC"/>
          </w:tcPr>
          <w:p>
            <w:pPr>
              <w:spacing w:after="0"/>
              <w:rPr>
                <w:sz w:val="8"/>
                <w:szCs w:val="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200" w:type="dxa"/>
            <w:vAlign w:val="bottom"/>
            <w:tcBorders>
              <w:bottom w:val="single" w:sz="8" w:color="auto"/>
            </w:tcBorders>
            <w:shd w:val="clear" w:color="auto" w:fill="CFF0FC"/>
          </w:tcPr>
          <w:p>
            <w:pPr>
              <w:spacing w:after="0"/>
              <w:rPr>
                <w:sz w:val="8"/>
                <w:szCs w:val="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418,840</w:t>
            </w:r>
          </w:p>
        </w:tc>
        <w:tc>
          <w:tcPr>
            <w:tcW w:w="280" w:type="dxa"/>
            <w:vAlign w:val="bottom"/>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spacing w:after="0"/>
              <w:rPr>
                <w:sz w:val="8"/>
                <w:szCs w:val="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760" w:type="dxa"/>
            <w:vAlign w:val="bottom"/>
            <w:gridSpan w:val="2"/>
          </w:tcPr>
          <w:p>
            <w:pPr>
              <w:spacing w:after="0" w:line="88" w:lineRule="exact"/>
              <w:rPr>
                <w:sz w:val="20"/>
                <w:szCs w:val="20"/>
                <w:color w:val="auto"/>
              </w:rPr>
            </w:pPr>
            <w:r>
              <w:rPr>
                <w:rFonts w:ascii="Arial" w:cs="Arial" w:eastAsia="Arial" w:hAnsi="Arial"/>
                <w:sz w:val="8"/>
                <w:szCs w:val="8"/>
                <w:color w:val="auto"/>
              </w:rPr>
              <w:t>Net cash provided by operating activities</w:t>
            </w:r>
          </w:p>
        </w:tc>
        <w:tc>
          <w:tcPr>
            <w:tcW w:w="380" w:type="dxa"/>
            <w:vAlign w:val="bottom"/>
          </w:tcPr>
          <w:p>
            <w:pPr>
              <w:spacing w:after="0"/>
              <w:rPr>
                <w:sz w:val="7"/>
                <w:szCs w:val="7"/>
                <w:color w:val="auto"/>
              </w:rPr>
            </w:pPr>
          </w:p>
        </w:tc>
        <w:tc>
          <w:tcPr>
            <w:tcW w:w="1240" w:type="dxa"/>
            <w:vAlign w:val="bottom"/>
          </w:tcPr>
          <w:p>
            <w:pPr>
              <w:jc w:val="right"/>
              <w:spacing w:after="0" w:line="88" w:lineRule="exact"/>
              <w:rPr>
                <w:sz w:val="20"/>
                <w:szCs w:val="20"/>
                <w:color w:val="auto"/>
              </w:rPr>
            </w:pPr>
            <w:r>
              <w:rPr>
                <w:rFonts w:ascii="Arial" w:cs="Arial" w:eastAsia="Arial" w:hAnsi="Arial"/>
                <w:sz w:val="8"/>
                <w:szCs w:val="8"/>
                <w:color w:val="auto"/>
              </w:rPr>
              <w:t>499,157</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jc w:val="right"/>
              <w:spacing w:after="0" w:line="88" w:lineRule="exact"/>
              <w:rPr>
                <w:sz w:val="20"/>
                <w:szCs w:val="20"/>
                <w:color w:val="auto"/>
              </w:rPr>
            </w:pPr>
            <w:r>
              <w:rPr>
                <w:rFonts w:ascii="Arial" w:cs="Arial" w:eastAsia="Arial" w:hAnsi="Arial"/>
                <w:sz w:val="8"/>
                <w:szCs w:val="8"/>
                <w:color w:val="auto"/>
              </w:rPr>
              <w:t>157,233</w:t>
            </w: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jc w:val="right"/>
              <w:spacing w:after="0" w:line="88" w:lineRule="exact"/>
              <w:rPr>
                <w:sz w:val="20"/>
                <w:szCs w:val="20"/>
                <w:color w:val="auto"/>
              </w:rPr>
            </w:pPr>
            <w:r>
              <w:rPr>
                <w:rFonts w:ascii="Arial" w:cs="Arial" w:eastAsia="Arial" w:hAnsi="Arial"/>
                <w:sz w:val="8"/>
                <w:szCs w:val="8"/>
                <w:color w:val="auto"/>
              </w:rPr>
              <w:t>616,982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spacing w:after="0"/>
              <w:rPr>
                <w:sz w:val="20"/>
                <w:szCs w:val="20"/>
                <w:color w:val="auto"/>
              </w:rPr>
            </w:pPr>
            <w:r>
              <w:rPr>
                <w:rFonts w:ascii="Arial" w:cs="Arial" w:eastAsia="Arial" w:hAnsi="Arial"/>
                <w:sz w:val="8"/>
                <w:szCs w:val="8"/>
                <w:b w:val="1"/>
                <w:bCs w:val="1"/>
                <w:color w:val="auto"/>
              </w:rPr>
              <w:t>Cash flow from investing activities</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Acquisition of businesses, net of cash acquired</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8"/>
                <w:szCs w:val="8"/>
                <w:color w:val="auto"/>
              </w:rPr>
              <w:t>(10,312)</w:t>
            </w: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Asset acquisitions (Note 6)</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(73,407)</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(320,818)</w:t>
            </w: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Proceeds from sale of operations (Note 6)</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62,113</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6,400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Proceeds from sale of other equipment</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1,487</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Proceeds from sale of real estate, net of cash</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1,034</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391,885</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130,429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Other capital expenditures</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(385,855)</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(317,084)</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(350,480)</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8"/>
                <w:szCs w:val="8"/>
                <w:color w:val="auto"/>
              </w:rPr>
              <w:t>Net cash (used in) provided by investing activities</w:t>
            </w: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7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gridSpan w:val="2"/>
          </w:tcPr>
          <w:p>
            <w:pPr>
              <w:jc w:val="right"/>
              <w:ind w:right="260"/>
              <w:spacing w:after="0" w:line="88" w:lineRule="exact"/>
              <w:rPr>
                <w:sz w:val="20"/>
                <w:szCs w:val="20"/>
                <w:color w:val="auto"/>
              </w:rPr>
            </w:pPr>
            <w:r>
              <w:rPr>
                <w:rFonts w:ascii="Arial" w:cs="Arial" w:eastAsia="Arial" w:hAnsi="Arial"/>
                <w:sz w:val="8"/>
                <w:szCs w:val="8"/>
                <w:color w:val="auto"/>
              </w:rPr>
              <w:t>(321,221)</w:t>
            </w:r>
          </w:p>
        </w:tc>
        <w:tc>
          <w:tcPr>
            <w:tcW w:w="200" w:type="dxa"/>
            <w:vAlign w:val="bottom"/>
          </w:tcPr>
          <w:p>
            <w:pPr>
              <w:spacing w:after="0"/>
              <w:rPr>
                <w:sz w:val="7"/>
                <w:szCs w:val="7"/>
                <w:color w:val="auto"/>
              </w:rPr>
            </w:pPr>
          </w:p>
        </w:tc>
        <w:tc>
          <w:tcPr>
            <w:tcW w:w="1420" w:type="dxa"/>
            <w:vAlign w:val="bottom"/>
          </w:tcPr>
          <w:p>
            <w:pPr>
              <w:jc w:val="right"/>
              <w:spacing w:after="0" w:line="88" w:lineRule="exact"/>
              <w:rPr>
                <w:sz w:val="20"/>
                <w:szCs w:val="20"/>
                <w:color w:val="auto"/>
              </w:rPr>
            </w:pPr>
            <w:r>
              <w:rPr>
                <w:rFonts w:ascii="Arial" w:cs="Arial" w:eastAsia="Arial" w:hAnsi="Arial"/>
                <w:sz w:val="8"/>
                <w:szCs w:val="8"/>
                <w:color w:val="auto"/>
              </w:rPr>
              <w:t>1,394</w:t>
            </w: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(544,781)</w:t>
            </w: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spacing w:after="0"/>
              <w:rPr>
                <w:sz w:val="20"/>
                <w:szCs w:val="20"/>
                <w:color w:val="auto"/>
              </w:rPr>
            </w:pPr>
            <w:r>
              <w:rPr>
                <w:rFonts w:ascii="Arial" w:cs="Arial" w:eastAsia="Arial" w:hAnsi="Arial"/>
                <w:sz w:val="8"/>
                <w:szCs w:val="8"/>
                <w:b w:val="1"/>
                <w:bCs w:val="1"/>
                <w:color w:val="auto"/>
              </w:rPr>
              <w:t>Cash flow from financing activities</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Repayment of debt</w:t>
            </w:r>
          </w:p>
        </w:tc>
        <w:tc>
          <w:tcPr>
            <w:tcW w:w="380" w:type="dxa"/>
            <w:vAlign w:val="bottom"/>
          </w:tcPr>
          <w:p>
            <w:pPr>
              <w:spacing w:after="0"/>
              <w:rPr>
                <w:sz w:val="8"/>
                <w:szCs w:val="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8"/>
                <w:szCs w:val="8"/>
                <w:color w:val="auto"/>
              </w:rPr>
              <w:t>(2,260,000)</w:t>
            </w:r>
          </w:p>
        </w:tc>
        <w:tc>
          <w:tcPr>
            <w:tcW w:w="200" w:type="dxa"/>
            <w:vAlign w:val="bottom"/>
          </w:tcPr>
          <w:p>
            <w:pPr>
              <w:spacing w:after="0"/>
              <w:rPr>
                <w:sz w:val="8"/>
                <w:szCs w:val="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8"/>
                <w:szCs w:val="8"/>
                <w:color w:val="auto"/>
              </w:rPr>
              <w:t>(2,044,728)</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Proceeds from issuance of Notes</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2,380,000</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2,250,000</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345,000</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Principal payment on debt</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8"/>
                <w:szCs w:val="8"/>
                <w:color w:val="auto"/>
              </w:rPr>
              <w:t>(21,080)</w:t>
            </w: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Dividends paid</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(141,371)</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(135,676)</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(138,731)</w:t>
            </w: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Payments of settlement payable</w:t>
            </w:r>
          </w:p>
        </w:tc>
        <w:tc>
          <w:tcPr>
            <w:tcW w:w="380" w:type="dxa"/>
            <w:vAlign w:val="bottom"/>
          </w:tcPr>
          <w:p>
            <w:pPr>
              <w:spacing w:after="0"/>
              <w:rPr>
                <w:sz w:val="8"/>
                <w:szCs w:val="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8"/>
                <w:szCs w:val="8"/>
                <w:color w:val="auto"/>
              </w:rPr>
              <w:t>(190,924)</w:t>
            </w: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Payments of contingent consideration</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(2,979)</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(15,713)</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(32,253)</w:t>
            </w: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Borrowings under revolving credit facility</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310,000</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170,000</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139,000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Payments under revolving credit facility</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(220,000)</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(635,019)</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(203,981)</w:t>
            </w: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Finance lease payments</w:t>
            </w:r>
          </w:p>
        </w:tc>
        <w:tc>
          <w:tcPr>
            <w:tcW w:w="380" w:type="dxa"/>
            <w:vAlign w:val="bottom"/>
          </w:tcPr>
          <w:p>
            <w:pPr>
              <w:spacing w:after="0"/>
              <w:rPr>
                <w:sz w:val="8"/>
                <w:szCs w:val="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8"/>
                <w:szCs w:val="8"/>
                <w:color w:val="auto"/>
              </w:rPr>
              <w:t>(2,019)</w:t>
            </w:r>
          </w:p>
        </w:tc>
        <w:tc>
          <w:tcPr>
            <w:tcW w:w="200" w:type="dxa"/>
            <w:vAlign w:val="bottom"/>
          </w:tcPr>
          <w:p>
            <w:pPr>
              <w:spacing w:after="0"/>
              <w:rPr>
                <w:sz w:val="8"/>
                <w:szCs w:val="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8"/>
                <w:szCs w:val="8"/>
                <w:color w:val="auto"/>
              </w:rPr>
              <w:t>(3,702)</w:t>
            </w:r>
          </w:p>
        </w:tc>
        <w:tc>
          <w:tcPr>
            <w:tcW w:w="380" w:type="dxa"/>
            <w:vAlign w:val="bottom"/>
          </w:tcPr>
          <w:p>
            <w:pPr>
              <w:spacing w:after="0"/>
              <w:rPr>
                <w:sz w:val="8"/>
                <w:szCs w:val="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8"/>
                <w:szCs w:val="8"/>
                <w:color w:val="auto"/>
              </w:rPr>
              <w:t>(4,257)</w:t>
            </w: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Payments for financing costs</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(27,660)</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(50,875)</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(49,497)</w:t>
            </w: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Settlement Common Stock issuance (Note 20)</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244,550</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Costs related to early repayment of debt</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(36,486)</w:t>
            </w: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Common stock issuance, net of costs</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21,641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Proceeds from sale of warrants</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50,819</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Payment for bond hedge option</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8"/>
                <w:szCs w:val="8"/>
                <w:color w:val="auto"/>
              </w:rPr>
              <w:t>(70,035)</w:t>
            </w: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Distributions paid to noncontrolling interest</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(1,700)</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(2,322)</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(3,046)</w:t>
            </w: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Employee stock purchase plan</w:t>
            </w: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672</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jc w:val="right"/>
              <w:spacing w:after="0"/>
              <w:rPr>
                <w:sz w:val="20"/>
                <w:szCs w:val="20"/>
                <w:color w:val="auto"/>
              </w:rPr>
            </w:pPr>
            <w:r>
              <w:rPr>
                <w:rFonts w:ascii="Arial" w:cs="Arial" w:eastAsia="Arial" w:hAnsi="Arial"/>
                <w:sz w:val="8"/>
                <w:szCs w:val="8"/>
                <w:color w:val="auto"/>
              </w:rPr>
              <w:t>676</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auto"/>
              </w:rPr>
              <w:t>883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Payments related to tax withholding for stock-based compensation</w:t>
            </w:r>
          </w:p>
        </w:tc>
        <w:tc>
          <w:tcPr>
            <w:tcW w:w="380" w:type="dxa"/>
            <w:vAlign w:val="bottom"/>
            <w:shd w:val="clear" w:color="auto" w:fill="CFF0FC"/>
          </w:tcPr>
          <w:p>
            <w:pPr>
              <w:spacing w:after="0"/>
              <w:rPr>
                <w:sz w:val="8"/>
                <w:szCs w:val="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(4,100)</w:t>
            </w:r>
          </w:p>
        </w:tc>
        <w:tc>
          <w:tcPr>
            <w:tcW w:w="2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(1,097)</w:t>
            </w: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(1,834)</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8"/>
                <w:szCs w:val="8"/>
                <w:color w:val="auto"/>
              </w:rPr>
              <w:t>Net cash (used in) provided by financing activities</w:t>
            </w: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7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gridSpan w:val="2"/>
          </w:tcPr>
          <w:p>
            <w:pPr>
              <w:jc w:val="right"/>
              <w:ind w:right="260"/>
              <w:spacing w:after="0" w:line="88" w:lineRule="exact"/>
              <w:rPr>
                <w:sz w:val="20"/>
                <w:szCs w:val="20"/>
                <w:color w:val="auto"/>
              </w:rPr>
            </w:pPr>
            <w:r>
              <w:rPr>
                <w:rFonts w:ascii="Arial" w:cs="Arial" w:eastAsia="Arial" w:hAnsi="Arial"/>
                <w:sz w:val="8"/>
                <w:szCs w:val="8"/>
                <w:color w:val="auto"/>
              </w:rPr>
              <w:t>(196,567)</w:t>
            </w:r>
          </w:p>
        </w:tc>
        <w:tc>
          <w:tcPr>
            <w:tcW w:w="200" w:type="dxa"/>
            <w:vAlign w:val="bottom"/>
          </w:tcPr>
          <w:p>
            <w:pPr>
              <w:spacing w:after="0"/>
              <w:rPr>
                <w:sz w:val="7"/>
                <w:szCs w:val="7"/>
                <w:color w:val="auto"/>
              </w:rPr>
            </w:pPr>
          </w:p>
        </w:tc>
        <w:tc>
          <w:tcPr>
            <w:tcW w:w="1700" w:type="dxa"/>
            <w:vAlign w:val="bottom"/>
            <w:gridSpan w:val="2"/>
          </w:tcPr>
          <w:p>
            <w:pPr>
              <w:jc w:val="right"/>
              <w:ind w:right="260"/>
              <w:spacing w:after="0" w:line="88" w:lineRule="exact"/>
              <w:rPr>
                <w:sz w:val="20"/>
                <w:szCs w:val="20"/>
                <w:color w:val="auto"/>
              </w:rPr>
            </w:pPr>
            <w:r>
              <w:rPr>
                <w:rFonts w:ascii="Arial" w:cs="Arial" w:eastAsia="Arial" w:hAnsi="Arial"/>
                <w:sz w:val="8"/>
                <w:szCs w:val="8"/>
                <w:color w:val="auto"/>
              </w:rPr>
              <w:t>(223,906)</w:t>
            </w:r>
          </w:p>
        </w:tc>
        <w:tc>
          <w:tcPr>
            <w:tcW w:w="380" w:type="dxa"/>
            <w:vAlign w:val="bottom"/>
          </w:tcPr>
          <w:p>
            <w:pPr>
              <w:spacing w:after="0"/>
              <w:rPr>
                <w:sz w:val="7"/>
                <w:szCs w:val="7"/>
                <w:color w:val="auto"/>
              </w:rPr>
            </w:pPr>
          </w:p>
        </w:tc>
        <w:tc>
          <w:tcPr>
            <w:tcW w:w="1240" w:type="dxa"/>
            <w:vAlign w:val="bottom"/>
          </w:tcPr>
          <w:p>
            <w:pPr>
              <w:jc w:val="right"/>
              <w:spacing w:after="0" w:line="88" w:lineRule="exact"/>
              <w:rPr>
                <w:sz w:val="20"/>
                <w:szCs w:val="20"/>
                <w:color w:val="auto"/>
              </w:rPr>
            </w:pPr>
            <w:r>
              <w:rPr>
                <w:rFonts w:ascii="Arial" w:cs="Arial" w:eastAsia="Arial" w:hAnsi="Arial"/>
                <w:sz w:val="8"/>
                <w:szCs w:val="8"/>
                <w:color w:val="auto"/>
              </w:rPr>
              <w:t>32,629</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spacing w:after="0"/>
              <w:rPr>
                <w:sz w:val="20"/>
                <w:szCs w:val="20"/>
                <w:color w:val="auto"/>
              </w:rPr>
            </w:pPr>
            <w:r>
              <w:rPr>
                <w:rFonts w:ascii="Arial" w:cs="Arial" w:eastAsia="Arial" w:hAnsi="Arial"/>
                <w:sz w:val="8"/>
                <w:szCs w:val="8"/>
                <w:color w:val="auto"/>
              </w:rPr>
              <w:t>Effect of exchange rates on cash and cash equivalents</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(43)</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8"/>
                <w:szCs w:val="8"/>
                <w:color w:val="auto"/>
              </w:rPr>
              <w:t>Net (decrease) increase in cash and cash equivalents</w:t>
            </w: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7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gridSpan w:val="2"/>
          </w:tcPr>
          <w:p>
            <w:pPr>
              <w:jc w:val="right"/>
              <w:ind w:right="260"/>
              <w:spacing w:after="0" w:line="88" w:lineRule="exact"/>
              <w:rPr>
                <w:sz w:val="20"/>
                <w:szCs w:val="20"/>
                <w:color w:val="auto"/>
              </w:rPr>
            </w:pPr>
            <w:r>
              <w:rPr>
                <w:rFonts w:ascii="Arial" w:cs="Arial" w:eastAsia="Arial" w:hAnsi="Arial"/>
                <w:sz w:val="8"/>
                <w:szCs w:val="8"/>
                <w:color w:val="auto"/>
              </w:rPr>
              <w:t>(18,631)</w:t>
            </w:r>
          </w:p>
        </w:tc>
        <w:tc>
          <w:tcPr>
            <w:tcW w:w="200" w:type="dxa"/>
            <w:vAlign w:val="bottom"/>
          </w:tcPr>
          <w:p>
            <w:pPr>
              <w:spacing w:after="0"/>
              <w:rPr>
                <w:sz w:val="7"/>
                <w:szCs w:val="7"/>
                <w:color w:val="auto"/>
              </w:rPr>
            </w:pPr>
          </w:p>
        </w:tc>
        <w:tc>
          <w:tcPr>
            <w:tcW w:w="1700" w:type="dxa"/>
            <w:vAlign w:val="bottom"/>
            <w:gridSpan w:val="2"/>
          </w:tcPr>
          <w:p>
            <w:pPr>
              <w:jc w:val="right"/>
              <w:ind w:right="260"/>
              <w:spacing w:after="0" w:line="88" w:lineRule="exact"/>
              <w:rPr>
                <w:sz w:val="20"/>
                <w:szCs w:val="20"/>
                <w:color w:val="auto"/>
              </w:rPr>
            </w:pPr>
            <w:r>
              <w:rPr>
                <w:rFonts w:ascii="Arial" w:cs="Arial" w:eastAsia="Arial" w:hAnsi="Arial"/>
                <w:sz w:val="8"/>
                <w:szCs w:val="8"/>
                <w:color w:val="auto"/>
              </w:rPr>
              <w:t>(65,279)</w:t>
            </w:r>
          </w:p>
        </w:tc>
        <w:tc>
          <w:tcPr>
            <w:tcW w:w="380" w:type="dxa"/>
            <w:vAlign w:val="bottom"/>
          </w:tcPr>
          <w:p>
            <w:pPr>
              <w:spacing w:after="0"/>
              <w:rPr>
                <w:sz w:val="7"/>
                <w:szCs w:val="7"/>
                <w:color w:val="auto"/>
              </w:rPr>
            </w:pPr>
          </w:p>
        </w:tc>
        <w:tc>
          <w:tcPr>
            <w:tcW w:w="1240" w:type="dxa"/>
            <w:vAlign w:val="bottom"/>
          </w:tcPr>
          <w:p>
            <w:pPr>
              <w:jc w:val="right"/>
              <w:spacing w:after="0" w:line="88" w:lineRule="exact"/>
              <w:rPr>
                <w:sz w:val="20"/>
                <w:szCs w:val="20"/>
                <w:color w:val="auto"/>
              </w:rPr>
            </w:pPr>
            <w:r>
              <w:rPr>
                <w:rFonts w:ascii="Arial" w:cs="Arial" w:eastAsia="Arial" w:hAnsi="Arial"/>
                <w:sz w:val="8"/>
                <w:szCs w:val="8"/>
                <w:color w:val="auto"/>
              </w:rPr>
              <w:t>104,787</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spacing w:after="0"/>
              <w:rPr>
                <w:sz w:val="20"/>
                <w:szCs w:val="20"/>
                <w:color w:val="auto"/>
              </w:rPr>
            </w:pPr>
            <w:r>
              <w:rPr>
                <w:rFonts w:ascii="Arial" w:cs="Arial" w:eastAsia="Arial" w:hAnsi="Arial"/>
                <w:sz w:val="8"/>
                <w:szCs w:val="8"/>
                <w:color w:val="auto"/>
              </w:rPr>
              <w:t>Cash and cash equivalents at beginning of period</w:t>
            </w:r>
          </w:p>
        </w:tc>
        <w:tc>
          <w:tcPr>
            <w:tcW w:w="380" w:type="dxa"/>
            <w:vAlign w:val="bottom"/>
            <w:tcBorders>
              <w:bottom w:val="single" w:sz="8" w:color="auto"/>
            </w:tcBorders>
            <w:shd w:val="clear" w:color="auto" w:fill="CFF0FC"/>
          </w:tcPr>
          <w:p>
            <w:pPr>
              <w:spacing w:after="0"/>
              <w:rPr>
                <w:sz w:val="8"/>
                <w:szCs w:val="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77,534</w:t>
            </w:r>
          </w:p>
        </w:tc>
        <w:tc>
          <w:tcPr>
            <w:tcW w:w="280" w:type="dxa"/>
            <w:vAlign w:val="bottom"/>
            <w:shd w:val="clear" w:color="auto" w:fill="CFF0FC"/>
          </w:tcPr>
          <w:p>
            <w:pPr>
              <w:spacing w:after="0"/>
              <w:rPr>
                <w:sz w:val="8"/>
                <w:szCs w:val="8"/>
                <w:color w:val="auto"/>
              </w:rPr>
            </w:pPr>
          </w:p>
        </w:tc>
        <w:tc>
          <w:tcPr>
            <w:tcW w:w="200" w:type="dxa"/>
            <w:vAlign w:val="bottom"/>
            <w:tcBorders>
              <w:bottom w:val="single" w:sz="8" w:color="auto"/>
            </w:tcBorders>
            <w:shd w:val="clear" w:color="auto" w:fill="CFF0FC"/>
          </w:tcPr>
          <w:p>
            <w:pPr>
              <w:spacing w:after="0"/>
              <w:rPr>
                <w:sz w:val="8"/>
                <w:szCs w:val="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142,813</w:t>
            </w:r>
          </w:p>
        </w:tc>
        <w:tc>
          <w:tcPr>
            <w:tcW w:w="280" w:type="dxa"/>
            <w:vAlign w:val="bottom"/>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spacing w:after="0"/>
              <w:rPr>
                <w:sz w:val="8"/>
                <w:szCs w:val="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38,026</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760" w:type="dxa"/>
            <w:vAlign w:val="bottom"/>
            <w:tcBorders>
              <w:bottom w:val="single" w:sz="8" w:color="CFF0FC"/>
            </w:tcBorders>
            <w:gridSpan w:val="2"/>
          </w:tcPr>
          <w:p>
            <w:pPr>
              <w:spacing w:after="0" w:line="88" w:lineRule="exact"/>
              <w:rPr>
                <w:sz w:val="20"/>
                <w:szCs w:val="20"/>
                <w:color w:val="auto"/>
              </w:rPr>
            </w:pPr>
            <w:r>
              <w:rPr>
                <w:rFonts w:ascii="Arial" w:cs="Arial" w:eastAsia="Arial" w:hAnsi="Arial"/>
                <w:sz w:val="8"/>
                <w:szCs w:val="8"/>
                <w:color w:val="auto"/>
              </w:rPr>
              <w:t>Cash and cash equivalents at end of period</w:t>
            </w:r>
          </w:p>
        </w:tc>
        <w:tc>
          <w:tcPr>
            <w:tcW w:w="380" w:type="dxa"/>
            <w:vAlign w:val="bottom"/>
            <w:tcBorders>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58,903</w:t>
            </w:r>
          </w:p>
        </w:tc>
        <w:tc>
          <w:tcPr>
            <w:tcW w:w="28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14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77,534</w:t>
            </w:r>
          </w:p>
        </w:tc>
        <w:tc>
          <w:tcPr>
            <w:tcW w:w="280" w:type="dxa"/>
            <w:vAlign w:val="bottom"/>
            <w:tcBorders>
              <w:bottom w:val="single" w:sz="8" w:color="CFF0FC"/>
            </w:tcBorders>
          </w:tcPr>
          <w:p>
            <w:pPr>
              <w:spacing w:after="0"/>
              <w:rPr>
                <w:sz w:val="8"/>
                <w:szCs w:val="8"/>
                <w:color w:val="auto"/>
              </w:rPr>
            </w:pPr>
          </w:p>
        </w:tc>
        <w:tc>
          <w:tcPr>
            <w:tcW w:w="380" w:type="dxa"/>
            <w:vAlign w:val="bottom"/>
            <w:tcBorders>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rPr>
              <w:t>142,813</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spacing w:after="0"/>
              <w:rPr>
                <w:sz w:val="20"/>
                <w:szCs w:val="20"/>
                <w:color w:val="auto"/>
              </w:rPr>
            </w:pPr>
            <w:r>
              <w:rPr>
                <w:rFonts w:ascii="Arial" w:cs="Arial" w:eastAsia="Arial" w:hAnsi="Arial"/>
                <w:sz w:val="8"/>
                <w:szCs w:val="8"/>
                <w:b w:val="1"/>
                <w:bCs w:val="1"/>
                <w:color w:val="auto"/>
              </w:rPr>
              <w:t>Non-cash investing and financing activities:</w:t>
            </w: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Property and equipment acquired but not yet paid</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spacing w:after="0"/>
              <w:rPr>
                <w:sz w:val="20"/>
                <w:szCs w:val="20"/>
                <w:color w:val="auto"/>
              </w:rPr>
            </w:pPr>
            <w:r>
              <w:rPr>
                <w:rFonts w:ascii="Arial" w:cs="Arial" w:eastAsia="Arial" w:hAnsi="Arial"/>
                <w:sz w:val="8"/>
                <w:szCs w:val="8"/>
                <w:color w:val="auto"/>
              </w:rPr>
              <w:t>15,395</w:t>
            </w:r>
          </w:p>
        </w:tc>
        <w:tc>
          <w:tcPr>
            <w:tcW w:w="280" w:type="dxa"/>
            <w:vAlign w:val="bottom"/>
          </w:tcPr>
          <w:p>
            <w:pPr>
              <w:spacing w:after="0"/>
              <w:rPr>
                <w:sz w:val="8"/>
                <w:szCs w:val="8"/>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1420" w:type="dxa"/>
            <w:vAlign w:val="bottom"/>
          </w:tcPr>
          <w:p>
            <w:pPr>
              <w:jc w:val="right"/>
              <w:spacing w:after="0"/>
              <w:rPr>
                <w:sz w:val="20"/>
                <w:szCs w:val="20"/>
                <w:color w:val="auto"/>
              </w:rPr>
            </w:pPr>
            <w:r>
              <w:rPr>
                <w:rFonts w:ascii="Arial" w:cs="Arial" w:eastAsia="Arial" w:hAnsi="Arial"/>
                <w:sz w:val="8"/>
                <w:szCs w:val="8"/>
                <w:color w:val="auto"/>
              </w:rPr>
              <w:t>15,230</w:t>
            </w:r>
          </w:p>
        </w:tc>
        <w:tc>
          <w:tcPr>
            <w:tcW w:w="280" w:type="dxa"/>
            <w:vAlign w:val="bottom"/>
          </w:tcPr>
          <w:p>
            <w:pPr>
              <w:spacing w:after="0"/>
              <w:rPr>
                <w:sz w:val="8"/>
                <w:szCs w:val="8"/>
                <w:color w:val="auto"/>
              </w:rPr>
            </w:pP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spacing w:after="0"/>
              <w:rPr>
                <w:sz w:val="20"/>
                <w:szCs w:val="20"/>
                <w:color w:val="auto"/>
              </w:rPr>
            </w:pPr>
            <w:r>
              <w:rPr>
                <w:rFonts w:ascii="Arial" w:cs="Arial" w:eastAsia="Arial" w:hAnsi="Arial"/>
                <w:sz w:val="8"/>
                <w:szCs w:val="8"/>
                <w:color w:val="auto"/>
              </w:rPr>
              <w:t>17,032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Tenant capital improvements</w:t>
            </w:r>
          </w:p>
        </w:tc>
        <w:tc>
          <w:tcPr>
            <w:tcW w:w="380" w:type="dxa"/>
            <w:vAlign w:val="bottom"/>
            <w:shd w:val="clear" w:color="auto" w:fill="CFF0FC"/>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139,012</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102,396</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164,742</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tcPr>
          <w:p>
            <w:pPr>
              <w:ind w:left="160"/>
              <w:spacing w:after="0"/>
              <w:rPr>
                <w:sz w:val="20"/>
                <w:szCs w:val="20"/>
                <w:color w:val="auto"/>
              </w:rPr>
            </w:pPr>
            <w:r>
              <w:rPr>
                <w:rFonts w:ascii="Arial" w:cs="Arial" w:eastAsia="Arial" w:hAnsi="Arial"/>
                <w:sz w:val="8"/>
                <w:szCs w:val="8"/>
                <w:color w:val="auto"/>
              </w:rPr>
              <w:t>Receipt of equity method investment value in exchange for assets</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color w:val="auto"/>
                <w:w w:val="70"/>
              </w:rPr>
              <w:t>$</w:t>
            </w:r>
          </w:p>
        </w:tc>
        <w:tc>
          <w:tcPr>
            <w:tcW w:w="1420" w:type="dxa"/>
            <w:vAlign w:val="bottom"/>
          </w:tcPr>
          <w:p>
            <w:pPr>
              <w:jc w:val="right"/>
              <w:spacing w:after="0"/>
              <w:rPr>
                <w:sz w:val="20"/>
                <w:szCs w:val="20"/>
                <w:color w:val="auto"/>
              </w:rPr>
            </w:pPr>
            <w:r>
              <w:rPr>
                <w:rFonts w:ascii="Arial" w:cs="Arial" w:eastAsia="Arial" w:hAnsi="Arial"/>
                <w:sz w:val="8"/>
                <w:szCs w:val="8"/>
                <w:color w:val="auto"/>
              </w:rPr>
              <w:t>67,904</w:t>
            </w:r>
          </w:p>
        </w:tc>
        <w:tc>
          <w:tcPr>
            <w:tcW w:w="280" w:type="dxa"/>
            <w:vAlign w:val="bottom"/>
          </w:tcPr>
          <w:p>
            <w:pPr>
              <w:spacing w:after="0"/>
              <w:rPr>
                <w:sz w:val="8"/>
                <w:szCs w:val="8"/>
                <w:color w:val="auto"/>
              </w:rPr>
            </w:pP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8"/>
                <w:szCs w:val="8"/>
                <w:color w:val="auto"/>
              </w:rPr>
              <w:t>Settlement of contingent consideration through non-cash consideration</w:t>
            </w:r>
          </w:p>
        </w:tc>
        <w:tc>
          <w:tcPr>
            <w:tcW w:w="380" w:type="dxa"/>
            <w:vAlign w:val="bottom"/>
            <w:shd w:val="clear" w:color="auto" w:fill="CFF0FC"/>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FF0FC"/>
          </w:tcPr>
          <w:p>
            <w:pPr>
              <w:spacing w:after="0"/>
              <w:rPr>
                <w:sz w:val="8"/>
                <w:szCs w:val="8"/>
                <w:color w:val="auto"/>
              </w:rPr>
            </w:pPr>
          </w:p>
        </w:tc>
        <w:tc>
          <w:tcPr>
            <w:tcW w:w="380" w:type="dxa"/>
            <w:vAlign w:val="bottom"/>
            <w:shd w:val="clear" w:color="auto" w:fill="CFF0FC"/>
          </w:tcPr>
          <w:p>
            <w:pPr>
              <w:jc w:val="right"/>
              <w:ind w:right="314"/>
              <w:spacing w:after="0"/>
              <w:rPr>
                <w:sz w:val="20"/>
                <w:szCs w:val="20"/>
                <w:color w:val="auto"/>
              </w:rPr>
            </w:pPr>
            <w:r>
              <w:rPr>
                <w:rFonts w:ascii="Arial" w:cs="Arial" w:eastAsia="Arial" w:hAnsi="Arial"/>
                <w:sz w:val="5"/>
                <w:szCs w:val="5"/>
                <w:color w:val="auto"/>
                <w:w w:val="70"/>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8"/>
                <w:szCs w:val="8"/>
                <w:color w:val="auto"/>
              </w:rPr>
              <w:t>11,178</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6" w:name="page67"/>
    <w:bookmarkEnd w:id="66"/>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74"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 Organization and Description of Business</w:t>
      </w:r>
    </w:p>
    <w:p>
      <w:pPr>
        <w:spacing w:after="0" w:line="154" w:lineRule="exact"/>
        <w:rPr>
          <w:sz w:val="20"/>
          <w:szCs w:val="20"/>
          <w:color w:val="auto"/>
        </w:rPr>
      </w:pPr>
    </w:p>
    <w:p>
      <w:pPr>
        <w:ind w:left="8" w:right="100"/>
        <w:spacing w:after="0" w:line="264" w:lineRule="auto"/>
        <w:rPr>
          <w:sz w:val="20"/>
          <w:szCs w:val="20"/>
          <w:color w:val="auto"/>
        </w:rPr>
      </w:pPr>
      <w:r>
        <w:rPr>
          <w:rFonts w:ascii="Arial" w:cs="Arial" w:eastAsia="Arial" w:hAnsi="Arial"/>
          <w:sz w:val="12"/>
          <w:szCs w:val="12"/>
          <w:color w:val="auto"/>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have historically managed our operations in four separate lines of business: Uniti Fiber, Uniti Towers, Uniti Leasing, and the Consumer CLEC Business. On June 1, 2020, the Company completed the sale of its Uniti Towers business, and as of the end of the second quarter of 2020, the Company had substantially completed the wind down of its Consumer CLEC business. As a result, effective January 1, 2021, we manage our operations focused on our two primary lines of business: Uniti Fiber and Uniti Leasing.</w:t>
      </w:r>
    </w:p>
    <w:p>
      <w:pPr>
        <w:spacing w:after="0" w:line="123" w:lineRule="exact"/>
        <w:rPr>
          <w:sz w:val="20"/>
          <w:szCs w:val="20"/>
          <w:color w:val="auto"/>
        </w:rPr>
      </w:pPr>
    </w:p>
    <w:p>
      <w:pPr>
        <w:ind w:left="8"/>
        <w:spacing w:after="0" w:line="255" w:lineRule="auto"/>
        <w:rPr>
          <w:sz w:val="20"/>
          <w:szCs w:val="20"/>
          <w:color w:val="auto"/>
        </w:rPr>
      </w:pPr>
      <w:r>
        <w:rPr>
          <w:rFonts w:ascii="Arial" w:cs="Arial" w:eastAsia="Arial" w:hAnsi="Arial"/>
          <w:sz w:val="12"/>
          <w:szCs w:val="12"/>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(“Talk America”), which we substantially completed the wind down of the business as of the end of the second quarter of 2020. The up-REIT structure is intended to facilitate future acquisition opportunities by providing the Company with the ability to use common units of the Operating Partnership as a tax-efficient acquisition currency. As of December 31, 2021, we are the sole general partner of the Operating Partnership and own approximately 99.7% of the partnership interests in the Operating Partnership.</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 Basis of Presentation and Consolidation</w:t>
      </w:r>
    </w:p>
    <w:p>
      <w:pPr>
        <w:spacing w:after="0" w:line="154" w:lineRule="exact"/>
        <w:rPr>
          <w:sz w:val="20"/>
          <w:szCs w:val="20"/>
          <w:color w:val="auto"/>
        </w:rPr>
      </w:pPr>
    </w:p>
    <w:p>
      <w:pPr>
        <w:ind w:left="8" w:right="100"/>
        <w:spacing w:after="0" w:line="263" w:lineRule="auto"/>
        <w:rPr>
          <w:sz w:val="20"/>
          <w:szCs w:val="20"/>
          <w:color w:val="auto"/>
        </w:rPr>
      </w:pPr>
      <w:r>
        <w:rPr>
          <w:rFonts w:ascii="Arial" w:cs="Arial" w:eastAsia="Arial" w:hAnsi="Arial"/>
          <w:sz w:val="12"/>
          <w:szCs w:val="12"/>
          <w:color w:val="auto"/>
        </w:rPr>
        <w:t>The accompanying Consolidated Financial Statements include all accounts of the Company and, its wholly-owned and/or controlled subsidiaries, including the Operating Partnership. Under the Accounting Standards Codification 810, Consolidation (“ASC 810”), the Operating Partnership is considered a variable interest entity and is consolidated in the Consolidated Financial Statements of Uniti Group Inc. because the Company is the primary beneficiary. All material intercompany balances and transactions have been eliminated.</w:t>
      </w:r>
    </w:p>
    <w:p>
      <w:pPr>
        <w:spacing w:after="0" w:line="122" w:lineRule="exact"/>
        <w:rPr>
          <w:sz w:val="20"/>
          <w:szCs w:val="20"/>
          <w:color w:val="auto"/>
        </w:rPr>
      </w:pPr>
    </w:p>
    <w:p>
      <w:pPr>
        <w:ind w:left="8" w:right="60"/>
        <w:spacing w:after="0" w:line="281" w:lineRule="auto"/>
        <w:rPr>
          <w:sz w:val="20"/>
          <w:szCs w:val="20"/>
          <w:color w:val="auto"/>
        </w:rPr>
      </w:pPr>
      <w:r>
        <w:rPr>
          <w:rFonts w:ascii="Arial" w:cs="Arial" w:eastAsia="Arial" w:hAnsi="Arial"/>
          <w:sz w:val="11"/>
          <w:szCs w:val="11"/>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w:t>
      </w:r>
    </w:p>
    <w:p>
      <w:pPr>
        <w:spacing w:after="0" w:line="1" w:lineRule="exact"/>
        <w:rPr>
          <w:sz w:val="20"/>
          <w:szCs w:val="20"/>
          <w:color w:val="auto"/>
        </w:rPr>
      </w:pPr>
    </w:p>
    <w:p>
      <w:pPr>
        <w:ind w:left="8" w:hanging="8"/>
        <w:spacing w:after="0" w:line="284" w:lineRule="auto"/>
        <w:tabs>
          <w:tab w:leader="none" w:pos="185"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12" w:lineRule="exact"/>
        <w:rPr>
          <w:sz w:val="20"/>
          <w:szCs w:val="20"/>
          <w:color w:val="auto"/>
        </w:rPr>
      </w:pPr>
    </w:p>
    <w:p>
      <w:pPr>
        <w:ind w:left="8" w:right="340"/>
        <w:spacing w:after="0" w:line="276" w:lineRule="auto"/>
        <w:rPr>
          <w:sz w:val="20"/>
          <w:szCs w:val="20"/>
          <w:color w:val="auto"/>
        </w:rPr>
      </w:pPr>
      <w:r>
        <w:rPr>
          <w:rFonts w:ascii="Arial" w:cs="Arial" w:eastAsia="Arial" w:hAnsi="Arial"/>
          <w:sz w:val="12"/>
          <w:szCs w:val="12"/>
          <w:color w:val="auto"/>
        </w:rPr>
        <w:t>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Securities and Exchange Commission (“SEC”).</w:t>
      </w:r>
    </w:p>
    <w:p>
      <w:pPr>
        <w:spacing w:after="0" w:line="200" w:lineRule="exact"/>
        <w:rPr>
          <w:sz w:val="20"/>
          <w:szCs w:val="20"/>
          <w:color w:val="auto"/>
        </w:rPr>
      </w:pPr>
    </w:p>
    <w:p>
      <w:pPr>
        <w:spacing w:after="0" w:line="36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67" w:name="page68"/>
    <w:bookmarkEnd w:id="67"/>
    <w:p>
      <w:pPr>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154"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u w:val="single" w:color="auto"/>
          <w:color w:val="auto"/>
        </w:rPr>
        <w:t>Use of Estimates</w:t>
      </w:r>
      <w:r>
        <w:rPr>
          <w:rFonts w:ascii="Arial" w:cs="Arial" w:eastAsia="Arial" w:hAnsi="Arial"/>
          <w:sz w:val="11"/>
          <w:szCs w:val="11"/>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2"/>
          <w:szCs w:val="12"/>
          <w:u w:val="single" w:color="auto"/>
          <w:color w:val="auto"/>
        </w:rPr>
        <w:t>Property, Plant and Equipment</w:t>
      </w:r>
      <w:r>
        <w:rPr>
          <w:rFonts w:ascii="Arial" w:cs="Arial" w:eastAsia="Arial" w:hAnsi="Arial"/>
          <w:sz w:val="12"/>
          <w:szCs w:val="12"/>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capitalizes a portion of the interest costs it incurs for assets that require a period of time to get them ready for their intended use. The amount of interest that is capitalized is based on the average accumulated expenditures made during the period involved in bringing the assets comprising a network to an operational state at the Company’s weighted average interest rate during the respective accounting period.</w:t>
      </w:r>
    </w:p>
    <w:p>
      <w:pPr>
        <w:spacing w:after="0" w:line="124" w:lineRule="exact"/>
        <w:rPr>
          <w:sz w:val="20"/>
          <w:szCs w:val="20"/>
          <w:color w:val="auto"/>
        </w:rPr>
      </w:pPr>
    </w:p>
    <w:p>
      <w:pPr>
        <w:ind w:right="40"/>
        <w:spacing w:after="0" w:line="147" w:lineRule="exact"/>
        <w:rPr>
          <w:sz w:val="20"/>
          <w:szCs w:val="20"/>
          <w:color w:val="auto"/>
        </w:rPr>
      </w:pPr>
      <w:r>
        <w:rPr>
          <w:rFonts w:ascii="Arial" w:cs="Arial" w:eastAsia="Arial" w:hAnsi="Arial"/>
          <w:sz w:val="12"/>
          <w:szCs w:val="12"/>
          <w:color w:val="auto"/>
        </w:rPr>
        <w:t>The Company also enters into leasing arrangements providing for the long</w:t>
      </w:r>
      <w:r>
        <w:rPr>
          <w:rFonts w:ascii="MS PGothic" w:cs="MS PGothic" w:eastAsia="MS PGothic" w:hAnsi="MS PGothic"/>
          <w:sz w:val="12"/>
          <w:szCs w:val="12"/>
          <w:color w:val="auto"/>
        </w:rPr>
        <w:t>‑</w:t>
      </w:r>
      <w:r>
        <w:rPr>
          <w:rFonts w:ascii="Arial" w:cs="Arial" w:eastAsia="Arial" w:hAnsi="Arial"/>
          <w:sz w:val="12"/>
          <w:szCs w:val="12"/>
          <w:color w:val="auto"/>
        </w:rPr>
        <w:t>term use of constructed fiber that is then integrated into the Company’s network infrastructure. For each lease that qualifies as a finance lease, the present value of the lease payments, which may include both periodic lease payments over the term of the lease as well as upfront payments to the lessor, is capitalized at the inception of the lease and included in property and equipment. As of December 31, 2021 and 2020, the accumulated amortization of our finance lease assets was $18.4 million and $16.8 million, respectively.</w:t>
      </w:r>
    </w:p>
    <w:p>
      <w:pPr>
        <w:spacing w:after="0" w:line="136"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to Uniti. Certain property, plant and equipment acquired as part of our Spin-Off is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finance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 Construction in progress includes direct materials and labor related to fixed assets during the construction period. Depreciation begins once the construction period has ceased and the related asset is placed into service, and the asset will be depreciated over its useful life.</w:t>
      </w:r>
    </w:p>
    <w:p>
      <w:pPr>
        <w:spacing w:after="0" w:line="13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Costs of maintenance and repairs to property, plant and equipment subject to triple-net leasing arrangements are the responsibility of our tenant. Costs of maintenance and repairs to property, plant and equipment not subject to triple-net leasing arrangements are expensed as incurred.</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u w:val="single" w:color="auto"/>
          <w:color w:val="auto"/>
        </w:rPr>
        <w:t>Tenant Capital Improvements</w:t>
      </w:r>
      <w:r>
        <w:rPr>
          <w:rFonts w:ascii="Arial" w:cs="Arial" w:eastAsia="Arial" w:hAnsi="Arial"/>
          <w:sz w:val="12"/>
          <w:szCs w:val="12"/>
          <w:color w:val="auto"/>
        </w:rPr>
        <w:t>—Our leases with Windstream provide that tenant funded capital improvements (“TCIs”), defined as maintenance, repair, overbuild, upgrade or replacements to the leased network, including, without limitation, the replacement of copper distribution systems with fiber distribution systems, automatically become property of Uniti upon their construction by Windstream. We receive non-monetary consideration related to the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At December 31, 2021 and 2020, the net book value of TCIs recorded as a component of property, plant and equipment on our Consolidated Balance Sheet was $838.8 million and $767.2 million, respectively. For the years ended December 31, 2021, 2020 and 2019, we recognized $39.0 million, $35.1 million, and $29.0 million of revenue and depreciation expense related to TCIs, respectively.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8" w:name="page69"/>
    <w:bookmarkEnd w:id="68"/>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40"/>
        <w:spacing w:after="0" w:line="326" w:lineRule="auto"/>
        <w:rPr>
          <w:sz w:val="20"/>
          <w:szCs w:val="20"/>
          <w:color w:val="auto"/>
        </w:rPr>
      </w:pPr>
      <w:r>
        <w:rPr>
          <w:rFonts w:ascii="Arial" w:cs="Arial" w:eastAsia="Arial" w:hAnsi="Arial"/>
          <w:sz w:val="10"/>
          <w:szCs w:val="10"/>
          <w:u w:val="single" w:color="auto"/>
          <w:color w:val="auto"/>
        </w:rPr>
        <w:t>Impairment of Long-Lived Assets</w:t>
      </w:r>
      <w:r>
        <w:rPr>
          <w:rFonts w:ascii="Arial" w:cs="Arial" w:eastAsia="Arial" w:hAnsi="Arial"/>
          <w:sz w:val="10"/>
          <w:szCs w:val="10"/>
          <w:color w:val="auto"/>
        </w:rPr>
        <w:t>—We review long-lived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 Assets held for sale, if any, are reported at the lower of the carrying amount or fair value less cost to sell. During the years ended December 31, 2021, 2020 and 2019, there were no events or changes in circumstances indicating that the carrying amount of any of our assets groups to not be recoverable from future undiscounted net cash flows we expect the asset groups to generate, and no impairment losses were recognized.</w:t>
      </w:r>
    </w:p>
    <w:p>
      <w:pPr>
        <w:spacing w:after="0" w:line="95" w:lineRule="exact"/>
        <w:rPr>
          <w:sz w:val="20"/>
          <w:szCs w:val="20"/>
          <w:color w:val="auto"/>
        </w:rPr>
      </w:pPr>
    </w:p>
    <w:p>
      <w:pPr>
        <w:ind w:right="60"/>
        <w:spacing w:after="0" w:line="146" w:lineRule="exact"/>
        <w:rPr>
          <w:sz w:val="20"/>
          <w:szCs w:val="20"/>
          <w:color w:val="auto"/>
        </w:rPr>
      </w:pPr>
      <w:r>
        <w:rPr>
          <w:rFonts w:ascii="Arial" w:cs="Arial" w:eastAsia="Arial" w:hAnsi="Arial"/>
          <w:sz w:val="10"/>
          <w:szCs w:val="10"/>
          <w:u w:val="single" w:color="auto"/>
          <w:color w:val="auto"/>
        </w:rPr>
        <w:t>Asset Retirement Obligations</w:t>
      </w:r>
      <w:r>
        <w:rPr>
          <w:rFonts w:ascii="Arial" w:cs="Arial" w:eastAsia="Arial" w:hAnsi="Arial"/>
          <w:sz w:val="10"/>
          <w:szCs w:val="10"/>
          <w:color w:val="auto"/>
        </w:rPr>
        <w:t>—The Company records obligations to perform asset retirement activities, primarily including requirements to remove equipment from leased space or customer sites as required under the terms of the related lease and customer agreements.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Income (Loss). The associated asset retirement costs are capitalized as an additional carrying amount of the related long</w:t>
      </w:r>
      <w:r>
        <w:rPr>
          <w:rFonts w:ascii="MS PGothic" w:cs="MS PGothic" w:eastAsia="MS PGothic" w:hAnsi="MS PGothic"/>
          <w:sz w:val="10"/>
          <w:szCs w:val="10"/>
          <w:color w:val="auto"/>
        </w:rPr>
        <w:t>‑</w:t>
      </w:r>
      <w:r>
        <w:rPr>
          <w:rFonts w:ascii="Arial" w:cs="Arial" w:eastAsia="Arial" w:hAnsi="Arial"/>
          <w:sz w:val="10"/>
          <w:szCs w:val="10"/>
          <w:color w:val="auto"/>
        </w:rPr>
        <w:t>lived asset and depreciated on a straight-line basis over the asset’s useful life. As of December 31, 2021 and 2020, our aggregate carrying amount of asset retirement obligations totaled $11.8 million and $10.7 million, respectively. During the years ended December 31, 2021 and 2020, we incurred liabilities of $0.4 million and $0.2 million related to asset retirement obligations, respectively. During the years ended December 31, 2021, 2020, and 2019, we recognized $1.5 million, $1.3 million, and $1.3 million of accretion expense related to asset retirement obligations,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Cash and Cash Equivalents</w:t>
      </w:r>
      <w:r>
        <w:rPr>
          <w:rFonts w:ascii="Arial" w:cs="Arial" w:eastAsia="Arial" w:hAnsi="Arial"/>
          <w:sz w:val="11"/>
          <w:szCs w:val="11"/>
          <w:color w:val="auto"/>
        </w:rPr>
        <w:t>—Cash and cash equivalents include all non-restricted cash held at financial institutions and other non-restricted highly liquid short-term investments with original maturities of three months or less.</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u w:val="single" w:color="auto"/>
          <w:color w:val="auto"/>
        </w:rPr>
        <w:t>Derivative Instruments and Hedging Activities</w:t>
      </w:r>
      <w:r>
        <w:rPr>
          <w:rFonts w:ascii="Arial" w:cs="Arial" w:eastAsia="Arial" w:hAnsi="Arial"/>
          <w:sz w:val="12"/>
          <w:szCs w:val="12"/>
          <w:color w:val="auto"/>
        </w:rPr>
        <w:t xml:space="preserve">—We account for our derivatives in accordance with FASB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in which we reflect all derivative instruments at fair value as either assets or liabilities on our Consolidated Balance Sheet. For derivative instruments that are designated and qualify as hedging instruments, we record the effective portion of the gain or loss on the hedged instruments as a component of accumulated other comprehensive income or loss. Any ineffective portion of a derivative’s change in fair value is immediately recognized within net income. For derivatives that do not meet the criteria for hedge accounting, changes in fair value are immediately recognized within net income. See Note 8 and Note 10.</w:t>
      </w:r>
    </w:p>
    <w:p>
      <w:pPr>
        <w:spacing w:after="0" w:line="124" w:lineRule="exact"/>
        <w:rPr>
          <w:sz w:val="20"/>
          <w:szCs w:val="20"/>
          <w:color w:val="auto"/>
        </w:rPr>
      </w:pPr>
    </w:p>
    <w:p>
      <w:pPr>
        <w:spacing w:after="0" w:line="280" w:lineRule="auto"/>
        <w:rPr>
          <w:rFonts w:ascii="Arial" w:cs="Arial" w:eastAsia="Arial" w:hAnsi="Arial"/>
          <w:sz w:val="11"/>
          <w:szCs w:val="11"/>
          <w:color w:val="auto"/>
        </w:rPr>
      </w:pPr>
      <w:r>
        <w:rPr>
          <w:rFonts w:ascii="Arial" w:cs="Arial" w:eastAsia="Arial" w:hAnsi="Arial"/>
          <w:sz w:val="11"/>
          <w:szCs w:val="11"/>
          <w:u w:val="single" w:color="auto"/>
          <w:color w:val="auto"/>
        </w:rPr>
        <w:t>Exchangeable Notes and Related Transactions</w:t>
      </w:r>
      <w:r>
        <w:rPr>
          <w:rFonts w:ascii="Arial" w:cs="Arial" w:eastAsia="Arial" w:hAnsi="Arial"/>
          <w:sz w:val="11"/>
          <w:szCs w:val="11"/>
          <w:color w:val="auto"/>
        </w:rPr>
        <w:t xml:space="preserve">—On June 28, 2019, Uniti Fiber Holdings Inc., a subsidiary of the Company, issued $345 million aggregate principal amount of 4.00% Exchangeable Senior Notes due June 15, 2024 (the “Exchangeable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 Holdings Inc.’s election. In accordance with ASC 470-20, </w:t>
      </w:r>
      <w:r>
        <w:rPr>
          <w:rFonts w:ascii="Arial" w:cs="Arial" w:eastAsia="Arial" w:hAnsi="Arial"/>
          <w:sz w:val="11"/>
          <w:szCs w:val="11"/>
          <w:i w:val="1"/>
          <w:iCs w:val="1"/>
          <w:color w:val="auto"/>
        </w:rPr>
        <w:t>Debt – Debt with Conversion and Other Options</w:t>
      </w:r>
      <w:r>
        <w:rPr>
          <w:rFonts w:ascii="Arial" w:cs="Arial" w:eastAsia="Arial" w:hAnsi="Arial"/>
          <w:sz w:val="11"/>
          <w:szCs w:val="11"/>
          <w:color w:val="auto"/>
        </w:rPr>
        <w:t xml:space="preserve">, because the conversion feature in the Exchangeable Notes is not bifurcated pursuant to ASC 815, </w:t>
      </w:r>
      <w:r>
        <w:rPr>
          <w:rFonts w:ascii="Arial" w:cs="Arial" w:eastAsia="Arial" w:hAnsi="Arial"/>
          <w:sz w:val="11"/>
          <w:szCs w:val="11"/>
          <w:i w:val="1"/>
          <w:iCs w:val="1"/>
          <w:color w:val="auto"/>
        </w:rPr>
        <w:t>Derivatives and Hedging</w:t>
      </w:r>
      <w:r>
        <w:rPr>
          <w:rFonts w:ascii="Arial" w:cs="Arial" w:eastAsia="Arial" w:hAnsi="Arial"/>
          <w:sz w:val="11"/>
          <w:szCs w:val="11"/>
          <w:color w:val="auto"/>
        </w:rPr>
        <w:t xml:space="preserve">, and because the conversion can be settled in cash, shares, or a combination thereof, the Exchangeable Notes were separated into a liability component and an equity component in a manner that reflects Uniti Fiber Holdings Inc.’s non-convertible debt borrowing rate. The carrying amount of the liability component was calculated by measuring the fair value of a similar liability that does not have an associated conversion feature. </w:t>
      </w:r>
      <w:hyperlink r:id="rId90">
        <w:r>
          <w:rPr>
            <w:rFonts w:ascii="Arial" w:cs="Arial" w:eastAsia="Arial" w:hAnsi="Arial"/>
            <w:sz w:val="11"/>
            <w:szCs w:val="11"/>
            <w:color w:val="auto"/>
          </w:rPr>
          <w:t xml:space="preserve">See Note </w:t>
        </w:r>
      </w:hyperlink>
      <w:r>
        <w:rPr>
          <w:rFonts w:ascii="Arial" w:cs="Arial" w:eastAsia="Arial" w:hAnsi="Arial"/>
          <w:sz w:val="11"/>
          <w:szCs w:val="11"/>
          <w:color w:val="auto"/>
        </w:rPr>
        <w:t xml:space="preserve">12. As discussed in “Recently Adopted Accounting Pronouncements” in this Note 3, the Company adopted ASU No. 2020-06, </w:t>
      </w:r>
      <w:r>
        <w:rPr>
          <w:rFonts w:ascii="Arial" w:cs="Arial" w:eastAsia="Arial" w:hAnsi="Arial"/>
          <w:sz w:val="11"/>
          <w:szCs w:val="11"/>
          <w:i w:val="1"/>
          <w:iCs w:val="1"/>
          <w:color w:val="auto"/>
        </w:rPr>
        <w:t>Debt - Debt</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with Conversion and Other Options (Subtopic 470- 20) and Derivatives and Hedging - Contracts in Entity’s Own Equity (Subtopic 815-40): Accounting for Convertible Instruments and Contracts in an Entity’s Own Equity </w:t>
      </w:r>
      <w:r>
        <w:rPr>
          <w:rFonts w:ascii="Arial" w:cs="Arial" w:eastAsia="Arial" w:hAnsi="Arial"/>
          <w:sz w:val="11"/>
          <w:szCs w:val="11"/>
          <w:color w:val="auto"/>
        </w:rPr>
        <w:t>(“ASU 2020-06”) on January 1, 2021. The adoption of ASU 2020-06 resulted in the re-combination of the liability and equity components of these notes into a single liability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-212090</wp:posOffset>
            </wp:positionV>
            <wp:extent cx="33401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4010" cy="5715"/>
                    </a:xfrm>
                    <a:prstGeom prst="rect">
                      <a:avLst/>
                    </a:prstGeom>
                    <a:noFill/>
                  </pic:spPr>
                </pic:pic>
              </a:graphicData>
            </a:graphic>
          </wp:anchor>
        </w:drawing>
      </w:r>
    </w:p>
    <w:p>
      <w:pPr>
        <w:spacing w:after="0" w:line="9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 connection with the offering of the Exchangeable Notes, Uniti Fiber Holdings Inc. entered into exchangeable note hedge transactions with respect to the Company’s common stock (the “Note Hedge Transactions”) with certain of the Initial Purchasers (as defined in Note 12) or their respective affiliates (collectively, the “Counterparties”). In addition, the Company entered into warrant transactions to sell to the Counterparties warrants (the “Warrants”) to acquire, subject to anti-dilution adjustments, up to approximately 27.8 million shares of the Company’s common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9" w:name="page70"/>
    <w:bookmarkEnd w:id="69"/>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stock in the aggregate at an exercise price of $16.42 per share. The warrant transactions may have a dilutive effect with respect to the Company’s common stock to the extent the market price per share of the Company’s common stock exceeds the strike price of the Warrants. While the Note Hedge Transactions and the Warrants meet the definition of a derivative in ASC 815-10-15-83, they each meet the equity scope exception specified in ASC 815-10-15-74(a); as such, the Warrants and the Notes Hedge Transactions are not accounted for as derivatives that must be remeasured each reporting period and instead, are recorded in stockholders’ deficit. See Note 10.</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Intangible Assets</w:t>
      </w:r>
      <w:r>
        <w:rPr>
          <w:rFonts w:ascii="Arial" w:cs="Arial" w:eastAsia="Arial" w:hAnsi="Arial"/>
          <w:sz w:val="12"/>
          <w:szCs w:val="12"/>
          <w:color w:val="auto"/>
        </w:rPr>
        <w:t>—Intangible assets are presented in the financial statements at cost less accumulated amortization and are amortized using the straight-line method over their estimated useful lives.</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u w:val="single" w:color="auto"/>
          <w:color w:val="auto"/>
        </w:rPr>
        <w:t>Foreign Currency Translation</w:t>
      </w:r>
      <w:r>
        <w:rPr>
          <w:rFonts w:ascii="Arial" w:cs="Arial" w:eastAsia="Arial" w:hAnsi="Arial"/>
          <w:sz w:val="12"/>
          <w:szCs w:val="12"/>
          <w:color w:val="auto"/>
        </w:rPr>
        <w:t>—The financial statements of our international subsidiaries whose functional currency is the local currency, and includes the Mexican Peso and Colombian Peso, are translated into U.S. dollars using the exchange rate at the balance sheet date for assets and liabilities and the weighted average exchange rate for the applicable period for revenues, expenses, gains and losses. Translation adjustments are recorded as a separate component of comprehensive income in stockholders’ deficit. On April 2, 2019, the Company ceased transactions involving foreign currencies with the completed sale of the Uniti Towers’ Latin America business (see Note 6), which included our international subsidiaries.</w:t>
      </w:r>
    </w:p>
    <w:p>
      <w:pPr>
        <w:spacing w:after="0" w:line="124" w:lineRule="exact"/>
        <w:rPr>
          <w:sz w:val="20"/>
          <w:szCs w:val="20"/>
          <w:color w:val="auto"/>
        </w:rPr>
      </w:pPr>
    </w:p>
    <w:p>
      <w:pPr>
        <w:ind w:right="100"/>
        <w:spacing w:after="0" w:line="285" w:lineRule="auto"/>
        <w:rPr>
          <w:sz w:val="20"/>
          <w:szCs w:val="20"/>
          <w:color w:val="auto"/>
        </w:rPr>
      </w:pPr>
      <w:r>
        <w:rPr>
          <w:rFonts w:ascii="Arial" w:cs="Arial" w:eastAsia="Arial" w:hAnsi="Arial"/>
          <w:sz w:val="11"/>
          <w:szCs w:val="11"/>
          <w:u w:val="single" w:color="auto"/>
          <w:color w:val="auto"/>
        </w:rPr>
        <w:t>Transaction Related and Other Costs</w:t>
      </w:r>
      <w:r>
        <w:rPr>
          <w:rFonts w:ascii="Arial" w:cs="Arial" w:eastAsia="Arial" w:hAnsi="Arial"/>
          <w:sz w:val="11"/>
          <w:szCs w:val="11"/>
          <w:color w:val="auto"/>
        </w:rPr>
        <w:t>—The Company expenses non-capitalizable transaction related and other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 finder’s fees, travel expenses, and other direct expenses associated with a business acquisition. Integration costs include direct costs necessary to integrate an acquired business, including professional services, systems and data conversion, severance and retention bonuses payable to employees of an acquired business. In addition, other costs, such as costs incurred as a result of Windstream’s bankruptcy filing, costs associated with Windstream’s claims against us (see Note 16), and costs associated with the implementation of our new enterprise resource planning system are included within this line item on the Consolidated Statements of Income (Loss).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u w:val="single" w:color="auto"/>
          <w:color w:val="auto"/>
        </w:rPr>
        <w:t>Settlement Expense</w:t>
      </w:r>
      <w:r>
        <w:rPr>
          <w:rFonts w:ascii="Arial" w:cs="Arial" w:eastAsia="Arial" w:hAnsi="Arial"/>
          <w:sz w:val="12"/>
          <w:szCs w:val="12"/>
          <w:color w:val="auto"/>
        </w:rPr>
        <w:t>—As described in Note 16, on July 25, 2019, in connection with Windstream’s bankruptcy, Windstream Holdings and Windstream Services filed a complaint with the U.S. Bankruptcy Court for the Southern District of New York (the “Bankruptcy Court”) in an adversary proceeding against Uniti and certain of its affiliates. On March 2, 2020, Uniti and Windstream jointly announced that they agreed to the Settlement (as defined in Note 16)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As a result, during the second quarter of 2020, we estimated that $650.0 million of the consideration paid to Windstream should be classified as settlement of litigation, and therefore, recorded a $650.0 million charge. The charge represented our estimated fair value of the litigation settlement component of the Settlement. See Note 16.</w:t>
      </w:r>
    </w:p>
    <w:p>
      <w:pPr>
        <w:spacing w:after="0" w:line="128"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u w:val="single" w:color="auto"/>
          <w:color w:val="auto"/>
        </w:rPr>
        <w:t>Debt Issuance Costs</w:t>
      </w:r>
      <w:r>
        <w:rPr>
          <w:rFonts w:ascii="Arial" w:cs="Arial" w:eastAsia="Arial" w:hAnsi="Arial"/>
          <w:sz w:val="12"/>
          <w:szCs w:val="12"/>
          <w:color w:val="auto"/>
        </w:rPr>
        <w:t>—The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spacing w:after="0" w:line="115" w:lineRule="exact"/>
        <w:rPr>
          <w:sz w:val="20"/>
          <w:szCs w:val="20"/>
          <w:color w:val="auto"/>
        </w:rPr>
      </w:pPr>
    </w:p>
    <w:p>
      <w:pPr>
        <w:ind w:right="380"/>
        <w:spacing w:after="0" w:line="276" w:lineRule="auto"/>
        <w:rPr>
          <w:rFonts w:ascii="Arial" w:cs="Arial" w:eastAsia="Arial" w:hAnsi="Arial"/>
          <w:sz w:val="12"/>
          <w:szCs w:val="12"/>
          <w:color w:val="auto"/>
        </w:rPr>
      </w:pPr>
      <w:r>
        <w:rPr>
          <w:rFonts w:ascii="Arial" w:cs="Arial" w:eastAsia="Arial" w:hAnsi="Arial"/>
          <w:sz w:val="12"/>
          <w:szCs w:val="12"/>
          <w:u w:val="single" w:color="auto"/>
          <w:color w:val="auto"/>
        </w:rPr>
        <w:t>Revenue Recognition</w:t>
      </w:r>
      <w:r>
        <w:rPr>
          <w:rFonts w:ascii="Arial" w:cs="Arial" w:eastAsia="Arial" w:hAnsi="Arial"/>
          <w:sz w:val="12"/>
          <w:szCs w:val="12"/>
          <w:color w:val="auto"/>
        </w:rPr>
        <w:t>— The following is a description of principal activities, separated by reportable segments (</w:t>
      </w:r>
      <w:hyperlink w:anchor="page104">
        <w:r>
          <w:rPr>
            <w:rFonts w:ascii="Arial" w:cs="Arial" w:eastAsia="Arial" w:hAnsi="Arial"/>
            <w:sz w:val="12"/>
            <w:szCs w:val="12"/>
            <w:u w:val="single" w:color="auto"/>
            <w:color w:val="0000EE"/>
          </w:rPr>
          <w:t>see Note 1</w:t>
        </w:r>
      </w:hyperlink>
      <w:r>
        <w:rPr>
          <w:rFonts w:ascii="Arial" w:cs="Arial" w:eastAsia="Arial" w:hAnsi="Arial"/>
          <w:sz w:val="12"/>
          <w:szCs w:val="12"/>
          <w:color w:val="auto"/>
        </w:rPr>
        <w:t>5), from which the Company generates its revenues. We exclude from the transaction price any amounts collected from customers for sales taxes and therefore, they are not included in revenue.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Leasing</w:t>
      </w:r>
    </w:p>
    <w:p>
      <w:pPr>
        <w:spacing w:after="0" w:line="150"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Leasing revenue represents the results from our leasing program, Uniti Leasing, which is engaged in the acquisition and construction of mission-critical communications assets and leasing them to anchor customers on either an exclusive or shared-tenant basis. See discussion in “Leases” in this Note 3 and Note 5.</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0" w:name="page71"/>
    <w:bookmarkEnd w:id="70"/>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In connection with the Spin-Off, we entered into a long-term exclusive triple-net lease (the “Master Lease”) with Windstream, whereby Windstream is responsible for the costs related to operating the Distribution Systems, including property taxes, insurance and maintenance and repair costs. In connection with Windstream’s emergence from bankruptcy, Uniti and Windstream bifurcated the Master Lease and entered into two structurally similar master leases (collectively, the “Windstream Leases”), which amended and restated the Master Lease in its entirety. See Note 5. As a result, we do not record an obligation related to the payment of property taxes or insurance, as Windstream makes direct payments to the taxing authorities and insurance carriers,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Fiber Infrastructure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Fiber Infrastructure segment represents the operations of our fiber business, Uniti Fiber, which provides:</w:t>
      </w:r>
    </w:p>
    <w:p>
      <w:pPr>
        <w:spacing w:after="0" w:line="150" w:lineRule="exact"/>
        <w:rPr>
          <w:sz w:val="20"/>
          <w:szCs w:val="20"/>
          <w:color w:val="auto"/>
        </w:rPr>
      </w:pPr>
    </w:p>
    <w:p>
      <w:pPr>
        <w:ind w:left="1280" w:hanging="856"/>
        <w:spacing w:after="0" w:line="323" w:lineRule="auto"/>
        <w:tabs>
          <w:tab w:leader="none" w:pos="12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Consumer, enterprise, wholesale, and backhaul lit fiber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91" w:lineRule="exact"/>
        <w:rPr>
          <w:rFonts w:ascii="Arial" w:cs="Arial" w:eastAsia="Arial" w:hAnsi="Arial"/>
          <w:sz w:val="11"/>
          <w:szCs w:val="11"/>
          <w:color w:val="auto"/>
        </w:rPr>
      </w:pPr>
    </w:p>
    <w:p>
      <w:pPr>
        <w:ind w:left="1280" w:right="20" w:hanging="856"/>
        <w:spacing w:after="0" w:line="263"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E-rate contracts involve providing lit fiber services to schools and libraries, and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22" w:lineRule="exact"/>
        <w:rPr>
          <w:rFonts w:ascii="Arial" w:cs="Arial" w:eastAsia="Arial" w:hAnsi="Arial"/>
          <w:sz w:val="12"/>
          <w:szCs w:val="12"/>
          <w:color w:val="auto"/>
        </w:rPr>
      </w:pPr>
    </w:p>
    <w:p>
      <w:pPr>
        <w:jc w:val="both"/>
        <w:ind w:left="1280" w:right="120" w:hanging="856"/>
        <w:spacing w:after="0" w:line="298" w:lineRule="auto"/>
        <w:tabs>
          <w:tab w:leader="none" w:pos="12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Dark fiber and associated maintenance services constitute a lease, and as such, revenue is recognized under the leasing guidance.</w:t>
      </w:r>
    </w:p>
    <w:p>
      <w:pPr>
        <w:spacing w:after="0" w:line="104" w:lineRule="exact"/>
        <w:rPr>
          <w:rFonts w:ascii="Arial" w:cs="Arial" w:eastAsia="Arial" w:hAnsi="Arial"/>
          <w:sz w:val="11"/>
          <w:szCs w:val="11"/>
          <w:color w:val="auto"/>
        </w:rPr>
      </w:pPr>
    </w:p>
    <w:p>
      <w:pPr>
        <w:jc w:val="both"/>
        <w:ind w:left="1280" w:right="100" w:hanging="856"/>
        <w:spacing w:after="0" w:line="298" w:lineRule="auto"/>
        <w:tabs>
          <w:tab w:leader="none" w:pos="12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04" w:lineRule="exact"/>
        <w:rPr>
          <w:rFonts w:ascii="Arial" w:cs="Arial" w:eastAsia="Arial" w:hAnsi="Arial"/>
          <w:sz w:val="11"/>
          <w:szCs w:val="11"/>
          <w:color w:val="auto"/>
        </w:rPr>
      </w:pPr>
    </w:p>
    <w:p>
      <w:pPr>
        <w:ind w:left="1280" w:hanging="856"/>
        <w:spacing w:after="0" w:line="263"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Dark fiber arrangements represent operating leases and revenue is recognized under the leasing guidance.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22" w:lineRule="exact"/>
        <w:rPr>
          <w:rFonts w:ascii="Arial" w:cs="Arial" w:eastAsia="Arial" w:hAnsi="Arial"/>
          <w:sz w:val="12"/>
          <w:szCs w:val="12"/>
          <w:color w:val="auto"/>
        </w:rPr>
      </w:pPr>
    </w:p>
    <w:p>
      <w:pPr>
        <w:ind w:left="1280" w:right="160" w:hanging="856"/>
        <w:spacing w:after="0" w:line="259"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Towers</w:t>
      </w:r>
    </w:p>
    <w:p>
      <w:pPr>
        <w:spacing w:after="0" w:line="150" w:lineRule="exact"/>
        <w:rPr>
          <w:sz w:val="20"/>
          <w:szCs w:val="20"/>
          <w:color w:val="auto"/>
        </w:rPr>
      </w:pPr>
    </w:p>
    <w:p>
      <w:pPr>
        <w:jc w:val="center"/>
        <w:ind w:right="460"/>
        <w:spacing w:after="0"/>
        <w:rPr>
          <w:sz w:val="20"/>
          <w:szCs w:val="20"/>
          <w:color w:val="auto"/>
        </w:rPr>
      </w:pPr>
      <w:r>
        <w:rPr>
          <w:rFonts w:ascii="Arial" w:cs="Arial" w:eastAsia="Arial" w:hAnsi="Arial"/>
          <w:sz w:val="10"/>
          <w:szCs w:val="10"/>
          <w:color w:val="auto"/>
        </w:rPr>
        <w:t>The Towers segment represents the operations of our former towers business, Uniti Towers, through which we acquired and constructed tower and tower-related real estate, which we then leased to our customers in the United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71" w:name="page72"/>
    <w:bookmarkEnd w:id="71"/>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States and Latin America. Revenue from our towers business qualifies as a lease under ASC 842 and is outside the scope of ASC 606. The Company completed a series of transactions to largely divest of its towers business and on April 2, 2019, May 23, 2019 and June 1,2020, the Company completed the sales of its Latin American business, substantially all of its U.S. ground lease business, and its U.S. tower business,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CLEC</w:t>
      </w:r>
    </w:p>
    <w:p>
      <w:pPr>
        <w:spacing w:after="0" w:line="15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Consumer CLEC segment represents the operations of Talk America Services (“Talk America”), which provided local telephone, high-speed internet and long-distance services to customers in the eastern and central United States. Customers were billed monthly for services rendered based on actual usage or contracted amounts. The transaction price is equal to the monthly-recurring charge multiplied by the initial contract term (typically 12 months), plus any non-recurring or variable charges. As of the end of the second quarter of 2020, we substantially completed a wind down of our Consumer CLEC business.</w:t>
      </w:r>
    </w:p>
    <w:p>
      <w:pPr>
        <w:spacing w:after="0" w:line="122"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 xml:space="preserve">Commissions – Under Topic 606 and Topic 340, </w:t>
      </w:r>
      <w:r>
        <w:rPr>
          <w:rFonts w:ascii="Arial" w:cs="Arial" w:eastAsia="Arial" w:hAnsi="Arial"/>
          <w:sz w:val="12"/>
          <w:szCs w:val="12"/>
          <w:i w:val="1"/>
          <w:iCs w:val="1"/>
          <w:color w:val="auto"/>
        </w:rPr>
        <w:t>Other Assets and Deferred Costs</w:t>
      </w:r>
      <w:r>
        <w:rPr>
          <w:rFonts w:ascii="Arial" w:cs="Arial" w:eastAsia="Arial" w:hAnsi="Arial"/>
          <w:sz w:val="12"/>
          <w:szCs w:val="12"/>
          <w:color w:val="auto"/>
        </w:rPr>
        <w:t>, we capitalize commission fees as costs of obtaining a contract when those commissions are incremental and expected to be recovered from the revenue contract and we amortize those capitalized costs consistent with the pattern of transfer of the product or service to which the capitalized costs relate. The amortization of these costs are included in general and administrative expense on the Consolidated Statements of Income (Loss).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We are exposed to credit losses primarily through our trade receivables. We assess ability to pay for certain customers by considering a variety of factors, such as the customer’s established credit rating, if available, and our assessment of creditworthiness. We determine the allowance for credit losses on accounts receivable using a combination of specific reserves for accounts that are deemed to exhibit credit loss indicators and general reserves that are determined using loss rates based on historical experience and economic expectations. We update our estimate of credit loss reserves quarterly, considering recent write-offs, collections information and underlying economic expectations. The allowance for credit losses is recorded in accounts receivable, net on our Consolidated Balance Sheets. At December 31, 2021 and 2020, our allowance for credit losses was $2.7 million and $2.9 million, respectively. Credit losses for the years ended December 31, 2021, 2020 and 2019 were $1.5 million, $1.8 million and $1.6 million, respectively.</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2"/>
          <w:szCs w:val="12"/>
          <w:u w:val="single" w:color="auto"/>
          <w:color w:val="auto"/>
        </w:rPr>
        <w:t>Straight-Line Revenue Receivable</w:t>
      </w:r>
      <w:r>
        <w:rPr>
          <w:rFonts w:ascii="Arial" w:cs="Arial" w:eastAsia="Arial" w:hAnsi="Arial"/>
          <w:sz w:val="12"/>
          <w:szCs w:val="12"/>
          <w:color w:val="auto"/>
        </w:rPr>
        <w:t>—We have evaluated the collectability of our straight-line revenue receivables in accordance with the provisions of ASC 842. The adoption of ASC 842 on January 1, 2019 superseded prior guidance regarding the evaluation of collectability of lease receivables, including straight-line revenue receivables. At the date of adoption, due to uncertainties surrounding Windstream’s operations and liquidity, including uncertainties surrounding the outcome of Windstream’s pending litigation, we concluded that it was not probable that we would collect all future payments due to the Company over the initial term of the Master Lease. As a result, we reflected the write off of the straight-line revenue balance as of January 1, 2019 as a $61.5 million adjustment to equity resulting from the change in accounting standard. Upon Windstream’s emergence from bankruptcy in September 2020, we re-evaluated the collectability of the Windstream Leases (as described in Note 5), determining that it was probable that we would collect all future payments due to the company over the initial term of the Windstream Leases; therefore, we account for the Windstream Leases on a straight-line basis.</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1"/>
          <w:szCs w:val="11"/>
          <w:u w:val="single" w:color="auto"/>
          <w:color w:val="auto"/>
        </w:rPr>
        <w:t>Leases</w:t>
      </w:r>
      <w:r>
        <w:rPr>
          <w:rFonts w:ascii="Arial" w:cs="Arial" w:eastAsia="Arial" w:hAnsi="Arial"/>
          <w:sz w:val="11"/>
          <w:szCs w:val="11"/>
          <w:color w:val="auto"/>
        </w:rPr>
        <w:t>—Effective January 1, 2019, we account for leases in accordance with ASC 842. The standard requires lessees to apply a dual approach, classify leases as either finance or operating leases based on the principle of whether or not the lease is effectively a financed purchase by the lessee. This classification will determine whether lease expense is comprised of amortization on the right-of-use (“ROU”) asset and interest expense recognized based on an effective interest method, or as a single lease cost recognized on a straight-line basis over the term of the lease, respectively. A lessee is also required to record an ROU asset and a lease liability for all leases with a term of greater than 12 months regardless of their classification. The accounting for lessors remains largely unchanged, with exception of how collectability of future lease payments is evaluated and the impact on revenue recognition.</w:t>
      </w:r>
    </w:p>
    <w:p>
      <w:pPr>
        <w:spacing w:after="0" w:line="111"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We determine if an arrangement is a lease at contract inception. A lease exists when a contract conveys to the customer the right to control the use of identified property, plant, or equipment for a period of time in exchange for consideration.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2" w:name="page73"/>
    <w:bookmarkEnd w:id="7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Consolidated Statements of Income (Loss).</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From time to time we may enter into direct financing lease arrangements that include (i) a lessee obligation to purchase the leased equipment at the end of the lease term, (ii) a bargain purchase option, (iii) a lease term having a duration that is for the major part of the remaining economic life of the leased equipment or (iv) provides for minimum lease payments with a present value amounting to substantially all of the fair value of the leased asset at the date of lease inception.</w:t>
      </w:r>
    </w:p>
    <w:p>
      <w:pPr>
        <w:spacing w:after="0" w:line="12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ROU assets and lease liabilities related to operating leases where we are the lessee are included in other assets and accounts payable, accrued expenses and other liabilities, respectively, on our Consolidated Balance Sheets. The lease liabilities are initially and subsequently measured at the present value of the unpaid lease payments at the lease commencement date.</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ROU assets and lease liabilities related to finance leases where we are the lessee are included in property, plant and equipment, net and finance lease obligations, respectively, on our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Key estimates and judgments include how we determined (i) the discount rate we use to discount the unpaid lease payments to present value, (ii) lease term and (iii) lease payments.</w:t>
      </w:r>
    </w:p>
    <w:p>
      <w:pPr>
        <w:spacing w:after="0" w:line="150" w:lineRule="exact"/>
        <w:rPr>
          <w:sz w:val="20"/>
          <w:szCs w:val="20"/>
          <w:color w:val="auto"/>
        </w:rPr>
      </w:pPr>
    </w:p>
    <w:p>
      <w:pPr>
        <w:ind w:left="860" w:right="180" w:hanging="436"/>
        <w:spacing w:after="0" w:line="259" w:lineRule="auto"/>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24" w:lineRule="exact"/>
        <w:rPr>
          <w:rFonts w:ascii="Arial" w:cs="Arial" w:eastAsia="Arial" w:hAnsi="Arial"/>
          <w:sz w:val="12"/>
          <w:szCs w:val="12"/>
          <w:color w:val="auto"/>
        </w:rPr>
      </w:pPr>
    </w:p>
    <w:p>
      <w:pPr>
        <w:ind w:left="860" w:right="280" w:hanging="436"/>
        <w:spacing w:after="0" w:line="276" w:lineRule="auto"/>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14" w:lineRule="exact"/>
        <w:rPr>
          <w:rFonts w:ascii="Arial" w:cs="Arial" w:eastAsia="Arial" w:hAnsi="Arial"/>
          <w:sz w:val="12"/>
          <w:szCs w:val="12"/>
          <w:color w:val="auto"/>
        </w:rPr>
      </w:pPr>
    </w:p>
    <w:p>
      <w:pPr>
        <w:ind w:left="860" w:right="40" w:hanging="436"/>
        <w:spacing w:after="0" w:line="276" w:lineRule="auto"/>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1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not probable, the lessee is placed on non-accrual status and Leasing revenue is recognized when cash payments are received.</w:t>
      </w:r>
    </w:p>
    <w:p>
      <w:pPr>
        <w:spacing w:after="0" w:line="12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Where we are the lessee, the ROU asset is initially measured at the initial amount of the lease liability adjusted for lease payments made at or before the lease commencement date, plus any initial direct costs incurred less any lease incentives received.</w:t>
      </w:r>
    </w:p>
    <w:p>
      <w:pPr>
        <w:spacing w:after="0" w:line="115" w:lineRule="exact"/>
        <w:rPr>
          <w:sz w:val="20"/>
          <w:szCs w:val="20"/>
          <w:color w:val="auto"/>
        </w:rPr>
      </w:pPr>
    </w:p>
    <w:p>
      <w:pPr>
        <w:jc w:val="center"/>
        <w:ind w:right="280"/>
        <w:spacing w:after="0"/>
        <w:rPr>
          <w:sz w:val="20"/>
          <w:szCs w:val="20"/>
          <w:color w:val="auto"/>
        </w:rPr>
      </w:pPr>
      <w:r>
        <w:rPr>
          <w:rFonts w:ascii="Arial" w:cs="Arial" w:eastAsia="Arial" w:hAnsi="Arial"/>
          <w:sz w:val="10"/>
          <w:szCs w:val="10"/>
          <w:color w:val="auto"/>
        </w:rPr>
        <w:t>For operating leases, the ROU asset is subsequently measured throughout the lease term at the carrying amount of the lease liability, plus initial direct costs, plus (minus) any prepaid (accrued) lease payments, less the unamortized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3" w:name="page74"/>
    <w:bookmarkEnd w:id="73"/>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balance of lease incentives received. Lease expense for lease payments is recognized on a straight-line basis over the lease term.</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22" w:lineRule="exact"/>
        <w:rPr>
          <w:sz w:val="20"/>
          <w:szCs w:val="20"/>
          <w:color w:val="auto"/>
        </w:rPr>
      </w:pPr>
    </w:p>
    <w:p>
      <w:pPr>
        <w:jc w:val="both"/>
        <w:ind w:right="120"/>
        <w:spacing w:after="0" w:line="298" w:lineRule="auto"/>
        <w:rPr>
          <w:sz w:val="20"/>
          <w:szCs w:val="20"/>
          <w:color w:val="auto"/>
        </w:rPr>
      </w:pPr>
      <w:r>
        <w:rPr>
          <w:rFonts w:ascii="Arial" w:cs="Arial" w:eastAsia="Arial" w:hAnsi="Arial"/>
          <w:sz w:val="11"/>
          <w:szCs w:val="11"/>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Consolidated Statements of Income (Loss)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05"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general and administrative and operating expense in our Consolidated Statements of Income (Loss).</w:t>
      </w:r>
    </w:p>
    <w:p>
      <w:pPr>
        <w:spacing w:after="0" w:line="122" w:lineRule="exact"/>
        <w:rPr>
          <w:sz w:val="20"/>
          <w:szCs w:val="20"/>
          <w:color w:val="auto"/>
        </w:rPr>
      </w:pPr>
    </w:p>
    <w:p>
      <w:pPr>
        <w:ind w:right="280"/>
        <w:spacing w:after="0" w:line="298" w:lineRule="auto"/>
        <w:rPr>
          <w:sz w:val="20"/>
          <w:szCs w:val="20"/>
          <w:color w:val="auto"/>
        </w:rPr>
      </w:pPr>
      <w:r>
        <w:rPr>
          <w:rFonts w:ascii="Arial" w:cs="Arial" w:eastAsia="Arial" w:hAnsi="Arial"/>
          <w:sz w:val="11"/>
          <w:szCs w:val="11"/>
          <w:color w:val="auto"/>
        </w:rPr>
        <w:t>We have lease agreements which include lease and nonlease components. For both leases where we are a lessor and leases where we are a lessee, we have elected to combine lease and nonlease components for all lease contracts. Nonlease components that are combined with lease components are primarily maintenance services related to the leased asset. Where we are the lessor, we determine whether the lease or nonlease component is the predominant component on a case-by-case basis. For all existing leases where we are the lessor, the practical expedient in ASC Topic 842 has been applied to all combined components.</w:t>
      </w:r>
    </w:p>
    <w:p>
      <w:pPr>
        <w:spacing w:after="0" w:line="10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We have elected to exclude sales taxes from lease payments in arrangements where we are a lessor.</w:t>
      </w:r>
    </w:p>
    <w:p>
      <w:pPr>
        <w:spacing w:after="0" w:line="150" w:lineRule="exact"/>
        <w:rPr>
          <w:sz w:val="20"/>
          <w:szCs w:val="20"/>
          <w:color w:val="auto"/>
        </w:rPr>
      </w:pPr>
    </w:p>
    <w:p>
      <w:pPr>
        <w:ind w:right="20"/>
        <w:spacing w:after="0" w:line="305" w:lineRule="auto"/>
        <w:rPr>
          <w:sz w:val="20"/>
          <w:szCs w:val="20"/>
          <w:color w:val="auto"/>
        </w:rPr>
      </w:pPr>
      <w:r>
        <w:rPr>
          <w:rFonts w:ascii="Arial" w:cs="Arial" w:eastAsia="Arial" w:hAnsi="Arial"/>
          <w:sz w:val="10"/>
          <w:szCs w:val="10"/>
          <w:color w:val="auto"/>
        </w:rPr>
        <w:t xml:space="preserve">We adopted ASC 842 using a modified retrospective transition approach as of the effective date as permitted by the amendments in ASU 2019-11, </w:t>
      </w:r>
      <w:r>
        <w:rPr>
          <w:rFonts w:ascii="Arial" w:cs="Arial" w:eastAsia="Arial" w:hAnsi="Arial"/>
          <w:sz w:val="10"/>
          <w:szCs w:val="10"/>
          <w:i w:val="1"/>
          <w:iCs w:val="1"/>
          <w:color w:val="auto"/>
        </w:rPr>
        <w:t>Leases (Topic 842): Target Improvements</w:t>
      </w:r>
      <w:r>
        <w:rPr>
          <w:rFonts w:ascii="Arial" w:cs="Arial" w:eastAsia="Arial" w:hAnsi="Arial"/>
          <w:sz w:val="10"/>
          <w:szCs w:val="10"/>
          <w:color w:val="auto"/>
        </w:rPr>
        <w:t>, which provides an alternative modified retrospective transition method. As a result, we were not required to adjust our comparative period financial information for effects of the standard or make the new required lease disclosures for periods before the date of adoption (i.e. January 1, 2019).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 We elected the practical expedient to use hindsight for leases existing at the adoption date. Further, we elected to adopt the amendments in ASU 2019-</w:t>
      </w:r>
    </w:p>
    <w:p>
      <w:pPr>
        <w:spacing w:after="0"/>
        <w:rPr>
          <w:sz w:val="20"/>
          <w:szCs w:val="20"/>
          <w:color w:val="auto"/>
        </w:rPr>
      </w:pPr>
      <w:r>
        <w:rPr>
          <w:rFonts w:ascii="Arial" w:cs="Arial" w:eastAsia="Arial" w:hAnsi="Arial"/>
          <w:sz w:val="10"/>
          <w:szCs w:val="10"/>
          <w:color w:val="auto"/>
        </w:rPr>
        <w:t xml:space="preserve">01, </w:t>
      </w:r>
      <w:r>
        <w:rPr>
          <w:rFonts w:ascii="Arial" w:cs="Arial" w:eastAsia="Arial" w:hAnsi="Arial"/>
          <w:sz w:val="10"/>
          <w:szCs w:val="10"/>
          <w:i w:val="1"/>
          <w:iCs w:val="1"/>
          <w:color w:val="auto"/>
        </w:rPr>
        <w:t>Land Easement Practical Expedient for Transition to Topic 842</w:t>
      </w:r>
      <w:r>
        <w:rPr>
          <w:rFonts w:ascii="Arial" w:cs="Arial" w:eastAsia="Arial" w:hAnsi="Arial"/>
          <w:sz w:val="10"/>
          <w:szCs w:val="10"/>
          <w:color w:val="auto"/>
        </w:rPr>
        <w:t>, which permits an entity to elect an optional transaction practical expedient to not evaluate land easements that exist or expire before the Company’s adoption of ASC</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842 and that were not previously accounted for as leases under ASC 840, </w:t>
      </w:r>
      <w:r>
        <w:rPr>
          <w:rFonts w:ascii="Arial" w:cs="Arial" w:eastAsia="Arial" w:hAnsi="Arial"/>
          <w:sz w:val="12"/>
          <w:szCs w:val="12"/>
          <w:i w:val="1"/>
          <w:iCs w:val="1"/>
          <w:color w:val="auto"/>
        </w:rPr>
        <w:t>Leases</w:t>
      </w:r>
      <w:r>
        <w:rPr>
          <w:rFonts w:ascii="Arial" w:cs="Arial" w:eastAsia="Arial" w:hAnsi="Arial"/>
          <w:sz w:val="12"/>
          <w:szCs w:val="12"/>
          <w:color w:val="auto"/>
        </w:rPr>
        <w:t xml:space="preserve"> (“ASC 840”).</w:t>
      </w:r>
    </w:p>
    <w:p>
      <w:pPr>
        <w:spacing w:after="0" w:line="141"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 connection with the adoption of ASC 842, we have recorded an adjustment to equity of $63.2 million, net of tax for the cumulative effect from a change in accounting standard. Of this amount, $61.5 million related to the write-off of the Master Lease straight-line revenue receivable, and $1.7 million relates to the establishment of the ROU assets and lease liabilities.</w:t>
      </w:r>
    </w:p>
    <w:p>
      <w:pPr>
        <w:spacing w:after="0" w:line="115" w:lineRule="exact"/>
        <w:rPr>
          <w:sz w:val="20"/>
          <w:szCs w:val="20"/>
          <w:color w:val="auto"/>
        </w:rPr>
      </w:pPr>
    </w:p>
    <w:p>
      <w:pPr>
        <w:jc w:val="center"/>
        <w:ind w:right="300"/>
        <w:spacing w:after="0"/>
        <w:rPr>
          <w:sz w:val="20"/>
          <w:szCs w:val="20"/>
          <w:color w:val="auto"/>
        </w:rPr>
      </w:pPr>
      <w:r>
        <w:rPr>
          <w:rFonts w:ascii="Arial" w:cs="Arial" w:eastAsia="Arial" w:hAnsi="Arial"/>
          <w:sz w:val="10"/>
          <w:szCs w:val="10"/>
          <w:u w:val="single" w:color="auto"/>
          <w:color w:val="auto"/>
        </w:rPr>
        <w:t>Stock-Based Compensation</w:t>
      </w:r>
      <w:r>
        <w:rPr>
          <w:rFonts w:ascii="Arial" w:cs="Arial" w:eastAsia="Arial" w:hAnsi="Arial"/>
          <w:sz w:val="10"/>
          <w:szCs w:val="10"/>
          <w:color w:val="auto"/>
        </w:rPr>
        <w:t>—We account for stock-based compensation using the fair value method of accounting. We have determined that our stock-based payment awards granted in exchange for employee services qualify as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74" w:name="page75"/>
    <w:bookmarkEnd w:id="74"/>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equity classified awards, which are measured based on the fair value of the award on the date of the grant. The fair value of restricted stock-based payments is based on the market value of our common stock on the date of grant. The fair value of performance-based awards, which have performance conditions, is based on a Monte Carlo simulation. The fair value of all stock-based compensation is recognized over the period during which an employee is required to provide services in exchange for the award. See Note 13.</w:t>
      </w:r>
    </w:p>
    <w:p>
      <w:pPr>
        <w:spacing w:after="0" w:line="122"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u w:val="single" w:color="auto"/>
          <w:color w:val="auto"/>
        </w:rPr>
        <w:t>Income Taxes</w:t>
      </w:r>
      <w:r>
        <w:rPr>
          <w:rFonts w:ascii="Arial" w:cs="Arial" w:eastAsia="Arial" w:hAnsi="Arial"/>
          <w:sz w:val="11"/>
          <w:szCs w:val="11"/>
          <w:color w:val="auto"/>
        </w:rPr>
        <w:t>—We elected on our initial U.S. federal income tax return to be treated as a REIT under the Internal Revenue Code of 1986, as amended (the “Code”). To qualify as a REIT, we must distribute at least 90% of our annual REIT taxable income, determined without regard to the dividends paid deduction and excluding any capital gains,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Subject to the restrictions imposed by our 7.875% senior secured notes due 2025 (see Note 12),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taxable REIT subsidiaries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Company is subject to restrictions on distributions to its shareholders based on our 7.875% senior secured notes due 2025. The restrictions permit the Company to make the minimum required distribution to maintain its status as a REIT, which is limited to 90% of our REIT taxable income, as estimated in good faith as of the date on which the first quarterly dividend for the relevant tax year is declared. The restrictions will remain in place until the Company’s net leverage ratio (as defined) is below 5.75 : 1.00.</w:t>
      </w:r>
    </w:p>
    <w:p>
      <w:pPr>
        <w:spacing w:after="0" w:line="122"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 We currently have unrecognized tax benefits of $1.7 million recorded in deferred income taxes on our Consolidated Balance Sheet.</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The Company may be subject to state corporate level tax in a certain limited number of states on any built-in gain recognized from a sale of assets occurring within a ten-year recognition period after the Spin-Off. The five-year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5" w:name="page76"/>
    <w:bookmarkEnd w:id="75"/>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recognition period applicable for federal corporate level tax on any built-in gain recognized from a sale of assets occurring within five years after the Spin-Off expired in 2020.</w:t>
      </w:r>
    </w:p>
    <w:p>
      <w:pPr>
        <w:spacing w:after="0" w:line="150" w:lineRule="exact"/>
        <w:rPr>
          <w:sz w:val="20"/>
          <w:szCs w:val="20"/>
          <w:color w:val="auto"/>
        </w:rPr>
      </w:pPr>
    </w:p>
    <w:p>
      <w:pPr>
        <w:ind w:right="80"/>
        <w:spacing w:after="0" w:line="280" w:lineRule="auto"/>
        <w:rPr>
          <w:sz w:val="20"/>
          <w:szCs w:val="20"/>
          <w:color w:val="auto"/>
        </w:rPr>
      </w:pPr>
      <w:r>
        <w:rPr>
          <w:rFonts w:ascii="Arial" w:cs="Arial" w:eastAsia="Arial" w:hAnsi="Arial"/>
          <w:sz w:val="11"/>
          <w:szCs w:val="11"/>
          <w:u w:val="single" w:color="auto"/>
          <w:color w:val="auto"/>
        </w:rPr>
        <w:t>Business Combinations and Asset Acquisitions</w:t>
      </w:r>
      <w:r>
        <w:rPr>
          <w:rFonts w:ascii="Arial" w:cs="Arial" w:eastAsia="Arial" w:hAnsi="Arial"/>
          <w:sz w:val="11"/>
          <w:szCs w:val="11"/>
          <w:color w:val="auto"/>
        </w:rPr>
        <w:t xml:space="preserve">—In accordance with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Impacts of these assumptions or estimates include customer retention, execution of our business plans, which impact growth, cost escalation impacting margin, the level of capital expenditures required to sustain our growth and market factors, including interest rate and stock price fluctuations, impacting our cost of capital.</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For acquisitions meeting the definition of a business combination, any excess of the purchase price paid by the Company over the amounts recognized for assets acquired and liabilities assumed is recorded as goodwill.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For 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 include assumptions with respect to items such as replacement cost, land value, assemblage factor, discount rate, lease-up period, implied rents per strand mile, and useful life. No goodwill is recognized in an asset acquisition.</w:t>
      </w:r>
    </w:p>
    <w:p>
      <w:pPr>
        <w:spacing w:after="0" w:line="122"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u w:val="single" w:color="auto"/>
          <w:color w:val="auto"/>
        </w:rPr>
        <w:t>Noncontrolling Interest</w:t>
      </w:r>
      <w:r>
        <w:rPr>
          <w:rFonts w:ascii="Arial" w:cs="Arial" w:eastAsia="Arial" w:hAnsi="Arial"/>
          <w:sz w:val="12"/>
          <w:szCs w:val="12"/>
          <w:color w:val="auto"/>
        </w:rPr>
        <w:t>—The limited partner equity interests in our operating partnership are exchangeable on a one-for-one basis for shares of our common stock or, at our election, cash of equivalent value. All of the limited partner equity interests in our operating partnership not held by the Company are reflected as noncontrolling interests. In the Consolidated Statements of Income (Loss), we allocate net income (loss) attributable to noncontrolling interests to arrive at net income (loss) attributable to shareholders based on their proportionate share.</w:t>
      </w:r>
    </w:p>
    <w:p>
      <w:pPr>
        <w:spacing w:after="0" w:line="122"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For transactions that result in changes to the Company's ownership interest in our operating partnership, the carrying amount of noncontrolling interests is adjusted to reflect such changes. The difference between the fair value of the consideration received or paid and the amount by which the noncontrolling interest is adjusted is reflected as an adjustment to additional paid-in capital on the Consolidated Balance Sheets.</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12"/>
          <w:szCs w:val="12"/>
          <w:u w:val="single" w:color="auto"/>
          <w:color w:val="auto"/>
        </w:rPr>
        <w:t>Investments in Unconsolidated Entities</w:t>
      </w:r>
      <w:r>
        <w:rPr>
          <w:rFonts w:ascii="Arial" w:cs="Arial" w:eastAsia="Arial" w:hAnsi="Arial"/>
          <w:sz w:val="12"/>
          <w:szCs w:val="12"/>
          <w:color w:val="auto"/>
        </w:rPr>
        <w:t xml:space="preserve">—We report </w:t>
      </w:r>
      <w:r>
        <w:rPr>
          <w:rFonts w:ascii="Arial" w:cs="Arial" w:eastAsia="Arial" w:hAnsi="Arial"/>
          <w:sz w:val="12"/>
          <w:szCs w:val="12"/>
          <w:color w:val="212529"/>
        </w:rPr>
        <w:t>our investments in unconsolidated entities under the equity method of accounting. We adjust our investments in unconsolidated entities for additional contributions made, distributions</w:t>
      </w:r>
      <w:r>
        <w:rPr>
          <w:rFonts w:ascii="Arial" w:cs="Arial" w:eastAsia="Arial" w:hAnsi="Arial"/>
          <w:sz w:val="12"/>
          <w:szCs w:val="12"/>
          <w:color w:val="auto"/>
        </w:rPr>
        <w:t xml:space="preserve"> </w:t>
      </w:r>
      <w:r>
        <w:rPr>
          <w:rFonts w:ascii="Arial" w:cs="Arial" w:eastAsia="Arial" w:hAnsi="Arial"/>
          <w:sz w:val="12"/>
          <w:szCs w:val="12"/>
          <w:color w:val="212529"/>
        </w:rPr>
        <w:t>received as well as our share of the investees’ earnings or losses, which are reported on a 30-day lag for the investment in BB Fiber Holdings LLC (“Fiber Holdings”) and on a 90-day lag for the investment in Harmoni Towers LP (“Harmoni”), and are included in equity in earnings from unconsolidated entities in our Consolidated Statements of Income (Loss). See Note 7.</w:t>
      </w:r>
    </w:p>
    <w:p>
      <w:pPr>
        <w:spacing w:after="0" w:line="122"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u w:val="single" w:color="auto"/>
          <w:color w:val="auto"/>
        </w:rPr>
        <w:t>Goodwill</w:t>
      </w:r>
      <w:r>
        <w:rPr>
          <w:rFonts w:ascii="Arial" w:cs="Arial" w:eastAsia="Arial" w:hAnsi="Arial"/>
          <w:sz w:val="12"/>
          <w:szCs w:val="12"/>
          <w:color w:val="auto"/>
        </w:rPr>
        <w:t xml:space="preserve">—As of December 31, 2021, and 2020, all of our goodwill is included in our Fiber Infrastructure segment. Goodwill is recognized for the excess of purchase price over the fair value of net assets of businesses acquired. Goodwill is reviewed for impairment at least annually. In accordance with ASC 350-20, </w:t>
      </w:r>
      <w:r>
        <w:rPr>
          <w:rFonts w:ascii="Arial" w:cs="Arial" w:eastAsia="Arial" w:hAnsi="Arial"/>
          <w:sz w:val="12"/>
          <w:szCs w:val="12"/>
          <w:i w:val="1"/>
          <w:iCs w:val="1"/>
          <w:color w:val="auto"/>
        </w:rPr>
        <w:t>Intangibles-Goodwill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6" w:name="page77"/>
    <w:bookmarkEnd w:id="76"/>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i w:val="1"/>
          <w:iCs w:val="1"/>
          <w:color w:val="auto"/>
        </w:rPr>
        <w:t>Other</w:t>
      </w:r>
      <w:r>
        <w:rPr>
          <w:rFonts w:ascii="Arial" w:cs="Arial" w:eastAsia="Arial" w:hAnsi="Arial"/>
          <w:sz w:val="11"/>
          <w:szCs w:val="11"/>
          <w:color w:val="auto"/>
        </w:rPr>
        <w:t>, we evaluate goodwill for impairment between annual impairment tests if an event occurs or circumstances change that would more likely than not reduce the fair value of a reporting unit below its carrying amount. Unless</w:t>
      </w:r>
      <w:r>
        <w:rPr>
          <w:rFonts w:ascii="Arial" w:cs="Arial" w:eastAsia="Arial" w:hAnsi="Arial"/>
          <w:sz w:val="11"/>
          <w:szCs w:val="11"/>
          <w:i w:val="1"/>
          <w:iCs w:val="1"/>
          <w:color w:val="auto"/>
        </w:rPr>
        <w:t xml:space="preserve"> </w:t>
      </w:r>
      <w:r>
        <w:rPr>
          <w:rFonts w:ascii="Arial" w:cs="Arial" w:eastAsia="Arial" w:hAnsi="Arial"/>
          <w:sz w:val="11"/>
          <w:szCs w:val="11"/>
          <w:color w:val="auto"/>
        </w:rPr>
        <w:t>circumstances otherwise dictate, the annual impairment test is performed in the fourth quarter. Application of the goodwill impairment test requires significant judgment, including: the identification of reporting units; assignment of assets and liabilities to reporting units; assignment of goodwill to reporting units. We performed our goodwill impairment analysis during the fourth quarter, and we concluded the implied fair value of our Fiber Infrastructure reporting unit approximates its carrying value. During the years ended December 31, 2021 and 2019, no impairment losses were recognized. During the year ended December 31, 2020, we performed our goodwill impairment analysis during the fourth quarter of 2020. As a result of increased capital expenditure investments in dark fiber and small cell projects and less than anticipated cash flow growth, we concluded that the fair value of the Fiber Infrastructure reporting unit, estimated using a combination of the income approach and market approach, is less that its carrying amount. Accordingly, we recorded a $71 million goodwill impairment in the Fiber Infrastructure reporting unit.</w:t>
      </w:r>
    </w:p>
    <w:p>
      <w:pPr>
        <w:spacing w:after="0" w:line="113" w:lineRule="exact"/>
        <w:rPr>
          <w:sz w:val="20"/>
          <w:szCs w:val="20"/>
          <w:color w:val="auto"/>
        </w:rPr>
      </w:pPr>
    </w:p>
    <w:p>
      <w:pPr>
        <w:ind w:right="200"/>
        <w:spacing w:after="0" w:line="301" w:lineRule="auto"/>
        <w:rPr>
          <w:sz w:val="20"/>
          <w:szCs w:val="20"/>
          <w:color w:val="auto"/>
        </w:rPr>
      </w:pPr>
      <w:r>
        <w:rPr>
          <w:rFonts w:ascii="Arial" w:cs="Arial" w:eastAsia="Arial" w:hAnsi="Arial"/>
          <w:sz w:val="11"/>
          <w:szCs w:val="11"/>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Income (Loss) not to exceed the carrying amount of goodwill.</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spacing w:after="0" w:line="117"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u w:val="single" w:color="auto"/>
          <w:color w:val="auto"/>
        </w:rPr>
        <w:t>Earnings per Share</w:t>
      </w:r>
      <w:r>
        <w:rPr>
          <w:rFonts w:ascii="Arial" w:cs="Arial" w:eastAsia="Arial" w:hAnsi="Arial"/>
          <w:sz w:val="12"/>
          <w:szCs w:val="12"/>
          <w:color w:val="auto"/>
        </w:rPr>
        <w:t>—Outstanding restricted stock awards that contain rights to non-forfeitable dividends are deemed to be participating securities, requiring the application of the two-class method of computing basic and dilutive earnings per share.</w:t>
      </w:r>
    </w:p>
    <w:p>
      <w:pPr>
        <w:spacing w:after="0" w:line="115" w:lineRule="exact"/>
        <w:rPr>
          <w:sz w:val="20"/>
          <w:szCs w:val="20"/>
          <w:color w:val="auto"/>
        </w:rPr>
      </w:pPr>
    </w:p>
    <w:p>
      <w:pPr>
        <w:ind w:right="320"/>
        <w:spacing w:after="0" w:line="276" w:lineRule="auto"/>
        <w:rPr>
          <w:rFonts w:ascii="Arial" w:cs="Arial" w:eastAsia="Arial" w:hAnsi="Arial"/>
          <w:sz w:val="12"/>
          <w:szCs w:val="12"/>
          <w:color w:val="auto"/>
        </w:rPr>
      </w:pPr>
      <w:r>
        <w:rPr>
          <w:rFonts w:ascii="Arial" w:cs="Arial" w:eastAsia="Arial" w:hAnsi="Arial"/>
          <w:sz w:val="12"/>
          <w:szCs w:val="12"/>
          <w:color w:val="auto"/>
        </w:rPr>
        <w:t>Basic earnings per share includes only the weighted average number of common shares outstanding during the period. Dilutive earnings per share includes the weighted average number of common shares and the dilutive effect of restricted stock, performance-based awards outstanding during the period and the Exchangeable Notes, when such awards are dilutive. See Note 1</w:t>
      </w:r>
      <w:hyperlink w:anchor="page102">
        <w:r>
          <w:rPr>
            <w:rFonts w:ascii="Arial" w:cs="Arial" w:eastAsia="Arial" w:hAnsi="Arial"/>
            <w:sz w:val="12"/>
            <w:szCs w:val="12"/>
            <w:u w:val="single" w:color="auto"/>
            <w:color w:val="0000EE"/>
          </w:rPr>
          <w:t>4</w:t>
        </w:r>
      </w:hyperlink>
      <w:r>
        <w:rPr>
          <w:rFonts w:ascii="Arial" w:cs="Arial" w:eastAsia="Arial" w:hAnsi="Arial"/>
          <w:sz w:val="12"/>
          <w:szCs w:val="12"/>
          <w:color w:val="auto"/>
        </w:rPr>
        <w:t>.</w:t>
      </w:r>
    </w:p>
    <w:p>
      <w:pPr>
        <w:spacing w:after="0" w:line="115"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u w:val="single" w:color="auto"/>
          <w:color w:val="auto"/>
        </w:rPr>
        <w:t>Concentration of Credit Risks</w:t>
      </w:r>
      <w:r>
        <w:rPr>
          <w:rFonts w:ascii="Arial" w:cs="Arial" w:eastAsia="Arial" w:hAnsi="Arial"/>
          <w:sz w:val="12"/>
          <w:szCs w:val="12"/>
          <w:color w:val="auto"/>
        </w:rPr>
        <w:t>—Revenue under the Master Lease and the Windstream Leases provided 66.4% of our revenue for the year ended December 31, 2021, 65.8% of our revenue for the year ended December 31, 2020, and 65.0% of our revenue for the year ended December 31, 2019. Because a substantial portion of our revenue and cash flows are derived from lease payments by Windstream pursuant to the Windstream Leases, there could be a material adverse impact on our consolidated results of operations, liquidity, financial condition and/or ability to pay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7" w:name="page78"/>
    <w:bookmarkEnd w:id="77"/>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dividends and service debt if Windstream were to default under the Windstream Leases or otherwise experiences operating or liquidity difficulties and becomes unable to generate sufficient cash to make payments to us.</w:t>
      </w:r>
    </w:p>
    <w:p>
      <w:pPr>
        <w:spacing w:after="0" w:line="162"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Prior to its emergence from bankruptcy on September 21, 2020, Windstream was a publicly traded company subject to the periodic filing requirements of the Securities Exchange Act of 1934, as amended (the “Exchange Act”). Windstream historic filings through their quarter ended June 30, 2020 can be found at www.sec.gov. On September 22, 2020, Windstream filed a Form 15 to terminate all filing obligations under Sections 12(g) and 15(d) under the Exchange Act. Windstream’s filings are not incorporated by reference in this Annual Report on Form 10-K.</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As of the date of this Annual Report on Form 10-K, Windstream is current on all lease payments. We note that in August 2020, Moody’s Investor Service assigned a B3 corporate family rating with a stable outlook to Windstream in</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connection with its post-emergence exit financing. At the same time, S&amp;P Global Ratings assigned Windstream a B- issuer rating with a stable outlook. These ratings were both upgrades from Windstream’s pre-bankruptcy</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ratings. Both ratings remain current as of the date of this filing. In order to assist us in our continuing assessment of Windstream’s creditworthiness, we periodically receive certain confidential financial information and metrics from</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Windstream.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Recently Adopted Accounting Pronouncements</w:t>
      </w:r>
    </w:p>
    <w:p>
      <w:pPr>
        <w:spacing w:after="0" w:line="150" w:lineRule="exact"/>
        <w:rPr>
          <w:sz w:val="20"/>
          <w:szCs w:val="20"/>
          <w:color w:val="auto"/>
        </w:rPr>
      </w:pPr>
    </w:p>
    <w:p>
      <w:pPr>
        <w:ind w:right="20"/>
        <w:spacing w:after="0" w:line="326" w:lineRule="auto"/>
        <w:rPr>
          <w:sz w:val="20"/>
          <w:szCs w:val="20"/>
          <w:color w:val="auto"/>
        </w:rPr>
      </w:pPr>
      <w:r>
        <w:rPr>
          <w:rFonts w:ascii="Arial" w:cs="Arial" w:eastAsia="Arial" w:hAnsi="Arial"/>
          <w:sz w:val="10"/>
          <w:szCs w:val="10"/>
          <w:color w:val="auto"/>
        </w:rPr>
        <w:t xml:space="preserve">In July 2021, the FASB issued ASU 2021-05, </w:t>
      </w:r>
      <w:r>
        <w:rPr>
          <w:rFonts w:ascii="Arial" w:cs="Arial" w:eastAsia="Arial" w:hAnsi="Arial"/>
          <w:sz w:val="10"/>
          <w:szCs w:val="10"/>
          <w:i w:val="1"/>
          <w:iCs w:val="1"/>
          <w:color w:val="auto"/>
        </w:rPr>
        <w:t>Leases (Topic 842): Lessors—Certain Leases with Variable Lease Payments</w:t>
      </w:r>
      <w:r>
        <w:rPr>
          <w:rFonts w:ascii="Arial" w:cs="Arial" w:eastAsia="Arial" w:hAnsi="Arial"/>
          <w:sz w:val="10"/>
          <w:szCs w:val="10"/>
          <w:color w:val="auto"/>
        </w:rPr>
        <w:t xml:space="preserve"> (“ASU 2021-05”)</w:t>
      </w:r>
      <w:r>
        <w:rPr>
          <w:rFonts w:ascii="Arial" w:cs="Arial" w:eastAsia="Arial" w:hAnsi="Arial"/>
          <w:sz w:val="10"/>
          <w:szCs w:val="10"/>
          <w:i w:val="1"/>
          <w:iCs w:val="1"/>
          <w:color w:val="auto"/>
        </w:rPr>
        <w:t>,</w:t>
      </w:r>
      <w:r>
        <w:rPr>
          <w:rFonts w:ascii="Arial" w:cs="Arial" w:eastAsia="Arial" w:hAnsi="Arial"/>
          <w:sz w:val="10"/>
          <w:szCs w:val="10"/>
          <w:color w:val="auto"/>
        </w:rPr>
        <w:t xml:space="preserve"> which requires lessors to classify leases as operating leases if they (1) have variable lease payments that do not depend on a reference index or rate, and (2) would have resulted in the recognition of a selling loss at lease commencement if classified as sales-type or direct financing. ASU 2021-05 is effective for all entities which have previously adopted Topic 842 for fiscal years beginning after December 15, 2021, including interim periods within those fiscal years. The Company's variable lease payments were not material for the year ended December 31, 2021, and we do not currently maintain any direct financing or sales-type leases. The Company adopted ASU 2021-05 effective January 1, 2022, and there was no material impact on our consolidated financial statements.</w:t>
      </w:r>
    </w:p>
    <w:p>
      <w:pPr>
        <w:spacing w:after="0" w:line="95"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In August 2020, the FASB issued ASU 2020-06, which simplifies the accounting for certain financial instruments with characteristics of liabilities and equity. ASU 2020-06 (1)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Earnings Per Share, to require entities to calculate diluted earnings per share (“EPS”) for convertible instruments by using the if-converted method. In addition, entities must presume share settlement for purposes of calculating diluted EPS when an instrument may be settled in cash or shares. ASU 2020-06 is effective for fiscal years beginning after December 15, 2021, and interim periods within those fiscal years, with early adoption permitted. The Company elected to early adopt ASU 2020-06 effective January 1, 2021, using the modified retrospective transition method. Pursuant to the transition guidance, the Company applied the guidance to the Exchangeable Notes that were outstanding as of January 1, 2021 with the cumulative effect recognized as an adjustment to the opening balance of retained earnings.</w:t>
      </w:r>
    </w:p>
    <w:p>
      <w:pPr>
        <w:spacing w:after="0" w:line="115"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As a result of early adopting ASU 2020-06, the Company made certain adjustments to its accounting for the Exchangeable Notes. The adoption of ASU 2020-06 resulted in the re-combination of the liability and equity components of these notes into a single liability instrument. The carrying value as of December 31, 2020, totaled approximately $275.4 million and as a result of the adoption increased by $61.1 million to $336.5 million as of</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78" w:name="page79"/>
    <w:bookmarkEnd w:id="78"/>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360"/>
        <w:spacing w:after="0" w:line="307" w:lineRule="auto"/>
        <w:rPr>
          <w:sz w:val="20"/>
          <w:szCs w:val="20"/>
          <w:color w:val="auto"/>
        </w:rPr>
      </w:pPr>
      <w:r>
        <w:rPr>
          <w:rFonts w:ascii="Arial" w:cs="Arial" w:eastAsia="Arial" w:hAnsi="Arial"/>
          <w:sz w:val="12"/>
          <w:szCs w:val="12"/>
          <w:color w:val="auto"/>
        </w:rPr>
        <w:t>January 1, 2021. Because of this adoption, the effective interest rate on the exchangeable senior unsecured notes went from 11.1% to 4.8%. Additional paid-in-capital was reduced by $59.9 million and deferred tax liabilities were reduced by $15.8 million. Approximately $14.6 million of cumulative effect of adoption was recognized to the opening balance of retained earnings as of January 1,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60" w:type="dxa"/>
            <w:vAlign w:val="bottom"/>
            <w:gridSpan w:val="3"/>
          </w:tcPr>
          <w:p>
            <w:pPr>
              <w:spacing w:after="0"/>
              <w:rPr>
                <w:sz w:val="20"/>
                <w:szCs w:val="20"/>
                <w:color w:val="auto"/>
              </w:rPr>
            </w:pPr>
            <w:r>
              <w:rPr>
                <w:rFonts w:ascii="Arial" w:cs="Arial" w:eastAsia="Arial" w:hAnsi="Arial"/>
                <w:sz w:val="12"/>
                <w:szCs w:val="12"/>
                <w:b w:val="1"/>
                <w:bCs w:val="1"/>
                <w:color w:val="auto"/>
              </w:rPr>
              <w:t>Note 4. Revenues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5860" w:type="dxa"/>
            <w:vAlign w:val="bottom"/>
            <w:gridSpan w:val="3"/>
          </w:tcPr>
          <w:p>
            <w:pPr>
              <w:spacing w:after="0"/>
              <w:rPr>
                <w:sz w:val="20"/>
                <w:szCs w:val="20"/>
                <w:color w:val="auto"/>
              </w:rPr>
            </w:pPr>
            <w:r>
              <w:rPr>
                <w:rFonts w:ascii="Arial" w:cs="Arial" w:eastAsia="Arial" w:hAnsi="Arial"/>
                <w:sz w:val="12"/>
                <w:szCs w:val="12"/>
                <w:color w:val="auto"/>
              </w:rPr>
              <w:t>Disaggregation of Revenue</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5860" w:type="dxa"/>
            <w:vAlign w:val="bottom"/>
            <w:gridSpan w:val="3"/>
          </w:tcPr>
          <w:p>
            <w:pPr>
              <w:spacing w:after="0"/>
              <w:rPr>
                <w:sz w:val="20"/>
                <w:szCs w:val="20"/>
                <w:color w:val="auto"/>
              </w:rPr>
            </w:pPr>
            <w:r>
              <w:rPr>
                <w:rFonts w:ascii="Arial" w:cs="Arial" w:eastAsia="Arial" w:hAnsi="Arial"/>
                <w:sz w:val="12"/>
                <w:szCs w:val="12"/>
                <w:color w:val="auto"/>
              </w:rPr>
              <w:t>The following table presents our revenues disaggregated by revenue stream.</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1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(Thousands)</w:t>
            </w:r>
          </w:p>
        </w:tc>
        <w:tc>
          <w:tcPr>
            <w:tcW w:w="1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42"/>
        </w:trPr>
        <w:tc>
          <w:tcPr>
            <w:tcW w:w="5860" w:type="dxa"/>
            <w:vAlign w:val="bottom"/>
            <w:gridSpan w:val="3"/>
            <w:shd w:val="clear" w:color="auto" w:fill="CFF0FC"/>
          </w:tcPr>
          <w:p>
            <w:pPr>
              <w:spacing w:after="0"/>
              <w:rPr>
                <w:sz w:val="20"/>
                <w:szCs w:val="20"/>
                <w:color w:val="auto"/>
              </w:rPr>
            </w:pPr>
            <w:r>
              <w:rPr>
                <w:rFonts w:ascii="Arial" w:cs="Arial" w:eastAsia="Arial" w:hAnsi="Arial"/>
                <w:sz w:val="12"/>
                <w:szCs w:val="12"/>
                <w:i w:val="1"/>
                <w:iCs w:val="1"/>
                <w:color w:val="auto"/>
              </w:rPr>
              <w:t>Revenue disaggregated by revenue stream</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860" w:type="dxa"/>
            <w:vAlign w:val="bottom"/>
            <w:gridSpan w:val="3"/>
          </w:tcPr>
          <w:p>
            <w:pPr>
              <w:spacing w:after="0"/>
              <w:rPr>
                <w:sz w:val="20"/>
                <w:szCs w:val="20"/>
                <w:color w:val="auto"/>
              </w:rPr>
            </w:pPr>
            <w:r>
              <w:rPr>
                <w:rFonts w:ascii="Arial" w:cs="Arial" w:eastAsia="Arial" w:hAnsi="Arial"/>
                <w:sz w:val="12"/>
                <w:szCs w:val="12"/>
                <w:color w:val="auto"/>
              </w:rPr>
              <w:t>Revenue from contracts with customers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86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Fiber Infrastructure</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860" w:type="dxa"/>
            <w:vAlign w:val="bottom"/>
            <w:gridSpan w:val="3"/>
          </w:tcPr>
          <w:p>
            <w:pPr>
              <w:ind w:left="240"/>
              <w:spacing w:after="0"/>
              <w:rPr>
                <w:sz w:val="20"/>
                <w:szCs w:val="20"/>
                <w:color w:val="auto"/>
              </w:rPr>
            </w:pPr>
            <w:r>
              <w:rPr>
                <w:rFonts w:ascii="Arial" w:cs="Arial" w:eastAsia="Arial" w:hAnsi="Arial"/>
                <w:sz w:val="12"/>
                <w:szCs w:val="12"/>
                <w:color w:val="auto"/>
              </w:rPr>
              <w:t>Lit backhaul</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86,915</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106,125</w:t>
            </w:r>
          </w:p>
        </w:tc>
        <w:tc>
          <w:tcPr>
            <w:tcW w:w="30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125,983</w:t>
            </w:r>
          </w:p>
        </w:tc>
        <w:tc>
          <w:tcPr>
            <w:tcW w:w="120" w:type="dxa"/>
            <w:vAlign w:val="bottom"/>
          </w:tcPr>
          <w:p>
            <w:pPr>
              <w:spacing w:after="0"/>
              <w:rPr>
                <w:sz w:val="13"/>
                <w:szCs w:val="13"/>
                <w:color w:val="auto"/>
              </w:rPr>
            </w:pPr>
          </w:p>
        </w:tc>
      </w:tr>
      <w:tr>
        <w:trPr>
          <w:trHeight w:val="153"/>
        </w:trPr>
        <w:tc>
          <w:tcPr>
            <w:tcW w:w="586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Enterprise and wholesale</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86,390</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78,702</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66,545</w:t>
            </w:r>
          </w:p>
        </w:tc>
        <w:tc>
          <w:tcPr>
            <w:tcW w:w="120" w:type="dxa"/>
            <w:vAlign w:val="bottom"/>
            <w:shd w:val="clear" w:color="auto" w:fill="CFF0FC"/>
          </w:tcPr>
          <w:p>
            <w:pPr>
              <w:spacing w:after="0"/>
              <w:rPr>
                <w:sz w:val="13"/>
                <w:szCs w:val="13"/>
                <w:color w:val="auto"/>
              </w:rPr>
            </w:pPr>
          </w:p>
        </w:tc>
      </w:tr>
      <w:tr>
        <w:trPr>
          <w:trHeight w:val="153"/>
        </w:trPr>
        <w:tc>
          <w:tcPr>
            <w:tcW w:w="5860" w:type="dxa"/>
            <w:vAlign w:val="bottom"/>
            <w:gridSpan w:val="3"/>
          </w:tcPr>
          <w:p>
            <w:pPr>
              <w:ind w:left="240"/>
              <w:spacing w:after="0"/>
              <w:rPr>
                <w:sz w:val="20"/>
                <w:szCs w:val="20"/>
                <w:color w:val="auto"/>
              </w:rPr>
            </w:pPr>
            <w:r>
              <w:rPr>
                <w:rFonts w:ascii="Arial" w:cs="Arial" w:eastAsia="Arial" w:hAnsi="Arial"/>
                <w:sz w:val="12"/>
                <w:szCs w:val="12"/>
                <w:color w:val="auto"/>
              </w:rPr>
              <w:t>E-Rate and government</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74,396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80,428</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89,430</w:t>
            </w:r>
          </w:p>
        </w:tc>
        <w:tc>
          <w:tcPr>
            <w:tcW w:w="120" w:type="dxa"/>
            <w:vAlign w:val="bottom"/>
          </w:tcPr>
          <w:p>
            <w:pPr>
              <w:spacing w:after="0"/>
              <w:rPr>
                <w:sz w:val="13"/>
                <w:szCs w:val="13"/>
                <w:color w:val="auto"/>
              </w:rPr>
            </w:pPr>
          </w:p>
        </w:tc>
      </w:tr>
      <w:tr>
        <w:trPr>
          <w:trHeight w:val="153"/>
        </w:trPr>
        <w:tc>
          <w:tcPr>
            <w:tcW w:w="586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3,272</w:t>
            </w:r>
          </w:p>
        </w:tc>
        <w:tc>
          <w:tcPr>
            <w:tcW w:w="3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4,341</w:t>
            </w:r>
          </w:p>
        </w:tc>
        <w:tc>
          <w:tcPr>
            <w:tcW w:w="3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2,402</w:t>
            </w:r>
          </w:p>
        </w:tc>
        <w:tc>
          <w:tcPr>
            <w:tcW w:w="120" w:type="dxa"/>
            <w:vAlign w:val="bottom"/>
            <w:shd w:val="clear" w:color="auto" w:fill="CFF0FC"/>
          </w:tcPr>
          <w:p>
            <w:pPr>
              <w:spacing w:after="0"/>
              <w:rPr>
                <w:sz w:val="13"/>
                <w:szCs w:val="13"/>
                <w:color w:val="auto"/>
              </w:rPr>
            </w:pPr>
          </w:p>
        </w:tc>
      </w:tr>
      <w:tr>
        <w:trPr>
          <w:trHeight w:val="142"/>
        </w:trPr>
        <w:tc>
          <w:tcPr>
            <w:tcW w:w="5860" w:type="dxa"/>
            <w:vAlign w:val="bottom"/>
            <w:gridSpan w:val="3"/>
          </w:tcPr>
          <w:p>
            <w:pPr>
              <w:ind w:left="80"/>
              <w:spacing w:after="0"/>
              <w:rPr>
                <w:sz w:val="20"/>
                <w:szCs w:val="20"/>
                <w:color w:val="auto"/>
              </w:rPr>
            </w:pPr>
            <w:r>
              <w:rPr>
                <w:rFonts w:ascii="Arial" w:cs="Arial" w:eastAsia="Arial" w:hAnsi="Arial"/>
                <w:sz w:val="12"/>
                <w:szCs w:val="12"/>
                <w:color w:val="auto"/>
              </w:rPr>
              <w:t>Fiber Infrastructure</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250,973</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269,596</w:t>
            </w:r>
          </w:p>
        </w:tc>
        <w:tc>
          <w:tcPr>
            <w:tcW w:w="300" w:type="dxa"/>
            <w:vAlign w:val="bottom"/>
          </w:tcPr>
          <w:p>
            <w:pPr>
              <w:spacing w:after="0"/>
              <w:rPr>
                <w:sz w:val="12"/>
                <w:szCs w:val="12"/>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284,360</w:t>
            </w:r>
          </w:p>
        </w:tc>
        <w:tc>
          <w:tcPr>
            <w:tcW w:w="120" w:type="dxa"/>
            <w:vAlign w:val="bottom"/>
          </w:tcPr>
          <w:p>
            <w:pPr>
              <w:spacing w:after="0"/>
              <w:rPr>
                <w:sz w:val="12"/>
                <w:szCs w:val="12"/>
                <w:color w:val="auto"/>
              </w:rPr>
            </w:pPr>
          </w:p>
        </w:tc>
      </w:tr>
      <w:tr>
        <w:trPr>
          <w:trHeight w:val="153"/>
        </w:trPr>
        <w:tc>
          <w:tcPr>
            <w:tcW w:w="586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Leasing</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4,449</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1,420</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5860" w:type="dxa"/>
            <w:vAlign w:val="bottom"/>
            <w:tcBorders>
              <w:bottom w:val="single" w:sz="8" w:color="CFF0FC"/>
            </w:tcBorders>
            <w:gridSpan w:val="3"/>
          </w:tcPr>
          <w:p>
            <w:pPr>
              <w:ind w:left="80"/>
              <w:spacing w:after="0"/>
              <w:rPr>
                <w:sz w:val="20"/>
                <w:szCs w:val="20"/>
                <w:color w:val="auto"/>
              </w:rPr>
            </w:pPr>
            <w:r>
              <w:rPr>
                <w:rFonts w:ascii="Arial" w:cs="Arial" w:eastAsia="Arial" w:hAnsi="Arial"/>
                <w:sz w:val="12"/>
                <w:szCs w:val="12"/>
                <w:color w:val="auto"/>
              </w:rPr>
              <w:t>Consumer CLEC</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10,673</w:t>
            </w:r>
          </w:p>
        </w:tc>
        <w:tc>
          <w:tcPr>
            <w:tcW w:w="120" w:type="dxa"/>
            <w:vAlign w:val="bottom"/>
            <w:tcBorders>
              <w:bottom w:val="single" w:sz="8" w:color="CFF0FC"/>
            </w:tcBorders>
          </w:tcPr>
          <w:p>
            <w:pPr>
              <w:spacing w:after="0"/>
              <w:rPr>
                <w:sz w:val="13"/>
                <w:szCs w:val="13"/>
                <w:color w:val="auto"/>
              </w:rPr>
            </w:pPr>
          </w:p>
        </w:tc>
      </w:tr>
      <w:tr>
        <w:trPr>
          <w:trHeight w:val="142"/>
        </w:trPr>
        <w:tc>
          <w:tcPr>
            <w:tcW w:w="586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Total revenue from contracts with customers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255,422</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271,667</w:t>
            </w: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295,033</w:t>
            </w:r>
          </w:p>
        </w:tc>
        <w:tc>
          <w:tcPr>
            <w:tcW w:w="120" w:type="dxa"/>
            <w:vAlign w:val="bottom"/>
            <w:shd w:val="clear" w:color="auto" w:fill="CFF0FC"/>
          </w:tcPr>
          <w:p>
            <w:pPr>
              <w:spacing w:after="0"/>
              <w:rPr>
                <w:sz w:val="12"/>
                <w:szCs w:val="12"/>
                <w:color w:val="auto"/>
              </w:rPr>
            </w:pPr>
          </w:p>
        </w:tc>
      </w:tr>
      <w:tr>
        <w:trPr>
          <w:trHeight w:val="153"/>
        </w:trPr>
        <w:tc>
          <w:tcPr>
            <w:tcW w:w="5860" w:type="dxa"/>
            <w:vAlign w:val="bottom"/>
            <w:gridSpan w:val="3"/>
          </w:tcPr>
          <w:p>
            <w:pPr>
              <w:spacing w:after="0"/>
              <w:rPr>
                <w:sz w:val="20"/>
                <w:szCs w:val="20"/>
                <w:color w:val="auto"/>
              </w:rPr>
            </w:pPr>
            <w:r>
              <w:rPr>
                <w:rFonts w:ascii="Arial" w:cs="Arial" w:eastAsia="Arial" w:hAnsi="Arial"/>
                <w:sz w:val="12"/>
                <w:szCs w:val="12"/>
                <w:color w:val="auto"/>
              </w:rPr>
              <w:t>Revenue accounted for under leasing guidance</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86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Leasing</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797,048</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744,495</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716,640</w:t>
            </w:r>
          </w:p>
        </w:tc>
        <w:tc>
          <w:tcPr>
            <w:tcW w:w="120" w:type="dxa"/>
            <w:vAlign w:val="bottom"/>
            <w:shd w:val="clear" w:color="auto" w:fill="CFF0FC"/>
          </w:tcPr>
          <w:p>
            <w:pPr>
              <w:spacing w:after="0"/>
              <w:rPr>
                <w:sz w:val="13"/>
                <w:szCs w:val="13"/>
                <w:color w:val="auto"/>
              </w:rPr>
            </w:pPr>
          </w:p>
        </w:tc>
      </w:tr>
      <w:tr>
        <w:trPr>
          <w:trHeight w:val="153"/>
        </w:trPr>
        <w:tc>
          <w:tcPr>
            <w:tcW w:w="5860" w:type="dxa"/>
            <w:vAlign w:val="bottom"/>
            <w:gridSpan w:val="3"/>
          </w:tcPr>
          <w:p>
            <w:pPr>
              <w:ind w:left="80"/>
              <w:spacing w:after="0"/>
              <w:rPr>
                <w:sz w:val="20"/>
                <w:szCs w:val="20"/>
                <w:color w:val="auto"/>
              </w:rPr>
            </w:pPr>
            <w:r>
              <w:rPr>
                <w:rFonts w:ascii="Arial" w:cs="Arial" w:eastAsia="Arial" w:hAnsi="Arial"/>
                <w:sz w:val="12"/>
                <w:szCs w:val="12"/>
                <w:color w:val="auto"/>
              </w:rPr>
              <w:t>Fiber Infrastructure</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48,052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44,767</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31,245</w:t>
            </w:r>
          </w:p>
        </w:tc>
        <w:tc>
          <w:tcPr>
            <w:tcW w:w="120" w:type="dxa"/>
            <w:vAlign w:val="bottom"/>
          </w:tcPr>
          <w:p>
            <w:pPr>
              <w:spacing w:after="0"/>
              <w:rPr>
                <w:sz w:val="13"/>
                <w:szCs w:val="13"/>
                <w:color w:val="auto"/>
              </w:rPr>
            </w:pPr>
          </w:p>
        </w:tc>
      </w:tr>
      <w:tr>
        <w:trPr>
          <w:trHeight w:val="153"/>
        </w:trPr>
        <w:tc>
          <w:tcPr>
            <w:tcW w:w="586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Towers</w:t>
            </w: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6,112</w:t>
            </w:r>
          </w:p>
        </w:tc>
        <w:tc>
          <w:tcPr>
            <w:tcW w:w="3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14,693</w:t>
            </w:r>
          </w:p>
        </w:tc>
        <w:tc>
          <w:tcPr>
            <w:tcW w:w="120" w:type="dxa"/>
            <w:vAlign w:val="bottom"/>
            <w:shd w:val="clear" w:color="auto" w:fill="CFF0FC"/>
          </w:tcPr>
          <w:p>
            <w:pPr>
              <w:spacing w:after="0"/>
              <w:rPr>
                <w:sz w:val="13"/>
                <w:szCs w:val="13"/>
                <w:color w:val="auto"/>
              </w:rPr>
            </w:pPr>
          </w:p>
        </w:tc>
      </w:tr>
      <w:tr>
        <w:trPr>
          <w:trHeight w:val="142"/>
        </w:trPr>
        <w:tc>
          <w:tcPr>
            <w:tcW w:w="5860" w:type="dxa"/>
            <w:vAlign w:val="bottom"/>
            <w:tcBorders>
              <w:bottom w:val="single" w:sz="8" w:color="CFF0FC"/>
            </w:tcBorders>
            <w:gridSpan w:val="3"/>
          </w:tcPr>
          <w:p>
            <w:pPr>
              <w:spacing w:after="0"/>
              <w:rPr>
                <w:sz w:val="20"/>
                <w:szCs w:val="20"/>
                <w:color w:val="auto"/>
              </w:rPr>
            </w:pPr>
            <w:r>
              <w:rPr>
                <w:rFonts w:ascii="Arial" w:cs="Arial" w:eastAsia="Arial" w:hAnsi="Arial"/>
                <w:sz w:val="12"/>
                <w:szCs w:val="12"/>
                <w:color w:val="auto"/>
              </w:rPr>
              <w:t>Total revenue accounted for under leasing guidance</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845,100</w:t>
            </w:r>
          </w:p>
        </w:tc>
        <w:tc>
          <w:tcPr>
            <w:tcW w:w="3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795,374</w:t>
            </w: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762,578</w:t>
            </w:r>
          </w:p>
        </w:tc>
        <w:tc>
          <w:tcPr>
            <w:tcW w:w="120" w:type="dxa"/>
            <w:vAlign w:val="bottom"/>
            <w:tcBorders>
              <w:bottom w:val="single" w:sz="8" w:color="CFF0FC"/>
            </w:tcBorders>
          </w:tcPr>
          <w:p>
            <w:pPr>
              <w:spacing w:after="0"/>
              <w:rPr>
                <w:sz w:val="12"/>
                <w:szCs w:val="12"/>
                <w:color w:val="auto"/>
              </w:rPr>
            </w:pPr>
          </w:p>
        </w:tc>
      </w:tr>
      <w:tr>
        <w:trPr>
          <w:trHeight w:val="149"/>
        </w:trPr>
        <w:tc>
          <w:tcPr>
            <w:tcW w:w="58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Total revenue</w:t>
            </w:r>
          </w:p>
        </w:tc>
        <w:tc>
          <w:tcPr>
            <w:tcW w:w="36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1,100,522</w:t>
            </w:r>
          </w:p>
        </w:tc>
        <w:tc>
          <w:tcPr>
            <w:tcW w:w="3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1,067,041</w:t>
            </w:r>
          </w:p>
        </w:tc>
        <w:tc>
          <w:tcPr>
            <w:tcW w:w="3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1,057,611</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2021 and 2020, lease receivables were $19.4 million and $17.5 million, respectively, and receivables from contracts with customers were $14.7 million and $45.1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Contract Assets (Unbilled Revenue) and Liabilities (Deferred Revenue)</w:t>
      </w:r>
    </w:p>
    <w:p>
      <w:pPr>
        <w:spacing w:after="0" w:line="150"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years ended December 31, 2021, 2020, and 2019, we recognized revenues of $13.2 million, $5.4 million, and $4.7 million, respectively that was included in the December 31, 2020, December 31, 2019, and December 31, 2018 contract liabilities balance,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about contract assets and contract liabilities accounted for under Topic 606.</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9" w:name="page80"/>
    <w:bookmarkEnd w:id="79"/>
    <w:tbl>
      <w:tblPr>
        <w:tblLayout w:type="fixed"/>
        <w:tblInd w:w="8" w:type="dxa"/>
        <w:tblCellMar>
          <w:top w:w="0" w:type="dxa"/>
          <w:left w:w="0" w:type="dxa"/>
          <w:bottom w:w="0" w:type="dxa"/>
          <w:right w:w="0" w:type="dxa"/>
        </w:tblCellMar>
      </w:tblPr>
      <w:tr>
        <w:trPr>
          <w:trHeight w:val="138"/>
        </w:trPr>
        <w:tc>
          <w:tcPr>
            <w:tcW w:w="708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32"/>
        </w:trPr>
        <w:tc>
          <w:tcPr>
            <w:tcW w:w="84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2"/>
                <w:szCs w:val="12"/>
                <w:color w:val="auto"/>
              </w:rPr>
              <w:t>(Thousands)</w:t>
            </w:r>
          </w:p>
        </w:tc>
        <w:tc>
          <w:tcPr>
            <w:tcW w:w="600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Contract Assets</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Contract Liabilities</w:t>
            </w:r>
          </w:p>
        </w:tc>
        <w:tc>
          <w:tcPr>
            <w:tcW w:w="120" w:type="dxa"/>
            <w:vAlign w:val="bottom"/>
            <w:tcBorders>
              <w:bottom w:val="single" w:sz="8" w:color="CFF0FC"/>
            </w:tcBorders>
          </w:tcPr>
          <w:p>
            <w:pPr>
              <w:spacing w:after="0"/>
              <w:rPr>
                <w:sz w:val="20"/>
                <w:szCs w:val="20"/>
                <w:color w:val="auto"/>
              </w:rPr>
            </w:pPr>
          </w:p>
        </w:tc>
      </w:tr>
      <w:tr>
        <w:trPr>
          <w:trHeight w:val="142"/>
        </w:trPr>
        <w:tc>
          <w:tcPr>
            <w:tcW w:w="70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Balance at December 31, 2020</w:t>
            </w:r>
          </w:p>
        </w:tc>
        <w:tc>
          <w:tcPr>
            <w:tcW w:w="1480" w:type="dxa"/>
            <w:vAlign w:val="bottom"/>
            <w:tcBorders>
              <w:bottom w:val="single" w:sz="8" w:color="auto"/>
            </w:tcBorders>
            <w:shd w:val="clear" w:color="auto" w:fill="CFF0FC"/>
          </w:tcPr>
          <w:p>
            <w:pPr>
              <w:jc w:val="right"/>
              <w:ind w:right="136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3,462</w:t>
            </w:r>
          </w:p>
        </w:tc>
        <w:tc>
          <w:tcPr>
            <w:tcW w:w="3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18,601</w:t>
            </w:r>
          </w:p>
        </w:tc>
        <w:tc>
          <w:tcPr>
            <w:tcW w:w="120" w:type="dxa"/>
            <w:vAlign w:val="bottom"/>
            <w:shd w:val="clear" w:color="auto" w:fill="CFF0FC"/>
          </w:tcPr>
          <w:p>
            <w:pPr>
              <w:spacing w:after="0"/>
              <w:rPr>
                <w:sz w:val="12"/>
                <w:szCs w:val="12"/>
                <w:color w:val="auto"/>
              </w:rPr>
            </w:pPr>
          </w:p>
        </w:tc>
      </w:tr>
      <w:tr>
        <w:trPr>
          <w:trHeight w:val="149"/>
        </w:trPr>
        <w:tc>
          <w:tcPr>
            <w:tcW w:w="7080" w:type="dxa"/>
            <w:vAlign w:val="bottom"/>
            <w:gridSpan w:val="3"/>
          </w:tcPr>
          <w:p>
            <w:pPr>
              <w:spacing w:after="0"/>
              <w:rPr>
                <w:sz w:val="20"/>
                <w:szCs w:val="20"/>
                <w:color w:val="auto"/>
              </w:rPr>
            </w:pPr>
            <w:r>
              <w:rPr>
                <w:rFonts w:ascii="Arial" w:cs="Arial" w:eastAsia="Arial" w:hAnsi="Arial"/>
                <w:sz w:val="12"/>
                <w:szCs w:val="12"/>
                <w:color w:val="auto"/>
              </w:rPr>
              <w:t>Balance at December 31, 2021</w:t>
            </w:r>
          </w:p>
        </w:tc>
        <w:tc>
          <w:tcPr>
            <w:tcW w:w="1480" w:type="dxa"/>
            <w:vAlign w:val="bottom"/>
            <w:tcBorders>
              <w:bottom w:val="single" w:sz="8" w:color="auto"/>
            </w:tcBorders>
          </w:tcPr>
          <w:p>
            <w:pPr>
              <w:jc w:val="right"/>
              <w:ind w:right="136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4,066</w:t>
            </w:r>
          </w:p>
        </w:tc>
        <w:tc>
          <w:tcPr>
            <w:tcW w:w="34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9,099</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Transaction Price Allocated to Remaining Performance Obligations</w:t>
      </w:r>
    </w:p>
    <w:p>
      <w:pPr>
        <w:spacing w:after="0" w:line="150" w:lineRule="exact"/>
        <w:rPr>
          <w:sz w:val="20"/>
          <w:szCs w:val="20"/>
          <w:color w:val="auto"/>
        </w:rPr>
      </w:pPr>
    </w:p>
    <w:p>
      <w:pPr>
        <w:ind w:left="8" w:right="120"/>
        <w:spacing w:after="0" w:line="285" w:lineRule="auto"/>
        <w:rPr>
          <w:sz w:val="20"/>
          <w:szCs w:val="20"/>
          <w:color w:val="auto"/>
        </w:rPr>
      </w:pPr>
      <w:r>
        <w:rPr>
          <w:rFonts w:ascii="Arial" w:cs="Arial" w:eastAsia="Arial" w:hAnsi="Arial"/>
          <w:sz w:val="11"/>
          <w:szCs w:val="11"/>
          <w:color w:val="auto"/>
        </w:rPr>
        <w:t>Performance obligations within contracts to stand ready to provide services are typically satisfied over time or as those services are provided. Contract assets primarily relate to costs incremental to obtaining contracts and contract liabilities primarily relate to deferred revenue from non-recurring charges. The deferred revenue is recognized, and the liability reduced, over the contract term as the Company completes the performance obligation. As of December 31, 2021, our future revenues (i.e. transaction price related to remaining performance obligations) under contract accounted for under Topic 606 totaled $445.3 million, of which $345.3 million is related to contracts that are currently being invoiced and have an average remaining contract term of 1.8 years, while $100.0 million represents our backlog for sales bookings which have yet to be installed and have an average remaining contract term of 5.8 years. We do not disclose the value of unsatisfied performance obligations for contracts that have an original expected duration of one year or less.</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5. Leases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Lessor Accounting</w:t>
      </w:r>
    </w:p>
    <w:p>
      <w:pPr>
        <w:spacing w:after="0" w:line="150" w:lineRule="exact"/>
        <w:rPr>
          <w:sz w:val="20"/>
          <w:szCs w:val="20"/>
          <w:color w:val="auto"/>
        </w:rPr>
      </w:pPr>
    </w:p>
    <w:p>
      <w:pPr>
        <w:jc w:val="both"/>
        <w:ind w:left="8" w:right="140"/>
        <w:spacing w:after="0" w:line="298" w:lineRule="auto"/>
        <w:rPr>
          <w:sz w:val="20"/>
          <w:szCs w:val="20"/>
          <w:color w:val="auto"/>
        </w:rPr>
      </w:pPr>
      <w:r>
        <w:rPr>
          <w:rFonts w:ascii="Arial" w:cs="Arial" w:eastAsia="Arial" w:hAnsi="Arial"/>
          <w:sz w:val="11"/>
          <w:szCs w:val="11"/>
          <w:color w:val="auto"/>
        </w:rPr>
        <w:t>We lease communications towers, ground, communications equipment,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lease income for the years ended December 31, 2021 and 2020 are as follows:</w:t>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jc w:val="center"/>
              <w:ind w:left="392"/>
              <w:spacing w:after="0"/>
              <w:rPr>
                <w:sz w:val="20"/>
                <w:szCs w:val="20"/>
                <w:color w:val="auto"/>
              </w:rPr>
            </w:pPr>
            <w:r>
              <w:rPr>
                <w:rFonts w:ascii="Arial" w:cs="Arial" w:eastAsia="Arial" w:hAnsi="Arial"/>
                <w:sz w:val="10"/>
                <w:szCs w:val="10"/>
                <w:b w:val="1"/>
                <w:bCs w:val="1"/>
                <w:color w:val="auto"/>
                <w:w w:val="90"/>
              </w:rPr>
              <w:t>Year Ended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tcPr>
          <w:p>
            <w:pPr>
              <w:ind w:left="560"/>
              <w:spacing w:after="0"/>
              <w:rPr>
                <w:sz w:val="20"/>
                <w:szCs w:val="20"/>
                <w:color w:val="auto"/>
              </w:rPr>
            </w:pPr>
            <w:r>
              <w:rPr>
                <w:rFonts w:ascii="Arial" w:cs="Arial" w:eastAsia="Arial" w:hAnsi="Arial"/>
                <w:sz w:val="10"/>
                <w:szCs w:val="10"/>
                <w:b w:val="1"/>
                <w:bCs w:val="1"/>
                <w:color w:val="auto"/>
              </w:rPr>
              <w:t>Year Ended</w:t>
            </w:r>
          </w:p>
        </w:tc>
      </w:tr>
      <w:tr>
        <w:trPr>
          <w:trHeight w:val="113"/>
        </w:trPr>
        <w:tc>
          <w:tcPr>
            <w:tcW w:w="68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9"/>
                <w:szCs w:val="9"/>
                <w:color w:val="auto"/>
              </w:rPr>
            </w:pPr>
          </w:p>
        </w:tc>
        <w:tc>
          <w:tcPr>
            <w:tcW w:w="1500" w:type="dxa"/>
            <w:vAlign w:val="bottom"/>
            <w:tcBorders>
              <w:bottom w:val="single" w:sz="8" w:color="auto"/>
            </w:tcBorders>
          </w:tcPr>
          <w:p>
            <w:pPr>
              <w:jc w:val="center"/>
              <w:ind w:left="392"/>
              <w:spacing w:after="0" w:line="114" w:lineRule="exact"/>
              <w:rPr>
                <w:sz w:val="20"/>
                <w:szCs w:val="20"/>
                <w:color w:val="auto"/>
              </w:rPr>
            </w:pPr>
            <w:r>
              <w:rPr>
                <w:rFonts w:ascii="Arial" w:cs="Arial" w:eastAsia="Arial" w:hAnsi="Arial"/>
                <w:sz w:val="10"/>
                <w:szCs w:val="10"/>
                <w:b w:val="1"/>
                <w:bCs w:val="1"/>
                <w:color w:val="auto"/>
                <w:w w:val="86"/>
              </w:rPr>
              <w:t>December 31, 2021</w:t>
            </w: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jc w:val="right"/>
              <w:ind w:right="523"/>
              <w:spacing w:after="0" w:line="114" w:lineRule="exact"/>
              <w:rPr>
                <w:sz w:val="20"/>
                <w:szCs w:val="20"/>
                <w:color w:val="auto"/>
              </w:rPr>
            </w:pPr>
            <w:r>
              <w:rPr>
                <w:rFonts w:ascii="Arial" w:cs="Arial" w:eastAsia="Arial" w:hAnsi="Arial"/>
                <w:sz w:val="10"/>
                <w:szCs w:val="10"/>
                <w:b w:val="1"/>
                <w:bCs w:val="1"/>
                <w:color w:val="auto"/>
              </w:rPr>
              <w:t>December 31, 2020</w:t>
            </w:r>
          </w:p>
        </w:tc>
        <w:tc>
          <w:tcPr>
            <w:tcW w:w="120" w:type="dxa"/>
            <w:vAlign w:val="bottom"/>
            <w:tcBorders>
              <w:bottom w:val="single" w:sz="8" w:color="CFF0FC"/>
            </w:tcBorders>
          </w:tcPr>
          <w:p>
            <w:pPr>
              <w:spacing w:after="0"/>
              <w:rPr>
                <w:sz w:val="9"/>
                <w:szCs w:val="9"/>
                <w:color w:val="auto"/>
              </w:rPr>
            </w:pPr>
          </w:p>
        </w:tc>
      </w:tr>
      <w:tr>
        <w:trPr>
          <w:trHeight w:val="142"/>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Lease income - operating leases</w:t>
            </w:r>
          </w:p>
        </w:tc>
        <w:tc>
          <w:tcPr>
            <w:tcW w:w="1500" w:type="dxa"/>
            <w:vAlign w:val="bottom"/>
            <w:shd w:val="clear" w:color="auto" w:fill="CFF0FC"/>
          </w:tcPr>
          <w:p>
            <w:pPr>
              <w:jc w:val="right"/>
              <w:ind w:right="1392"/>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FF0FC"/>
          </w:tcPr>
          <w:p>
            <w:pPr>
              <w:jc w:val="center"/>
              <w:spacing w:after="0"/>
              <w:rPr>
                <w:sz w:val="20"/>
                <w:szCs w:val="20"/>
                <w:color w:val="auto"/>
              </w:rPr>
            </w:pPr>
            <w:r>
              <w:rPr>
                <w:rFonts w:ascii="Arial" w:cs="Arial" w:eastAsia="Arial" w:hAnsi="Arial"/>
                <w:sz w:val="12"/>
                <w:szCs w:val="12"/>
                <w:color w:val="auto"/>
                <w:w w:val="87"/>
              </w:rPr>
              <w:t>845,100</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795,374</w:t>
            </w:r>
          </w:p>
        </w:tc>
        <w:tc>
          <w:tcPr>
            <w:tcW w:w="120" w:type="dxa"/>
            <w:vAlign w:val="bottom"/>
            <w:shd w:val="clear" w:color="auto" w:fill="CFF0FC"/>
          </w:tcPr>
          <w:p>
            <w:pPr>
              <w:spacing w:after="0"/>
              <w:rPr>
                <w:sz w:val="12"/>
                <w:szCs w:val="12"/>
                <w:color w:val="auto"/>
              </w:rPr>
            </w:pPr>
          </w:p>
        </w:tc>
      </w:tr>
      <w:tr>
        <w:trPr>
          <w:trHeight w:val="288"/>
        </w:trPr>
        <w:tc>
          <w:tcPr>
            <w:tcW w:w="8500" w:type="dxa"/>
            <w:vAlign w:val="bottom"/>
            <w:gridSpan w:val="3"/>
          </w:tcPr>
          <w:p>
            <w:pPr>
              <w:spacing w:after="0"/>
              <w:rPr>
                <w:sz w:val="20"/>
                <w:szCs w:val="20"/>
                <w:color w:val="auto"/>
              </w:rPr>
            </w:pPr>
            <w:r>
              <w:rPr>
                <w:rFonts w:ascii="Arial" w:cs="Arial" w:eastAsia="Arial" w:hAnsi="Arial"/>
                <w:sz w:val="12"/>
                <w:szCs w:val="12"/>
                <w:color w:val="auto"/>
                <w:w w:val="89"/>
              </w:rPr>
              <w:t>Lease payments to be received under non-cancellable operating leases where we are the lessor for the remainder of the lease terms are as of December 31, 2021 are as follows: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1500" w:type="dxa"/>
            <w:vAlign w:val="bottom"/>
            <w:tcBorders>
              <w:bottom w:val="single" w:sz="8" w:color="auto"/>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743"/>
              <w:spacing w:after="0"/>
              <w:rPr>
                <w:sz w:val="20"/>
                <w:szCs w:val="20"/>
                <w:color w:val="auto"/>
              </w:rPr>
            </w:pPr>
            <w:r>
              <w:rPr>
                <w:rFonts w:ascii="Arial" w:cs="Arial" w:eastAsia="Arial" w:hAnsi="Arial"/>
                <w:sz w:val="10"/>
                <w:szCs w:val="10"/>
                <w:b w:val="1"/>
                <w:bCs w:val="1"/>
                <w:color w:val="auto"/>
                <w:w w:val="93"/>
              </w:rPr>
              <w:t xml:space="preserve">December 31, 2021 </w:t>
            </w:r>
            <w:r>
              <w:rPr>
                <w:rFonts w:ascii="Arial" w:cs="Arial" w:eastAsia="Arial" w:hAnsi="Arial"/>
                <w:sz w:val="8"/>
                <w:szCs w:val="8"/>
                <w:b w:val="1"/>
                <w:bCs w:val="1"/>
                <w:color w:val="auto"/>
                <w:w w:val="93"/>
              </w:rPr>
              <w:t>(1)</w:t>
            </w:r>
          </w:p>
        </w:tc>
        <w:tc>
          <w:tcPr>
            <w:tcW w:w="120" w:type="dxa"/>
            <w:vAlign w:val="bottom"/>
            <w:tcBorders>
              <w:bottom w:val="single" w:sz="8" w:color="CFF0FC"/>
            </w:tcBorders>
          </w:tcPr>
          <w:p>
            <w:pPr>
              <w:spacing w:after="0"/>
              <w:rPr>
                <w:sz w:val="23"/>
                <w:szCs w:val="23"/>
                <w:color w:val="auto"/>
              </w:rPr>
            </w:pPr>
          </w:p>
        </w:tc>
      </w:tr>
      <w:tr>
        <w:trPr>
          <w:trHeight w:val="142"/>
        </w:trPr>
        <w:tc>
          <w:tcPr>
            <w:tcW w:w="684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1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center"/>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755,658</w:t>
            </w:r>
          </w:p>
        </w:tc>
        <w:tc>
          <w:tcPr>
            <w:tcW w:w="120" w:type="dxa"/>
            <w:vAlign w:val="bottom"/>
            <w:shd w:val="clear" w:color="auto" w:fill="CFF0FC"/>
          </w:tcPr>
          <w:p>
            <w:pPr>
              <w:spacing w:after="0"/>
              <w:rPr>
                <w:sz w:val="12"/>
                <w:szCs w:val="12"/>
                <w:color w:val="auto"/>
              </w:rPr>
            </w:pPr>
          </w:p>
        </w:tc>
      </w:tr>
      <w:tr>
        <w:trPr>
          <w:trHeight w:val="153"/>
        </w:trPr>
        <w:tc>
          <w:tcPr>
            <w:tcW w:w="6840" w:type="dxa"/>
            <w:vAlign w:val="bottom"/>
          </w:tcPr>
          <w:p>
            <w:pPr>
              <w:spacing w:after="0"/>
              <w:rPr>
                <w:sz w:val="20"/>
                <w:szCs w:val="20"/>
                <w:color w:val="auto"/>
              </w:rPr>
            </w:pPr>
            <w:r>
              <w:rPr>
                <w:rFonts w:ascii="Arial" w:cs="Arial" w:eastAsia="Arial" w:hAnsi="Arial"/>
                <w:sz w:val="12"/>
                <w:szCs w:val="12"/>
                <w:color w:val="auto"/>
              </w:rPr>
              <w:t>2023</w:t>
            </w: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767,822</w:t>
            </w:r>
          </w:p>
        </w:tc>
        <w:tc>
          <w:tcPr>
            <w:tcW w:w="120" w:type="dxa"/>
            <w:vAlign w:val="bottom"/>
          </w:tcPr>
          <w:p>
            <w:pPr>
              <w:spacing w:after="0"/>
              <w:rPr>
                <w:sz w:val="13"/>
                <w:szCs w:val="13"/>
                <w:color w:val="auto"/>
              </w:rPr>
            </w:pPr>
          </w:p>
        </w:tc>
      </w:tr>
      <w:tr>
        <w:trPr>
          <w:trHeight w:val="153"/>
        </w:trPr>
        <w:tc>
          <w:tcPr>
            <w:tcW w:w="684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769,220</w:t>
            </w:r>
          </w:p>
        </w:tc>
        <w:tc>
          <w:tcPr>
            <w:tcW w:w="120" w:type="dxa"/>
            <w:vAlign w:val="bottom"/>
            <w:shd w:val="clear" w:color="auto" w:fill="CFF0FC"/>
          </w:tcPr>
          <w:p>
            <w:pPr>
              <w:spacing w:after="0"/>
              <w:rPr>
                <w:sz w:val="13"/>
                <w:szCs w:val="13"/>
                <w:color w:val="auto"/>
              </w:rPr>
            </w:pPr>
          </w:p>
        </w:tc>
      </w:tr>
      <w:tr>
        <w:trPr>
          <w:trHeight w:val="153"/>
        </w:trPr>
        <w:tc>
          <w:tcPr>
            <w:tcW w:w="6840" w:type="dxa"/>
            <w:vAlign w:val="bottom"/>
          </w:tcPr>
          <w:p>
            <w:pPr>
              <w:spacing w:after="0"/>
              <w:rPr>
                <w:sz w:val="20"/>
                <w:szCs w:val="20"/>
                <w:color w:val="auto"/>
              </w:rPr>
            </w:pPr>
            <w:r>
              <w:rPr>
                <w:rFonts w:ascii="Arial" w:cs="Arial" w:eastAsia="Arial" w:hAnsi="Arial"/>
                <w:sz w:val="12"/>
                <w:szCs w:val="12"/>
                <w:color w:val="auto"/>
              </w:rPr>
              <w:t>2025</w:t>
            </w: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770,575</w:t>
            </w:r>
          </w:p>
        </w:tc>
        <w:tc>
          <w:tcPr>
            <w:tcW w:w="120" w:type="dxa"/>
            <w:vAlign w:val="bottom"/>
          </w:tcPr>
          <w:p>
            <w:pPr>
              <w:spacing w:after="0"/>
              <w:rPr>
                <w:sz w:val="13"/>
                <w:szCs w:val="13"/>
                <w:color w:val="auto"/>
              </w:rPr>
            </w:pPr>
          </w:p>
        </w:tc>
      </w:tr>
      <w:tr>
        <w:trPr>
          <w:trHeight w:val="153"/>
        </w:trPr>
        <w:tc>
          <w:tcPr>
            <w:tcW w:w="6840" w:type="dxa"/>
            <w:vAlign w:val="bottom"/>
            <w:shd w:val="clear" w:color="auto" w:fill="CFF0FC"/>
          </w:tcPr>
          <w:p>
            <w:pPr>
              <w:spacing w:after="0"/>
              <w:rPr>
                <w:sz w:val="20"/>
                <w:szCs w:val="20"/>
                <w:color w:val="auto"/>
              </w:rPr>
            </w:pPr>
            <w:r>
              <w:rPr>
                <w:rFonts w:ascii="Arial" w:cs="Arial" w:eastAsia="Arial" w:hAnsi="Arial"/>
                <w:sz w:val="12"/>
                <w:szCs w:val="12"/>
                <w:color w:val="auto"/>
              </w:rPr>
              <w:t>2026</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772,204</w:t>
            </w:r>
          </w:p>
        </w:tc>
        <w:tc>
          <w:tcPr>
            <w:tcW w:w="120" w:type="dxa"/>
            <w:vAlign w:val="bottom"/>
            <w:shd w:val="clear" w:color="auto" w:fill="CFF0FC"/>
          </w:tcPr>
          <w:p>
            <w:pPr>
              <w:spacing w:after="0"/>
              <w:rPr>
                <w:sz w:val="13"/>
                <w:szCs w:val="13"/>
                <w:color w:val="auto"/>
              </w:rPr>
            </w:pPr>
          </w:p>
        </w:tc>
      </w:tr>
      <w:tr>
        <w:trPr>
          <w:trHeight w:val="153"/>
        </w:trPr>
        <w:tc>
          <w:tcPr>
            <w:tcW w:w="70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15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3,020,118</w:t>
            </w:r>
          </w:p>
        </w:tc>
        <w:tc>
          <w:tcPr>
            <w:tcW w:w="120" w:type="dxa"/>
            <w:vAlign w:val="bottom"/>
            <w:tcBorders>
              <w:bottom w:val="single" w:sz="8" w:color="CFF0FC"/>
            </w:tcBorders>
          </w:tcPr>
          <w:p>
            <w:pPr>
              <w:spacing w:after="0"/>
              <w:rPr>
                <w:sz w:val="13"/>
                <w:szCs w:val="13"/>
                <w:color w:val="auto"/>
              </w:rPr>
            </w:pPr>
          </w:p>
        </w:tc>
      </w:tr>
      <w:tr>
        <w:trPr>
          <w:trHeight w:val="142"/>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lease receivables</w:t>
            </w:r>
          </w:p>
        </w:tc>
        <w:tc>
          <w:tcPr>
            <w:tcW w:w="15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center"/>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6,855,597</w:t>
            </w:r>
          </w:p>
        </w:tc>
        <w:tc>
          <w:tcPr>
            <w:tcW w:w="120" w:type="dxa"/>
            <w:vAlign w:val="bottom"/>
            <w:shd w:val="clear" w:color="auto" w:fill="CFF0FC"/>
          </w:tcPr>
          <w:p>
            <w:pPr>
              <w:spacing w:after="0"/>
              <w:rPr>
                <w:sz w:val="12"/>
                <w:szCs w:val="12"/>
                <w:color w:val="auto"/>
              </w:rPr>
            </w:pPr>
          </w:p>
        </w:tc>
      </w:tr>
      <w:tr>
        <w:trPr>
          <w:trHeight w:val="27"/>
        </w:trPr>
        <w:tc>
          <w:tcPr>
            <w:tcW w:w="68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9" w:lineRule="exact"/>
        <w:rPr>
          <w:sz w:val="20"/>
          <w:szCs w:val="20"/>
          <w:color w:val="auto"/>
        </w:rPr>
      </w:pPr>
    </w:p>
    <w:p>
      <w:pPr>
        <w:ind w:left="148" w:hanging="148"/>
        <w:spacing w:after="0"/>
        <w:tabs>
          <w:tab w:leader="none" w:pos="148" w:val="left"/>
        </w:tabs>
        <w:numPr>
          <w:ilvl w:val="0"/>
          <w:numId w:val="15"/>
        </w:numPr>
        <w:rPr>
          <w:rFonts w:ascii="Arial" w:cs="Arial" w:eastAsia="Arial" w:hAnsi="Arial"/>
          <w:sz w:val="10"/>
          <w:szCs w:val="10"/>
          <w:color w:val="auto"/>
        </w:rPr>
      </w:pPr>
      <w:r>
        <w:rPr>
          <w:rFonts w:ascii="Arial" w:cs="Arial" w:eastAsia="Arial" w:hAnsi="Arial"/>
          <w:sz w:val="12"/>
          <w:szCs w:val="12"/>
          <w:color w:val="auto"/>
        </w:rPr>
        <w:t>Total future minimum lease payments to be received include $5.9 billion relating to the Master Lease with Windstream.</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underlying assets under operating leases where we are the lessor as of December 31, 2021 and 2020 are summarized as follows: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80" w:name="page81"/>
    <w:bookmarkEnd w:id="80"/>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8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December 31, 2021</w:t>
            </w:r>
          </w:p>
        </w:tc>
        <w:tc>
          <w:tcPr>
            <w:tcW w:w="26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December 31, 2020</w:t>
            </w:r>
          </w:p>
        </w:tc>
        <w:tc>
          <w:tcPr>
            <w:tcW w:w="120" w:type="dxa"/>
            <w:vAlign w:val="bottom"/>
            <w:tcBorders>
              <w:bottom w:val="single" w:sz="8" w:color="CFF0FC"/>
            </w:tcBorders>
          </w:tcPr>
          <w:p>
            <w:pPr>
              <w:spacing w:after="0"/>
              <w:rPr>
                <w:sz w:val="10"/>
                <w:szCs w:val="10"/>
                <w:color w:val="auto"/>
              </w:rPr>
            </w:pPr>
          </w:p>
        </w:tc>
      </w:tr>
      <w:tr>
        <w:trPr>
          <w:trHeight w:val="142"/>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32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26,593</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26,596</w:t>
            </w:r>
          </w:p>
        </w:tc>
        <w:tc>
          <w:tcPr>
            <w:tcW w:w="120" w:type="dxa"/>
            <w:vAlign w:val="bottom"/>
            <w:shd w:val="clear" w:color="auto" w:fill="CFF0FC"/>
          </w:tcPr>
          <w:p>
            <w:pPr>
              <w:spacing w:after="0"/>
              <w:rPr>
                <w:sz w:val="12"/>
                <w:szCs w:val="12"/>
                <w:color w:val="auto"/>
              </w:rPr>
            </w:pPr>
          </w:p>
        </w:tc>
      </w:tr>
      <w:tr>
        <w:trPr>
          <w:trHeight w:val="153"/>
        </w:trPr>
        <w:tc>
          <w:tcPr>
            <w:tcW w:w="7000" w:type="dxa"/>
            <w:vAlign w:val="bottom"/>
            <w:gridSpan w:val="2"/>
          </w:tcPr>
          <w:p>
            <w:pPr>
              <w:spacing w:after="0"/>
              <w:rPr>
                <w:sz w:val="20"/>
                <w:szCs w:val="20"/>
                <w:color w:val="auto"/>
              </w:rPr>
            </w:pPr>
            <w:r>
              <w:rPr>
                <w:rFonts w:ascii="Arial" w:cs="Arial" w:eastAsia="Arial" w:hAnsi="Arial"/>
                <w:sz w:val="12"/>
                <w:szCs w:val="12"/>
                <w:color w:val="auto"/>
              </w:rPr>
              <w:t>Building and improvements</w:t>
            </w:r>
          </w:p>
        </w:tc>
        <w:tc>
          <w:tcPr>
            <w:tcW w:w="3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343,624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335,495</w:t>
            </w:r>
          </w:p>
        </w:tc>
        <w:tc>
          <w:tcPr>
            <w:tcW w:w="120" w:type="dxa"/>
            <w:vAlign w:val="bottom"/>
          </w:tcPr>
          <w:p>
            <w:pPr>
              <w:spacing w:after="0"/>
              <w:rPr>
                <w:sz w:val="13"/>
                <w:szCs w:val="13"/>
                <w:color w:val="auto"/>
              </w:rPr>
            </w:pPr>
          </w:p>
        </w:tc>
      </w:tr>
      <w:tr>
        <w:trPr>
          <w:trHeight w:val="153"/>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Poles</w:t>
            </w:r>
          </w:p>
        </w:tc>
        <w:tc>
          <w:tcPr>
            <w:tcW w:w="3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281,130</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266,758</w:t>
            </w:r>
          </w:p>
        </w:tc>
        <w:tc>
          <w:tcPr>
            <w:tcW w:w="120" w:type="dxa"/>
            <w:vAlign w:val="bottom"/>
            <w:shd w:val="clear" w:color="auto" w:fill="CFF0FC"/>
          </w:tcPr>
          <w:p>
            <w:pPr>
              <w:spacing w:after="0"/>
              <w:rPr>
                <w:sz w:val="13"/>
                <w:szCs w:val="13"/>
                <w:color w:val="auto"/>
              </w:rPr>
            </w:pPr>
          </w:p>
        </w:tc>
      </w:tr>
      <w:tr>
        <w:trPr>
          <w:trHeight w:val="153"/>
        </w:trPr>
        <w:tc>
          <w:tcPr>
            <w:tcW w:w="7000" w:type="dxa"/>
            <w:vAlign w:val="bottom"/>
            <w:gridSpan w:val="2"/>
          </w:tcPr>
          <w:p>
            <w:pPr>
              <w:spacing w:after="0"/>
              <w:rPr>
                <w:sz w:val="20"/>
                <w:szCs w:val="20"/>
                <w:color w:val="auto"/>
              </w:rPr>
            </w:pPr>
            <w:r>
              <w:rPr>
                <w:rFonts w:ascii="Arial" w:cs="Arial" w:eastAsia="Arial" w:hAnsi="Arial"/>
                <w:sz w:val="12"/>
                <w:szCs w:val="12"/>
                <w:color w:val="auto"/>
              </w:rPr>
              <w:t>Fiber</w:t>
            </w:r>
          </w:p>
        </w:tc>
        <w:tc>
          <w:tcPr>
            <w:tcW w:w="3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3,278,276</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2,994,465</w:t>
            </w:r>
          </w:p>
        </w:tc>
        <w:tc>
          <w:tcPr>
            <w:tcW w:w="120" w:type="dxa"/>
            <w:vAlign w:val="bottom"/>
          </w:tcPr>
          <w:p>
            <w:pPr>
              <w:spacing w:after="0"/>
              <w:rPr>
                <w:sz w:val="13"/>
                <w:szCs w:val="13"/>
                <w:color w:val="auto"/>
              </w:rPr>
            </w:pPr>
          </w:p>
        </w:tc>
      </w:tr>
      <w:tr>
        <w:trPr>
          <w:trHeight w:val="153"/>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Equipment</w:t>
            </w:r>
          </w:p>
        </w:tc>
        <w:tc>
          <w:tcPr>
            <w:tcW w:w="3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428</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421</w:t>
            </w:r>
          </w:p>
        </w:tc>
        <w:tc>
          <w:tcPr>
            <w:tcW w:w="120" w:type="dxa"/>
            <w:vAlign w:val="bottom"/>
            <w:shd w:val="clear" w:color="auto" w:fill="CFF0FC"/>
          </w:tcPr>
          <w:p>
            <w:pPr>
              <w:spacing w:after="0"/>
              <w:rPr>
                <w:sz w:val="13"/>
                <w:szCs w:val="13"/>
                <w:color w:val="auto"/>
              </w:rPr>
            </w:pPr>
          </w:p>
        </w:tc>
      </w:tr>
      <w:tr>
        <w:trPr>
          <w:trHeight w:val="153"/>
        </w:trPr>
        <w:tc>
          <w:tcPr>
            <w:tcW w:w="7000" w:type="dxa"/>
            <w:vAlign w:val="bottom"/>
            <w:gridSpan w:val="2"/>
          </w:tcPr>
          <w:p>
            <w:pPr>
              <w:spacing w:after="0"/>
              <w:rPr>
                <w:sz w:val="20"/>
                <w:szCs w:val="20"/>
                <w:color w:val="auto"/>
              </w:rPr>
            </w:pPr>
            <w:r>
              <w:rPr>
                <w:rFonts w:ascii="Arial" w:cs="Arial" w:eastAsia="Arial" w:hAnsi="Arial"/>
                <w:sz w:val="12"/>
                <w:szCs w:val="12"/>
                <w:color w:val="auto"/>
              </w:rPr>
              <w:t>Copper</w:t>
            </w:r>
          </w:p>
        </w:tc>
        <w:tc>
          <w:tcPr>
            <w:tcW w:w="3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3,918,281</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3,850,988</w:t>
            </w:r>
          </w:p>
        </w:tc>
        <w:tc>
          <w:tcPr>
            <w:tcW w:w="120" w:type="dxa"/>
            <w:vAlign w:val="bottom"/>
          </w:tcPr>
          <w:p>
            <w:pPr>
              <w:spacing w:after="0"/>
              <w:rPr>
                <w:sz w:val="13"/>
                <w:szCs w:val="13"/>
                <w:color w:val="auto"/>
              </w:rPr>
            </w:pPr>
          </w:p>
        </w:tc>
      </w:tr>
      <w:tr>
        <w:trPr>
          <w:trHeight w:val="153"/>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Conduit</w:t>
            </w:r>
          </w:p>
        </w:tc>
        <w:tc>
          <w:tcPr>
            <w:tcW w:w="3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89,859</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89,773</w:t>
            </w:r>
          </w:p>
        </w:tc>
        <w:tc>
          <w:tcPr>
            <w:tcW w:w="120" w:type="dxa"/>
            <w:vAlign w:val="bottom"/>
            <w:shd w:val="clear" w:color="auto" w:fill="CFF0FC"/>
          </w:tcPr>
          <w:p>
            <w:pPr>
              <w:spacing w:after="0"/>
              <w:rPr>
                <w:sz w:val="13"/>
                <w:szCs w:val="13"/>
                <w:color w:val="auto"/>
              </w:rPr>
            </w:pPr>
          </w:p>
        </w:tc>
      </w:tr>
      <w:tr>
        <w:trPr>
          <w:trHeight w:val="153"/>
        </w:trPr>
        <w:tc>
          <w:tcPr>
            <w:tcW w:w="7000" w:type="dxa"/>
            <w:vAlign w:val="bottom"/>
            <w:gridSpan w:val="2"/>
          </w:tcPr>
          <w:p>
            <w:pPr>
              <w:spacing w:after="0"/>
              <w:rPr>
                <w:sz w:val="20"/>
                <w:szCs w:val="20"/>
                <w:color w:val="auto"/>
              </w:rPr>
            </w:pPr>
            <w:r>
              <w:rPr>
                <w:rFonts w:ascii="Arial" w:cs="Arial" w:eastAsia="Arial" w:hAnsi="Arial"/>
                <w:sz w:val="12"/>
                <w:szCs w:val="12"/>
                <w:color w:val="auto"/>
              </w:rPr>
              <w:t>Tower assets</w:t>
            </w:r>
          </w:p>
        </w:tc>
        <w:tc>
          <w:tcPr>
            <w:tcW w:w="3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1,397</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1,397</w:t>
            </w:r>
          </w:p>
        </w:tc>
        <w:tc>
          <w:tcPr>
            <w:tcW w:w="120" w:type="dxa"/>
            <w:vAlign w:val="bottom"/>
          </w:tcPr>
          <w:p>
            <w:pPr>
              <w:spacing w:after="0"/>
              <w:rPr>
                <w:sz w:val="13"/>
                <w:szCs w:val="13"/>
                <w:color w:val="auto"/>
              </w:rPr>
            </w:pPr>
          </w:p>
        </w:tc>
      </w:tr>
      <w:tr>
        <w:trPr>
          <w:trHeight w:val="153"/>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Finance lease assets</w:t>
            </w:r>
            <w:r>
              <w:rPr>
                <w:rFonts w:ascii="Arial" w:cs="Arial" w:eastAsia="Arial" w:hAnsi="Arial"/>
                <w:sz w:val="10"/>
                <w:szCs w:val="10"/>
                <w:color w:val="auto"/>
              </w:rPr>
              <w:t>(1)</w:t>
            </w:r>
          </w:p>
        </w:tc>
        <w:tc>
          <w:tcPr>
            <w:tcW w:w="3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28,126</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32,660</w:t>
            </w:r>
          </w:p>
        </w:tc>
        <w:tc>
          <w:tcPr>
            <w:tcW w:w="120" w:type="dxa"/>
            <w:vAlign w:val="bottom"/>
            <w:shd w:val="clear" w:color="auto" w:fill="CFF0FC"/>
          </w:tcPr>
          <w:p>
            <w:pPr>
              <w:spacing w:after="0"/>
              <w:rPr>
                <w:sz w:val="13"/>
                <w:szCs w:val="13"/>
                <w:color w:val="auto"/>
              </w:rPr>
            </w:pPr>
          </w:p>
        </w:tc>
      </w:tr>
      <w:tr>
        <w:trPr>
          <w:trHeight w:val="153"/>
        </w:trPr>
        <w:tc>
          <w:tcPr>
            <w:tcW w:w="70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Other assets</w:t>
            </w:r>
          </w:p>
        </w:tc>
        <w:tc>
          <w:tcPr>
            <w:tcW w:w="3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10,649</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10,425</w:t>
            </w:r>
          </w:p>
        </w:tc>
        <w:tc>
          <w:tcPr>
            <w:tcW w:w="120" w:type="dxa"/>
            <w:vAlign w:val="bottom"/>
            <w:tcBorders>
              <w:bottom w:val="single" w:sz="8" w:color="CFF0FC"/>
            </w:tcBorders>
          </w:tcPr>
          <w:p>
            <w:pPr>
              <w:spacing w:after="0"/>
              <w:rPr>
                <w:sz w:val="13"/>
                <w:szCs w:val="13"/>
                <w:color w:val="auto"/>
              </w:rPr>
            </w:pPr>
          </w:p>
        </w:tc>
      </w:tr>
      <w:tr>
        <w:trPr>
          <w:trHeight w:val="142"/>
        </w:trPr>
        <w:tc>
          <w:tcPr>
            <w:tcW w:w="6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7,978,363</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7,608,978</w:t>
            </w:r>
          </w:p>
        </w:tc>
        <w:tc>
          <w:tcPr>
            <w:tcW w:w="120" w:type="dxa"/>
            <w:vAlign w:val="bottom"/>
            <w:shd w:val="clear" w:color="auto" w:fill="CFF0FC"/>
          </w:tcPr>
          <w:p>
            <w:pPr>
              <w:spacing w:after="0"/>
              <w:rPr>
                <w:sz w:val="12"/>
                <w:szCs w:val="12"/>
                <w:color w:val="auto"/>
              </w:rPr>
            </w:pPr>
          </w:p>
        </w:tc>
      </w:tr>
      <w:tr>
        <w:trPr>
          <w:trHeight w:val="153"/>
        </w:trPr>
        <w:tc>
          <w:tcPr>
            <w:tcW w:w="700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320" w:type="dxa"/>
            <w:vAlign w:val="bottom"/>
          </w:tcPr>
          <w:p>
            <w:pPr>
              <w:spacing w:after="0"/>
              <w:rPr>
                <w:sz w:val="13"/>
                <w:szCs w:val="13"/>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2"/>
                <w:szCs w:val="12"/>
                <w:color w:val="auto"/>
              </w:rPr>
              <w:t>(5,391,479)</w:t>
            </w:r>
          </w:p>
        </w:tc>
        <w:tc>
          <w:tcPr>
            <w:tcW w:w="340" w:type="dxa"/>
            <w:vAlign w:val="bottom"/>
          </w:tcPr>
          <w:p>
            <w:pPr>
              <w:spacing w:after="0"/>
              <w:rPr>
                <w:sz w:val="13"/>
                <w:szCs w:val="13"/>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2"/>
                <w:szCs w:val="12"/>
                <w:color w:val="auto"/>
              </w:rPr>
              <w:t>(5,222,731)</w:t>
            </w:r>
          </w:p>
        </w:tc>
      </w:tr>
      <w:tr>
        <w:trPr>
          <w:trHeight w:val="149"/>
        </w:trPr>
        <w:tc>
          <w:tcPr>
            <w:tcW w:w="70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Underlying assets under operating leases, net</w:t>
            </w:r>
          </w:p>
        </w:tc>
        <w:tc>
          <w:tcPr>
            <w:tcW w:w="320" w:type="dxa"/>
            <w:vAlign w:val="bottom"/>
            <w:tcBorders>
              <w:top w:val="single" w:sz="8" w:color="auto"/>
              <w:bottom w:val="single" w:sz="8" w:color="auto"/>
            </w:tcBorders>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2,586,884</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2,386,247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ind w:left="148" w:hanging="148"/>
        <w:spacing w:after="0"/>
        <w:tabs>
          <w:tab w:leader="none" w:pos="148" w:val="left"/>
        </w:tabs>
        <w:numPr>
          <w:ilvl w:val="0"/>
          <w:numId w:val="16"/>
        </w:numPr>
        <w:rPr>
          <w:rFonts w:ascii="Arial" w:cs="Arial" w:eastAsia="Arial" w:hAnsi="Arial"/>
          <w:sz w:val="10"/>
          <w:szCs w:val="10"/>
          <w:color w:val="auto"/>
        </w:rPr>
      </w:pPr>
      <w:r>
        <w:rPr>
          <w:rFonts w:ascii="Arial" w:cs="Arial" w:eastAsia="Arial" w:hAnsi="Arial"/>
          <w:sz w:val="12"/>
          <w:szCs w:val="12"/>
          <w:color w:val="auto"/>
        </w:rPr>
        <w:t>December 31, 2020 balance includes $4.5 million assets under operating leases sold on May 28, 2021. See Note 6.</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12"/>
          <w:szCs w:val="12"/>
          <w:color w:val="auto"/>
        </w:rPr>
        <w:t>Depreciation expense for the underlying assets under operating leases where we are the lessor for the years ended December 31, 2021 and 2020 is summarized as follows:</w:t>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0"/>
              </w:rPr>
              <w:t>Year Ended</w:t>
            </w:r>
          </w:p>
        </w:tc>
        <w:tc>
          <w:tcPr>
            <w:tcW w:w="340" w:type="dxa"/>
            <w:vAlign w:val="bottom"/>
          </w:tcPr>
          <w:p>
            <w:pPr>
              <w:spacing w:after="0"/>
              <w:rPr>
                <w:sz w:val="10"/>
                <w:szCs w:val="10"/>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Year Ended</w:t>
            </w:r>
          </w:p>
        </w:tc>
      </w:tr>
      <w:tr>
        <w:trPr>
          <w:trHeight w:val="113"/>
        </w:trPr>
        <w:tc>
          <w:tcPr>
            <w:tcW w:w="68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jc w:val="center"/>
              <w:ind w:right="288"/>
              <w:spacing w:after="0" w:line="114" w:lineRule="exact"/>
              <w:rPr>
                <w:sz w:val="20"/>
                <w:szCs w:val="20"/>
                <w:color w:val="auto"/>
              </w:rPr>
            </w:pPr>
            <w:r>
              <w:rPr>
                <w:rFonts w:ascii="Arial" w:cs="Arial" w:eastAsia="Arial" w:hAnsi="Arial"/>
                <w:sz w:val="10"/>
                <w:szCs w:val="10"/>
                <w:b w:val="1"/>
                <w:bCs w:val="1"/>
                <w:color w:val="auto"/>
                <w:w w:val="86"/>
              </w:rPr>
              <w:t>December 31, 2021</w:t>
            </w:r>
          </w:p>
        </w:tc>
        <w:tc>
          <w:tcPr>
            <w:tcW w:w="260" w:type="dxa"/>
            <w:vAlign w:val="bottom"/>
            <w:tcBorders>
              <w:bottom w:val="single" w:sz="8" w:color="CFF0FC"/>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jc w:val="center"/>
              <w:ind w:right="268"/>
              <w:spacing w:after="0" w:line="114" w:lineRule="exact"/>
              <w:rPr>
                <w:sz w:val="20"/>
                <w:szCs w:val="20"/>
                <w:color w:val="auto"/>
              </w:rPr>
            </w:pPr>
            <w:r>
              <w:rPr>
                <w:rFonts w:ascii="Arial" w:cs="Arial" w:eastAsia="Arial" w:hAnsi="Arial"/>
                <w:sz w:val="10"/>
                <w:szCs w:val="10"/>
                <w:b w:val="1"/>
                <w:bCs w:val="1"/>
                <w:color w:val="auto"/>
                <w:w w:val="86"/>
              </w:rPr>
              <w:t>December 31, 2020</w:t>
            </w:r>
          </w:p>
        </w:tc>
        <w:tc>
          <w:tcPr>
            <w:tcW w:w="120" w:type="dxa"/>
            <w:vAlign w:val="bottom"/>
            <w:tcBorders>
              <w:bottom w:val="single" w:sz="8" w:color="CFF0FC"/>
            </w:tcBorders>
          </w:tcPr>
          <w:p>
            <w:pPr>
              <w:spacing w:after="0"/>
              <w:rPr>
                <w:sz w:val="9"/>
                <w:szCs w:val="9"/>
                <w:color w:val="auto"/>
              </w:rPr>
            </w:pPr>
          </w:p>
        </w:tc>
      </w:tr>
      <w:tr>
        <w:trPr>
          <w:trHeight w:val="142"/>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Depreciation expense for underlying assets under operating leases</w:t>
            </w: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178,348</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209,946</w:t>
            </w:r>
          </w:p>
        </w:tc>
        <w:tc>
          <w:tcPr>
            <w:tcW w:w="120" w:type="dxa"/>
            <w:vAlign w:val="bottom"/>
            <w:shd w:val="clear" w:color="auto" w:fill="CFF0FC"/>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Lessee Accounting</w:t>
      </w:r>
    </w:p>
    <w:p>
      <w:pPr>
        <w:spacing w:after="0" w:line="150" w:lineRule="exact"/>
        <w:rPr>
          <w:sz w:val="20"/>
          <w:szCs w:val="20"/>
          <w:color w:val="auto"/>
        </w:rPr>
      </w:pPr>
    </w:p>
    <w:p>
      <w:pPr>
        <w:ind w:left="8" w:right="60"/>
        <w:spacing w:after="0" w:line="298" w:lineRule="auto"/>
        <w:rPr>
          <w:sz w:val="20"/>
          <w:szCs w:val="20"/>
          <w:color w:val="auto"/>
        </w:rPr>
      </w:pPr>
      <w:r>
        <w:rPr>
          <w:rFonts w:ascii="Arial" w:cs="Arial" w:eastAsia="Arial" w:hAnsi="Arial"/>
          <w:sz w:val="11"/>
          <w:szCs w:val="11"/>
          <w:color w:val="auto"/>
        </w:rPr>
        <w:t>We have commitments under operating leases for communications towers, ground, colocation and dark fiber lease arrangements. We also have finance leases for dark fiber lease arrangements and other communications equipment. Our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2021, we have short term lease commitments amounting to approximately $2.6 million, for colocation and dark fiber arrangements.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components of lease cost are presented within general and administrative expense and operating expense, while sublease income is presented within revenues in our Consolidated Statements of Income (Loss) for the years ended</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December 31, 2021 and 2020 are as follows:</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jc w:val="right"/>
              <w:ind w:right="192"/>
              <w:spacing w:after="0"/>
              <w:rPr>
                <w:sz w:val="20"/>
                <w:szCs w:val="20"/>
                <w:color w:val="auto"/>
              </w:rPr>
            </w:pPr>
            <w:r>
              <w:rPr>
                <w:rFonts w:ascii="Arial" w:cs="Arial" w:eastAsia="Arial" w:hAnsi="Arial"/>
                <w:sz w:val="10"/>
                <w:szCs w:val="10"/>
                <w:b w:val="1"/>
                <w:bCs w:val="1"/>
                <w:color w:val="auto"/>
              </w:rPr>
              <w:t>Year Ended</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0"/>
                <w:szCs w:val="10"/>
                <w:b w:val="1"/>
                <w:bCs w:val="1"/>
                <w:color w:val="auto"/>
              </w:rPr>
              <w:t>Year Ended</w:t>
            </w:r>
          </w:p>
        </w:tc>
      </w:tr>
      <w:tr>
        <w:trPr>
          <w:trHeight w:val="113"/>
        </w:trPr>
        <w:tc>
          <w:tcPr>
            <w:tcW w:w="68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9"/>
                <w:szCs w:val="9"/>
                <w:color w:val="auto"/>
              </w:rPr>
            </w:pPr>
          </w:p>
        </w:tc>
        <w:tc>
          <w:tcPr>
            <w:tcW w:w="1460" w:type="dxa"/>
            <w:vAlign w:val="bottom"/>
            <w:tcBorders>
              <w:bottom w:val="single" w:sz="8" w:color="auto"/>
            </w:tcBorders>
          </w:tcPr>
          <w:p>
            <w:pPr>
              <w:jc w:val="right"/>
              <w:ind w:right="52"/>
              <w:spacing w:after="0" w:line="114" w:lineRule="exact"/>
              <w:rPr>
                <w:sz w:val="20"/>
                <w:szCs w:val="20"/>
                <w:color w:val="auto"/>
              </w:rPr>
            </w:pPr>
            <w:r>
              <w:rPr>
                <w:rFonts w:ascii="Arial" w:cs="Arial" w:eastAsia="Arial" w:hAnsi="Arial"/>
                <w:sz w:val="10"/>
                <w:szCs w:val="10"/>
                <w:b w:val="1"/>
                <w:bCs w:val="1"/>
                <w:color w:val="auto"/>
              </w:rPr>
              <w:t>December 31, 2021</w:t>
            </w: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jc w:val="right"/>
              <w:ind w:right="522"/>
              <w:spacing w:after="0" w:line="114" w:lineRule="exact"/>
              <w:rPr>
                <w:sz w:val="20"/>
                <w:szCs w:val="20"/>
                <w:color w:val="auto"/>
              </w:rPr>
            </w:pPr>
            <w:r>
              <w:rPr>
                <w:rFonts w:ascii="Arial" w:cs="Arial" w:eastAsia="Arial" w:hAnsi="Arial"/>
                <w:sz w:val="10"/>
                <w:szCs w:val="10"/>
                <w:b w:val="1"/>
                <w:bCs w:val="1"/>
                <w:color w:val="auto"/>
              </w:rPr>
              <w:t>December 31, 2020</w:t>
            </w:r>
          </w:p>
        </w:tc>
        <w:tc>
          <w:tcPr>
            <w:tcW w:w="120" w:type="dxa"/>
            <w:vAlign w:val="bottom"/>
            <w:tcBorders>
              <w:bottom w:val="single" w:sz="8" w:color="CFF0FC"/>
            </w:tcBorders>
          </w:tcPr>
          <w:p>
            <w:pPr>
              <w:spacing w:after="0"/>
              <w:rPr>
                <w:sz w:val="9"/>
                <w:szCs w:val="9"/>
                <w:color w:val="auto"/>
              </w:rPr>
            </w:pPr>
          </w:p>
        </w:tc>
      </w:tr>
      <w:tr>
        <w:trPr>
          <w:trHeight w:val="142"/>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Finance lease cost</w:t>
            </w:r>
          </w:p>
        </w:tc>
        <w:tc>
          <w:tcPr>
            <w:tcW w:w="14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000" w:type="dxa"/>
            <w:vAlign w:val="bottom"/>
            <w:gridSpan w:val="2"/>
          </w:tcPr>
          <w:p>
            <w:pPr>
              <w:spacing w:after="0"/>
              <w:rPr>
                <w:sz w:val="20"/>
                <w:szCs w:val="20"/>
                <w:color w:val="auto"/>
              </w:rPr>
            </w:pPr>
            <w:r>
              <w:rPr>
                <w:rFonts w:ascii="Arial" w:cs="Arial" w:eastAsia="Arial" w:hAnsi="Arial"/>
                <w:sz w:val="12"/>
                <w:szCs w:val="12"/>
                <w:color w:val="auto"/>
              </w:rPr>
              <w:t>Amortization of ROU assets</w:t>
            </w:r>
          </w:p>
        </w:tc>
        <w:tc>
          <w:tcPr>
            <w:tcW w:w="1460" w:type="dxa"/>
            <w:vAlign w:val="bottom"/>
          </w:tcPr>
          <w:p>
            <w:pPr>
              <w:jc w:val="right"/>
              <w:ind w:right="13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4,649</w:t>
            </w:r>
          </w:p>
        </w:tc>
        <w:tc>
          <w:tcPr>
            <w:tcW w:w="26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3,702</w:t>
            </w:r>
          </w:p>
        </w:tc>
        <w:tc>
          <w:tcPr>
            <w:tcW w:w="120" w:type="dxa"/>
            <w:vAlign w:val="bottom"/>
          </w:tcPr>
          <w:p>
            <w:pPr>
              <w:spacing w:after="0"/>
              <w:rPr>
                <w:sz w:val="13"/>
                <w:szCs w:val="13"/>
                <w:color w:val="auto"/>
              </w:rPr>
            </w:pPr>
          </w:p>
        </w:tc>
      </w:tr>
      <w:tr>
        <w:trPr>
          <w:trHeight w:val="153"/>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on lease liabilities</w:t>
            </w:r>
          </w:p>
        </w:tc>
        <w:tc>
          <w:tcPr>
            <w:tcW w:w="146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2,383</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3,807</w:t>
            </w:r>
          </w:p>
        </w:tc>
        <w:tc>
          <w:tcPr>
            <w:tcW w:w="120" w:type="dxa"/>
            <w:vAlign w:val="bottom"/>
            <w:shd w:val="clear" w:color="auto" w:fill="CFF0FC"/>
          </w:tcPr>
          <w:p>
            <w:pPr>
              <w:spacing w:after="0"/>
              <w:rPr>
                <w:sz w:val="13"/>
                <w:szCs w:val="13"/>
                <w:color w:val="auto"/>
              </w:rPr>
            </w:pPr>
          </w:p>
        </w:tc>
      </w:tr>
      <w:tr>
        <w:trPr>
          <w:trHeight w:val="142"/>
        </w:trPr>
        <w:tc>
          <w:tcPr>
            <w:tcW w:w="7000" w:type="dxa"/>
            <w:vAlign w:val="bottom"/>
            <w:gridSpan w:val="2"/>
          </w:tcPr>
          <w:p>
            <w:pPr>
              <w:ind w:left="140"/>
              <w:spacing w:after="0"/>
              <w:rPr>
                <w:sz w:val="20"/>
                <w:szCs w:val="20"/>
                <w:color w:val="auto"/>
              </w:rPr>
            </w:pPr>
            <w:r>
              <w:rPr>
                <w:rFonts w:ascii="Arial" w:cs="Arial" w:eastAsia="Arial" w:hAnsi="Arial"/>
                <w:sz w:val="12"/>
                <w:szCs w:val="12"/>
                <w:color w:val="auto"/>
              </w:rPr>
              <w:t>Total finance lease cost</w:t>
            </w:r>
          </w:p>
        </w:tc>
        <w:tc>
          <w:tcPr>
            <w:tcW w:w="14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7,032</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7,509</w:t>
            </w:r>
          </w:p>
        </w:tc>
        <w:tc>
          <w:tcPr>
            <w:tcW w:w="120" w:type="dxa"/>
            <w:vAlign w:val="bottom"/>
          </w:tcPr>
          <w:p>
            <w:pPr>
              <w:spacing w:after="0"/>
              <w:rPr>
                <w:sz w:val="12"/>
                <w:szCs w:val="12"/>
                <w:color w:val="auto"/>
              </w:rPr>
            </w:pPr>
          </w:p>
        </w:tc>
      </w:tr>
      <w:tr>
        <w:trPr>
          <w:trHeight w:val="153"/>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Operating lease cost</w:t>
            </w:r>
          </w:p>
        </w:tc>
        <w:tc>
          <w:tcPr>
            <w:tcW w:w="14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18,886</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24,080</w:t>
            </w:r>
          </w:p>
        </w:tc>
        <w:tc>
          <w:tcPr>
            <w:tcW w:w="120" w:type="dxa"/>
            <w:vAlign w:val="bottom"/>
            <w:shd w:val="clear" w:color="auto" w:fill="CFF0FC"/>
          </w:tcPr>
          <w:p>
            <w:pPr>
              <w:spacing w:after="0"/>
              <w:rPr>
                <w:sz w:val="13"/>
                <w:szCs w:val="13"/>
                <w:color w:val="auto"/>
              </w:rPr>
            </w:pPr>
          </w:p>
        </w:tc>
      </w:tr>
      <w:tr>
        <w:trPr>
          <w:trHeight w:val="153"/>
        </w:trPr>
        <w:tc>
          <w:tcPr>
            <w:tcW w:w="7000" w:type="dxa"/>
            <w:vAlign w:val="bottom"/>
            <w:gridSpan w:val="2"/>
          </w:tcPr>
          <w:p>
            <w:pPr>
              <w:spacing w:after="0"/>
              <w:rPr>
                <w:sz w:val="20"/>
                <w:szCs w:val="20"/>
                <w:color w:val="auto"/>
              </w:rPr>
            </w:pPr>
            <w:r>
              <w:rPr>
                <w:rFonts w:ascii="Arial" w:cs="Arial" w:eastAsia="Arial" w:hAnsi="Arial"/>
                <w:sz w:val="12"/>
                <w:szCs w:val="12"/>
                <w:color w:val="auto"/>
              </w:rPr>
              <w:t>Short-term lease cost</w:t>
            </w:r>
          </w:p>
        </w:tc>
        <w:tc>
          <w:tcPr>
            <w:tcW w:w="14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2,885</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2,029</w:t>
            </w:r>
          </w:p>
        </w:tc>
        <w:tc>
          <w:tcPr>
            <w:tcW w:w="120" w:type="dxa"/>
            <w:vAlign w:val="bottom"/>
          </w:tcPr>
          <w:p>
            <w:pPr>
              <w:spacing w:after="0"/>
              <w:rPr>
                <w:sz w:val="13"/>
                <w:szCs w:val="13"/>
                <w:color w:val="auto"/>
              </w:rPr>
            </w:pPr>
          </w:p>
        </w:tc>
      </w:tr>
      <w:tr>
        <w:trPr>
          <w:trHeight w:val="153"/>
        </w:trPr>
        <w:tc>
          <w:tcPr>
            <w:tcW w:w="7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Variable lease cost</w:t>
            </w:r>
          </w:p>
        </w:tc>
        <w:tc>
          <w:tcPr>
            <w:tcW w:w="14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492</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w:t>
            </w:r>
          </w:p>
        </w:tc>
        <w:tc>
          <w:tcPr>
            <w:tcW w:w="120" w:type="dxa"/>
            <w:vAlign w:val="bottom"/>
            <w:shd w:val="clear" w:color="auto" w:fill="CFF0FC"/>
          </w:tcPr>
          <w:p>
            <w:pPr>
              <w:spacing w:after="0"/>
              <w:rPr>
                <w:sz w:val="13"/>
                <w:szCs w:val="13"/>
                <w:color w:val="auto"/>
              </w:rPr>
            </w:pPr>
          </w:p>
        </w:tc>
      </w:tr>
      <w:tr>
        <w:trPr>
          <w:trHeight w:val="153"/>
        </w:trPr>
        <w:tc>
          <w:tcPr>
            <w:tcW w:w="7000" w:type="dxa"/>
            <w:vAlign w:val="bottom"/>
            <w:gridSpan w:val="2"/>
          </w:tcPr>
          <w:p>
            <w:pPr>
              <w:spacing w:after="0"/>
              <w:rPr>
                <w:sz w:val="20"/>
                <w:szCs w:val="20"/>
                <w:color w:val="auto"/>
              </w:rPr>
            </w:pPr>
            <w:r>
              <w:rPr>
                <w:rFonts w:ascii="Arial" w:cs="Arial" w:eastAsia="Arial" w:hAnsi="Arial"/>
                <w:sz w:val="12"/>
                <w:szCs w:val="12"/>
                <w:color w:val="auto"/>
              </w:rPr>
              <w:t>Less sublease income</w:t>
            </w:r>
          </w:p>
        </w:tc>
        <w:tc>
          <w:tcPr>
            <w:tcW w:w="14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(12,752)</w:t>
            </w:r>
          </w:p>
        </w:tc>
        <w:tc>
          <w:tcPr>
            <w:tcW w:w="340" w:type="dxa"/>
            <w:vAlign w:val="bottom"/>
          </w:tcPr>
          <w:p>
            <w:pPr>
              <w:spacing w:after="0"/>
              <w:rPr>
                <w:sz w:val="13"/>
                <w:szCs w:val="13"/>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2"/>
                <w:szCs w:val="12"/>
                <w:color w:val="auto"/>
              </w:rPr>
              <w:t>(12,273)</w:t>
            </w:r>
          </w:p>
        </w:tc>
      </w:tr>
      <w:tr>
        <w:trPr>
          <w:trHeight w:val="149"/>
        </w:trPr>
        <w:tc>
          <w:tcPr>
            <w:tcW w:w="70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lease cost</w:t>
            </w:r>
          </w:p>
        </w:tc>
        <w:tc>
          <w:tcPr>
            <w:tcW w:w="1460" w:type="dxa"/>
            <w:vAlign w:val="bottom"/>
            <w:tcBorders>
              <w:top w:val="single" w:sz="8" w:color="auto"/>
              <w:bottom w:val="single" w:sz="8" w:color="auto"/>
            </w:tcBorders>
            <w:shd w:val="clear" w:color="auto" w:fill="CFF0FC"/>
          </w:tcPr>
          <w:p>
            <w:pPr>
              <w:jc w:val="right"/>
              <w:ind w:right="135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16,543</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22,024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Amounts reported in the Consolidated Balance Sheets for leases where we are the lessee as of December 31, 2021 and 2020 were as follows:</w:t>
      </w:r>
    </w:p>
    <w:p>
      <w:pPr>
        <w:spacing w:after="0" w:line="150"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81" w:name="page82"/>
    <w:bookmarkEnd w:id="81"/>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10"/>
                <w:szCs w:val="10"/>
                <w:color w:val="auto"/>
              </w:rPr>
            </w:pPr>
          </w:p>
        </w:tc>
        <w:tc>
          <w:tcPr>
            <w:tcW w:w="344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Location on Consolidated Balance Sheets</w:t>
            </w:r>
          </w:p>
        </w:tc>
        <w:tc>
          <w:tcPr>
            <w:tcW w:w="16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December 31, 2021</w:t>
            </w:r>
          </w:p>
        </w:tc>
        <w:tc>
          <w:tcPr>
            <w:tcW w:w="28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December 31, 2020</w:t>
            </w:r>
          </w:p>
        </w:tc>
        <w:tc>
          <w:tcPr>
            <w:tcW w:w="120" w:type="dxa"/>
            <w:vAlign w:val="bottom"/>
            <w:tcBorders>
              <w:bottom w:val="single" w:sz="8" w:color="CFF0FC"/>
            </w:tcBorders>
          </w:tcPr>
          <w:p>
            <w:pPr>
              <w:spacing w:after="0"/>
              <w:rPr>
                <w:sz w:val="10"/>
                <w:szCs w:val="10"/>
                <w:color w:val="auto"/>
              </w:rPr>
            </w:pPr>
          </w:p>
        </w:tc>
      </w:tr>
      <w:tr>
        <w:trPr>
          <w:trHeight w:val="142"/>
        </w:trPr>
        <w:tc>
          <w:tcPr>
            <w:tcW w:w="378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Operating leases</w:t>
            </w:r>
          </w:p>
        </w:tc>
        <w:tc>
          <w:tcPr>
            <w:tcW w:w="3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3780" w:type="dxa"/>
            <w:vAlign w:val="bottom"/>
            <w:gridSpan w:val="2"/>
          </w:tcPr>
          <w:p>
            <w:pPr>
              <w:spacing w:after="0"/>
              <w:rPr>
                <w:sz w:val="20"/>
                <w:szCs w:val="20"/>
                <w:color w:val="auto"/>
              </w:rPr>
            </w:pPr>
            <w:r>
              <w:rPr>
                <w:rFonts w:ascii="Arial" w:cs="Arial" w:eastAsia="Arial" w:hAnsi="Arial"/>
                <w:sz w:val="12"/>
                <w:szCs w:val="12"/>
                <w:color w:val="auto"/>
              </w:rPr>
              <w:t>ROU asset, net</w:t>
            </w:r>
            <w:r>
              <w:rPr>
                <w:rFonts w:ascii="Arial" w:cs="Arial" w:eastAsia="Arial" w:hAnsi="Arial"/>
                <w:sz w:val="10"/>
                <w:szCs w:val="10"/>
                <w:color w:val="auto"/>
              </w:rPr>
              <w:t>(1)</w:t>
            </w:r>
          </w:p>
        </w:tc>
        <w:tc>
          <w:tcPr>
            <w:tcW w:w="3600" w:type="dxa"/>
            <w:vAlign w:val="bottom"/>
            <w:gridSpan w:val="2"/>
          </w:tcPr>
          <w:p>
            <w:pPr>
              <w:spacing w:after="0"/>
              <w:rPr>
                <w:sz w:val="20"/>
                <w:szCs w:val="20"/>
                <w:color w:val="auto"/>
              </w:rPr>
            </w:pPr>
            <w:r>
              <w:rPr>
                <w:rFonts w:ascii="Arial" w:cs="Arial" w:eastAsia="Arial" w:hAnsi="Arial"/>
                <w:sz w:val="12"/>
                <w:szCs w:val="12"/>
                <w:color w:val="auto"/>
              </w:rPr>
              <w:t>Other assets, net</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80,271</w:t>
            </w:r>
          </w:p>
        </w:tc>
        <w:tc>
          <w:tcPr>
            <w:tcW w:w="28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97,850</w:t>
            </w:r>
          </w:p>
        </w:tc>
        <w:tc>
          <w:tcPr>
            <w:tcW w:w="120" w:type="dxa"/>
            <w:vAlign w:val="bottom"/>
          </w:tcPr>
          <w:p>
            <w:pPr>
              <w:spacing w:after="0"/>
              <w:rPr>
                <w:sz w:val="13"/>
                <w:szCs w:val="13"/>
                <w:color w:val="auto"/>
              </w:rPr>
            </w:pPr>
          </w:p>
        </w:tc>
      </w:tr>
      <w:tr>
        <w:trPr>
          <w:trHeight w:val="153"/>
        </w:trPr>
        <w:tc>
          <w:tcPr>
            <w:tcW w:w="3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ROU liability</w:t>
            </w:r>
            <w:r>
              <w:rPr>
                <w:rFonts w:ascii="Arial" w:cs="Arial" w:eastAsia="Arial" w:hAnsi="Arial"/>
                <w:sz w:val="10"/>
                <w:szCs w:val="10"/>
                <w:color w:val="auto"/>
              </w:rPr>
              <w:t>(2)</w:t>
            </w:r>
          </w:p>
        </w:tc>
        <w:tc>
          <w:tcPr>
            <w:tcW w:w="3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 net</w:t>
            </w: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57,349</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71,483</w:t>
            </w:r>
          </w:p>
        </w:tc>
        <w:tc>
          <w:tcPr>
            <w:tcW w:w="120" w:type="dxa"/>
            <w:vAlign w:val="bottom"/>
            <w:shd w:val="clear" w:color="auto" w:fill="CFF0FC"/>
          </w:tcPr>
          <w:p>
            <w:pPr>
              <w:spacing w:after="0"/>
              <w:rPr>
                <w:sz w:val="13"/>
                <w:szCs w:val="13"/>
                <w:color w:val="auto"/>
              </w:rPr>
            </w:pPr>
          </w:p>
        </w:tc>
      </w:tr>
      <w:tr>
        <w:trPr>
          <w:trHeight w:val="153"/>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378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Finance leases</w:t>
            </w:r>
          </w:p>
        </w:tc>
        <w:tc>
          <w:tcPr>
            <w:tcW w:w="3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3780" w:type="dxa"/>
            <w:vAlign w:val="bottom"/>
            <w:gridSpan w:val="2"/>
          </w:tcPr>
          <w:p>
            <w:pPr>
              <w:spacing w:after="0"/>
              <w:rPr>
                <w:sz w:val="20"/>
                <w:szCs w:val="20"/>
                <w:color w:val="auto"/>
              </w:rPr>
            </w:pPr>
            <w:r>
              <w:rPr>
                <w:rFonts w:ascii="Arial" w:cs="Arial" w:eastAsia="Arial" w:hAnsi="Arial"/>
                <w:sz w:val="12"/>
                <w:szCs w:val="12"/>
                <w:color w:val="auto"/>
              </w:rPr>
              <w:t>ROU asset, gross</w:t>
            </w:r>
            <w:r>
              <w:rPr>
                <w:rFonts w:ascii="Arial" w:cs="Arial" w:eastAsia="Arial" w:hAnsi="Arial"/>
                <w:sz w:val="10"/>
                <w:szCs w:val="10"/>
                <w:color w:val="auto"/>
              </w:rPr>
              <w:t>(3)</w:t>
            </w:r>
          </w:p>
        </w:tc>
        <w:tc>
          <w:tcPr>
            <w:tcW w:w="3600" w:type="dxa"/>
            <w:vAlign w:val="bottom"/>
            <w:gridSpan w:val="2"/>
          </w:tcPr>
          <w:p>
            <w:pPr>
              <w:spacing w:after="0"/>
              <w:rPr>
                <w:sz w:val="20"/>
                <w:szCs w:val="20"/>
                <w:color w:val="auto"/>
              </w:rPr>
            </w:pPr>
            <w:r>
              <w:rPr>
                <w:rFonts w:ascii="Arial" w:cs="Arial" w:eastAsia="Arial" w:hAnsi="Arial"/>
                <w:sz w:val="12"/>
                <w:szCs w:val="12"/>
                <w:color w:val="auto"/>
              </w:rPr>
              <w:t>Property, plant and equipment, net</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72,284</w:t>
            </w:r>
          </w:p>
        </w:tc>
        <w:tc>
          <w:tcPr>
            <w:tcW w:w="28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128,098</w:t>
            </w:r>
          </w:p>
        </w:tc>
        <w:tc>
          <w:tcPr>
            <w:tcW w:w="120" w:type="dxa"/>
            <w:vAlign w:val="bottom"/>
          </w:tcPr>
          <w:p>
            <w:pPr>
              <w:spacing w:after="0"/>
              <w:rPr>
                <w:sz w:val="13"/>
                <w:szCs w:val="13"/>
                <w:color w:val="auto"/>
              </w:rPr>
            </w:pPr>
          </w:p>
        </w:tc>
      </w:tr>
      <w:tr>
        <w:trPr>
          <w:trHeight w:val="153"/>
        </w:trPr>
        <w:tc>
          <w:tcPr>
            <w:tcW w:w="3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ROU liability</w:t>
            </w:r>
            <w:r>
              <w:rPr>
                <w:rFonts w:ascii="Arial" w:cs="Arial" w:eastAsia="Arial" w:hAnsi="Arial"/>
                <w:sz w:val="10"/>
                <w:szCs w:val="10"/>
                <w:color w:val="auto"/>
              </w:rPr>
              <w:t>(4)</w:t>
            </w:r>
          </w:p>
        </w:tc>
        <w:tc>
          <w:tcPr>
            <w:tcW w:w="3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Finance lease obligations</w:t>
            </w: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15,348</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48,724</w:t>
            </w:r>
          </w:p>
        </w:tc>
        <w:tc>
          <w:tcPr>
            <w:tcW w:w="120" w:type="dxa"/>
            <w:vAlign w:val="bottom"/>
            <w:shd w:val="clear" w:color="auto" w:fill="CFF0FC"/>
          </w:tcPr>
          <w:p>
            <w:pPr>
              <w:spacing w:after="0"/>
              <w:rPr>
                <w:sz w:val="13"/>
                <w:szCs w:val="13"/>
                <w:color w:val="auto"/>
              </w:rPr>
            </w:pPr>
          </w:p>
        </w:tc>
      </w:tr>
      <w:tr>
        <w:trPr>
          <w:trHeight w:val="153"/>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378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Weighted-average remaining lease term</w:t>
            </w:r>
          </w:p>
        </w:tc>
        <w:tc>
          <w:tcPr>
            <w:tcW w:w="3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3780" w:type="dxa"/>
            <w:vAlign w:val="bottom"/>
            <w:gridSpan w:val="2"/>
          </w:tcPr>
          <w:p>
            <w:pPr>
              <w:spacing w:after="0"/>
              <w:rPr>
                <w:sz w:val="20"/>
                <w:szCs w:val="20"/>
                <w:color w:val="auto"/>
              </w:rPr>
            </w:pPr>
            <w:r>
              <w:rPr>
                <w:rFonts w:ascii="Arial" w:cs="Arial" w:eastAsia="Arial" w:hAnsi="Arial"/>
                <w:sz w:val="12"/>
                <w:szCs w:val="12"/>
                <w:color w:val="auto"/>
              </w:rPr>
              <w:t>Operating leases</w:t>
            </w: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2"/>
                <w:szCs w:val="12"/>
                <w:color w:val="auto"/>
              </w:rPr>
              <w:t>9.4 years</w:t>
            </w:r>
          </w:p>
        </w:tc>
        <w:tc>
          <w:tcPr>
            <w:tcW w:w="28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12.2 years</w:t>
            </w:r>
          </w:p>
        </w:tc>
      </w:tr>
      <w:tr>
        <w:trPr>
          <w:trHeight w:val="153"/>
        </w:trPr>
        <w:tc>
          <w:tcPr>
            <w:tcW w:w="3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Finance leases</w:t>
            </w:r>
          </w:p>
        </w:tc>
        <w:tc>
          <w:tcPr>
            <w:tcW w:w="3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12.8 years</w:t>
            </w:r>
          </w:p>
        </w:tc>
        <w:tc>
          <w:tcPr>
            <w:tcW w:w="2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13.3 years</w:t>
            </w:r>
          </w:p>
        </w:tc>
      </w:tr>
      <w:tr>
        <w:trPr>
          <w:trHeight w:val="153"/>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378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Weighted-average discount rate</w:t>
            </w:r>
          </w:p>
        </w:tc>
        <w:tc>
          <w:tcPr>
            <w:tcW w:w="3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3780" w:type="dxa"/>
            <w:vAlign w:val="bottom"/>
            <w:gridSpan w:val="2"/>
          </w:tcPr>
          <w:p>
            <w:pPr>
              <w:spacing w:after="0"/>
              <w:rPr>
                <w:sz w:val="20"/>
                <w:szCs w:val="20"/>
                <w:color w:val="auto"/>
              </w:rPr>
            </w:pPr>
            <w:r>
              <w:rPr>
                <w:rFonts w:ascii="Arial" w:cs="Arial" w:eastAsia="Arial" w:hAnsi="Arial"/>
                <w:sz w:val="12"/>
                <w:szCs w:val="12"/>
                <w:color w:val="auto"/>
              </w:rPr>
              <w:t>Operating leases</w:t>
            </w: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2"/>
                <w:szCs w:val="12"/>
                <w:color w:val="auto"/>
              </w:rPr>
              <w:t>8.6%</w:t>
            </w:r>
          </w:p>
        </w:tc>
        <w:tc>
          <w:tcPr>
            <w:tcW w:w="280" w:type="dxa"/>
            <w:vAlign w:val="bottom"/>
          </w:tcPr>
          <w:p>
            <w:pPr>
              <w:spacing w:after="0"/>
              <w:rPr>
                <w:sz w:val="13"/>
                <w:szCs w:val="1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2"/>
                <w:szCs w:val="12"/>
                <w:color w:val="auto"/>
              </w:rPr>
              <w:t>9.9%</w:t>
            </w:r>
          </w:p>
        </w:tc>
      </w:tr>
      <w:tr>
        <w:trPr>
          <w:trHeight w:val="153"/>
        </w:trPr>
        <w:tc>
          <w:tcPr>
            <w:tcW w:w="3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Finance leases</w:t>
            </w:r>
          </w:p>
        </w:tc>
        <w:tc>
          <w:tcPr>
            <w:tcW w:w="3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10.6%</w:t>
            </w:r>
          </w:p>
        </w:tc>
        <w:tc>
          <w:tcPr>
            <w:tcW w:w="2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8.0%</w:t>
            </w:r>
          </w:p>
        </w:tc>
      </w:tr>
    </w:tbl>
    <w:p>
      <w:pPr>
        <w:ind w:left="148" w:hanging="148"/>
        <w:spacing w:after="0"/>
        <w:tabs>
          <w:tab w:leader="none" w:pos="148" w:val="left"/>
        </w:tabs>
        <w:numPr>
          <w:ilvl w:val="0"/>
          <w:numId w:val="17"/>
        </w:numPr>
        <w:rPr>
          <w:rFonts w:ascii="Arial" w:cs="Arial" w:eastAsia="Arial" w:hAnsi="Arial"/>
          <w:sz w:val="10"/>
          <w:szCs w:val="10"/>
          <w:color w:val="auto"/>
        </w:rPr>
      </w:pPr>
      <w:r>
        <w:rPr>
          <w:rFonts w:ascii="Arial" w:cs="Arial" w:eastAsia="Arial" w:hAnsi="Arial"/>
          <w:sz w:val="12"/>
          <w:szCs w:val="12"/>
          <w:color w:val="auto"/>
        </w:rPr>
        <w:t>December 31, 2020 balance includes $20.7 million ROU assets sold on May 28, 2021. See Note 6.</w:t>
      </w:r>
    </w:p>
    <w:p>
      <w:pPr>
        <w:spacing w:after="0" w:line="24" w:lineRule="exact"/>
        <w:rPr>
          <w:rFonts w:ascii="Arial" w:cs="Arial" w:eastAsia="Arial" w:hAnsi="Arial"/>
          <w:sz w:val="10"/>
          <w:szCs w:val="10"/>
          <w:color w:val="auto"/>
        </w:rPr>
      </w:pPr>
    </w:p>
    <w:p>
      <w:pPr>
        <w:ind w:left="148" w:hanging="148"/>
        <w:spacing w:after="0"/>
        <w:tabs>
          <w:tab w:leader="none" w:pos="148" w:val="left"/>
        </w:tabs>
        <w:numPr>
          <w:ilvl w:val="0"/>
          <w:numId w:val="17"/>
        </w:numPr>
        <w:rPr>
          <w:rFonts w:ascii="Arial" w:cs="Arial" w:eastAsia="Arial" w:hAnsi="Arial"/>
          <w:sz w:val="10"/>
          <w:szCs w:val="10"/>
          <w:color w:val="auto"/>
        </w:rPr>
      </w:pPr>
      <w:r>
        <w:rPr>
          <w:rFonts w:ascii="Arial" w:cs="Arial" w:eastAsia="Arial" w:hAnsi="Arial"/>
          <w:sz w:val="12"/>
          <w:szCs w:val="12"/>
          <w:color w:val="auto"/>
        </w:rPr>
        <w:t>December 31, 2020 balance includes $17.6 million lease liabilities sold on May 28, 2021. See Note 6.</w:t>
      </w:r>
    </w:p>
    <w:p>
      <w:pPr>
        <w:spacing w:after="0" w:line="24" w:lineRule="exact"/>
        <w:rPr>
          <w:rFonts w:ascii="Arial" w:cs="Arial" w:eastAsia="Arial" w:hAnsi="Arial"/>
          <w:sz w:val="10"/>
          <w:szCs w:val="10"/>
          <w:color w:val="auto"/>
        </w:rPr>
      </w:pPr>
    </w:p>
    <w:p>
      <w:pPr>
        <w:ind w:left="148" w:hanging="148"/>
        <w:spacing w:after="0"/>
        <w:tabs>
          <w:tab w:leader="none" w:pos="148" w:val="left"/>
        </w:tabs>
        <w:numPr>
          <w:ilvl w:val="0"/>
          <w:numId w:val="17"/>
        </w:numPr>
        <w:rPr>
          <w:rFonts w:ascii="Arial" w:cs="Arial" w:eastAsia="Arial" w:hAnsi="Arial"/>
          <w:sz w:val="10"/>
          <w:szCs w:val="10"/>
          <w:color w:val="auto"/>
        </w:rPr>
      </w:pPr>
      <w:r>
        <w:rPr>
          <w:rFonts w:ascii="Arial" w:cs="Arial" w:eastAsia="Arial" w:hAnsi="Arial"/>
          <w:sz w:val="12"/>
          <w:szCs w:val="12"/>
          <w:color w:val="auto"/>
        </w:rPr>
        <w:t>December 31, 2020 balance includes $54.0 million finance lease assets sold on May 28, 2021. See Note 6.</w:t>
      </w:r>
    </w:p>
    <w:p>
      <w:pPr>
        <w:spacing w:after="0" w:line="24" w:lineRule="exact"/>
        <w:rPr>
          <w:rFonts w:ascii="Arial" w:cs="Arial" w:eastAsia="Arial" w:hAnsi="Arial"/>
          <w:sz w:val="10"/>
          <w:szCs w:val="10"/>
          <w:color w:val="auto"/>
        </w:rPr>
      </w:pPr>
    </w:p>
    <w:p>
      <w:pPr>
        <w:ind w:left="148" w:hanging="148"/>
        <w:spacing w:after="0"/>
        <w:tabs>
          <w:tab w:leader="none" w:pos="148" w:val="left"/>
        </w:tabs>
        <w:numPr>
          <w:ilvl w:val="0"/>
          <w:numId w:val="17"/>
        </w:numPr>
        <w:rPr>
          <w:rFonts w:ascii="Arial" w:cs="Arial" w:eastAsia="Arial" w:hAnsi="Arial"/>
          <w:sz w:val="10"/>
          <w:szCs w:val="10"/>
          <w:color w:val="auto"/>
        </w:rPr>
      </w:pPr>
      <w:r>
        <w:rPr>
          <w:rFonts w:ascii="Arial" w:cs="Arial" w:eastAsia="Arial" w:hAnsi="Arial"/>
          <w:sz w:val="12"/>
          <w:szCs w:val="12"/>
          <w:color w:val="auto"/>
        </w:rPr>
        <w:t>December 31, 2020 balance includes $33.3 million finance lease obligations sold on May 28, 2021. See Note 6.</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Other information related to leases as of December 31, 2021 and 2020 are as follows:</w:t>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jc w:val="center"/>
              <w:ind w:left="432"/>
              <w:spacing w:after="0"/>
              <w:rPr>
                <w:sz w:val="20"/>
                <w:szCs w:val="20"/>
                <w:color w:val="auto"/>
              </w:rPr>
            </w:pPr>
            <w:r>
              <w:rPr>
                <w:rFonts w:ascii="Arial" w:cs="Arial" w:eastAsia="Arial" w:hAnsi="Arial"/>
                <w:sz w:val="10"/>
                <w:szCs w:val="10"/>
                <w:b w:val="1"/>
                <w:bCs w:val="1"/>
                <w:color w:val="auto"/>
                <w:w w:val="90"/>
              </w:rPr>
              <w:t>Year Ended</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113"/>
        </w:trPr>
        <w:tc>
          <w:tcPr>
            <w:tcW w:w="500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jc w:val="center"/>
              <w:ind w:left="432"/>
              <w:spacing w:after="0" w:line="114" w:lineRule="exact"/>
              <w:rPr>
                <w:sz w:val="20"/>
                <w:szCs w:val="20"/>
                <w:color w:val="auto"/>
              </w:rPr>
            </w:pPr>
            <w:r>
              <w:rPr>
                <w:rFonts w:ascii="Arial" w:cs="Arial" w:eastAsia="Arial" w:hAnsi="Arial"/>
                <w:sz w:val="10"/>
                <w:szCs w:val="10"/>
                <w:b w:val="1"/>
                <w:bCs w:val="1"/>
                <w:color w:val="auto"/>
                <w:w w:val="86"/>
              </w:rPr>
              <w:t>December 31, 2021</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40" w:type="dxa"/>
            <w:vAlign w:val="bottom"/>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December 31, 2020</w:t>
            </w: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18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Arial" w:cs="Arial" w:eastAsia="Arial" w:hAnsi="Arial"/>
                <w:sz w:val="12"/>
                <w:szCs w:val="12"/>
                <w:color w:val="auto"/>
              </w:rPr>
              <w:t>Operating cash flows for finance leases</w:t>
            </w:r>
          </w:p>
        </w:tc>
        <w:tc>
          <w:tcPr>
            <w:tcW w:w="3460" w:type="dxa"/>
            <w:vAlign w:val="bottom"/>
            <w:gridSpan w:val="3"/>
          </w:tcPr>
          <w:p>
            <w:pPr>
              <w:jc w:val="right"/>
              <w:ind w:right="135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2,383</w:t>
            </w:r>
          </w:p>
        </w:tc>
        <w:tc>
          <w:tcPr>
            <w:tcW w:w="26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3,807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shd w:val="clear" w:color="auto" w:fill="CFF0FC"/>
          </w:tcPr>
          <w:p>
            <w:pPr>
              <w:ind w:left="80"/>
              <w:spacing w:after="0"/>
              <w:rPr>
                <w:sz w:val="20"/>
                <w:szCs w:val="20"/>
                <w:color w:val="auto"/>
              </w:rPr>
            </w:pPr>
            <w:r>
              <w:rPr>
                <w:rFonts w:ascii="Arial" w:cs="Arial" w:eastAsia="Arial" w:hAnsi="Arial"/>
                <w:sz w:val="12"/>
                <w:szCs w:val="12"/>
                <w:color w:val="auto"/>
              </w:rPr>
              <w:t>Operating cash flows for operating leases</w:t>
            </w:r>
          </w:p>
        </w:tc>
        <w:tc>
          <w:tcPr>
            <w:tcW w:w="18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22,471</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28,485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Arial" w:cs="Arial" w:eastAsia="Arial" w:hAnsi="Arial"/>
                <w:sz w:val="12"/>
                <w:szCs w:val="12"/>
                <w:color w:val="auto"/>
              </w:rPr>
              <w:t>Financing cash flows for finance leases</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2,019</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3,702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20"/>
                <w:szCs w:val="20"/>
                <w:color w:val="auto"/>
              </w:rPr>
            </w:pPr>
            <w:r>
              <w:rPr>
                <w:rFonts w:ascii="Arial" w:cs="Arial" w:eastAsia="Arial" w:hAnsi="Arial"/>
                <w:sz w:val="12"/>
                <w:szCs w:val="12"/>
                <w:color w:val="auto"/>
              </w:rPr>
              <w:t>Non-cash items:</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shd w:val="clear" w:color="auto" w:fill="CFF0FC"/>
          </w:tcPr>
          <w:p>
            <w:pPr>
              <w:ind w:left="80"/>
              <w:spacing w:after="0"/>
              <w:rPr>
                <w:sz w:val="20"/>
                <w:szCs w:val="20"/>
                <w:color w:val="auto"/>
              </w:rPr>
            </w:pPr>
            <w:r>
              <w:rPr>
                <w:rFonts w:ascii="Arial" w:cs="Arial" w:eastAsia="Arial" w:hAnsi="Arial"/>
                <w:sz w:val="12"/>
                <w:szCs w:val="12"/>
                <w:color w:val="auto"/>
              </w:rPr>
              <w:t>New operating leases and remeasurements, net</w:t>
            </w:r>
          </w:p>
        </w:tc>
        <w:tc>
          <w:tcPr>
            <w:tcW w:w="3460" w:type="dxa"/>
            <w:vAlign w:val="bottom"/>
            <w:gridSpan w:val="3"/>
            <w:shd w:val="clear" w:color="auto" w:fill="CFF0FC"/>
          </w:tcPr>
          <w:p>
            <w:pPr>
              <w:jc w:val="right"/>
              <w:ind w:right="13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15,230</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Pr>
          <w:p>
            <w:pPr>
              <w:ind w:left="80"/>
              <w:spacing w:after="0"/>
              <w:rPr>
                <w:sz w:val="20"/>
                <w:szCs w:val="20"/>
                <w:color w:val="auto"/>
              </w:rPr>
            </w:pPr>
            <w:r>
              <w:rPr>
                <w:rFonts w:ascii="Arial" w:cs="Arial" w:eastAsia="Arial" w:hAnsi="Arial"/>
                <w:sz w:val="12"/>
                <w:szCs w:val="12"/>
                <w:color w:val="auto"/>
              </w:rPr>
              <w:t>New finance leases</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000" w:type="dxa"/>
            <w:vAlign w:val="bottom"/>
          </w:tcPr>
          <w:p>
            <w:pPr>
              <w:spacing w:after="0"/>
              <w:rPr>
                <w:sz w:val="20"/>
                <w:szCs w:val="20"/>
                <w:color w:val="auto"/>
              </w:rPr>
            </w:pPr>
            <w:r>
              <w:rPr>
                <w:rFonts w:ascii="Arial" w:cs="Arial" w:eastAsia="Arial" w:hAnsi="Arial"/>
                <w:sz w:val="12"/>
                <w:szCs w:val="12"/>
                <w:color w:val="auto"/>
                <w:w w:val="99"/>
              </w:rPr>
              <w:t>Future lease payments under non-cancellable leases as of December 31, 2021 are as follows:</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8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460" w:type="dxa"/>
            <w:vAlign w:val="bottom"/>
            <w:tcBorders>
              <w:bottom w:val="single" w:sz="8" w:color="auto"/>
            </w:tcBorders>
          </w:tcPr>
          <w:p>
            <w:pPr>
              <w:jc w:val="center"/>
              <w:ind w:left="432"/>
              <w:spacing w:after="0"/>
              <w:rPr>
                <w:sz w:val="20"/>
                <w:szCs w:val="20"/>
                <w:color w:val="auto"/>
              </w:rPr>
            </w:pPr>
            <w:r>
              <w:rPr>
                <w:rFonts w:ascii="Arial" w:cs="Arial" w:eastAsia="Arial" w:hAnsi="Arial"/>
                <w:sz w:val="10"/>
                <w:szCs w:val="10"/>
                <w:b w:val="1"/>
                <w:bCs w:val="1"/>
                <w:color w:val="auto"/>
                <w:w w:val="83"/>
              </w:rPr>
              <w:t>Operating Leases</w:t>
            </w: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262"/>
              <w:spacing w:after="0"/>
              <w:rPr>
                <w:sz w:val="20"/>
                <w:szCs w:val="20"/>
                <w:color w:val="auto"/>
              </w:rPr>
            </w:pPr>
            <w:r>
              <w:rPr>
                <w:rFonts w:ascii="Arial" w:cs="Arial" w:eastAsia="Arial" w:hAnsi="Arial"/>
                <w:sz w:val="10"/>
                <w:szCs w:val="10"/>
                <w:b w:val="1"/>
                <w:bCs w:val="1"/>
                <w:color w:val="auto"/>
                <w:w w:val="83"/>
              </w:rPr>
              <w:t>Finance Leases</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00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3460" w:type="dxa"/>
            <w:vAlign w:val="bottom"/>
            <w:gridSpan w:val="3"/>
            <w:shd w:val="clear" w:color="auto" w:fill="CFF0FC"/>
          </w:tcPr>
          <w:p>
            <w:pPr>
              <w:jc w:val="right"/>
              <w:ind w:right="13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14,348</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20"/>
                <w:szCs w:val="20"/>
                <w:color w:val="auto"/>
              </w:rPr>
            </w:pPr>
            <w:r>
              <w:rPr>
                <w:rFonts w:ascii="Arial" w:cs="Arial" w:eastAsia="Arial" w:hAnsi="Arial"/>
                <w:sz w:val="12"/>
                <w:szCs w:val="12"/>
                <w:color w:val="auto"/>
              </w:rPr>
              <w:t>2023</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12,381</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2,285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18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10,087</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20"/>
                <w:szCs w:val="20"/>
                <w:color w:val="auto"/>
              </w:rPr>
            </w:pPr>
            <w:r>
              <w:rPr>
                <w:rFonts w:ascii="Arial" w:cs="Arial" w:eastAsia="Arial" w:hAnsi="Arial"/>
                <w:sz w:val="12"/>
                <w:szCs w:val="12"/>
                <w:color w:val="auto"/>
              </w:rPr>
              <w:t>2025</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7,504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shd w:val="clear" w:color="auto" w:fill="CFF0FC"/>
          </w:tcPr>
          <w:p>
            <w:pPr>
              <w:spacing w:after="0"/>
              <w:rPr>
                <w:sz w:val="20"/>
                <w:szCs w:val="20"/>
                <w:color w:val="auto"/>
              </w:rPr>
            </w:pPr>
            <w:r>
              <w:rPr>
                <w:rFonts w:ascii="Arial" w:cs="Arial" w:eastAsia="Arial" w:hAnsi="Arial"/>
                <w:sz w:val="12"/>
                <w:szCs w:val="12"/>
                <w:color w:val="auto"/>
              </w:rPr>
              <w:t>2026</w:t>
            </w:r>
          </w:p>
        </w:tc>
        <w:tc>
          <w:tcPr>
            <w:tcW w:w="18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4,918</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18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36,283</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14,702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0" w:type="dxa"/>
            <w:vAlign w:val="bottom"/>
            <w:shd w:val="clear" w:color="auto" w:fill="CFF0FC"/>
          </w:tcPr>
          <w:p>
            <w:pPr>
              <w:spacing w:after="0"/>
              <w:rPr>
                <w:sz w:val="20"/>
                <w:szCs w:val="20"/>
                <w:color w:val="auto"/>
              </w:rPr>
            </w:pPr>
            <w:r>
              <w:rPr>
                <w:rFonts w:ascii="Arial" w:cs="Arial" w:eastAsia="Arial" w:hAnsi="Arial"/>
                <w:sz w:val="12"/>
                <w:szCs w:val="12"/>
                <w:color w:val="auto"/>
              </w:rPr>
              <w:t>Total undiscounted lease payments</w:t>
            </w:r>
          </w:p>
        </w:tc>
        <w:tc>
          <w:tcPr>
            <w:tcW w:w="3460" w:type="dxa"/>
            <w:vAlign w:val="bottom"/>
            <w:gridSpan w:val="3"/>
            <w:shd w:val="clear" w:color="auto" w:fill="CFF0FC"/>
          </w:tcPr>
          <w:p>
            <w:pPr>
              <w:jc w:val="right"/>
              <w:ind w:right="13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85,521</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25,441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20"/>
                <w:szCs w:val="20"/>
                <w:color w:val="auto"/>
              </w:rPr>
            </w:pPr>
            <w:r>
              <w:rPr>
                <w:rFonts w:ascii="Arial" w:cs="Arial" w:eastAsia="Arial" w:hAnsi="Arial"/>
                <w:sz w:val="12"/>
                <w:szCs w:val="12"/>
                <w:color w:val="auto"/>
              </w:rPr>
              <w:t>Less: imputed interest</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(28,172)</w:t>
            </w:r>
          </w:p>
        </w:tc>
        <w:tc>
          <w:tcPr>
            <w:tcW w:w="340" w:type="dxa"/>
            <w:vAlign w:val="bottom"/>
          </w:tcPr>
          <w:p>
            <w:pPr>
              <w:spacing w:after="0"/>
              <w:rPr>
                <w:sz w:val="13"/>
                <w:szCs w:val="13"/>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2"/>
                <w:szCs w:val="12"/>
                <w:color w:val="auto"/>
              </w:rPr>
              <w:t>(10,093)</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 lease liabilities</w:t>
            </w:r>
          </w:p>
        </w:tc>
        <w:tc>
          <w:tcPr>
            <w:tcW w:w="2000" w:type="dxa"/>
            <w:vAlign w:val="bottom"/>
            <w:gridSpan w:val="2"/>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00" w:type="dxa"/>
            <w:vAlign w:val="bottom"/>
            <w:vMerge w:val="continue"/>
            <w:shd w:val="clear" w:color="auto" w:fill="CFF0FC"/>
          </w:tcPr>
          <w:p>
            <w:pPr>
              <w:spacing w:after="0"/>
              <w:rPr>
                <w:sz w:val="14"/>
                <w:szCs w:val="14"/>
                <w:color w:val="auto"/>
              </w:rPr>
            </w:pPr>
          </w:p>
        </w:tc>
        <w:tc>
          <w:tcPr>
            <w:tcW w:w="3460" w:type="dxa"/>
            <w:vAlign w:val="bottom"/>
            <w:gridSpan w:val="3"/>
            <w:shd w:val="clear" w:color="auto" w:fill="CFF0FC"/>
          </w:tcPr>
          <w:p>
            <w:pPr>
              <w:jc w:val="right"/>
              <w:ind w:right="13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57,349</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5000" w:type="dxa"/>
            <w:vAlign w:val="bottom"/>
            <w:tcBorders>
              <w:top w:val="single" w:sz="8" w:color="CFF0FC"/>
            </w:tcBorders>
          </w:tcPr>
          <w:p>
            <w:pPr>
              <w:spacing w:after="0"/>
              <w:rPr>
                <w:sz w:val="23"/>
                <w:szCs w:val="23"/>
                <w:color w:val="auto"/>
              </w:rPr>
            </w:pPr>
          </w:p>
        </w:tc>
        <w:tc>
          <w:tcPr>
            <w:tcW w:w="1840" w:type="dxa"/>
            <w:vAlign w:val="bottom"/>
            <w:tcBorders>
              <w:top w:val="single" w:sz="8" w:color="CFF0FC"/>
            </w:tcBorders>
          </w:tcPr>
          <w:p>
            <w:pPr>
              <w:jc w:val="right"/>
              <w:ind w:right="1080"/>
              <w:spacing w:after="0"/>
              <w:rPr>
                <w:sz w:val="20"/>
                <w:szCs w:val="20"/>
                <w:color w:val="auto"/>
              </w:rPr>
            </w:pPr>
            <w:r>
              <w:rPr>
                <w:rFonts w:ascii="Arial" w:cs="Arial" w:eastAsia="Arial" w:hAnsi="Arial"/>
                <w:sz w:val="12"/>
                <w:szCs w:val="12"/>
                <w:color w:val="auto"/>
              </w:rPr>
              <w:t>82</w:t>
            </w:r>
          </w:p>
        </w:tc>
        <w:tc>
          <w:tcPr>
            <w:tcW w:w="160" w:type="dxa"/>
            <w:vAlign w:val="bottom"/>
            <w:tcBorders>
              <w:top w:val="single" w:sz="8" w:color="CFF0FC"/>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5000" w:type="dxa"/>
            <w:vAlign w:val="bottom"/>
            <w:tcBorders>
              <w:bottom w:val="single" w:sz="8" w:color="9A9A9A"/>
            </w:tcBorders>
          </w:tcPr>
          <w:p>
            <w:pPr>
              <w:spacing w:after="0"/>
              <w:rPr>
                <w:sz w:val="6"/>
                <w:szCs w:val="6"/>
                <w:color w:val="auto"/>
              </w:rPr>
            </w:pPr>
          </w:p>
        </w:tc>
        <w:tc>
          <w:tcPr>
            <w:tcW w:w="18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82" w:name="page83"/>
    <w:bookmarkEnd w:id="8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Future sublease rentals as of December 31, 2021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80" w:type="dxa"/>
            <w:vAlign w:val="bottom"/>
          </w:tcPr>
          <w:p>
            <w:pPr>
              <w:spacing w:after="0"/>
              <w:rPr>
                <w:sz w:val="10"/>
                <w:szCs w:val="10"/>
                <w:color w:val="auto"/>
              </w:rPr>
            </w:pPr>
          </w:p>
        </w:tc>
        <w:tc>
          <w:tcPr>
            <w:tcW w:w="2100" w:type="dxa"/>
            <w:vAlign w:val="bottom"/>
            <w:gridSpan w:val="2"/>
          </w:tcPr>
          <w:p>
            <w:pPr>
              <w:ind w:left="400"/>
              <w:spacing w:after="0"/>
              <w:rPr>
                <w:sz w:val="20"/>
                <w:szCs w:val="20"/>
                <w:color w:val="auto"/>
              </w:rPr>
            </w:pPr>
            <w:r>
              <w:rPr>
                <w:rFonts w:ascii="Arial" w:cs="Arial" w:eastAsia="Arial" w:hAnsi="Arial"/>
                <w:sz w:val="10"/>
                <w:szCs w:val="10"/>
                <w:b w:val="1"/>
                <w:bCs w:val="1"/>
                <w:color w:val="auto"/>
              </w:rPr>
              <w:t>Sublease Rentals</w:t>
            </w:r>
          </w:p>
        </w:tc>
      </w:tr>
      <w:tr>
        <w:trPr>
          <w:trHeight w:val="142"/>
        </w:trPr>
        <w:tc>
          <w:tcPr>
            <w:tcW w:w="8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2022</w:t>
            </w:r>
          </w:p>
        </w:tc>
        <w:tc>
          <w:tcPr>
            <w:tcW w:w="22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9,542</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2"/>
                <w:szCs w:val="12"/>
                <w:color w:val="auto"/>
              </w:rPr>
              <w:t>2023</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9,558</w:t>
            </w:r>
          </w:p>
        </w:tc>
        <w:tc>
          <w:tcPr>
            <w:tcW w:w="120" w:type="dxa"/>
            <w:vAlign w:val="bottom"/>
          </w:tcPr>
          <w:p>
            <w:pPr>
              <w:spacing w:after="0"/>
              <w:rPr>
                <w:sz w:val="13"/>
                <w:szCs w:val="13"/>
                <w:color w:val="auto"/>
              </w:rPr>
            </w:pPr>
          </w:p>
        </w:tc>
      </w:tr>
      <w:tr>
        <w:trPr>
          <w:trHeight w:val="153"/>
        </w:trPr>
        <w:tc>
          <w:tcPr>
            <w:tcW w:w="850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9,661</w:t>
            </w:r>
          </w:p>
        </w:tc>
        <w:tc>
          <w:tcPr>
            <w:tcW w:w="120" w:type="dxa"/>
            <w:vAlign w:val="bottom"/>
            <w:shd w:val="clear" w:color="auto" w:fill="CFF0FC"/>
          </w:tcPr>
          <w:p>
            <w:pPr>
              <w:spacing w:after="0"/>
              <w:rPr>
                <w:sz w:val="13"/>
                <w:szCs w:val="13"/>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2"/>
                <w:szCs w:val="12"/>
                <w:color w:val="auto"/>
              </w:rPr>
              <w:t>2025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9,748</w:t>
            </w:r>
          </w:p>
        </w:tc>
        <w:tc>
          <w:tcPr>
            <w:tcW w:w="120" w:type="dxa"/>
            <w:vAlign w:val="bottom"/>
          </w:tcPr>
          <w:p>
            <w:pPr>
              <w:spacing w:after="0"/>
              <w:rPr>
                <w:sz w:val="13"/>
                <w:szCs w:val="13"/>
                <w:color w:val="auto"/>
              </w:rPr>
            </w:pPr>
          </w:p>
        </w:tc>
      </w:tr>
      <w:tr>
        <w:trPr>
          <w:trHeight w:val="153"/>
        </w:trPr>
        <w:tc>
          <w:tcPr>
            <w:tcW w:w="8500" w:type="dxa"/>
            <w:vAlign w:val="bottom"/>
            <w:shd w:val="clear" w:color="auto" w:fill="CFF0FC"/>
          </w:tcPr>
          <w:p>
            <w:pPr>
              <w:spacing w:after="0"/>
              <w:rPr>
                <w:sz w:val="20"/>
                <w:szCs w:val="20"/>
                <w:color w:val="auto"/>
              </w:rPr>
            </w:pPr>
            <w:r>
              <w:rPr>
                <w:rFonts w:ascii="Arial" w:cs="Arial" w:eastAsia="Arial" w:hAnsi="Arial"/>
                <w:sz w:val="12"/>
                <w:szCs w:val="12"/>
                <w:color w:val="auto"/>
              </w:rPr>
              <w:t>2026</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9,833</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4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133,585</w:t>
            </w:r>
          </w:p>
        </w:tc>
        <w:tc>
          <w:tcPr>
            <w:tcW w:w="120" w:type="dxa"/>
            <w:vAlign w:val="bottom"/>
            <w:tcBorders>
              <w:bottom w:val="single" w:sz="8" w:color="CFF0FC"/>
            </w:tcBorders>
          </w:tcPr>
          <w:p>
            <w:pPr>
              <w:spacing w:after="0"/>
              <w:rPr>
                <w:sz w:val="13"/>
                <w:szCs w:val="13"/>
                <w:color w:val="auto"/>
              </w:rPr>
            </w:pPr>
          </w:p>
        </w:tc>
      </w:tr>
      <w:tr>
        <w:trPr>
          <w:trHeight w:val="149"/>
        </w:trPr>
        <w:tc>
          <w:tcPr>
            <w:tcW w:w="8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181,927</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Windstream Leases</w:t>
      </w:r>
    </w:p>
    <w:p>
      <w:pPr>
        <w:spacing w:after="0" w:line="150" w:lineRule="exact"/>
        <w:rPr>
          <w:sz w:val="20"/>
          <w:szCs w:val="20"/>
          <w:color w:val="auto"/>
        </w:rPr>
      </w:pPr>
    </w:p>
    <w:p>
      <w:pPr>
        <w:ind w:right="40"/>
        <w:spacing w:after="0" w:line="278" w:lineRule="auto"/>
        <w:rPr>
          <w:sz w:val="20"/>
          <w:szCs w:val="20"/>
          <w:color w:val="auto"/>
        </w:rPr>
      </w:pPr>
      <w:r>
        <w:rPr>
          <w:rFonts w:ascii="Arial" w:cs="Arial" w:eastAsia="Arial" w:hAnsi="Arial"/>
          <w:sz w:val="11"/>
          <w:szCs w:val="11"/>
          <w:color w:val="auto"/>
        </w:rPr>
        <w:t>On September 18, 2020, in connection with Windstream’s emergence from bankruptcy and the implementation of the Settlement with Windstream described in Note 16 below, Uniti and Windstream bifurcated the Master Lease and entered into two structurally similar master leases that each expire on April 30, 2030 (collectively, the “Windstream Leases”), which Windstream Leases amended and restated the Master Lease in its entirety. The Windstream Leases consist of two leases: (a) a master lease (the “ILEC MLA”) that governs Uniti owned assets used for Windstream’s incumbent local exchange carrier (“ILEC”) operations and (b) a master lease (the “CLEC MLA”) that governs Uniti owned assets used for Windstream’s competitive local exchange carrier (“CLEC”) operations. The aggregate initial annual rent under the Windstream Leases is equal to the annual rent under the Master Lease previously in effect. The tenants under the ILEC MLA are Windstream Holdings II, LLC (“Windstream Holdings II,” successor in interest to Windstream Holdings, Inc.), Windstream Services II, LLC (“Windstream Services II,” successor in interest to Windstream Services LLC), and certain subsidiaries and/or newly formed affiliated entities operating the ILECs, and the landlords under the ILEC MLA are the Uniti entities that own the applicable ILEC assets. Similarly, the tenants under the CLEC MLA are Windstream Holdings II, Windstream Services II, and certain subsidiaries and/or newly formed affiliated entities operating CLECs, and the landlords under the CLEC MLA are the Uniti entities that own the CLEC assets.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19"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In addition, the Windstream Leases impose certain financial restrictions on Windstream if Windstream fails to maintain certain financial covenants. Windstream covenants not to incur certain indebtedness (other than certain refinancing in a principal amount that does not exceed the sum of the principal amount of the indebtedness refinanced, the accrued and unpaid interest on such indebtedness refinanced and any other amounts owing thereon and any customary costs incurred in connection with such refinancing or drawings under its third party syndicated revolving credit facility, in an amount not to exceed $750 million) if its total leverage ratio, pro forma for the incurrence of such indebtedness, would exceed 3.00:1:00. Further, Windstream covenants not to incur certain additional indebtedness, pay dividends, repurchase stock or prepay unsecured debt, or enter into a transaction with an entity controlled by a member of the board without Uniti’s consent if Windstream’s total leverage ratio exceeds 3.50:1.00. Notwithstanding the foregoing, the financial covenants described herein shall not apply at any time in which Windstream maintains a corporate family rating of not less than “B2” by Moody’s and either “B” by Standard &amp; Poor’s or “B” by Fitch Ratings.</w:t>
      </w:r>
    </w:p>
    <w:p>
      <w:pPr>
        <w:spacing w:after="0" w:line="113" w:lineRule="exact"/>
        <w:rPr>
          <w:sz w:val="20"/>
          <w:szCs w:val="20"/>
          <w:color w:val="auto"/>
        </w:rPr>
      </w:pPr>
    </w:p>
    <w:p>
      <w:pPr>
        <w:jc w:val="both"/>
        <w:ind w:right="40"/>
        <w:spacing w:after="0" w:line="289" w:lineRule="auto"/>
        <w:rPr>
          <w:sz w:val="20"/>
          <w:szCs w:val="20"/>
          <w:color w:val="auto"/>
        </w:rPr>
      </w:pPr>
      <w:r>
        <w:rPr>
          <w:rFonts w:ascii="Arial" w:cs="Arial" w:eastAsia="Arial" w:hAnsi="Arial"/>
          <w:sz w:val="11"/>
          <w:szCs w:val="11"/>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3" w:name="page84"/>
    <w:bookmarkEnd w:id="83"/>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separate equipment loan facilities) were limited to $125 million in 2020 and are limited to $225 million per year in 2021 through 2024; $175 million per year in 2025 and 2026; and $125 million per year in 2027 through 2029.</w:t>
      </w:r>
    </w:p>
    <w:p>
      <w:pPr>
        <w:spacing w:after="0" w:line="162"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 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Uniti and Windstream have entered into separate ILEC and CLEC Equipment Loan and Security Agreements (collectively “Equipment Loan Agreement”) in which Uniti will provide up to $125 million (limited to $25 million in any calendar year) of the $1.75 billion of GCI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to Windstream as of December 31, 2021.</w:t>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1"/>
          <w:szCs w:val="11"/>
          <w:color w:val="auto"/>
        </w:rPr>
        <w:t>The Windstream Leases provide, and the Master Lease provided,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 when reimbursed by Uniti.</w:t>
      </w:r>
    </w:p>
    <w:p>
      <w:pPr>
        <w:spacing w:after="0" w:line="111"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During the year ended December 31, 2021, Uniti reimbursed $221.5 million of Growth Capital Improvements, of which $28.5 million, as allowed for under the Settlement, represented the reimbursement of capital improvements completed in 2020 that were previously classified as TCIs.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$0.9 million and reported within other assets on our Consolidated Balance Sheet as of December 31, 2021, will be amortized against revenue over the initial term of the Windstream Leases. Subsequent to December 31, 2021, Windstream requested and we reimbursed $13.4 million of qualifying Growth Capital Improvements that were reported as TCIs as of December 31, 2021. As of the date of this Annual Report on Form 10-K, we have reimbursed a total of $319.6 million of Growth Capital Improvements.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4" w:name="page85"/>
    <w:bookmarkEnd w:id="84"/>
    <w:p>
      <w:pPr>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Business Combinations, Asset Acquisitions and Dispositions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2021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Everstream OpCo-PropCo Transaction</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On May 28, 2021, the Company completed its previously announced strategic transaction with Everstream Solutions LLC (“Everstream”). As part of the transaction, Uniti entered into two 20-year dark fiber indefeasible rights of use (“IRU”) lease agreements with Everstream on Uniti owned fiber. Concurrently, Uniti sold its Uniti Fiber Northeast operations and certain dark fiber IRU contracts acquired as part of the Windstream settlement to Everstream. Total cash consideration, including upfront IRU payments, was approximately $135 million. In addition to the upfront proceeds, Uniti will receive fees of approximately $3 million annually from Everstream over the initial 20-year term of the IRU lease agreements, subject to an annual escalator of 2%. During the quarter ended June 30, 2021, we recorded a gain of $28.1 million related to this transaction, which is included in gain on sale of operations in our Consolidated Statements of Income (Loss).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4860" w:type="dxa"/>
            <w:vAlign w:val="bottom"/>
            <w:tcBorders>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740" w:type="dxa"/>
            <w:vAlign w:val="bottom"/>
            <w:shd w:val="clear" w:color="auto" w:fill="CFF0FC"/>
          </w:tcPr>
          <w:p>
            <w:pPr>
              <w:spacing w:after="0"/>
              <w:rPr>
                <w:sz w:val="20"/>
                <w:szCs w:val="20"/>
                <w:color w:val="auto"/>
              </w:rPr>
            </w:pPr>
            <w:r>
              <w:rPr>
                <w:rFonts w:ascii="Arial" w:cs="Arial" w:eastAsia="Arial" w:hAnsi="Arial"/>
                <w:sz w:val="12"/>
                <w:szCs w:val="12"/>
                <w:color w:val="auto"/>
              </w:rPr>
              <w:t>Assets and liabilities sold:</w:t>
            </w:r>
          </w:p>
        </w:tc>
        <w:tc>
          <w:tcPr>
            <w:tcW w:w="4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Arial" w:cs="Arial" w:eastAsia="Arial" w:hAnsi="Arial"/>
                <w:sz w:val="12"/>
                <w:szCs w:val="12"/>
                <w:color w:val="auto"/>
              </w:rPr>
              <w:t>Assets:</w:t>
            </w:r>
          </w:p>
        </w:tc>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Property, plant and equipment, net</w:t>
            </w:r>
          </w:p>
        </w:tc>
        <w:tc>
          <w:tcPr>
            <w:tcW w:w="6100" w:type="dxa"/>
            <w:vAlign w:val="bottom"/>
            <w:gridSpan w:val="3"/>
            <w:shd w:val="clear" w:color="auto" w:fill="CFF0FC"/>
          </w:tcPr>
          <w:p>
            <w:pPr>
              <w:jc w:val="right"/>
              <w:ind w:right="96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Pr>
          <w:p>
            <w:pPr>
              <w:ind w:left="160"/>
              <w:spacing w:after="0"/>
              <w:rPr>
                <w:sz w:val="20"/>
                <w:szCs w:val="20"/>
                <w:color w:val="auto"/>
              </w:rPr>
            </w:pPr>
            <w:r>
              <w:rPr>
                <w:rFonts w:ascii="Arial" w:cs="Arial" w:eastAsia="Arial" w:hAnsi="Arial"/>
                <w:sz w:val="12"/>
                <w:szCs w:val="12"/>
                <w:color w:val="auto"/>
              </w:rPr>
              <w:t>Goodwill</w:t>
            </w:r>
          </w:p>
        </w:tc>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17,794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Intangible assets, net</w:t>
            </w:r>
          </w:p>
        </w:tc>
        <w:tc>
          <w:tcPr>
            <w:tcW w:w="4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Right of use assets, net</w:t>
            </w:r>
          </w:p>
        </w:tc>
        <w:tc>
          <w:tcPr>
            <w:tcW w:w="4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19,841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spacing w:after="0"/>
              <w:rPr>
                <w:sz w:val="20"/>
                <w:szCs w:val="20"/>
                <w:color w:val="auto"/>
              </w:rPr>
            </w:pPr>
            <w:r>
              <w:rPr>
                <w:rFonts w:ascii="Arial" w:cs="Arial" w:eastAsia="Arial" w:hAnsi="Arial"/>
                <w:sz w:val="12"/>
                <w:szCs w:val="12"/>
                <w:color w:val="auto"/>
              </w:rPr>
              <w:t>Total assets</w:t>
            </w:r>
          </w:p>
        </w:tc>
        <w:tc>
          <w:tcPr>
            <w:tcW w:w="6100" w:type="dxa"/>
            <w:vAlign w:val="bottom"/>
            <w:gridSpan w:val="3"/>
            <w:shd w:val="clear" w:color="auto" w:fill="CFF0FC"/>
          </w:tcPr>
          <w:p>
            <w:pPr>
              <w:jc w:val="right"/>
              <w:ind w:right="96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89,584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FF0FC"/>
          </w:tcPr>
          <w:p>
            <w:pPr>
              <w:spacing w:after="0"/>
              <w:rPr>
                <w:sz w:val="20"/>
                <w:szCs w:val="20"/>
                <w:color w:val="auto"/>
              </w:rPr>
            </w:pPr>
            <w:r>
              <w:rPr>
                <w:rFonts w:ascii="Arial" w:cs="Arial" w:eastAsia="Arial" w:hAnsi="Arial"/>
                <w:sz w:val="12"/>
                <w:szCs w:val="12"/>
                <w:color w:val="auto"/>
              </w:rPr>
              <w:t>Liabilities:</w:t>
            </w:r>
          </w:p>
        </w:tc>
        <w:tc>
          <w:tcPr>
            <w:tcW w:w="4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Pr>
          <w:p>
            <w:pPr>
              <w:ind w:left="160"/>
              <w:spacing w:after="0"/>
              <w:rPr>
                <w:sz w:val="20"/>
                <w:szCs w:val="20"/>
                <w:color w:val="auto"/>
              </w:rPr>
            </w:pPr>
            <w:r>
              <w:rPr>
                <w:rFonts w:ascii="Arial" w:cs="Arial" w:eastAsia="Arial" w:hAnsi="Arial"/>
                <w:sz w:val="12"/>
                <w:szCs w:val="12"/>
                <w:color w:val="auto"/>
              </w:rPr>
              <w:t>Lease liabilities</w:t>
            </w:r>
          </w:p>
        </w:tc>
        <w:tc>
          <w:tcPr>
            <w:tcW w:w="6100" w:type="dxa"/>
            <w:vAlign w:val="bottom"/>
            <w:gridSpan w:val="3"/>
          </w:tcPr>
          <w:p>
            <w:pPr>
              <w:jc w:val="right"/>
              <w:ind w:right="960"/>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18,779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Intangible liabilities, net</w:t>
            </w:r>
          </w:p>
        </w:tc>
        <w:tc>
          <w:tcPr>
            <w:tcW w:w="4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4,492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Finance lease obligations</w:t>
            </w:r>
          </w:p>
        </w:tc>
        <w:tc>
          <w:tcPr>
            <w:tcW w:w="4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32,343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spacing w:after="0"/>
              <w:rPr>
                <w:sz w:val="20"/>
                <w:szCs w:val="20"/>
                <w:color w:val="auto"/>
              </w:rPr>
            </w:pPr>
            <w:r>
              <w:rPr>
                <w:rFonts w:ascii="Arial" w:cs="Arial" w:eastAsia="Arial" w:hAnsi="Arial"/>
                <w:sz w:val="12"/>
                <w:szCs w:val="12"/>
                <w:color w:val="auto"/>
              </w:rPr>
              <w:t>Total liabilities</w:t>
            </w:r>
          </w:p>
        </w:tc>
        <w:tc>
          <w:tcPr>
            <w:tcW w:w="6100" w:type="dxa"/>
            <w:vAlign w:val="bottom"/>
            <w:gridSpan w:val="3"/>
            <w:shd w:val="clear" w:color="auto" w:fill="CFF0FC"/>
          </w:tcPr>
          <w:p>
            <w:pPr>
              <w:jc w:val="right"/>
              <w:ind w:right="96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55,614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FF0FC"/>
          </w:tcPr>
          <w:p>
            <w:pPr>
              <w:spacing w:after="0"/>
              <w:rPr>
                <w:sz w:val="20"/>
                <w:szCs w:val="20"/>
                <w:color w:val="auto"/>
              </w:rPr>
            </w:pPr>
            <w:r>
              <w:rPr>
                <w:rFonts w:ascii="Arial" w:cs="Arial" w:eastAsia="Arial" w:hAnsi="Arial"/>
                <w:sz w:val="12"/>
                <w:szCs w:val="12"/>
                <w:color w:val="auto"/>
              </w:rPr>
              <w:t>Cash consideration</w:t>
            </w:r>
          </w:p>
        </w:tc>
        <w:tc>
          <w:tcPr>
            <w:tcW w:w="6100" w:type="dxa"/>
            <w:vAlign w:val="bottom"/>
            <w:gridSpan w:val="3"/>
            <w:shd w:val="clear" w:color="auto" w:fill="CFF0FC"/>
          </w:tcPr>
          <w:p>
            <w:pPr>
              <w:jc w:val="right"/>
              <w:ind w:right="96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62,113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Arial" w:cs="Arial" w:eastAsia="Arial" w:hAnsi="Arial"/>
                <w:sz w:val="12"/>
                <w:szCs w:val="12"/>
                <w:color w:val="auto"/>
              </w:rPr>
              <w:t>Less: total assets and liabilities sold, net</w:t>
            </w:r>
          </w:p>
        </w:tc>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(33,970)</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Gain on sale of operations</w:t>
            </w:r>
          </w:p>
        </w:tc>
        <w:tc>
          <w:tcPr>
            <w:tcW w:w="4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40" w:type="dxa"/>
            <w:vAlign w:val="bottom"/>
            <w:vMerge w:val="continue"/>
            <w:shd w:val="clear" w:color="auto" w:fill="CFF0FC"/>
          </w:tcPr>
          <w:p>
            <w:pPr>
              <w:spacing w:after="0"/>
              <w:rPr>
                <w:sz w:val="14"/>
                <w:szCs w:val="14"/>
                <w:color w:val="auto"/>
              </w:rPr>
            </w:pPr>
          </w:p>
        </w:tc>
        <w:tc>
          <w:tcPr>
            <w:tcW w:w="6100" w:type="dxa"/>
            <w:vAlign w:val="bottom"/>
            <w:gridSpan w:val="3"/>
            <w:shd w:val="clear" w:color="auto" w:fill="CFF0FC"/>
          </w:tcPr>
          <w:p>
            <w:pPr>
              <w:jc w:val="right"/>
              <w:ind w:right="96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28,143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37"/>
        </w:trPr>
        <w:tc>
          <w:tcPr>
            <w:tcW w:w="3740" w:type="dxa"/>
            <w:vAlign w:val="bottom"/>
            <w:tcBorders>
              <w:top w:val="single" w:sz="8" w:color="CFF0FC"/>
            </w:tcBorders>
          </w:tcPr>
          <w:p>
            <w:pPr>
              <w:spacing w:after="0"/>
              <w:rPr>
                <w:sz w:val="24"/>
                <w:szCs w:val="24"/>
                <w:color w:val="auto"/>
              </w:rPr>
            </w:pPr>
          </w:p>
        </w:tc>
        <w:tc>
          <w:tcPr>
            <w:tcW w:w="4860" w:type="dxa"/>
            <w:vAlign w:val="bottom"/>
            <w:tcBorders>
              <w:top w:val="single" w:sz="8" w:color="CFF0FC"/>
            </w:tcBorders>
          </w:tcPr>
          <w:p>
            <w:pPr>
              <w:jc w:val="right"/>
              <w:ind w:right="2840"/>
              <w:spacing w:after="0"/>
              <w:rPr>
                <w:sz w:val="20"/>
                <w:szCs w:val="20"/>
                <w:color w:val="auto"/>
              </w:rPr>
            </w:pPr>
            <w:r>
              <w:rPr>
                <w:rFonts w:ascii="Arial" w:cs="Arial" w:eastAsia="Arial" w:hAnsi="Arial"/>
                <w:sz w:val="12"/>
                <w:szCs w:val="12"/>
                <w:color w:val="auto"/>
              </w:rPr>
              <w:t>85</w:t>
            </w:r>
          </w:p>
        </w:tc>
        <w:tc>
          <w:tcPr>
            <w:tcW w:w="22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740" w:type="dxa"/>
            <w:vAlign w:val="bottom"/>
            <w:tcBorders>
              <w:bottom w:val="single" w:sz="8" w:color="9A9A9A"/>
            </w:tcBorders>
          </w:tcPr>
          <w:p>
            <w:pPr>
              <w:spacing w:after="0"/>
              <w:rPr>
                <w:sz w:val="6"/>
                <w:szCs w:val="6"/>
                <w:color w:val="auto"/>
              </w:rPr>
            </w:pPr>
          </w:p>
        </w:tc>
        <w:tc>
          <w:tcPr>
            <w:tcW w:w="4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5" w:name="page86"/>
    <w:bookmarkEnd w:id="85"/>
    <w:p>
      <w:pPr>
        <w:spacing w:after="0"/>
        <w:rPr>
          <w:sz w:val="20"/>
          <w:szCs w:val="20"/>
          <w:color w:val="auto"/>
        </w:rPr>
      </w:pPr>
      <w:r>
        <w:rPr>
          <w:rFonts w:ascii="Arial" w:cs="Arial" w:eastAsia="Arial" w:hAnsi="Arial"/>
          <w:sz w:val="12"/>
          <w:szCs w:val="12"/>
          <w:u w:val="single" w:color="auto"/>
          <w:color w:val="0000EE"/>
        </w:rPr>
        <w:t>Table of Contents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2020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Windstream Settlement Agreement</w:t>
      </w:r>
    </w:p>
    <w:p>
      <w:pPr>
        <w:spacing w:after="0" w:line="150" w:lineRule="exact"/>
        <w:rPr>
          <w:sz w:val="20"/>
          <w:szCs w:val="20"/>
          <w:color w:val="auto"/>
        </w:rPr>
      </w:pPr>
    </w:p>
    <w:p>
      <w:pPr>
        <w:ind w:right="20"/>
        <w:spacing w:after="0" w:line="283" w:lineRule="auto"/>
        <w:rPr>
          <w:rFonts w:ascii="Arial" w:cs="Arial" w:eastAsia="Arial" w:hAnsi="Arial"/>
          <w:sz w:val="11"/>
          <w:szCs w:val="11"/>
          <w:color w:val="auto"/>
        </w:rPr>
      </w:pPr>
      <w:r>
        <w:rPr>
          <w:rFonts w:ascii="Arial" w:cs="Arial" w:eastAsia="Arial" w:hAnsi="Arial"/>
          <w:sz w:val="11"/>
          <w:szCs w:val="11"/>
          <w:color w:val="auto"/>
        </w:rPr>
        <w:t xml:space="preserve">On September 18, 2020, and in furtherance of the Settlement Agreement </w:t>
      </w:r>
      <w:hyperlink r:id="rId111">
        <w:r>
          <w:rPr>
            <w:rFonts w:ascii="Arial" w:cs="Arial" w:eastAsia="Arial" w:hAnsi="Arial"/>
            <w:sz w:val="11"/>
            <w:szCs w:val="11"/>
            <w:color w:val="auto"/>
          </w:rPr>
          <w:t xml:space="preserve">(see Note </w:t>
        </w:r>
      </w:hyperlink>
      <w:r>
        <w:rPr>
          <w:rFonts w:ascii="Arial" w:cs="Arial" w:eastAsia="Arial" w:hAnsi="Arial"/>
          <w:sz w:val="11"/>
          <w:szCs w:val="11"/>
          <w:color w:val="auto"/>
        </w:rPr>
        <w:t>16), Uniti and Windstream closed an asset purchase agreement, as amended by a letter agreement (collectively, the “Asset Purchase Agreement”), pursuant to which (a) Uniti paid to Windstream approximately $284.6 million and (b) Windstream (i) granted to Uniti exclusive rights to use 1.8 million fiber strand miles leased by Windstream under the CLEC MLA, which fiber strands are either unutilized or utilized under certain dark fiber indefeasible rights of use (“IRUs”) that were simultaneously transferred to Uniti, (ii) conveyed to Uniti fiber assets (and underlying rights) consisting of 0.4 million fiber strand miles (covering 4,000 route miles) owned by Windstream, and (iii) transferred and assigned to subsidiaries of Uniti dark fiber IRUs relating to (x) the fiber strand miles granted to Uniti under the CLEC MLA (and described in clause (i)) and (y) the fiber assets (and underlying rights) for the 0.4 million fiber strand miles conveyed to Uniti (and described in clause (ii)), which IRUs generated $28.9 million of annual EBITDA in the aggregate as of the closing of the Asset Purchase Agreement. In addition, upon the transfer of the Windstream owned fiber assets (described in clause (ii) above), Uniti granted to Windstream a 20-year IRU for certain strands included in the transferred fiber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-487680</wp:posOffset>
            </wp:positionV>
            <wp:extent cx="32131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21310" cy="5715"/>
                    </a:xfrm>
                    <a:prstGeom prst="rect">
                      <a:avLst/>
                    </a:prstGeom>
                    <a:noFill/>
                  </pic:spPr>
                </pic:pic>
              </a:graphicData>
            </a:graphic>
          </wp:anchor>
        </w:drawing>
      </w:r>
    </w:p>
    <w:p>
      <w:pPr>
        <w:spacing w:after="0" w:line="93" w:lineRule="exact"/>
        <w:rPr>
          <w:sz w:val="20"/>
          <w:szCs w:val="20"/>
          <w:color w:val="auto"/>
        </w:rPr>
      </w:pPr>
    </w:p>
    <w:p>
      <w:pPr>
        <w:ind w:right="440"/>
        <w:spacing w:after="0" w:line="276" w:lineRule="auto"/>
        <w:rPr>
          <w:rFonts w:ascii="Arial" w:cs="Arial" w:eastAsia="Arial" w:hAnsi="Arial"/>
          <w:sz w:val="12"/>
          <w:szCs w:val="12"/>
          <w:color w:val="auto"/>
        </w:rPr>
      </w:pPr>
      <w:r>
        <w:rPr>
          <w:rFonts w:ascii="Arial" w:cs="Arial" w:eastAsia="Arial" w:hAnsi="Arial"/>
          <w:sz w:val="12"/>
          <w:szCs w:val="12"/>
          <w:color w:val="auto"/>
        </w:rPr>
        <w:t>The Company concluded that the Asset Purchase Agreement, and the obligation for Uniti to make cash payments to Windstream in accordance with the terms of the Settlement Agreement (</w:t>
      </w:r>
      <w:hyperlink r:id="rId111">
        <w:r>
          <w:rPr>
            <w:rFonts w:ascii="Arial" w:cs="Arial" w:eastAsia="Arial" w:hAnsi="Arial"/>
            <w:sz w:val="12"/>
            <w:szCs w:val="12"/>
            <w:u w:val="single" w:color="auto"/>
            <w:color w:val="0000EE"/>
          </w:rPr>
          <w:t>see Note 1</w:t>
        </w:r>
      </w:hyperlink>
      <w:r>
        <w:rPr>
          <w:rFonts w:ascii="Arial" w:cs="Arial" w:eastAsia="Arial" w:hAnsi="Arial"/>
          <w:sz w:val="12"/>
          <w:szCs w:val="12"/>
          <w:color w:val="auto"/>
        </w:rPr>
        <w:t>6), should be combined for the accounting purpose of ASC 842. As such, total consideration provided to Windstream under the Settlement has been allocated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20" w:type="dxa"/>
            <w:vAlign w:val="bottom"/>
            <w:tcBorders>
              <w:bottom w:val="single" w:sz="8" w:color="CFF0FC"/>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r>
      <w:tr>
        <w:trPr>
          <w:trHeight w:val="142"/>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Consideration:</w:t>
            </w:r>
          </w:p>
        </w:tc>
        <w:tc>
          <w:tcPr>
            <w:tcW w:w="10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8820" w:type="dxa"/>
            <w:vAlign w:val="bottom"/>
            <w:gridSpan w:val="2"/>
          </w:tcPr>
          <w:p>
            <w:pPr>
              <w:ind w:left="160"/>
              <w:spacing w:after="0"/>
              <w:rPr>
                <w:sz w:val="20"/>
                <w:szCs w:val="20"/>
                <w:color w:val="auto"/>
              </w:rPr>
            </w:pPr>
            <w:r>
              <w:rPr>
                <w:rFonts w:ascii="Arial" w:cs="Arial" w:eastAsia="Arial" w:hAnsi="Arial"/>
                <w:sz w:val="12"/>
                <w:szCs w:val="12"/>
                <w:color w:val="auto"/>
              </w:rPr>
              <w:t>Asset Purchase Agreement</w:t>
            </w:r>
          </w:p>
        </w:tc>
        <w:tc>
          <w:tcPr>
            <w:tcW w:w="1000" w:type="dxa"/>
            <w:vAlign w:val="bottom"/>
          </w:tcPr>
          <w:p>
            <w:pPr>
              <w:jc w:val="right"/>
              <w:ind w:right="8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284,550</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Fair value of settlement obligation</w:t>
            </w:r>
          </w:p>
        </w:tc>
        <w:tc>
          <w:tcPr>
            <w:tcW w:w="10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438,577</w:t>
            </w:r>
          </w:p>
        </w:tc>
        <w:tc>
          <w:tcPr>
            <w:tcW w:w="120" w:type="dxa"/>
            <w:vAlign w:val="bottom"/>
            <w:shd w:val="clear" w:color="auto" w:fill="CFF0FC"/>
          </w:tcPr>
          <w:p>
            <w:pPr>
              <w:spacing w:after="0"/>
              <w:rPr>
                <w:sz w:val="13"/>
                <w:szCs w:val="13"/>
                <w:color w:val="auto"/>
              </w:rPr>
            </w:pPr>
          </w:p>
        </w:tc>
      </w:tr>
      <w:tr>
        <w:trPr>
          <w:trHeight w:val="142"/>
        </w:trPr>
        <w:tc>
          <w:tcPr>
            <w:tcW w:w="8820" w:type="dxa"/>
            <w:vAlign w:val="bottom"/>
            <w:gridSpan w:val="2"/>
          </w:tcPr>
          <w:p>
            <w:pPr>
              <w:ind w:left="160"/>
              <w:spacing w:after="0"/>
              <w:rPr>
                <w:sz w:val="20"/>
                <w:szCs w:val="20"/>
                <w:color w:val="auto"/>
              </w:rPr>
            </w:pPr>
            <w:r>
              <w:rPr>
                <w:rFonts w:ascii="Arial" w:cs="Arial" w:eastAsia="Arial" w:hAnsi="Arial"/>
                <w:sz w:val="12"/>
                <w:szCs w:val="12"/>
                <w:color w:val="auto"/>
              </w:rPr>
              <w:t>Total consideration</w:t>
            </w:r>
          </w:p>
        </w:tc>
        <w:tc>
          <w:tcPr>
            <w:tcW w:w="1000" w:type="dxa"/>
            <w:vAlign w:val="bottom"/>
          </w:tcPr>
          <w:p>
            <w:pPr>
              <w:jc w:val="right"/>
              <w:ind w:right="8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723,127</w:t>
            </w:r>
          </w:p>
        </w:tc>
        <w:tc>
          <w:tcPr>
            <w:tcW w:w="120" w:type="dxa"/>
            <w:vAlign w:val="bottom"/>
          </w:tcPr>
          <w:p>
            <w:pPr>
              <w:spacing w:after="0"/>
              <w:rPr>
                <w:sz w:val="12"/>
                <w:szCs w:val="12"/>
                <w:color w:val="auto"/>
              </w:rPr>
            </w:pPr>
          </w:p>
        </w:tc>
      </w:tr>
      <w:tr>
        <w:trPr>
          <w:trHeight w:val="153"/>
        </w:trPr>
        <w:tc>
          <w:tcPr>
            <w:tcW w:w="8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Fair values of the assets acquired and liabilities assumed as of the acquisition date:</w:t>
            </w:r>
          </w:p>
        </w:tc>
        <w:tc>
          <w:tcPr>
            <w:tcW w:w="1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Property, plant and equipment</w:t>
            </w:r>
          </w:p>
        </w:tc>
        <w:tc>
          <w:tcPr>
            <w:tcW w:w="1000" w:type="dxa"/>
            <w:vAlign w:val="bottom"/>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170,754</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ind w:left="160"/>
              <w:spacing w:after="0"/>
              <w:rPr>
                <w:sz w:val="20"/>
                <w:szCs w:val="20"/>
                <w:color w:val="auto"/>
              </w:rPr>
            </w:pPr>
            <w:r>
              <w:rPr>
                <w:rFonts w:ascii="Arial" w:cs="Arial" w:eastAsia="Arial" w:hAnsi="Arial"/>
                <w:sz w:val="12"/>
                <w:szCs w:val="12"/>
                <w:color w:val="auto"/>
              </w:rPr>
              <w:t>Intangible assets, net</w:t>
            </w:r>
          </w:p>
        </w:tc>
        <w:tc>
          <w:tcPr>
            <w:tcW w:w="10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69,832</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10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27,632</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ind w:left="160"/>
              <w:spacing w:after="0"/>
              <w:rPr>
                <w:sz w:val="20"/>
                <w:szCs w:val="20"/>
                <w:color w:val="auto"/>
              </w:rPr>
            </w:pPr>
            <w:r>
              <w:rPr>
                <w:rFonts w:ascii="Arial" w:cs="Arial" w:eastAsia="Arial" w:hAnsi="Arial"/>
                <w:sz w:val="12"/>
                <w:szCs w:val="12"/>
                <w:color w:val="auto"/>
              </w:rPr>
              <w:t>Intangible liabilities, net</w:t>
            </w:r>
          </w:p>
        </w:tc>
        <w:tc>
          <w:tcPr>
            <w:tcW w:w="100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2"/>
                <w:szCs w:val="12"/>
                <w:color w:val="auto"/>
              </w:rPr>
              <w:t>(195,091)</w:t>
            </w:r>
          </w:p>
        </w:tc>
      </w:tr>
      <w:tr>
        <w:trPr>
          <w:trHeight w:val="142"/>
        </w:trPr>
        <w:tc>
          <w:tcPr>
            <w:tcW w:w="882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2"/>
                <w:szCs w:val="12"/>
                <w:color w:val="auto"/>
              </w:rPr>
              <w:t>Total assets acquired, net</w:t>
            </w:r>
          </w:p>
        </w:tc>
        <w:tc>
          <w:tcPr>
            <w:tcW w:w="100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73,127</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882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Settlement expense</w:t>
            </w:r>
          </w:p>
        </w:tc>
        <w:tc>
          <w:tcPr>
            <w:tcW w:w="10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650,000</w:t>
            </w:r>
          </w:p>
        </w:tc>
        <w:tc>
          <w:tcPr>
            <w:tcW w:w="120" w:type="dxa"/>
            <w:vAlign w:val="bottom"/>
            <w:tcBorders>
              <w:bottom w:val="single" w:sz="8" w:color="CFF0FC"/>
            </w:tcBorders>
          </w:tcPr>
          <w:p>
            <w:pPr>
              <w:spacing w:after="0"/>
              <w:rPr>
                <w:sz w:val="13"/>
                <w:szCs w:val="13"/>
                <w:color w:val="auto"/>
              </w:rPr>
            </w:pPr>
          </w:p>
        </w:tc>
      </w:tr>
      <w:tr>
        <w:trPr>
          <w:trHeight w:val="149"/>
        </w:trPr>
        <w:tc>
          <w:tcPr>
            <w:tcW w:w="882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2"/>
                <w:szCs w:val="12"/>
                <w:color w:val="auto"/>
              </w:rPr>
              <w:t>Total</w:t>
            </w:r>
          </w:p>
        </w:tc>
        <w:tc>
          <w:tcPr>
            <w:tcW w:w="1000" w:type="dxa"/>
            <w:vAlign w:val="bottom"/>
            <w:tcBorders>
              <w:bottom w:val="single" w:sz="8" w:color="auto"/>
            </w:tcBorders>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723,127</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53"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Of the $69.8 million of intangible assets acquired, $59.3 million is related to contracts (8-year weighted-average life) and $10.5 million is related to underlying rights agreements (30-year life). The Company determined the useful life of the contract intangible assets using the weighted-average remaining term and the rights of way intangible asset by aligning the useful life of the intangible with that of the underlying fiber assets acquired. The intangible liabilities represent below market leases, where we are the lessor, and has a weighted-average useful life of 19 years, which aligns with the terms of the agreements. Acquired right of use assets $27.6 million are recorded within other assets on our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 of Midwest Fiber Network</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On July 1, 2020, the Company completed the sale of the entity that controlled the Company’s Midwest fiber network assets (the “Propco”) to Macquarie Infrastructure Partners (“MIP”), selling net assets having a book value of</w:t>
      </w:r>
    </w:p>
    <w:p>
      <w:pPr>
        <w:spacing w:after="0" w:line="26"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color w:val="auto"/>
        </w:rPr>
        <w:t>$186.5 million for total cash consideration of $167.6 million. The Company retained a 20% investment interest in the Propco, having a fair value of $41.9 million, through a newly-formed limited liability company with MIP (see Note 7). During the third quarter of 2020, we recorded a gain of $23.0 million related to this transaction.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6" w:name="page87"/>
    <w:bookmarkEnd w:id="86"/>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 of U.S. Tower Portfolio</w:t>
      </w:r>
    </w:p>
    <w:p>
      <w:pPr>
        <w:spacing w:after="0" w:line="150"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On June 1, 2020, the Company completed the sale of its U.S. tower business to Melody, selling net assets having a book value of $190.0 million for total cash consideration of $225.8 million. The Company retained a 10% investment interest in the tower business, having a fair value of $26.0 million, through a newly-formed limited partnership with Melody (see Note 7), and will receive incremental earn-out payments, estimated to be $1.6 million, which is included in other assets on the Consolidated Balance Sheet as of December 31, 2021. During the second quarter of 2020, we recorded a gain of $63.4 million related to this transaction.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2019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Bluebird Network, LLC</w:t>
      </w:r>
    </w:p>
    <w:p>
      <w:pPr>
        <w:spacing w:after="0" w:line="150"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On August 30, 2019, the Company closed on its operating company/property company (“OpCo-PropCo”) transaction with MIP to acquire Bluebird Network, LLC (“Bluebird”). MIP operates within the Macquarie Infrastructure and Real Assets division of Macquarie Group. Bluebird’s network consists of approximately 178,000 fiber strand miles in the Midwest across Missouri, Kansas, Illinois and Oklahoma. In the transaction, Uniti purchased the Bluebird fiber network and MIP purchased the Bluebird operations. In addition, Uniti sold Uniti Fiber’s Midwest operations to MIP, while Uniti retains its existing Midwest fiber network. Uniti acquired the fiber network of Bluebird for $320.8 million, which included transaction costs of $1.8 million. Uniti funded $175 million in cash and $144 million from pre-paid rent received from MIP at closing. The pre-paid rent is recorded within deferred revenue on our Consolidated Balance Sheet. In connection with the sale of the Company’s Midwest operations, we received total upfront cash of approximately $37 million, including related pre-paid rent received from MIP at closing. Concurrently with the closing of these transactions, Uniti has leased the Bluebird fiber network and its Midwest fiber network on a combined basis to MIP, under a long-term triple net lease (the “Bluebird Lease”). The Bluebird Lease is reported within the results of our Leasing segment. The Midwest operations that were sold to MIP were previously reported in our Fiber Infrastructure segment.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acquisition of the Bluebird network was accounted for as an asset acquisition. The following is a summary of the estimated fair values of the assets acquired and liabilities assumed as of the acquisition date: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ind w:right="902"/>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139,566</w:t>
            </w:r>
          </w:p>
        </w:tc>
        <w:tc>
          <w:tcPr>
            <w:tcW w:w="120" w:type="dxa"/>
            <w:vAlign w:val="bottom"/>
            <w:shd w:val="clear" w:color="auto" w:fill="CFF0FC"/>
          </w:tcPr>
          <w:p>
            <w:pPr>
              <w:spacing w:after="0"/>
              <w:rPr>
                <w:sz w:val="13"/>
                <w:szCs w:val="13"/>
                <w:color w:val="auto"/>
              </w:rPr>
            </w:pPr>
          </w:p>
        </w:tc>
      </w:tr>
      <w:tr>
        <w:trPr>
          <w:trHeight w:val="153"/>
        </w:trPr>
        <w:tc>
          <w:tcPr>
            <w:tcW w:w="880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175,401</w:t>
            </w:r>
          </w:p>
        </w:tc>
        <w:tc>
          <w:tcPr>
            <w:tcW w:w="120" w:type="dxa"/>
            <w:vAlign w:val="bottom"/>
          </w:tcPr>
          <w:p>
            <w:pPr>
              <w:spacing w:after="0"/>
              <w:rPr>
                <w:sz w:val="13"/>
                <w:szCs w:val="13"/>
                <w:color w:val="auto"/>
              </w:rPr>
            </w:pPr>
          </w:p>
        </w:tc>
      </w:tr>
      <w:tr>
        <w:trPr>
          <w:trHeight w:val="153"/>
        </w:trPr>
        <w:tc>
          <w:tcPr>
            <w:tcW w:w="8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assets</w:t>
            </w:r>
          </w:p>
        </w:tc>
        <w:tc>
          <w:tcPr>
            <w:tcW w:w="50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8,946</w:t>
            </w:r>
          </w:p>
        </w:tc>
        <w:tc>
          <w:tcPr>
            <w:tcW w:w="120" w:type="dxa"/>
            <w:vAlign w:val="bottom"/>
            <w:shd w:val="clear" w:color="auto" w:fill="CFF0FC"/>
          </w:tcPr>
          <w:p>
            <w:pPr>
              <w:spacing w:after="0"/>
              <w:rPr>
                <w:sz w:val="13"/>
                <w:szCs w:val="13"/>
                <w:color w:val="auto"/>
              </w:rPr>
            </w:pPr>
          </w:p>
        </w:tc>
      </w:tr>
      <w:tr>
        <w:trPr>
          <w:trHeight w:val="153"/>
        </w:trPr>
        <w:tc>
          <w:tcPr>
            <w:tcW w:w="8800" w:type="dxa"/>
            <w:vAlign w:val="bottom"/>
            <w:gridSpan w:val="2"/>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0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(3,095)</w:t>
            </w:r>
          </w:p>
        </w:tc>
      </w:tr>
      <w:tr>
        <w:trPr>
          <w:trHeight w:val="149"/>
        </w:trPr>
        <w:tc>
          <w:tcPr>
            <w:tcW w:w="8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00" w:type="dxa"/>
            <w:vAlign w:val="bottom"/>
            <w:tcBorders>
              <w:top w:val="single" w:sz="8" w:color="auto"/>
              <w:bottom w:val="single" w:sz="8" w:color="auto"/>
            </w:tcBorders>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320,818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53"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Acquired right of use assets and liabilities of $8.9 million and $3.1 million are recorded within other assets, net and accounts payable, accrued expenses and other liabilities, net on our Consolidated Balance Sheets, respectively. Of the $175.4 million of intangible assets acquired, $124.7 million is related to rights of way (30 year life) and $50.7 million is related to an in-place lease (20 year life). The Company determined the useful life of the rights of way intangible asset by aligning the useful life of the intangible with that of the underlying fiber assets acquired. The in-place lease will be amortized over the initial 20-year lease term.</w:t>
      </w:r>
    </w:p>
    <w:p>
      <w:pPr>
        <w:spacing w:after="0" w:line="105"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Upon the sale of our Midwest operations, we recognized an approximately $2.2 million net loss, which is recorded within other (income) expense on the Consolidated Statements of Income (Loss). This loss included the allocation of approximately $2.2 million of goodwill. See Note 11.</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 of Ground Lease Portfolio</w:t>
      </w:r>
    </w:p>
    <w:p>
      <w:pPr>
        <w:spacing w:after="0" w:line="150"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On May 23, 2019, the Company completed the sale of substantially all of its U.S. ground lease business. During second quarter of 2019, we received cash consideration of $30.7 million resulting in a pre-tax gain of $5.0 million. We sold an additional ground lease during the third quarter of 2019, receiving cash consideration of $2.9 million.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7" w:name="page88"/>
    <w:bookmarkEnd w:id="87"/>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 of Latin American Tower Portfolio</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April 2, 2019, the Company completed the sale of the Uniti Towers’ Latin America business (“LATAM”) to an entity controlled by Phoenix Towers International for cash consideration of $101.6 million resulting in a pre-tax gain of $23.8 million.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JKM Consulting Inc. (M2 Connections)</w:t>
      </w:r>
    </w:p>
    <w:p>
      <w:pPr>
        <w:spacing w:after="0" w:line="150" w:lineRule="exact"/>
        <w:rPr>
          <w:sz w:val="20"/>
          <w:szCs w:val="20"/>
          <w:color w:val="auto"/>
        </w:rPr>
      </w:pPr>
    </w:p>
    <w:p>
      <w:pPr>
        <w:ind w:right="120"/>
        <w:spacing w:after="0" w:line="234" w:lineRule="auto"/>
        <w:rPr>
          <w:rFonts w:ascii="Arial" w:cs="Arial" w:eastAsia="Arial" w:hAnsi="Arial"/>
          <w:sz w:val="11"/>
          <w:szCs w:val="11"/>
          <w:color w:val="auto"/>
        </w:rPr>
      </w:pPr>
      <w:r>
        <w:rPr>
          <w:rFonts w:ascii="Arial" w:cs="Arial" w:eastAsia="Arial" w:hAnsi="Arial"/>
          <w:sz w:val="11"/>
          <w:szCs w:val="11"/>
          <w:color w:val="auto"/>
        </w:rPr>
        <w:t>On March 25, 2019, we acquired 100% of the outstanding equity of JKM Consulting Inc. d/b/a M</w:t>
      </w:r>
      <w:r>
        <w:rPr>
          <w:rFonts w:ascii="Arial" w:cs="Arial" w:eastAsia="Arial" w:hAnsi="Arial"/>
          <w:sz w:val="16"/>
          <w:szCs w:val="16"/>
          <w:color w:val="auto"/>
          <w:vertAlign w:val="superscript"/>
        </w:rPr>
        <w:t>2</w:t>
      </w:r>
      <w:r>
        <w:rPr>
          <w:rFonts w:ascii="Arial" w:cs="Arial" w:eastAsia="Arial" w:hAnsi="Arial"/>
          <w:sz w:val="11"/>
          <w:szCs w:val="11"/>
          <w:color w:val="auto"/>
        </w:rPr>
        <w:t xml:space="preserve"> Connections (“M</w:t>
      </w:r>
      <w:r>
        <w:rPr>
          <w:rFonts w:ascii="Arial" w:cs="Arial" w:eastAsia="Arial" w:hAnsi="Arial"/>
          <w:sz w:val="16"/>
          <w:szCs w:val="16"/>
          <w:color w:val="auto"/>
          <w:vertAlign w:val="superscript"/>
        </w:rPr>
        <w:t>2</w:t>
      </w:r>
      <w:r>
        <w:rPr>
          <w:rFonts w:ascii="Arial" w:cs="Arial" w:eastAsia="Arial" w:hAnsi="Arial"/>
          <w:sz w:val="11"/>
          <w:szCs w:val="11"/>
          <w:color w:val="auto"/>
        </w:rPr>
        <w:t>”) for cash consideration of $5.5 million. M</w:t>
      </w:r>
      <w:r>
        <w:rPr>
          <w:rFonts w:ascii="Arial" w:cs="Arial" w:eastAsia="Arial" w:hAnsi="Arial"/>
          <w:sz w:val="16"/>
          <w:szCs w:val="16"/>
          <w:color w:val="auto"/>
          <w:vertAlign w:val="superscript"/>
        </w:rPr>
        <w:t>2</w:t>
      </w:r>
      <w:r>
        <w:rPr>
          <w:rFonts w:ascii="Arial" w:cs="Arial" w:eastAsia="Arial" w:hAnsi="Arial"/>
          <w:sz w:val="11"/>
          <w:szCs w:val="11"/>
          <w:color w:val="auto"/>
        </w:rPr>
        <w:t xml:space="preserve"> is a dark fiber and internet access provider primarily to educational institutions in Alabama. This acquisition strengthens Uniti Fiber’s relationships with new E-Rate customers. The acquisition was recorded by allocating the costs of the assets acquired based on their estimated fair values at the acquisition date. The excess of the cost of the acquisition over the fair value of the assets acquired is recorded as goodwill of $1.7 million within our Fiber Infrastructure segment. </w:t>
      </w:r>
      <w:hyperlink r:id="rId115">
        <w:r>
          <w:rPr>
            <w:rFonts w:ascii="Arial" w:cs="Arial" w:eastAsia="Arial" w:hAnsi="Arial"/>
            <w:sz w:val="11"/>
            <w:szCs w:val="11"/>
            <w:u w:val="single" w:color="auto"/>
            <w:color w:val="0000EE"/>
          </w:rPr>
          <w:t>See Note 1</w:t>
        </w:r>
      </w:hyperlink>
      <w:r>
        <w:rPr>
          <w:rFonts w:ascii="Arial" w:cs="Arial" w:eastAsia="Arial" w:hAnsi="Arial"/>
          <w:sz w:val="11"/>
          <w:szCs w:val="11"/>
          <w:color w:val="auto"/>
        </w:rPr>
        <w:t>5. For federal income tax purposes, the transaction was treated as a taxable acquisition. Thus, all of the goodwill is expected to be deductible for tax purposes. The financial results of M</w:t>
      </w:r>
      <w:r>
        <w:rPr>
          <w:rFonts w:ascii="Arial" w:cs="Arial" w:eastAsia="Arial" w:hAnsi="Arial"/>
          <w:sz w:val="16"/>
          <w:szCs w:val="16"/>
          <w:color w:val="auto"/>
          <w:vertAlign w:val="superscript"/>
        </w:rPr>
        <w:t>2</w:t>
      </w:r>
      <w:r>
        <w:rPr>
          <w:rFonts w:ascii="Arial" w:cs="Arial" w:eastAsia="Arial" w:hAnsi="Arial"/>
          <w:sz w:val="11"/>
          <w:szCs w:val="11"/>
          <w:color w:val="auto"/>
        </w:rPr>
        <w:t xml:space="preserve"> are included in the Fiber Infrastructure segment from the date of acquisition and were not material, individually or in the aggregate, to our results of operations and therefore, pro forma financial information has not been presented.</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Investment in Unconsolidated Entities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As of December 31, 2021, </w:t>
      </w:r>
      <w:r>
        <w:rPr>
          <w:rFonts w:ascii="Arial" w:cs="Arial" w:eastAsia="Arial" w:hAnsi="Arial"/>
          <w:sz w:val="11"/>
          <w:szCs w:val="11"/>
          <w:color w:val="212529"/>
        </w:rPr>
        <w:t>the Company had an aggregate investment of $64.2 million in its equity method unconsolidated entities, which included a 42% interest in Fiber Holdings and approximately a 7% interest in Harmoni.</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212529"/>
        </w:rPr>
        <w:t>Fiber Holdings</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212529"/>
        </w:rPr>
        <w:t xml:space="preserve">Fiber Holdings </w:t>
      </w:r>
      <w:r>
        <w:rPr>
          <w:rFonts w:ascii="Arial" w:cs="Arial" w:eastAsia="Arial" w:hAnsi="Arial"/>
          <w:sz w:val="12"/>
          <w:szCs w:val="12"/>
          <w:color w:val="000000"/>
        </w:rPr>
        <w:t>was primarily established to develop fiber networks as real estate property for long-term investment. Fiber Holdings has a 47.5% ownership in the Propco that is under a long-term, triple net lease with our joint venture</w:t>
      </w:r>
      <w:r>
        <w:rPr>
          <w:rFonts w:ascii="Arial" w:cs="Arial" w:eastAsia="Arial" w:hAnsi="Arial"/>
          <w:sz w:val="12"/>
          <w:szCs w:val="12"/>
          <w:color w:val="212529"/>
        </w:rPr>
        <w:t xml:space="preserve"> </w:t>
      </w:r>
      <w:r>
        <w:rPr>
          <w:rFonts w:ascii="Arial" w:cs="Arial" w:eastAsia="Arial" w:hAnsi="Arial"/>
          <w:sz w:val="12"/>
          <w:szCs w:val="12"/>
          <w:color w:val="000000"/>
        </w:rPr>
        <w:t xml:space="preserve">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2"/>
          <w:szCs w:val="12"/>
          <w:color w:val="212529"/>
        </w:rPr>
        <w:t>Fiber</w:t>
      </w:r>
      <w:r>
        <w:rPr>
          <w:rFonts w:ascii="Arial" w:cs="Arial" w:eastAsia="Arial" w:hAnsi="Arial"/>
          <w:sz w:val="12"/>
          <w:szCs w:val="12"/>
          <w:color w:val="000000"/>
        </w:rPr>
        <w:t xml:space="preserve"> </w:t>
      </w:r>
      <w:r>
        <w:rPr>
          <w:rFonts w:ascii="Arial" w:cs="Arial" w:eastAsia="Arial" w:hAnsi="Arial"/>
          <w:sz w:val="12"/>
          <w:szCs w:val="12"/>
          <w:color w:val="212529"/>
        </w:rPr>
        <w:t xml:space="preserve">Holdings </w:t>
      </w:r>
      <w:r>
        <w:rPr>
          <w:rFonts w:ascii="Arial" w:cs="Arial" w:eastAsia="Arial" w:hAnsi="Arial"/>
          <w:sz w:val="12"/>
          <w:szCs w:val="12"/>
          <w:color w:val="000000"/>
        </w:rPr>
        <w:t>was approximately $39.9 million as of December 31, 2021. The Company has not provided financial support to</w:t>
      </w:r>
      <w:r>
        <w:rPr>
          <w:rFonts w:ascii="Arial" w:cs="Arial" w:eastAsia="Arial" w:hAnsi="Arial"/>
          <w:sz w:val="12"/>
          <w:szCs w:val="12"/>
          <w:color w:val="212529"/>
        </w:rPr>
        <w:t xml:space="preserve"> Fiber Holdings.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212529"/>
        </w:rPr>
        <w:t>Harmoni</w:t>
      </w:r>
    </w:p>
    <w:p>
      <w:pPr>
        <w:spacing w:after="0" w:line="150"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Harmoni was primarily established to develop wireless communication towers as real estate property for long-term investment. We concluded that Harmoni is a VIE; however, the Company determined that it was not the primary beneficiary of Harmoni because the Company lacks the power to direct the activities that most significantly impact its economic performance. The Company’s current investment and maximum exposure to loss as a result of its involvement with Harmoni was approximately $24.3 million as of December 31, 2021. The Company has not provided financial support to Harmoni.</w:t>
      </w:r>
    </w:p>
    <w:p>
      <w:pPr>
        <w:spacing w:after="0" w:line="12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provide transition services to Harmoni in exchange for fees and reimbursements. Total transition service fees earned in connection with Harmoni were $0.3 million and $0.7 million for the years ended December 31, 2021 and 2020, respectively, which is included in operating expense on a net basis in our Consolidated Statements of Income (Loss).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Fair Value of Financial Instruments</w:t>
      </w:r>
    </w:p>
    <w:p>
      <w:pPr>
        <w:spacing w:after="0" w:line="154" w:lineRule="exact"/>
        <w:rPr>
          <w:sz w:val="20"/>
          <w:szCs w:val="20"/>
          <w:color w:val="auto"/>
        </w:rPr>
      </w:pPr>
    </w:p>
    <w:p>
      <w:pPr>
        <w:ind w:right="380"/>
        <w:spacing w:after="0" w:line="323" w:lineRule="auto"/>
        <w:rPr>
          <w:sz w:val="20"/>
          <w:szCs w:val="20"/>
          <w:color w:val="auto"/>
        </w:rPr>
      </w:pPr>
      <w:r>
        <w:rPr>
          <w:rFonts w:ascii="Arial" w:cs="Arial" w:eastAsia="Arial" w:hAnsi="Arial"/>
          <w:sz w:val="11"/>
          <w:szCs w:val="11"/>
          <w:color w:val="auto"/>
        </w:rPr>
        <w:t xml:space="preserve">FASB ASC 820, </w:t>
      </w:r>
      <w:r>
        <w:rPr>
          <w:rFonts w:ascii="Arial" w:cs="Arial" w:eastAsia="Arial" w:hAnsi="Arial"/>
          <w:sz w:val="11"/>
          <w:szCs w:val="11"/>
          <w:i w:val="1"/>
          <w:iCs w:val="1"/>
          <w:color w:val="auto"/>
        </w:rPr>
        <w:t>Fair Value Measurements</w:t>
      </w:r>
      <w:r>
        <w:rPr>
          <w:rFonts w:ascii="Arial" w:cs="Arial" w:eastAsia="Arial" w:hAnsi="Arial"/>
          <w:sz w:val="11"/>
          <w:szCs w:val="11"/>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88" w:name="page89"/>
    <w:bookmarkEnd w:id="88"/>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1 </w:t>
      </w:r>
      <w:r>
        <w:rPr>
          <w:rFonts w:ascii="Arial" w:cs="Arial" w:eastAsia="Arial" w:hAnsi="Arial"/>
          <w:sz w:val="12"/>
          <w:szCs w:val="12"/>
          <w:color w:val="auto"/>
        </w:rPr>
        <w:t>– Quoted prices (unadjusted) in active markets for identical assets or liabilities that the reporting entity can access at the assessment date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2 </w:t>
      </w:r>
      <w:r>
        <w:rPr>
          <w:rFonts w:ascii="Arial" w:cs="Arial" w:eastAsia="Arial" w:hAnsi="Arial"/>
          <w:sz w:val="12"/>
          <w:szCs w:val="12"/>
          <w:color w:val="auto"/>
        </w:rPr>
        <w:t>– Inputs other than quoted prices included within Level 1 that are observable for the asset or liability, either directly or indirectly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3 </w:t>
      </w:r>
      <w:r>
        <w:rPr>
          <w:rFonts w:ascii="Arial" w:cs="Arial" w:eastAsia="Arial" w:hAnsi="Arial"/>
          <w:sz w:val="12"/>
          <w:szCs w:val="12"/>
          <w:color w:val="auto"/>
        </w:rPr>
        <w:t>– Unobservable inputs for the asset or liability</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Our financial instruments consist of cash and cash equivalents, accounts and other receivables, derivative instruments, contingent consideration, our outstanding notes and other debt, and accounts, interest and dividends payable.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fair value of our financial instruments at December 31, 2021 and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ind w:left="132"/>
              <w:spacing w:after="0"/>
              <w:rPr>
                <w:sz w:val="20"/>
                <w:szCs w:val="20"/>
                <w:color w:val="auto"/>
              </w:rPr>
            </w:pPr>
            <w:r>
              <w:rPr>
                <w:rFonts w:ascii="Arial" w:cs="Arial" w:eastAsia="Arial" w:hAnsi="Arial"/>
                <w:sz w:val="10"/>
                <w:szCs w:val="10"/>
                <w:b w:val="1"/>
                <w:bCs w:val="1"/>
                <w:color w:val="auto"/>
                <w:w w:val="85"/>
              </w:rPr>
              <w:t>Quoted Prices in</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Prices with Other</w:t>
            </w:r>
          </w:p>
        </w:tc>
        <w:tc>
          <w:tcPr>
            <w:tcW w:w="8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3"/>
              </w:rPr>
              <w:t>Prices with</w:t>
            </w:r>
          </w:p>
        </w:tc>
      </w:tr>
      <w:tr>
        <w:trPr>
          <w:trHeight w:val="99"/>
        </w:trPr>
        <w:tc>
          <w:tcPr>
            <w:tcW w:w="4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jc w:val="center"/>
              <w:ind w:left="132"/>
              <w:spacing w:after="0" w:line="99" w:lineRule="exact"/>
              <w:rPr>
                <w:sz w:val="20"/>
                <w:szCs w:val="20"/>
                <w:color w:val="auto"/>
              </w:rPr>
            </w:pPr>
            <w:r>
              <w:rPr>
                <w:rFonts w:ascii="Arial" w:cs="Arial" w:eastAsia="Arial" w:hAnsi="Arial"/>
                <w:sz w:val="10"/>
                <w:szCs w:val="10"/>
                <w:b w:val="1"/>
                <w:bCs w:val="1"/>
                <w:color w:val="auto"/>
                <w:w w:val="90"/>
              </w:rPr>
              <w:t>Active Markets</w:t>
            </w: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80" w:type="dxa"/>
            <w:vAlign w:val="bottom"/>
          </w:tcPr>
          <w:p>
            <w:pPr>
              <w:spacing w:after="0"/>
              <w:rPr>
                <w:sz w:val="8"/>
                <w:szCs w:val="8"/>
                <w:color w:val="auto"/>
              </w:rPr>
            </w:pPr>
          </w:p>
        </w:tc>
        <w:tc>
          <w:tcPr>
            <w:tcW w:w="108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4"/>
              </w:rPr>
              <w:t>Unobservable Inputs</w:t>
            </w:r>
          </w:p>
        </w:tc>
      </w:tr>
      <w:tr>
        <w:trPr>
          <w:trHeight w:val="113"/>
        </w:trPr>
        <w:tc>
          <w:tcPr>
            <w:tcW w:w="474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ind w:left="240"/>
              <w:spacing w:after="0" w:line="114" w:lineRule="exact"/>
              <w:rPr>
                <w:sz w:val="20"/>
                <w:szCs w:val="20"/>
                <w:color w:val="auto"/>
              </w:rPr>
            </w:pPr>
            <w:r>
              <w:rPr>
                <w:rFonts w:ascii="Arial" w:cs="Arial" w:eastAsia="Arial" w:hAnsi="Arial"/>
                <w:sz w:val="10"/>
                <w:szCs w:val="10"/>
                <w:b w:val="1"/>
                <w:bCs w:val="1"/>
                <w:color w:val="auto"/>
              </w:rPr>
              <w:t>Total</w:t>
            </w:r>
          </w:p>
        </w:tc>
        <w:tc>
          <w:tcPr>
            <w:tcW w:w="940" w:type="dxa"/>
            <w:vAlign w:val="bottom"/>
          </w:tcPr>
          <w:p>
            <w:pPr>
              <w:jc w:val="center"/>
              <w:ind w:left="132"/>
              <w:spacing w:after="0" w:line="114" w:lineRule="exact"/>
              <w:rPr>
                <w:sz w:val="20"/>
                <w:szCs w:val="20"/>
                <w:color w:val="auto"/>
              </w:rPr>
            </w:pPr>
            <w:r>
              <w:rPr>
                <w:rFonts w:ascii="Arial" w:cs="Arial" w:eastAsia="Arial" w:hAnsi="Arial"/>
                <w:sz w:val="10"/>
                <w:szCs w:val="10"/>
                <w:b w:val="1"/>
                <w:bCs w:val="1"/>
                <w:color w:val="auto"/>
                <w:w w:val="88"/>
              </w:rPr>
              <w:t>(Level 1)</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8"/>
              </w:rPr>
              <w:t>(Level 2)</w:t>
            </w:r>
          </w:p>
        </w:tc>
        <w:tc>
          <w:tcPr>
            <w:tcW w:w="80" w:type="dxa"/>
            <w:vAlign w:val="bottom"/>
          </w:tcPr>
          <w:p>
            <w:pPr>
              <w:spacing w:after="0"/>
              <w:rPr>
                <w:sz w:val="9"/>
                <w:szCs w:val="9"/>
                <w:color w:val="auto"/>
              </w:rPr>
            </w:pPr>
          </w:p>
        </w:tc>
        <w:tc>
          <w:tcPr>
            <w:tcW w:w="108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8"/>
              </w:rPr>
              <w:t>(Level 3)</w:t>
            </w:r>
          </w:p>
        </w:tc>
      </w:tr>
      <w:tr>
        <w:trPr>
          <w:trHeight w:val="142"/>
        </w:trPr>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At December 31, 2021</w:t>
            </w:r>
          </w:p>
        </w:tc>
        <w:tc>
          <w:tcPr>
            <w:tcW w:w="9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Liabilities</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Senior secured notes - 7.875%, due February 15, 2025</w:t>
            </w:r>
          </w:p>
        </w:tc>
        <w:tc>
          <w:tcPr>
            <w:tcW w:w="134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2,351,576</w:t>
            </w: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832"/>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2,351,576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4740" w:type="dxa"/>
            <w:vAlign w:val="bottom"/>
          </w:tcPr>
          <w:p>
            <w:pPr>
              <w:ind w:left="160"/>
              <w:spacing w:after="0"/>
              <w:rPr>
                <w:sz w:val="20"/>
                <w:szCs w:val="20"/>
                <w:color w:val="auto"/>
              </w:rPr>
            </w:pPr>
            <w:r>
              <w:rPr>
                <w:rFonts w:ascii="Arial" w:cs="Arial" w:eastAsia="Arial" w:hAnsi="Arial"/>
                <w:sz w:val="12"/>
                <w:szCs w:val="12"/>
                <w:color w:val="auto"/>
              </w:rPr>
              <w:t>Senior secured notes - 4.75%, due April 15, 2028</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560,857</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560,857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4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Senior unsecured notes - 6.50%, due February 15, 2029</w:t>
            </w: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1,087,844</w:t>
            </w: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1,087,844</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4740" w:type="dxa"/>
            <w:vAlign w:val="bottom"/>
          </w:tcPr>
          <w:p>
            <w:pPr>
              <w:ind w:left="160"/>
              <w:spacing w:after="0"/>
              <w:rPr>
                <w:sz w:val="20"/>
                <w:szCs w:val="20"/>
                <w:color w:val="auto"/>
              </w:rPr>
            </w:pPr>
            <w:r>
              <w:rPr>
                <w:rFonts w:ascii="Arial" w:cs="Arial" w:eastAsia="Arial" w:hAnsi="Arial"/>
                <w:sz w:val="12"/>
                <w:szCs w:val="12"/>
                <w:color w:val="auto"/>
              </w:rPr>
              <w:t>Senior unsecured notes - 6.00%, due January 15, 2030</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659,992</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659,992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4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Exchangeable senior unsecured notes - 4.00%, due June 15, 2024</w:t>
            </w: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453,104</w:t>
            </w: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453,104</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4740" w:type="dxa"/>
            <w:vAlign w:val="bottom"/>
          </w:tcPr>
          <w:p>
            <w:pPr>
              <w:ind w:left="160"/>
              <w:spacing w:after="0"/>
              <w:rPr>
                <w:sz w:val="20"/>
                <w:szCs w:val="20"/>
                <w:color w:val="auto"/>
              </w:rPr>
            </w:pPr>
            <w:r>
              <w:rPr>
                <w:rFonts w:ascii="Arial" w:cs="Arial" w:eastAsia="Arial" w:hAnsi="Arial"/>
                <w:sz w:val="12"/>
                <w:szCs w:val="12"/>
                <w:color w:val="auto"/>
              </w:rPr>
              <w:t>Senior secured revolving credit facility, variable rate, due December 10, 2024</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199,980</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199,980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4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Derivative liability, net</w:t>
            </w: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10,413</w:t>
            </w: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10,413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47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Settlement payable</w:t>
            </w:r>
          </w:p>
        </w:tc>
        <w:tc>
          <w:tcPr>
            <w:tcW w:w="9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254,725</w:t>
            </w:r>
          </w:p>
        </w:tc>
        <w:tc>
          <w:tcPr>
            <w:tcW w:w="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w w:val="82"/>
              </w:rPr>
              <w:t>—</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254,725</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w w:val="82"/>
              </w:rPr>
              <w:t>—</w:t>
            </w:r>
          </w:p>
        </w:tc>
        <w:tc>
          <w:tcPr>
            <w:tcW w:w="120" w:type="dxa"/>
            <w:vAlign w:val="bottom"/>
            <w:tcBorders>
              <w:bottom w:val="single" w:sz="8" w:color="CFF0FC"/>
            </w:tcBorders>
          </w:tcPr>
          <w:p>
            <w:pPr>
              <w:spacing w:after="0"/>
              <w:rPr>
                <w:sz w:val="13"/>
                <w:szCs w:val="13"/>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134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5,578,491</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832"/>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5,578,491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2"/>
                <w:szCs w:val="12"/>
                <w:color w:val="auto"/>
              </w:rPr>
              <w:t>—</w:t>
            </w:r>
          </w:p>
        </w:tc>
      </w:tr>
      <w:tr>
        <w:trPr>
          <w:trHeight w:val="275"/>
        </w:trPr>
        <w:tc>
          <w:tcPr>
            <w:tcW w:w="4740" w:type="dxa"/>
            <w:vAlign w:val="bottom"/>
            <w:tcBorders>
              <w:top w:val="single" w:sz="8" w:color="CFF0FC"/>
            </w:tcBorders>
          </w:tcPr>
          <w:p>
            <w:pPr>
              <w:spacing w:after="0"/>
              <w:rPr>
                <w:sz w:val="23"/>
                <w:szCs w:val="23"/>
                <w:color w:val="auto"/>
              </w:rPr>
            </w:pPr>
          </w:p>
        </w:tc>
        <w:tc>
          <w:tcPr>
            <w:tcW w:w="106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2"/>
                <w:szCs w:val="12"/>
                <w:color w:val="auto"/>
              </w:rPr>
              <w:t>89</w:t>
            </w: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r>
      <w:tr>
        <w:trPr>
          <w:trHeight w:val="72"/>
        </w:trPr>
        <w:tc>
          <w:tcPr>
            <w:tcW w:w="47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9" w:name="page90"/>
    <w:bookmarkEnd w:id="89"/>
    <w:p>
      <w:pPr>
        <w:spacing w:after="0"/>
        <w:rPr>
          <w:sz w:val="20"/>
          <w:szCs w:val="20"/>
          <w:color w:val="auto"/>
        </w:rPr>
      </w:pPr>
      <w:r>
        <w:rPr>
          <w:rFonts w:ascii="Arial" w:cs="Arial" w:eastAsia="Arial" w:hAnsi="Arial"/>
          <w:sz w:val="12"/>
          <w:szCs w:val="12"/>
          <w:u w:val="single" w:color="auto"/>
          <w:color w:val="0000EE"/>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left="92"/>
              <w:spacing w:after="0"/>
              <w:rPr>
                <w:sz w:val="20"/>
                <w:szCs w:val="20"/>
                <w:color w:val="auto"/>
              </w:rPr>
            </w:pPr>
            <w:r>
              <w:rPr>
                <w:rFonts w:ascii="Arial" w:cs="Arial" w:eastAsia="Arial" w:hAnsi="Arial"/>
                <w:sz w:val="10"/>
                <w:szCs w:val="10"/>
                <w:b w:val="1"/>
                <w:bCs w:val="1"/>
                <w:color w:val="auto"/>
                <w:w w:val="85"/>
              </w:rPr>
              <w:t>Quoted Prices in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87"/>
              </w:rPr>
              <w:t>Prices with Other</w:t>
            </w:r>
          </w:p>
        </w:tc>
        <w:tc>
          <w:tcPr>
            <w:tcW w:w="14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7"/>
              </w:rPr>
              <w:t>Prices with</w:t>
            </w:r>
          </w:p>
        </w:tc>
      </w:tr>
      <w:tr>
        <w:trPr>
          <w:trHeight w:val="99"/>
        </w:trPr>
        <w:tc>
          <w:tcPr>
            <w:tcW w:w="5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jc w:val="center"/>
              <w:ind w:left="92"/>
              <w:spacing w:after="0" w:line="99" w:lineRule="exact"/>
              <w:rPr>
                <w:sz w:val="20"/>
                <w:szCs w:val="20"/>
                <w:color w:val="auto"/>
              </w:rPr>
            </w:pPr>
            <w:r>
              <w:rPr>
                <w:rFonts w:ascii="Arial" w:cs="Arial" w:eastAsia="Arial" w:hAnsi="Arial"/>
                <w:sz w:val="10"/>
                <w:szCs w:val="10"/>
                <w:b w:val="1"/>
                <w:bCs w:val="1"/>
                <w:color w:val="auto"/>
                <w:w w:val="90"/>
              </w:rPr>
              <w:t>Active Markets</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gridSpan w:val="2"/>
          </w:tcPr>
          <w:p>
            <w:pPr>
              <w:jc w:val="center"/>
              <w:ind w:right="580"/>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100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86"/>
              </w:rPr>
              <w:t>Unobservable Inputs</w:t>
            </w:r>
          </w:p>
        </w:tc>
      </w:tr>
      <w:tr>
        <w:trPr>
          <w:trHeight w:val="113"/>
        </w:trPr>
        <w:tc>
          <w:tcPr>
            <w:tcW w:w="56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4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61"/>
              <w:spacing w:after="0" w:line="114" w:lineRule="exact"/>
              <w:rPr>
                <w:sz w:val="20"/>
                <w:szCs w:val="20"/>
                <w:color w:val="auto"/>
              </w:rPr>
            </w:pPr>
            <w:r>
              <w:rPr>
                <w:rFonts w:ascii="Arial" w:cs="Arial" w:eastAsia="Arial" w:hAnsi="Arial"/>
                <w:sz w:val="10"/>
                <w:szCs w:val="10"/>
                <w:b w:val="1"/>
                <w:bCs w:val="1"/>
                <w:color w:val="auto"/>
              </w:rPr>
              <w:t>Total</w:t>
            </w:r>
          </w:p>
        </w:tc>
        <w:tc>
          <w:tcPr>
            <w:tcW w:w="28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tcPr>
          <w:p>
            <w:pPr>
              <w:jc w:val="center"/>
              <w:ind w:left="92"/>
              <w:spacing w:after="0" w:line="114" w:lineRule="exact"/>
              <w:rPr>
                <w:sz w:val="20"/>
                <w:szCs w:val="20"/>
                <w:color w:val="auto"/>
              </w:rPr>
            </w:pPr>
            <w:r>
              <w:rPr>
                <w:rFonts w:ascii="Arial" w:cs="Arial" w:eastAsia="Arial" w:hAnsi="Arial"/>
                <w:sz w:val="10"/>
                <w:szCs w:val="10"/>
                <w:b w:val="1"/>
                <w:bCs w:val="1"/>
                <w:color w:val="auto"/>
                <w:w w:val="88"/>
              </w:rPr>
              <w:t>(Level 1)</w:t>
            </w: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center"/>
              <w:ind w:right="83"/>
              <w:spacing w:after="0" w:line="114" w:lineRule="exact"/>
              <w:rPr>
                <w:sz w:val="20"/>
                <w:szCs w:val="20"/>
                <w:color w:val="auto"/>
              </w:rPr>
            </w:pPr>
            <w:r>
              <w:rPr>
                <w:rFonts w:ascii="Arial" w:cs="Arial" w:eastAsia="Arial" w:hAnsi="Arial"/>
                <w:sz w:val="10"/>
                <w:szCs w:val="10"/>
                <w:b w:val="1"/>
                <w:bCs w:val="1"/>
                <w:color w:val="auto"/>
                <w:w w:val="88"/>
              </w:rPr>
              <w:t>(Level 2)</w:t>
            </w:r>
          </w:p>
        </w:tc>
        <w:tc>
          <w:tcPr>
            <w:tcW w:w="44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122"/>
              <w:spacing w:after="0" w:line="114" w:lineRule="exact"/>
              <w:rPr>
                <w:sz w:val="20"/>
                <w:szCs w:val="20"/>
                <w:color w:val="auto"/>
              </w:rPr>
            </w:pPr>
            <w:r>
              <w:rPr>
                <w:rFonts w:ascii="Arial" w:cs="Arial" w:eastAsia="Arial" w:hAnsi="Arial"/>
                <w:sz w:val="10"/>
                <w:szCs w:val="10"/>
                <w:b w:val="1"/>
                <w:bCs w:val="1"/>
                <w:color w:val="auto"/>
                <w:w w:val="88"/>
              </w:rPr>
              <w:t>(Level 3)</w:t>
            </w:r>
          </w:p>
        </w:tc>
        <w:tc>
          <w:tcPr>
            <w:tcW w:w="40" w:type="dxa"/>
            <w:vAlign w:val="bottom"/>
            <w:tcBorders>
              <w:bottom w:val="single" w:sz="8" w:color="CFF0FC"/>
            </w:tcBorders>
          </w:tcPr>
          <w:p>
            <w:pPr>
              <w:spacing w:after="0"/>
              <w:rPr>
                <w:sz w:val="9"/>
                <w:szCs w:val="9"/>
                <w:color w:val="auto"/>
              </w:rPr>
            </w:pPr>
          </w:p>
        </w:tc>
      </w:tr>
      <w:tr>
        <w:trPr>
          <w:trHeight w:val="142"/>
        </w:trPr>
        <w:tc>
          <w:tcPr>
            <w:tcW w:w="57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At December 31, 2020</w:t>
            </w: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5760" w:type="dxa"/>
            <w:vAlign w:val="bottom"/>
            <w:gridSpan w:val="2"/>
          </w:tcPr>
          <w:p>
            <w:pPr>
              <w:spacing w:after="0"/>
              <w:rPr>
                <w:sz w:val="20"/>
                <w:szCs w:val="20"/>
                <w:color w:val="auto"/>
              </w:rPr>
            </w:pPr>
            <w:r>
              <w:rPr>
                <w:rFonts w:ascii="Arial" w:cs="Arial" w:eastAsia="Arial" w:hAnsi="Arial"/>
                <w:sz w:val="12"/>
                <w:szCs w:val="12"/>
                <w:color w:val="auto"/>
              </w:rPr>
              <w:t>Liabilities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Senior secured notes - 7.875%, due February 15, 2025</w:t>
            </w: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2,410,313</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832"/>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2,410,313</w:t>
            </w: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760" w:type="dxa"/>
            <w:vAlign w:val="bottom"/>
            <w:gridSpan w:val="2"/>
          </w:tcPr>
          <w:p>
            <w:pPr>
              <w:ind w:left="160"/>
              <w:spacing w:after="0"/>
              <w:rPr>
                <w:sz w:val="20"/>
                <w:szCs w:val="20"/>
                <w:color w:val="auto"/>
              </w:rPr>
            </w:pPr>
            <w:r>
              <w:rPr>
                <w:rFonts w:ascii="Arial" w:cs="Arial" w:eastAsia="Arial" w:hAnsi="Arial"/>
                <w:sz w:val="12"/>
                <w:szCs w:val="12"/>
                <w:color w:val="auto"/>
              </w:rPr>
              <w:t>Senior secured notes - 6.00%, due April 15, 2023</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561,000</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561,000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Senior unsecured notes - 8.25%, due October 15, 2023</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1,112,775</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1,112,775</w:t>
            </w: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760" w:type="dxa"/>
            <w:vAlign w:val="bottom"/>
            <w:gridSpan w:val="2"/>
          </w:tcPr>
          <w:p>
            <w:pPr>
              <w:ind w:left="160"/>
              <w:spacing w:after="0"/>
              <w:rPr>
                <w:sz w:val="20"/>
                <w:szCs w:val="20"/>
                <w:color w:val="auto"/>
              </w:rPr>
            </w:pPr>
            <w:r>
              <w:rPr>
                <w:rFonts w:ascii="Arial" w:cs="Arial" w:eastAsia="Arial" w:hAnsi="Arial"/>
                <w:sz w:val="12"/>
                <w:szCs w:val="12"/>
                <w:color w:val="auto"/>
              </w:rPr>
              <w:t>Senior unsecured notes - 7.125%, due December 15, 2024</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601,500</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601,500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Exchangeable senior unsecured notes - 4.00%, due June 15, 2024</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426,058</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426,058</w:t>
            </w: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760" w:type="dxa"/>
            <w:vAlign w:val="bottom"/>
            <w:gridSpan w:val="2"/>
          </w:tcPr>
          <w:p>
            <w:pPr>
              <w:ind w:left="160"/>
              <w:spacing w:after="0"/>
              <w:rPr>
                <w:sz w:val="20"/>
                <w:szCs w:val="20"/>
                <w:color w:val="auto"/>
              </w:rPr>
            </w:pPr>
            <w:r>
              <w:rPr>
                <w:rFonts w:ascii="Arial" w:cs="Arial" w:eastAsia="Arial" w:hAnsi="Arial"/>
                <w:sz w:val="12"/>
                <w:szCs w:val="12"/>
                <w:color w:val="auto"/>
              </w:rPr>
              <w:t>Senior secured revolving credit facility, variable rate, due April 24, 2022</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110,000</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110,000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Derivative liability, net</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22,897</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22,897</w:t>
            </w: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760" w:type="dxa"/>
            <w:vAlign w:val="bottom"/>
            <w:gridSpan w:val="2"/>
          </w:tcPr>
          <w:p>
            <w:pPr>
              <w:ind w:left="160"/>
              <w:spacing w:after="0"/>
              <w:rPr>
                <w:sz w:val="20"/>
                <w:szCs w:val="20"/>
                <w:color w:val="auto"/>
              </w:rPr>
            </w:pPr>
            <w:r>
              <w:rPr>
                <w:rFonts w:ascii="Arial" w:cs="Arial" w:eastAsia="Arial" w:hAnsi="Arial"/>
                <w:sz w:val="12"/>
                <w:szCs w:val="12"/>
                <w:color w:val="auto"/>
              </w:rPr>
              <w:t>Settlement payable</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418,840</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418,840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Contingent consideration</w:t>
            </w:r>
          </w:p>
        </w:tc>
        <w:tc>
          <w:tcPr>
            <w:tcW w:w="30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2,957</w:t>
            </w:r>
          </w:p>
        </w:tc>
        <w:tc>
          <w:tcPr>
            <w:tcW w:w="280" w:type="dxa"/>
            <w:vAlign w:val="bottom"/>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2"/>
                <w:szCs w:val="12"/>
                <w:color w:val="auto"/>
                <w:w w:val="82"/>
              </w:rPr>
              <w:t>—</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2,957</w:t>
            </w:r>
          </w:p>
        </w:tc>
        <w:tc>
          <w:tcPr>
            <w:tcW w:w="40" w:type="dxa"/>
            <w:vAlign w:val="bottom"/>
            <w:shd w:val="clear" w:color="auto" w:fill="CFF0FC"/>
          </w:tcPr>
          <w:p>
            <w:pPr>
              <w:spacing w:after="0"/>
              <w:rPr>
                <w:sz w:val="13"/>
                <w:szCs w:val="13"/>
                <w:color w:val="auto"/>
              </w:rPr>
            </w:pPr>
          </w:p>
        </w:tc>
      </w:tr>
      <w:tr>
        <w:trPr>
          <w:trHeight w:val="149"/>
        </w:trPr>
        <w:tc>
          <w:tcPr>
            <w:tcW w:w="5760" w:type="dxa"/>
            <w:vAlign w:val="bottom"/>
            <w:gridSpan w:val="2"/>
          </w:tcPr>
          <w:p>
            <w:pPr>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5,666,340</w:t>
            </w:r>
          </w:p>
        </w:tc>
        <w:tc>
          <w:tcPr>
            <w:tcW w:w="280" w:type="dxa"/>
            <w:vAlign w:val="bottom"/>
          </w:tcPr>
          <w:p>
            <w:pPr>
              <w:spacing w:after="0"/>
              <w:rPr>
                <w:sz w:val="12"/>
                <w:szCs w:val="12"/>
                <w:color w:val="auto"/>
              </w:rPr>
            </w:pPr>
          </w:p>
        </w:tc>
        <w:tc>
          <w:tcPr>
            <w:tcW w:w="9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82"/>
              </w:rPr>
              <w:t>—</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5,663,383</w:t>
            </w:r>
          </w:p>
        </w:tc>
        <w:tc>
          <w:tcPr>
            <w:tcW w:w="44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2,957</w:t>
            </w:r>
          </w:p>
        </w:tc>
        <w:tc>
          <w:tcPr>
            <w:tcW w:w="40" w:type="dxa"/>
            <w:vAlign w:val="bottom"/>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carrying value of cash and cash equivalents, accounts and other receivables, and accounts, interest and dividends payable approximate fair values due to the short-term nature of these financial instruments.</w:t>
      </w:r>
    </w:p>
    <w:p>
      <w:pPr>
        <w:spacing w:after="0" w:line="150"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The total principal balance of our Notes and other debt was $5.18 billion at December 31, 2021, with a fair value of $5.31 billion. The estimated fair value of the Notes and other debt was based on available external pricing data and current market rates for similar debt instruments, among other factors, which are classified as Level 2 inputs within the fair value hierarchy. Derivative instruments are carried at fair value. See Note 10. The fair value of our interest rate swap is determined based on the present value of expected future cash flows using observable, quoted LIBOR swap rates for the full term of the swap and also incorporate credit valuation adjustments to appropriately reflect both Uniti 's own non-performance risk and non-performance risk of the respective counterparties. The Company has determined that the majority of the inputs used to value its derivative instruments fall within Level 2 of the fair value hierarchy; however, the associated credit valuation adjustments utilized Level 3 inputs, such as estimates of credit spreads, to evaluate the likelihood of default by the Company and its counterparties. As of December 31, 2021,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instruments valuation in Level 2 of the fair value hierarchy.</w:t>
      </w:r>
    </w:p>
    <w:p>
      <w:pPr>
        <w:spacing w:after="0" w:line="115" w:lineRule="exact"/>
        <w:rPr>
          <w:sz w:val="20"/>
          <w:szCs w:val="20"/>
          <w:color w:val="auto"/>
        </w:rPr>
      </w:pPr>
    </w:p>
    <w:p>
      <w:pPr>
        <w:ind w:right="240"/>
        <w:spacing w:after="0" w:line="357" w:lineRule="auto"/>
        <w:rPr>
          <w:sz w:val="20"/>
          <w:szCs w:val="20"/>
          <w:color w:val="auto"/>
        </w:rPr>
      </w:pPr>
      <w:r>
        <w:rPr>
          <w:rFonts w:ascii="Arial" w:cs="Arial" w:eastAsia="Arial" w:hAnsi="Arial"/>
          <w:sz w:val="11"/>
          <w:szCs w:val="11"/>
          <w:color w:val="auto"/>
        </w:rPr>
        <w:t>Given the limited trade activity of the Exchangeable Notes, the fair value of the Exchangeable Notes (see Note 12)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Uniti is required to make a $490.1 million cash payment to Windstream in equal installments over 20 consecutive quarters beginning October 2020, which was the first month after Windstream’s emergence (the “Settlement Payable”) (see Note 16). The Settlement Payable was recorded at fair value, using the present value of future cash flows. The future cash flows are discounted using discount rate input based on observable market data. Accordingly, we classify inputs used as Level 2 in the fair value hierarchy. The remaining Settlement Payable is $239.4 million and is reported as settlement payable on our Consolidated Balance Sheet at December 31, 2021. There have been no changes in the valuation methodologies used since the initial recording.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0" w:name="page91"/>
    <w:bookmarkEnd w:id="90"/>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We acquired Tower Cloud, Inc. (“Tower Cloud”) on August 31, 2016. As part of the Tower Cloud acquisition, we were obligated to pay contingent consideration upon achievement of certain defined operational and financial milestones from the date of acquisition through December 31, 2021. During the three months ended March 31, 2021, the Company paid $3.0 million for the achievement of the final remaining milestone in accordance with the Tower Cloud merger agreement. During the year ended December 31, 2020, we paid $15.7 million for the achievement of certain milestones in accordance with the Tower Cloud merger agreement.</w:t>
      </w:r>
    </w:p>
    <w:p>
      <w:pPr>
        <w:spacing w:after="0" w:line="105"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Changes in the fair value of contingent consideration will be recorded in our Consolidated Statements of Income (Loss) in the period in which the change occurs. The final measurement of the contingent consideration was recorded during the three months ended March 31, 2021, resulting in an increase in the fair value of less than $0.1 million. For the year ended December 31, 2020, there was a $7.2 million increase in the fair value of the contingent consideration that was recorded in Other (income) expense on the Consolidated Statements of Income (Loss).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is a roll forward of our liability measured at fair value on a recurring basis using unobservable inputs (Level 3):</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(Gain)/Loss included in</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3"/>
        </w:trPr>
        <w:tc>
          <w:tcPr>
            <w:tcW w:w="496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160"/>
              <w:spacing w:after="0" w:line="114" w:lineRule="exact"/>
              <w:rPr>
                <w:sz w:val="20"/>
                <w:szCs w:val="20"/>
                <w:color w:val="auto"/>
              </w:rPr>
            </w:pPr>
            <w:r>
              <w:rPr>
                <w:rFonts w:ascii="Arial" w:cs="Arial" w:eastAsia="Arial" w:hAnsi="Arial"/>
                <w:sz w:val="10"/>
                <w:szCs w:val="10"/>
                <w:b w:val="1"/>
                <w:bCs w:val="1"/>
                <w:color w:val="auto"/>
                <w:w w:val="88"/>
              </w:rPr>
              <w:t>December 31, 2020</w:t>
            </w:r>
          </w:p>
        </w:tc>
        <w:tc>
          <w:tcPr>
            <w:tcW w:w="240" w:type="dxa"/>
            <w:vAlign w:val="bottom"/>
            <w:tcBorders>
              <w:bottom w:val="single" w:sz="8" w:color="CFF0FC"/>
            </w:tcBorders>
          </w:tcPr>
          <w:p>
            <w:pPr>
              <w:spacing w:after="0"/>
              <w:rPr>
                <w:sz w:val="9"/>
                <w:szCs w:val="9"/>
                <w:color w:val="auto"/>
              </w:rPr>
            </w:pPr>
          </w:p>
        </w:tc>
        <w:tc>
          <w:tcPr>
            <w:tcW w:w="98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88"/>
              </w:rPr>
              <w:t>Transfers into Level 3</w:t>
            </w:r>
          </w:p>
        </w:tc>
        <w:tc>
          <w:tcPr>
            <w:tcW w:w="24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center"/>
              <w:ind w:right="168"/>
              <w:spacing w:after="0" w:line="114" w:lineRule="exact"/>
              <w:rPr>
                <w:sz w:val="20"/>
                <w:szCs w:val="20"/>
                <w:color w:val="auto"/>
              </w:rPr>
            </w:pPr>
            <w:r>
              <w:rPr>
                <w:rFonts w:ascii="Arial" w:cs="Arial" w:eastAsia="Arial" w:hAnsi="Arial"/>
                <w:sz w:val="10"/>
                <w:szCs w:val="10"/>
                <w:b w:val="1"/>
                <w:bCs w:val="1"/>
                <w:color w:val="auto"/>
                <w:w w:val="81"/>
              </w:rPr>
              <w:t>earnings</w:t>
            </w:r>
          </w:p>
        </w:tc>
        <w:tc>
          <w:tcPr>
            <w:tcW w:w="24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gridSpan w:val="4"/>
          </w:tcPr>
          <w:p>
            <w:pPr>
              <w:jc w:val="right"/>
              <w:ind w:right="172"/>
              <w:spacing w:after="0" w:line="114" w:lineRule="exact"/>
              <w:rPr>
                <w:sz w:val="20"/>
                <w:szCs w:val="20"/>
                <w:color w:val="auto"/>
              </w:rPr>
            </w:pPr>
            <w:r>
              <w:rPr>
                <w:rFonts w:ascii="Arial" w:cs="Arial" w:eastAsia="Arial" w:hAnsi="Arial"/>
                <w:sz w:val="10"/>
                <w:szCs w:val="10"/>
                <w:b w:val="1"/>
                <w:bCs w:val="1"/>
                <w:color w:val="auto"/>
              </w:rPr>
              <w:t>Settlements</w:t>
            </w:r>
          </w:p>
        </w:tc>
        <w:tc>
          <w:tcPr>
            <w:tcW w:w="10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101"/>
              <w:spacing w:after="0" w:line="114" w:lineRule="exact"/>
              <w:rPr>
                <w:sz w:val="20"/>
                <w:szCs w:val="20"/>
                <w:color w:val="auto"/>
              </w:rPr>
            </w:pPr>
            <w:r>
              <w:rPr>
                <w:rFonts w:ascii="Arial" w:cs="Arial" w:eastAsia="Arial" w:hAnsi="Arial"/>
                <w:sz w:val="10"/>
                <w:szCs w:val="10"/>
                <w:b w:val="1"/>
                <w:bCs w:val="1"/>
                <w:color w:val="auto"/>
                <w:w w:val="88"/>
              </w:rPr>
              <w:t>December 31, 2021</w:t>
            </w:r>
          </w:p>
        </w:tc>
        <w:tc>
          <w:tcPr>
            <w:tcW w:w="120" w:type="dxa"/>
            <w:vAlign w:val="bottom"/>
            <w:tcBorders>
              <w:bottom w:val="single" w:sz="8" w:color="CFF0FC"/>
            </w:tcBorders>
          </w:tcPr>
          <w:p>
            <w:pPr>
              <w:spacing w:after="0"/>
              <w:rPr>
                <w:sz w:val="9"/>
                <w:szCs w:val="9"/>
                <w:color w:val="auto"/>
              </w:rPr>
            </w:pPr>
          </w:p>
        </w:tc>
      </w:tr>
      <w:tr>
        <w:trPr>
          <w:trHeight w:val="142"/>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Contingent consideration</w:t>
            </w: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2,957</w:t>
            </w:r>
          </w:p>
        </w:tc>
        <w:tc>
          <w:tcPr>
            <w:tcW w:w="500" w:type="dxa"/>
            <w:vAlign w:val="bottom"/>
            <w:gridSpan w:val="2"/>
            <w:shd w:val="clear" w:color="auto" w:fill="CFF0FC"/>
          </w:tcPr>
          <w:p>
            <w:pPr>
              <w:jc w:val="right"/>
              <w:ind w:right="152"/>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FF0FC"/>
          </w:tcPr>
          <w:p>
            <w:pPr>
              <w:ind w:left="60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580" w:type="dxa"/>
            <w:vAlign w:val="bottom"/>
            <w:gridSpan w:val="2"/>
            <w:shd w:val="clear" w:color="auto" w:fill="CFF0FC"/>
          </w:tcPr>
          <w:p>
            <w:pPr>
              <w:jc w:val="right"/>
              <w:ind w:right="23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(2,979)</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2"/>
                <w:szCs w:val="12"/>
                <w:b w:val="1"/>
                <w:bCs w:val="1"/>
                <w:color w:val="auto"/>
              </w:rPr>
              <w:t>Note 9. Property, Plant and Equipment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5080" w:type="dxa"/>
            <w:vAlign w:val="bottom"/>
            <w:gridSpan w:val="2"/>
          </w:tcPr>
          <w:p>
            <w:pPr>
              <w:spacing w:after="0"/>
              <w:rPr>
                <w:sz w:val="20"/>
                <w:szCs w:val="20"/>
                <w:color w:val="auto"/>
              </w:rPr>
            </w:pPr>
            <w:r>
              <w:rPr>
                <w:rFonts w:ascii="Arial" w:cs="Arial" w:eastAsia="Arial" w:hAnsi="Arial"/>
                <w:sz w:val="12"/>
                <w:szCs w:val="12"/>
                <w:color w:val="auto"/>
              </w:rPr>
              <w:t>The carrying value of property, plant and equipment is as follows: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2"/>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w w:val="88"/>
              </w:rPr>
              <w:t>Depreciable Lives</w:t>
            </w:r>
            <w:r>
              <w:rPr>
                <w:rFonts w:ascii="Arial" w:cs="Arial" w:eastAsia="Arial" w:hAnsi="Arial"/>
                <w:sz w:val="8"/>
                <w:szCs w:val="8"/>
                <w:b w:val="1"/>
                <w:bCs w:val="1"/>
                <w:color w:val="auto"/>
                <w:w w:val="88"/>
              </w:rPr>
              <w:t>(1)</w:t>
            </w:r>
          </w:p>
        </w:tc>
        <w:tc>
          <w:tcPr>
            <w:tcW w:w="1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0"/>
                <w:szCs w:val="10"/>
                <w:b w:val="1"/>
                <w:bCs w:val="1"/>
                <w:color w:val="auto"/>
              </w:rPr>
              <w:t>December 31, 2021</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0"/>
                <w:szCs w:val="10"/>
                <w:b w:val="1"/>
                <w:bCs w:val="1"/>
                <w:color w:val="auto"/>
                <w:w w:val="88"/>
              </w:rPr>
              <w:t>December 31, 2020</w:t>
            </w:r>
          </w:p>
        </w:tc>
        <w:tc>
          <w:tcPr>
            <w:tcW w:w="120" w:type="dxa"/>
            <w:vAlign w:val="bottom"/>
            <w:tcBorders>
              <w:bottom w:val="single" w:sz="8" w:color="CFF0FC"/>
            </w:tcBorders>
          </w:tcPr>
          <w:p>
            <w:pPr>
              <w:spacing w:after="0"/>
              <w:rPr>
                <w:sz w:val="21"/>
                <w:szCs w:val="21"/>
                <w:color w:val="auto"/>
              </w:rPr>
            </w:pPr>
          </w:p>
        </w:tc>
      </w:tr>
      <w:tr>
        <w:trPr>
          <w:trHeight w:val="142"/>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Indefinite</w:t>
            </w:r>
          </w:p>
        </w:tc>
        <w:tc>
          <w:tcPr>
            <w:tcW w:w="220" w:type="dxa"/>
            <w:vAlign w:val="bottom"/>
            <w:gridSpan w:val="2"/>
            <w:shd w:val="clear" w:color="auto" w:fill="CFF0FC"/>
          </w:tcPr>
          <w:p>
            <w:pPr>
              <w:jc w:val="right"/>
              <w:ind w:right="92"/>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28,449</w:t>
            </w:r>
          </w:p>
        </w:tc>
        <w:tc>
          <w:tcPr>
            <w:tcW w:w="1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7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27,945</w:t>
            </w:r>
          </w:p>
        </w:tc>
        <w:tc>
          <w:tcPr>
            <w:tcW w:w="120" w:type="dxa"/>
            <w:vAlign w:val="bottom"/>
            <w:shd w:val="clear" w:color="auto" w:fill="CFF0FC"/>
          </w:tcPr>
          <w:p>
            <w:pPr>
              <w:spacing w:after="0"/>
              <w:rPr>
                <w:sz w:val="12"/>
                <w:szCs w:val="12"/>
                <w:color w:val="auto"/>
              </w:rPr>
            </w:pPr>
          </w:p>
        </w:tc>
      </w:t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Building and improvements</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3 - 40 years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359,980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351,305</w:t>
            </w:r>
          </w:p>
        </w:tc>
        <w:tc>
          <w:tcPr>
            <w:tcW w:w="120" w:type="dxa"/>
            <w:vAlign w:val="bottom"/>
          </w:tcPr>
          <w:p>
            <w:pPr>
              <w:spacing w:after="0"/>
              <w:rPr>
                <w:sz w:val="13"/>
                <w:szCs w:val="13"/>
                <w:color w:val="auto"/>
              </w:rPr>
            </w:pPr>
          </w:p>
        </w:tc>
      </w:tr>
      <w:tr>
        <w:trPr>
          <w:trHeight w:val="153"/>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Poles</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30 years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281,130</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266,758</w:t>
            </w:r>
          </w:p>
        </w:tc>
        <w:tc>
          <w:tcPr>
            <w:tcW w:w="120" w:type="dxa"/>
            <w:vAlign w:val="bottom"/>
            <w:shd w:val="clear" w:color="auto" w:fill="CFF0FC"/>
          </w:tcPr>
          <w:p>
            <w:pPr>
              <w:spacing w:after="0"/>
              <w:rPr>
                <w:sz w:val="13"/>
                <w:szCs w:val="13"/>
                <w:color w:val="auto"/>
              </w:rPr>
            </w:pPr>
          </w:p>
        </w:tc>
      </w:t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Fiber</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30 years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4,107,519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3,737,372</w:t>
            </w:r>
          </w:p>
        </w:tc>
        <w:tc>
          <w:tcPr>
            <w:tcW w:w="120" w:type="dxa"/>
            <w:vAlign w:val="bottom"/>
          </w:tcPr>
          <w:p>
            <w:pPr>
              <w:spacing w:after="0"/>
              <w:rPr>
                <w:sz w:val="13"/>
                <w:szCs w:val="13"/>
                <w:color w:val="auto"/>
              </w:rPr>
            </w:pPr>
          </w:p>
        </w:tc>
      </w:tr>
      <w:tr>
        <w:trPr>
          <w:trHeight w:val="153"/>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Equipment</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5 - 7 years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331,761</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298,912</w:t>
            </w:r>
          </w:p>
        </w:tc>
        <w:tc>
          <w:tcPr>
            <w:tcW w:w="120" w:type="dxa"/>
            <w:vAlign w:val="bottom"/>
            <w:shd w:val="clear" w:color="auto" w:fill="CFF0FC"/>
          </w:tcPr>
          <w:p>
            <w:pPr>
              <w:spacing w:after="0"/>
              <w:rPr>
                <w:sz w:val="13"/>
                <w:szCs w:val="13"/>
                <w:color w:val="auto"/>
              </w:rPr>
            </w:pPr>
          </w:p>
        </w:tc>
      </w:t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Copper</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20 years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3,918,281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3,850,987</w:t>
            </w:r>
          </w:p>
        </w:tc>
        <w:tc>
          <w:tcPr>
            <w:tcW w:w="120" w:type="dxa"/>
            <w:vAlign w:val="bottom"/>
          </w:tcPr>
          <w:p>
            <w:pPr>
              <w:spacing w:after="0"/>
              <w:rPr>
                <w:sz w:val="13"/>
                <w:szCs w:val="13"/>
                <w:color w:val="auto"/>
              </w:rPr>
            </w:pPr>
          </w:p>
        </w:tc>
      </w:tr>
      <w:tr>
        <w:trPr>
          <w:trHeight w:val="153"/>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Conduit</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30 years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89,859</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89,773</w:t>
            </w:r>
          </w:p>
        </w:tc>
        <w:tc>
          <w:tcPr>
            <w:tcW w:w="120" w:type="dxa"/>
            <w:vAlign w:val="bottom"/>
            <w:shd w:val="clear" w:color="auto" w:fill="CFF0FC"/>
          </w:tcPr>
          <w:p>
            <w:pPr>
              <w:spacing w:after="0"/>
              <w:rPr>
                <w:sz w:val="13"/>
                <w:szCs w:val="13"/>
                <w:color w:val="auto"/>
              </w:rPr>
            </w:pPr>
          </w:p>
        </w:tc>
      </w:t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Tower assets</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20 years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8,544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8,571</w:t>
            </w:r>
          </w:p>
        </w:tc>
        <w:tc>
          <w:tcPr>
            <w:tcW w:w="120" w:type="dxa"/>
            <w:vAlign w:val="bottom"/>
          </w:tcPr>
          <w:p>
            <w:pPr>
              <w:spacing w:after="0"/>
              <w:rPr>
                <w:sz w:val="13"/>
                <w:szCs w:val="13"/>
                <w:color w:val="auto"/>
              </w:rPr>
            </w:pPr>
          </w:p>
        </w:tc>
      </w:tr>
      <w:tr>
        <w:trPr>
          <w:trHeight w:val="153"/>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Finance lease assets</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See Note 3</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72,284</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74,103</w:t>
            </w:r>
          </w:p>
        </w:tc>
        <w:tc>
          <w:tcPr>
            <w:tcW w:w="120" w:type="dxa"/>
            <w:vAlign w:val="bottom"/>
            <w:shd w:val="clear" w:color="auto" w:fill="CFF0FC"/>
          </w:tcPr>
          <w:p>
            <w:pPr>
              <w:spacing w:after="0"/>
              <w:rPr>
                <w:sz w:val="13"/>
                <w:szCs w:val="13"/>
                <w:color w:val="auto"/>
              </w:rPr>
            </w:pPr>
          </w:p>
        </w:tc>
      </w:t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Construction in progress</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See Note 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27,366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47,086</w:t>
            </w:r>
          </w:p>
        </w:tc>
        <w:tc>
          <w:tcPr>
            <w:tcW w:w="120" w:type="dxa"/>
            <w:vAlign w:val="bottom"/>
          </w:tcPr>
          <w:p>
            <w:pPr>
              <w:spacing w:after="0"/>
              <w:rPr>
                <w:sz w:val="13"/>
                <w:szCs w:val="13"/>
                <w:color w:val="auto"/>
              </w:rPr>
            </w:pPr>
          </w:p>
        </w:tc>
      </w:tr>
      <w:tr>
        <w:trPr>
          <w:trHeight w:val="153"/>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assets</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15 - 20 years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10,652</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10,553</w:t>
            </w:r>
          </w:p>
        </w:tc>
        <w:tc>
          <w:tcPr>
            <w:tcW w:w="120" w:type="dxa"/>
            <w:vAlign w:val="bottom"/>
            <w:shd w:val="clear" w:color="auto" w:fill="CFF0FC"/>
          </w:tcPr>
          <w:p>
            <w:pPr>
              <w:spacing w:after="0"/>
              <w:rPr>
                <w:sz w:val="13"/>
                <w:szCs w:val="13"/>
                <w:color w:val="auto"/>
              </w:rPr>
            </w:pPr>
          </w:p>
        </w:tc>
      </w:tr>
      <w:tr>
        <w:trPr>
          <w:trHeight w:val="153"/>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Corporate assets</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2"/>
                <w:szCs w:val="12"/>
                <w:color w:val="auto"/>
              </w:rPr>
              <w:t>3 - 7 years</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14,326</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13,475</w:t>
            </w:r>
          </w:p>
        </w:tc>
        <w:tc>
          <w:tcPr>
            <w:tcW w:w="120" w:type="dxa"/>
            <w:vAlign w:val="bottom"/>
            <w:tcBorders>
              <w:bottom w:val="single" w:sz="8" w:color="CFF0FC"/>
            </w:tcBorders>
          </w:tcPr>
          <w:p>
            <w:pPr>
              <w:spacing w:after="0"/>
              <w:rPr>
                <w:sz w:val="13"/>
                <w:szCs w:val="13"/>
                <w:color w:val="auto"/>
              </w:rPr>
            </w:pPr>
          </w:p>
        </w:tc>
      </w:tr>
      <w:tr>
        <w:trPr>
          <w:trHeight w:val="142"/>
        </w:trPr>
        <w:tc>
          <w:tcPr>
            <w:tcW w:w="4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9,250,151</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8,776,840</w:t>
            </w:r>
          </w:p>
        </w:tc>
        <w:tc>
          <w:tcPr>
            <w:tcW w:w="120" w:type="dxa"/>
            <w:vAlign w:val="bottom"/>
            <w:shd w:val="clear" w:color="auto" w:fill="CFF0FC"/>
          </w:tcPr>
          <w:p>
            <w:pPr>
              <w:spacing w:after="0"/>
              <w:rPr>
                <w:sz w:val="12"/>
                <w:szCs w:val="12"/>
                <w:color w:val="auto"/>
              </w:rPr>
            </w:pPr>
          </w:p>
        </w:tc>
      </w:t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2"/>
                <w:szCs w:val="12"/>
                <w:color w:val="auto"/>
                <w:w w:val="97"/>
              </w:rPr>
              <w:t>(5,741,212)</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(5,503,487)</w:t>
            </w:r>
          </w:p>
        </w:tc>
      </w:tr>
      <w:tr>
        <w:trPr>
          <w:trHeight w:val="149"/>
        </w:trPr>
        <w:tc>
          <w:tcPr>
            <w:tcW w:w="50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 net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3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42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7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3,508,939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3,273,353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jc w:val="both"/>
        <w:ind w:left="8" w:right="2980" w:hanging="8"/>
        <w:spacing w:after="0" w:line="546" w:lineRule="auto"/>
        <w:tabs>
          <w:tab w:leader="none" w:pos="157" w:val="left"/>
        </w:tabs>
        <w:numPr>
          <w:ilvl w:val="0"/>
          <w:numId w:val="18"/>
        </w:numPr>
        <w:rPr>
          <w:rFonts w:ascii="Arial" w:cs="Arial" w:eastAsia="Arial" w:hAnsi="Arial"/>
          <w:sz w:val="9"/>
          <w:szCs w:val="9"/>
          <w:color w:val="auto"/>
        </w:rPr>
      </w:pPr>
      <w:r>
        <w:rPr>
          <w:rFonts w:ascii="Arial" w:cs="Arial" w:eastAsia="Arial" w:hAnsi="Arial"/>
          <w:sz w:val="11"/>
          <w:szCs w:val="11"/>
          <w:color w:val="auto"/>
        </w:rPr>
        <w:t>Certain property acquired from Windstream is depreciated using Windstream's estimated useful lives. Specifically, certain Fiber assets are depreciated using a 20 year life. Finance lease assets above represent fiber leases, where we have the exclusive, unrestricted, and indefeasible right to use one, a pair, or more strands of fiber of a fiber cable. Depreciation expense for the years ended December 31, 2021, 2020, and 2019 was $261.2 million, $301.2 million and $377.3 million, respectively.</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91" w:name="page92"/>
    <w:bookmarkEnd w:id="91"/>
    <w:p>
      <w:pPr>
        <w:spacing w:after="0"/>
        <w:rPr>
          <w:sz w:val="20"/>
          <w:szCs w:val="20"/>
          <w:color w:val="auto"/>
        </w:rPr>
      </w:pPr>
      <w:r>
        <w:rPr>
          <w:rFonts w:ascii="Arial" w:cs="Arial" w:eastAsia="Arial" w:hAnsi="Arial"/>
          <w:sz w:val="12"/>
          <w:szCs w:val="12"/>
          <w:u w:val="single" w:color="auto"/>
          <w:color w:val="0000EE"/>
        </w:rPr>
        <w:t>Table of Contents</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Derivative Instruments and Hedging Activities</w:t>
      </w:r>
    </w:p>
    <w:p>
      <w:pPr>
        <w:spacing w:after="0" w:line="154"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15" w:lineRule="exact"/>
        <w:rPr>
          <w:sz w:val="20"/>
          <w:szCs w:val="20"/>
          <w:color w:val="auto"/>
        </w:rPr>
      </w:pPr>
    </w:p>
    <w:p>
      <w:pPr>
        <w:jc w:val="both"/>
        <w:ind w:right="80"/>
        <w:spacing w:after="0" w:line="289" w:lineRule="auto"/>
        <w:rPr>
          <w:sz w:val="20"/>
          <w:szCs w:val="20"/>
          <w:color w:val="auto"/>
        </w:rPr>
      </w:pPr>
      <w:r>
        <w:rPr>
          <w:rFonts w:ascii="Arial" w:cs="Arial" w:eastAsia="Arial" w:hAnsi="Arial"/>
          <w:sz w:val="11"/>
          <w:szCs w:val="11"/>
          <w:color w:val="auto"/>
        </w:rPr>
        <w:t xml:space="preserve">On April 27, 2015, we entered into fixed for floating interest rate swap agreements to mitigate the interest rate risk inherent in our variable rate term loan facility. These interest rate swaps were designated as cash flow hedges and have a notional value of $2.00 billion and mature on October 24, 2022. </w:t>
      </w:r>
      <w:r>
        <w:rPr>
          <w:rFonts w:ascii="Arial" w:cs="Arial" w:eastAsia="Arial" w:hAnsi="Arial"/>
          <w:sz w:val="11"/>
          <w:szCs w:val="11"/>
          <w:color w:val="1F2322"/>
        </w:rPr>
        <w:t>As result of the repayment of the Company’s term loan facility in February of 2020 (see Note 12), the Company entered into receive-fixed interest rate swaps to offset</w:t>
      </w:r>
      <w:r>
        <w:rPr>
          <w:rFonts w:ascii="Arial" w:cs="Arial" w:eastAsia="Arial" w:hAnsi="Arial"/>
          <w:sz w:val="11"/>
          <w:szCs w:val="11"/>
          <w:color w:val="auto"/>
        </w:rPr>
        <w:t xml:space="preserve"> </w:t>
      </w:r>
      <w:r>
        <w:rPr>
          <w:rFonts w:ascii="Arial" w:cs="Arial" w:eastAsia="Arial" w:hAnsi="Arial"/>
          <w:sz w:val="11"/>
          <w:szCs w:val="11"/>
          <w:color w:val="1F2322"/>
        </w:rPr>
        <w:t>its existing pay-fixed interest rate swaps. As a result, the Company discontinued hedge accounting as the hedge accounting requirements were no longer met. Amounts in accumulated other comprehensive (loss) income as of the date of de-designation, will be reclassified to interest expense as the hedged transactions impact earnings. Prospectively, changes in fair value of all interest rate swaps will be recorded directly to earnings.</w:t>
      </w:r>
    </w:p>
    <w:p>
      <w:pPr>
        <w:spacing w:after="0" w:line="111" w:lineRule="exact"/>
        <w:rPr>
          <w:sz w:val="20"/>
          <w:szCs w:val="20"/>
          <w:color w:val="auto"/>
        </w:rPr>
      </w:pPr>
    </w:p>
    <w:p>
      <w:pPr>
        <w:jc w:val="both"/>
        <w:ind w:right="80"/>
        <w:spacing w:after="0" w:line="276" w:lineRule="auto"/>
        <w:rPr>
          <w:sz w:val="20"/>
          <w:szCs w:val="20"/>
          <w:color w:val="auto"/>
        </w:rPr>
      </w:pPr>
      <w:r>
        <w:rPr>
          <w:rFonts w:ascii="Arial" w:cs="Arial" w:eastAsia="Arial" w:hAnsi="Arial"/>
          <w:sz w:val="12"/>
          <w:szCs w:val="12"/>
          <w:color w:val="1F2322"/>
        </w:rPr>
        <w:t>The Company has elected to offset derivative positions that are subject to master netting arrangements with the same counterparty in our Consolidated Balance Sheets. The gross amounts of our derivative instruments subject to master netting arrangements with the same counterparty as of December 31, 2021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4"/>
              </w:rPr>
              <w:t>Net Amounts of Assets or</w:t>
            </w:r>
          </w:p>
        </w:tc>
        <w:tc>
          <w:tcPr>
            <w:tcW w:w="0" w:type="dxa"/>
            <w:vAlign w:val="bottom"/>
          </w:tcPr>
          <w:p>
            <w:pPr>
              <w:spacing w:after="0"/>
              <w:rPr>
                <w:sz w:val="1"/>
                <w:szCs w:val="1"/>
                <w:color w:val="auto"/>
              </w:rPr>
            </w:pPr>
          </w:p>
        </w:tc>
      </w:tr>
      <w:tr>
        <w:trPr>
          <w:trHeight w:val="99"/>
        </w:trPr>
        <w:tc>
          <w:tcPr>
            <w:tcW w:w="4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20" w:type="dxa"/>
            <w:vAlign w:val="bottom"/>
            <w:gridSpan w:val="3"/>
          </w:tcPr>
          <w:p>
            <w:pPr>
              <w:jc w:val="center"/>
              <w:ind w:right="800"/>
              <w:spacing w:after="0" w:line="99" w:lineRule="exact"/>
              <w:rPr>
                <w:sz w:val="20"/>
                <w:szCs w:val="20"/>
                <w:color w:val="auto"/>
              </w:rPr>
            </w:pPr>
            <w:r>
              <w:rPr>
                <w:rFonts w:ascii="Arial" w:cs="Arial" w:eastAsia="Arial" w:hAnsi="Arial"/>
                <w:sz w:val="10"/>
                <w:szCs w:val="10"/>
                <w:b w:val="1"/>
                <w:bCs w:val="1"/>
                <w:color w:val="auto"/>
                <w:w w:val="84"/>
              </w:rPr>
              <w:t>Gross Amounts of</w:t>
            </w:r>
          </w:p>
        </w:tc>
        <w:tc>
          <w:tcPr>
            <w:tcW w:w="280" w:type="dxa"/>
            <w:vAlign w:val="bottom"/>
          </w:tcPr>
          <w:p>
            <w:pPr>
              <w:spacing w:after="0"/>
              <w:rPr>
                <w:sz w:val="8"/>
                <w:szCs w:val="8"/>
                <w:color w:val="auto"/>
              </w:rPr>
            </w:pPr>
          </w:p>
        </w:tc>
        <w:tc>
          <w:tcPr>
            <w:tcW w:w="2060" w:type="dxa"/>
            <w:vAlign w:val="bottom"/>
            <w:gridSpan w:val="2"/>
          </w:tcPr>
          <w:p>
            <w:pPr>
              <w:jc w:val="center"/>
              <w:ind w:right="560"/>
              <w:spacing w:after="0" w:line="99" w:lineRule="exact"/>
              <w:rPr>
                <w:sz w:val="20"/>
                <w:szCs w:val="20"/>
                <w:color w:val="auto"/>
              </w:rPr>
            </w:pPr>
            <w:r>
              <w:rPr>
                <w:rFonts w:ascii="Arial" w:cs="Arial" w:eastAsia="Arial" w:hAnsi="Arial"/>
                <w:sz w:val="10"/>
                <w:szCs w:val="10"/>
                <w:b w:val="1"/>
                <w:bCs w:val="1"/>
                <w:color w:val="auto"/>
                <w:w w:val="86"/>
              </w:rPr>
              <w:t>Gross Amounts Offset in</w:t>
            </w:r>
          </w:p>
        </w:tc>
        <w:tc>
          <w:tcPr>
            <w:tcW w:w="280" w:type="dxa"/>
            <w:vAlign w:val="bottom"/>
          </w:tcPr>
          <w:p>
            <w:pPr>
              <w:spacing w:after="0"/>
              <w:rPr>
                <w:sz w:val="8"/>
                <w:szCs w:val="8"/>
                <w:color w:val="auto"/>
              </w:rPr>
            </w:pPr>
          </w:p>
        </w:tc>
        <w:tc>
          <w:tcPr>
            <w:tcW w:w="19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5"/>
              </w:rPr>
              <w:t>Liabilities presented in the</w:t>
            </w:r>
          </w:p>
        </w:tc>
        <w:tc>
          <w:tcPr>
            <w:tcW w:w="0" w:type="dxa"/>
            <w:vAlign w:val="bottom"/>
          </w:tcPr>
          <w:p>
            <w:pPr>
              <w:spacing w:after="0"/>
              <w:rPr>
                <w:sz w:val="1"/>
                <w:szCs w:val="1"/>
                <w:color w:val="auto"/>
              </w:rPr>
            </w:pPr>
          </w:p>
        </w:tc>
      </w:tr>
      <w:tr>
        <w:trPr>
          <w:trHeight w:val="99"/>
        </w:trPr>
        <w:tc>
          <w:tcPr>
            <w:tcW w:w="4240" w:type="dxa"/>
            <w:vAlign w:val="bottom"/>
            <w:vMerge w:val="restart"/>
          </w:tcPr>
          <w:p>
            <w:pPr>
              <w:spacing w:after="0"/>
              <w:rPr>
                <w:sz w:val="20"/>
                <w:szCs w:val="20"/>
                <w:color w:val="auto"/>
              </w:rPr>
            </w:pPr>
            <w:r>
              <w:rPr>
                <w:rFonts w:ascii="Arial" w:cs="Arial" w:eastAsia="Arial" w:hAnsi="Arial"/>
                <w:sz w:val="12"/>
                <w:szCs w:val="12"/>
                <w:color w:val="auto"/>
              </w:rPr>
              <w:t>Offsetting of Derivative Assets and Liabilities (Thousands)</w:t>
            </w:r>
          </w:p>
        </w:tc>
        <w:tc>
          <w:tcPr>
            <w:tcW w:w="160" w:type="dxa"/>
            <w:vAlign w:val="bottom"/>
            <w:vMerge w:val="restart"/>
          </w:tcPr>
          <w:p>
            <w:pPr>
              <w:spacing w:after="0"/>
              <w:rPr>
                <w:sz w:val="8"/>
                <w:szCs w:val="8"/>
                <w:color w:val="auto"/>
              </w:rPr>
            </w:pPr>
          </w:p>
        </w:tc>
        <w:tc>
          <w:tcPr>
            <w:tcW w:w="540" w:type="dxa"/>
            <w:vAlign w:val="bottom"/>
          </w:tcPr>
          <w:p>
            <w:pPr>
              <w:spacing w:after="0"/>
              <w:rPr>
                <w:sz w:val="8"/>
                <w:szCs w:val="8"/>
                <w:color w:val="auto"/>
              </w:rPr>
            </w:pPr>
          </w:p>
        </w:tc>
        <w:tc>
          <w:tcPr>
            <w:tcW w:w="1820" w:type="dxa"/>
            <w:vAlign w:val="bottom"/>
            <w:gridSpan w:val="3"/>
          </w:tcPr>
          <w:p>
            <w:pPr>
              <w:jc w:val="center"/>
              <w:ind w:right="800"/>
              <w:spacing w:after="0" w:line="99" w:lineRule="exact"/>
              <w:rPr>
                <w:sz w:val="20"/>
                <w:szCs w:val="20"/>
                <w:color w:val="auto"/>
              </w:rPr>
            </w:pPr>
            <w:r>
              <w:rPr>
                <w:rFonts w:ascii="Arial" w:cs="Arial" w:eastAsia="Arial" w:hAnsi="Arial"/>
                <w:sz w:val="10"/>
                <w:szCs w:val="10"/>
                <w:b w:val="1"/>
                <w:bCs w:val="1"/>
                <w:color w:val="auto"/>
                <w:w w:val="82"/>
              </w:rPr>
              <w:t>Recognized Assets or</w:t>
            </w:r>
          </w:p>
        </w:tc>
        <w:tc>
          <w:tcPr>
            <w:tcW w:w="280" w:type="dxa"/>
            <w:vAlign w:val="bottom"/>
          </w:tcPr>
          <w:p>
            <w:pPr>
              <w:spacing w:after="0"/>
              <w:rPr>
                <w:sz w:val="8"/>
                <w:szCs w:val="8"/>
                <w:color w:val="auto"/>
              </w:rPr>
            </w:pPr>
          </w:p>
        </w:tc>
        <w:tc>
          <w:tcPr>
            <w:tcW w:w="2060" w:type="dxa"/>
            <w:vAlign w:val="bottom"/>
            <w:gridSpan w:val="2"/>
          </w:tcPr>
          <w:p>
            <w:pPr>
              <w:jc w:val="center"/>
              <w:ind w:right="540"/>
              <w:spacing w:after="0" w:line="99" w:lineRule="exact"/>
              <w:rPr>
                <w:sz w:val="20"/>
                <w:szCs w:val="20"/>
                <w:color w:val="auto"/>
              </w:rPr>
            </w:pPr>
            <w:r>
              <w:rPr>
                <w:rFonts w:ascii="Arial" w:cs="Arial" w:eastAsia="Arial" w:hAnsi="Arial"/>
                <w:sz w:val="10"/>
                <w:szCs w:val="10"/>
                <w:b w:val="1"/>
                <w:bCs w:val="1"/>
                <w:color w:val="auto"/>
                <w:w w:val="85"/>
              </w:rPr>
              <w:t>the Consolidated Balance</w:t>
            </w:r>
          </w:p>
        </w:tc>
        <w:tc>
          <w:tcPr>
            <w:tcW w:w="280" w:type="dxa"/>
            <w:vAlign w:val="bottom"/>
          </w:tcPr>
          <w:p>
            <w:pPr>
              <w:spacing w:after="0"/>
              <w:rPr>
                <w:sz w:val="8"/>
                <w:szCs w:val="8"/>
                <w:color w:val="auto"/>
              </w:rPr>
            </w:pPr>
          </w:p>
        </w:tc>
        <w:tc>
          <w:tcPr>
            <w:tcW w:w="19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2"/>
              </w:rPr>
              <w:t>Consolidated</w:t>
            </w:r>
          </w:p>
        </w:tc>
        <w:tc>
          <w:tcPr>
            <w:tcW w:w="0" w:type="dxa"/>
            <w:vAlign w:val="bottom"/>
          </w:tcPr>
          <w:p>
            <w:pPr>
              <w:spacing w:after="0"/>
              <w:rPr>
                <w:sz w:val="1"/>
                <w:szCs w:val="1"/>
                <w:color w:val="auto"/>
              </w:rPr>
            </w:pPr>
          </w:p>
        </w:tc>
      </w:tr>
      <w:tr>
        <w:trPr>
          <w:trHeight w:val="113"/>
        </w:trPr>
        <w:tc>
          <w:tcPr>
            <w:tcW w:w="424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CFF0FC"/>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jc w:val="center"/>
              <w:ind w:right="486"/>
              <w:spacing w:after="0" w:line="114" w:lineRule="exact"/>
              <w:rPr>
                <w:sz w:val="20"/>
                <w:szCs w:val="20"/>
                <w:color w:val="auto"/>
              </w:rPr>
            </w:pPr>
            <w:r>
              <w:rPr>
                <w:rFonts w:ascii="Arial" w:cs="Arial" w:eastAsia="Arial" w:hAnsi="Arial"/>
                <w:sz w:val="10"/>
                <w:szCs w:val="10"/>
                <w:b w:val="1"/>
                <w:bCs w:val="1"/>
                <w:color w:val="auto"/>
                <w:w w:val="86"/>
              </w:rPr>
              <w:t>Liabilities</w:t>
            </w:r>
          </w:p>
        </w:tc>
        <w:tc>
          <w:tcPr>
            <w:tcW w:w="280" w:type="dxa"/>
            <w:vAlign w:val="bottom"/>
            <w:tcBorders>
              <w:bottom w:val="single" w:sz="8" w:color="CFF0FC"/>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jc w:val="center"/>
              <w:ind w:right="245"/>
              <w:spacing w:after="0" w:line="114" w:lineRule="exact"/>
              <w:rPr>
                <w:sz w:val="20"/>
                <w:szCs w:val="20"/>
                <w:color w:val="auto"/>
              </w:rPr>
            </w:pPr>
            <w:r>
              <w:rPr>
                <w:rFonts w:ascii="Arial" w:cs="Arial" w:eastAsia="Arial" w:hAnsi="Arial"/>
                <w:sz w:val="10"/>
                <w:szCs w:val="10"/>
                <w:b w:val="1"/>
                <w:bCs w:val="1"/>
                <w:color w:val="auto"/>
                <w:w w:val="79"/>
              </w:rPr>
              <w:t>Sheets</w:t>
            </w:r>
          </w:p>
        </w:tc>
        <w:tc>
          <w:tcPr>
            <w:tcW w:w="26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jc w:val="center"/>
              <w:ind w:right="226"/>
              <w:spacing w:after="0" w:line="114" w:lineRule="exact"/>
              <w:rPr>
                <w:sz w:val="20"/>
                <w:szCs w:val="20"/>
                <w:color w:val="auto"/>
              </w:rPr>
            </w:pPr>
            <w:r>
              <w:rPr>
                <w:rFonts w:ascii="Arial" w:cs="Arial" w:eastAsia="Arial" w:hAnsi="Arial"/>
                <w:sz w:val="10"/>
                <w:szCs w:val="10"/>
                <w:b w:val="1"/>
                <w:bCs w:val="1"/>
                <w:color w:val="auto"/>
                <w:w w:val="81"/>
              </w:rPr>
              <w:t>Balance Sheets</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Assets</w:t>
            </w:r>
          </w:p>
        </w:tc>
        <w:tc>
          <w:tcPr>
            <w:tcW w:w="5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0" w:type="dxa"/>
            <w:vAlign w:val="bottom"/>
            <w:gridSpan w:val="2"/>
          </w:tcPr>
          <w:p>
            <w:pPr>
              <w:ind w:left="80"/>
              <w:spacing w:after="0"/>
              <w:rPr>
                <w:sz w:val="20"/>
                <w:szCs w:val="20"/>
                <w:color w:val="auto"/>
              </w:rPr>
            </w:pPr>
            <w:r>
              <w:rPr>
                <w:rFonts w:ascii="Arial" w:cs="Arial" w:eastAsia="Arial" w:hAnsi="Arial"/>
                <w:sz w:val="12"/>
                <w:szCs w:val="12"/>
                <w:color w:val="auto"/>
              </w:rPr>
              <w:t>Interest rate swaps</w:t>
            </w: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10,788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2060" w:type="dxa"/>
            <w:vAlign w:val="bottom"/>
            <w:gridSpan w:val="2"/>
          </w:tcPr>
          <w:p>
            <w:pPr>
              <w:jc w:val="right"/>
              <w:ind w:right="220"/>
              <w:spacing w:after="0"/>
              <w:rPr>
                <w:sz w:val="20"/>
                <w:szCs w:val="20"/>
                <w:color w:val="auto"/>
              </w:rPr>
            </w:pPr>
            <w:r>
              <w:rPr>
                <w:rFonts w:ascii="Arial" w:cs="Arial" w:eastAsia="Arial" w:hAnsi="Arial"/>
                <w:sz w:val="12"/>
                <w:szCs w:val="12"/>
                <w:color w:val="auto"/>
              </w:rPr>
              <w:t>(10,788)</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w:t>
            </w:r>
          </w:p>
        </w:tc>
        <w:tc>
          <w:tcPr>
            <w:tcW w:w="5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gridSpan w:val="2"/>
            <w:vMerge w:val="continue"/>
            <w:shd w:val="clear" w:color="auto" w:fill="CFF0FC"/>
          </w:tcPr>
          <w:p>
            <w:pPr>
              <w:spacing w:after="0"/>
              <w:rPr>
                <w:sz w:val="12"/>
                <w:szCs w:val="12"/>
                <w:color w:val="auto"/>
              </w:rPr>
            </w:pPr>
          </w:p>
        </w:tc>
        <w:tc>
          <w:tcPr>
            <w:tcW w:w="540" w:type="dxa"/>
            <w:vAlign w:val="bottom"/>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10,788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2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(10,788)</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4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Liabilities</w:t>
            </w:r>
          </w:p>
        </w:tc>
        <w:tc>
          <w:tcPr>
            <w:tcW w:w="5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gridSpan w:val="2"/>
          </w:tcPr>
          <w:p>
            <w:pPr>
              <w:ind w:left="80"/>
              <w:spacing w:after="0"/>
              <w:rPr>
                <w:sz w:val="20"/>
                <w:szCs w:val="20"/>
                <w:color w:val="auto"/>
              </w:rPr>
            </w:pPr>
            <w:r>
              <w:rPr>
                <w:rFonts w:ascii="Arial" w:cs="Arial" w:eastAsia="Arial" w:hAnsi="Arial"/>
                <w:sz w:val="12"/>
                <w:szCs w:val="12"/>
                <w:color w:val="auto"/>
              </w:rPr>
              <w:t>Interest rate swaps</w:t>
            </w: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21,201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2060" w:type="dxa"/>
            <w:vAlign w:val="bottom"/>
            <w:gridSpan w:val="2"/>
          </w:tcPr>
          <w:p>
            <w:pPr>
              <w:jc w:val="right"/>
              <w:ind w:right="220"/>
              <w:spacing w:after="0"/>
              <w:rPr>
                <w:sz w:val="20"/>
                <w:szCs w:val="20"/>
                <w:color w:val="auto"/>
              </w:rPr>
            </w:pPr>
            <w:r>
              <w:rPr>
                <w:rFonts w:ascii="Arial" w:cs="Arial" w:eastAsia="Arial" w:hAnsi="Arial"/>
                <w:sz w:val="12"/>
                <w:szCs w:val="12"/>
                <w:color w:val="auto"/>
              </w:rPr>
              <w:t>(10,788)</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10,413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w:t>
            </w:r>
          </w:p>
        </w:tc>
        <w:tc>
          <w:tcPr>
            <w:tcW w:w="5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0" w:type="dxa"/>
            <w:vAlign w:val="bottom"/>
            <w:gridSpan w:val="2"/>
            <w:vMerge w:val="continue"/>
            <w:shd w:val="clear" w:color="auto" w:fill="CFF0FC"/>
          </w:tcPr>
          <w:p>
            <w:pPr>
              <w:spacing w:after="0"/>
              <w:rPr>
                <w:sz w:val="12"/>
                <w:szCs w:val="12"/>
                <w:color w:val="auto"/>
              </w:rPr>
            </w:pPr>
          </w:p>
        </w:tc>
        <w:tc>
          <w:tcPr>
            <w:tcW w:w="540" w:type="dxa"/>
            <w:vAlign w:val="bottom"/>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21,201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2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(10,788)</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940" w:type="dxa"/>
            <w:vAlign w:val="bottom"/>
            <w:gridSpan w:val="3"/>
          </w:tcPr>
          <w:p>
            <w:pPr>
              <w:spacing w:after="0"/>
              <w:rPr>
                <w:sz w:val="20"/>
                <w:szCs w:val="20"/>
                <w:color w:val="auto"/>
              </w:rPr>
            </w:pPr>
            <w:r>
              <w:rPr>
                <w:rFonts w:ascii="Arial" w:cs="Arial" w:eastAsia="Arial" w:hAnsi="Arial"/>
                <w:sz w:val="12"/>
                <w:szCs w:val="12"/>
                <w:color w:val="auto"/>
                <w:w w:val="90"/>
              </w:rPr>
              <w:t>The following table summarizes the fair value and the presentation in our Consolidated Balance Sheet:</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gridSpan w:val="3"/>
          </w:tcPr>
          <w:p>
            <w:pPr>
              <w:jc w:val="center"/>
              <w:ind w:right="700"/>
              <w:spacing w:after="0"/>
              <w:rPr>
                <w:sz w:val="20"/>
                <w:szCs w:val="20"/>
                <w:color w:val="auto"/>
              </w:rPr>
            </w:pPr>
            <w:r>
              <w:rPr>
                <w:rFonts w:ascii="Arial" w:cs="Arial" w:eastAsia="Arial" w:hAnsi="Arial"/>
                <w:sz w:val="10"/>
                <w:szCs w:val="10"/>
                <w:b w:val="1"/>
                <w:bCs w:val="1"/>
                <w:color w:val="auto"/>
                <w:w w:val="84"/>
              </w:rPr>
              <w:t>Location on Consolidated</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42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2"/>
          </w:tcPr>
          <w:p>
            <w:pPr>
              <w:jc w:val="center"/>
              <w:ind w:right="560"/>
              <w:spacing w:after="0" w:line="114" w:lineRule="exact"/>
              <w:rPr>
                <w:sz w:val="20"/>
                <w:szCs w:val="20"/>
                <w:color w:val="auto"/>
              </w:rPr>
            </w:pPr>
            <w:r>
              <w:rPr>
                <w:rFonts w:ascii="Arial" w:cs="Arial" w:eastAsia="Arial" w:hAnsi="Arial"/>
                <w:sz w:val="10"/>
                <w:szCs w:val="10"/>
                <w:b w:val="1"/>
                <w:bCs w:val="1"/>
                <w:color w:val="auto"/>
                <w:w w:val="84"/>
              </w:rPr>
              <w:t>Balance Sheet</w:t>
            </w:r>
          </w:p>
        </w:tc>
        <w:tc>
          <w:tcPr>
            <w:tcW w:w="16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jc w:val="center"/>
              <w:ind w:right="245"/>
              <w:spacing w:after="0" w:line="114" w:lineRule="exact"/>
              <w:rPr>
                <w:sz w:val="20"/>
                <w:szCs w:val="20"/>
                <w:color w:val="auto"/>
              </w:rPr>
            </w:pPr>
            <w:r>
              <w:rPr>
                <w:rFonts w:ascii="Arial" w:cs="Arial" w:eastAsia="Arial" w:hAnsi="Arial"/>
                <w:sz w:val="10"/>
                <w:szCs w:val="10"/>
                <w:b w:val="1"/>
                <w:bCs w:val="1"/>
                <w:color w:val="auto"/>
                <w:w w:val="86"/>
              </w:rPr>
              <w:t>December 31, 2021</w:t>
            </w:r>
          </w:p>
        </w:tc>
        <w:tc>
          <w:tcPr>
            <w:tcW w:w="26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jc w:val="center"/>
              <w:ind w:right="226"/>
              <w:spacing w:after="0" w:line="114" w:lineRule="exact"/>
              <w:rPr>
                <w:sz w:val="20"/>
                <w:szCs w:val="20"/>
                <w:color w:val="auto"/>
              </w:rPr>
            </w:pPr>
            <w:r>
              <w:rPr>
                <w:rFonts w:ascii="Arial" w:cs="Arial" w:eastAsia="Arial" w:hAnsi="Arial"/>
                <w:sz w:val="10"/>
                <w:szCs w:val="10"/>
                <w:b w:val="1"/>
                <w:bCs w:val="1"/>
                <w:color w:val="auto"/>
                <w:w w:val="84"/>
              </w:rPr>
              <w:t>December 31, 2020</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rate swaps</w:t>
            </w:r>
          </w:p>
        </w:tc>
        <w:tc>
          <w:tcPr>
            <w:tcW w:w="540" w:type="dxa"/>
            <w:vAlign w:val="bottom"/>
            <w:shd w:val="clear" w:color="auto" w:fill="CFF0FC"/>
          </w:tcPr>
          <w:p>
            <w:pPr>
              <w:spacing w:after="0"/>
              <w:rPr>
                <w:sz w:val="12"/>
                <w:szCs w:val="12"/>
                <w:color w:val="auto"/>
              </w:rPr>
            </w:pPr>
          </w:p>
        </w:tc>
        <w:tc>
          <w:tcPr>
            <w:tcW w:w="1820" w:type="dxa"/>
            <w:vAlign w:val="bottom"/>
            <w:gridSpan w:val="3"/>
            <w:shd w:val="clear" w:color="auto" w:fill="CFF0FC"/>
          </w:tcPr>
          <w:p>
            <w:pPr>
              <w:jc w:val="center"/>
              <w:ind w:right="720"/>
              <w:spacing w:after="0"/>
              <w:rPr>
                <w:sz w:val="20"/>
                <w:szCs w:val="20"/>
                <w:color w:val="auto"/>
              </w:rPr>
            </w:pPr>
            <w:r>
              <w:rPr>
                <w:rFonts w:ascii="Arial" w:cs="Arial" w:eastAsia="Arial" w:hAnsi="Arial"/>
                <w:sz w:val="12"/>
                <w:szCs w:val="12"/>
                <w:color w:val="auto"/>
                <w:w w:val="94"/>
              </w:rPr>
              <w:t>Derivative liability, net</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10,413</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December 31, 2021, all of the interest rate swaps were valued in net unrealized loss positions and recognized as a liability balance within the derivative liability, net on the Consolidated Balance Sheets. The amount reclassified out of other comprehensive income into interest expense on our Consolidated Statements of Income (Loss) for the year ended December 31, 2021 was $11.3 million.</w:t>
      </w:r>
    </w:p>
    <w:p>
      <w:pPr>
        <w:spacing w:after="0" w:line="115"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As of December 31, 2020, all of the interest rate swaps were valued in net unrealized loss positions and recognized as a liability balance within the derivative liability, net on the Consolidated Balance Sheets. As hedge accounting is no longer applied beginning in February 2020, the unrealized loss amounts are now being recorded directly to earnings. For the year ended December 31, 2020, the amount recorded in other comprehensive income related to the unrealized loss on derivative instruments prior to the February 2020 discontinuance of hedge accounting was $7.7 million. For the year ended December 31, 2019, the amount recorded in other comprehensive income related to the derivative instruments was $51.3 million unrealized loss. The amount reclassified out of other comprehensive income into interest expense on our Consolidated Statements of Income (Loss) for the years ended December 31,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2" w:name="page93"/>
    <w:bookmarkEnd w:id="9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2020 and 2019 was $10.8 million interest expense and $3.3 million interest benefit, respectively. For the year ended December 31, 2019, there was no ineffective portion of the change in fair value derivatives.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During the next twelve months, beginning January 1, 2022, we estimate that $9.2 million will be reclassified as an increase to interest expense.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Exchangeable Notes Hedge Transactions</w:t>
      </w:r>
    </w:p>
    <w:p>
      <w:pPr>
        <w:spacing w:after="0" w:line="150" w:lineRule="exact"/>
        <w:rPr>
          <w:sz w:val="20"/>
          <w:szCs w:val="20"/>
          <w:color w:val="auto"/>
        </w:rPr>
      </w:pPr>
    </w:p>
    <w:p>
      <w:pPr>
        <w:ind w:right="80"/>
        <w:spacing w:after="0" w:line="313" w:lineRule="auto"/>
        <w:rPr>
          <w:rFonts w:ascii="Arial" w:cs="Arial" w:eastAsia="Arial" w:hAnsi="Arial"/>
          <w:sz w:val="10"/>
          <w:szCs w:val="10"/>
          <w:color w:val="auto"/>
        </w:rPr>
      </w:pPr>
      <w:r>
        <w:rPr>
          <w:rFonts w:ascii="Arial" w:cs="Arial" w:eastAsia="Arial" w:hAnsi="Arial"/>
          <w:sz w:val="10"/>
          <w:szCs w:val="10"/>
          <w:color w:val="auto"/>
        </w:rPr>
        <w:t>On June 25, 2019, concurrently with the pricing of the Exchangeable Notes (</w:t>
      </w:r>
      <w:hyperlink r:id="rId90">
        <w:r>
          <w:rPr>
            <w:rFonts w:ascii="Arial" w:cs="Arial" w:eastAsia="Arial" w:hAnsi="Arial"/>
            <w:sz w:val="10"/>
            <w:szCs w:val="10"/>
            <w:u w:val="single" w:color="auto"/>
            <w:color w:val="0000EE"/>
          </w:rPr>
          <w:t>see Note 1</w:t>
        </w:r>
      </w:hyperlink>
      <w:r>
        <w:rPr>
          <w:rFonts w:ascii="Arial" w:cs="Arial" w:eastAsia="Arial" w:hAnsi="Arial"/>
          <w:sz w:val="10"/>
          <w:szCs w:val="10"/>
          <w:color w:val="auto"/>
        </w:rPr>
        <w:t>2), and on June 27, 2019, concurrently with the exercise by the Initial Purchasers (as defined below) of their option to purchase additional Exchangeable Notes, Uniti Fiber Holdings Inc., the issuer of the Exchangeable Notes, entered into the Note Hedge Transactions with certain of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Holdings Inc.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102" w:lineRule="exact"/>
        <w:rPr>
          <w:sz w:val="20"/>
          <w:szCs w:val="20"/>
          <w:color w:val="auto"/>
        </w:rPr>
      </w:pPr>
    </w:p>
    <w:p>
      <w:pPr>
        <w:spacing w:after="0" w:line="340" w:lineRule="auto"/>
        <w:rPr>
          <w:sz w:val="20"/>
          <w:szCs w:val="20"/>
          <w:color w:val="auto"/>
        </w:rPr>
      </w:pPr>
      <w:r>
        <w:rPr>
          <w:rFonts w:ascii="Arial" w:cs="Arial" w:eastAsia="Arial" w:hAnsi="Arial"/>
          <w:sz w:val="10"/>
          <w:szCs w:val="10"/>
          <w:color w:val="auto"/>
        </w:rPr>
        <w:t>The Note Hedge Transactions are separate transactions, entered into by Uniti Fiber Holdings Inc. with the Counterparties, and are not part of the terms of the Exchangeable Notes. Holders of the Exchangeable Notes will not have any rights with respect to the Note Hedge Transactions. Uniti Fiber Holdings Inc. used approximately $70.0 million of the net proceeds from the offering of the Exchangeable Notes to pay the cost of the Note Hedge Transactions. The Note Hedge Transactions meet certain accounting criteria under GAAP and are recorded in additional paid-in capital on our Consolidated Balance Sheets, are not accounted for as derivatives that are remeasured each reporting period.</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Warrant Transactions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28"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Warrants are separate transactions, entered into by the Company with the Counterparties, and are not part of the terms of the Exchangeable Notes. Holders of the Exchangeable Notes will not have any rights with respect to the Warrants. The Company received approximately $50.8 million from the offering and sale of the Warrants. The Warrants meet certain accounting criteria under GAAP, and are recorded in additional paid-in capital on our Consolidated Balance Sheets, are not accounted for as derivatives that are remeasured each reporting period.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Goodwill and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As part of the transaction with Everstream (see Note 6), we reclassified the associated assets and liabilities held for sale, including $17.8 million of goodwill and $10.7 million of intangible assets as of December 31, 2020.</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3" w:name="page94"/>
    <w:bookmarkEnd w:id="93"/>
    <w:p>
      <w:pPr>
        <w:spacing w:after="0"/>
        <w:rPr>
          <w:sz w:val="20"/>
          <w:szCs w:val="20"/>
          <w:color w:val="auto"/>
        </w:rPr>
      </w:pPr>
      <w:r>
        <w:rPr>
          <w:rFonts w:ascii="Arial" w:cs="Arial" w:eastAsia="Arial" w:hAnsi="Arial"/>
          <w:sz w:val="12"/>
          <w:szCs w:val="12"/>
          <w:u w:val="single" w:color="auto"/>
          <w:color w:val="0000EE"/>
        </w:rPr>
        <w:t>Table of Contents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Changes in the carrying amount of goodwill occurring during the year ended December 31, 2021 and 2020,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Fiber Infrastructure</w:t>
            </w:r>
          </w:p>
        </w:tc>
        <w:tc>
          <w:tcPr>
            <w:tcW w:w="32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802"/>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FF0FC"/>
            </w:tcBorders>
          </w:tcPr>
          <w:p>
            <w:pPr>
              <w:spacing w:after="0"/>
              <w:rPr>
                <w:sz w:val="12"/>
                <w:szCs w:val="12"/>
                <w:color w:val="auto"/>
              </w:rPr>
            </w:pPr>
          </w:p>
        </w:tc>
      </w:tr>
      <w:tr>
        <w:trPr>
          <w:trHeight w:val="142"/>
        </w:trPr>
        <w:tc>
          <w:tcPr>
            <w:tcW w:w="70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 at December 31, 2019</w:t>
            </w: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690,672</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690,672</w:t>
            </w:r>
          </w:p>
        </w:tc>
        <w:tc>
          <w:tcPr>
            <w:tcW w:w="120" w:type="dxa"/>
            <w:vAlign w:val="bottom"/>
            <w:shd w:val="clear" w:color="auto" w:fill="CFF0FC"/>
          </w:tcPr>
          <w:p>
            <w:pPr>
              <w:spacing w:after="0"/>
              <w:rPr>
                <w:sz w:val="12"/>
                <w:szCs w:val="12"/>
                <w:color w:val="auto"/>
              </w:rPr>
            </w:pPr>
          </w:p>
        </w:tc>
      </w:tr>
      <w:tr>
        <w:trPr>
          <w:trHeight w:val="153"/>
        </w:trPr>
        <w:tc>
          <w:tcPr>
            <w:tcW w:w="7020" w:type="dxa"/>
            <w:vAlign w:val="bottom"/>
            <w:gridSpan w:val="2"/>
          </w:tcPr>
          <w:p>
            <w:pPr>
              <w:spacing w:after="0"/>
              <w:rPr>
                <w:sz w:val="20"/>
                <w:szCs w:val="20"/>
                <w:color w:val="auto"/>
              </w:rPr>
            </w:pPr>
            <w:r>
              <w:rPr>
                <w:rFonts w:ascii="Arial" w:cs="Arial" w:eastAsia="Arial" w:hAnsi="Arial"/>
                <w:sz w:val="12"/>
                <w:szCs w:val="12"/>
                <w:color w:val="auto"/>
              </w:rPr>
              <w:t>Goodwill impairment (Note 3)</w:t>
            </w:r>
          </w:p>
        </w:tc>
        <w:tc>
          <w:tcPr>
            <w:tcW w:w="300" w:type="dxa"/>
            <w:vAlign w:val="bottom"/>
          </w:tcPr>
          <w:p>
            <w:pPr>
              <w:spacing w:after="0"/>
              <w:rPr>
                <w:sz w:val="13"/>
                <w:szCs w:val="13"/>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2"/>
                <w:szCs w:val="12"/>
                <w:color w:val="auto"/>
              </w:rPr>
              <w:t>(71,000)</w:t>
            </w:r>
          </w:p>
        </w:tc>
        <w:tc>
          <w:tcPr>
            <w:tcW w:w="440" w:type="dxa"/>
            <w:vAlign w:val="bottom"/>
          </w:tcPr>
          <w:p>
            <w:pPr>
              <w:spacing w:after="0"/>
              <w:rPr>
                <w:sz w:val="13"/>
                <w:szCs w:val="13"/>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2"/>
                <w:szCs w:val="12"/>
                <w:color w:val="auto"/>
              </w:rPr>
              <w:t>(71,000)</w:t>
            </w:r>
          </w:p>
        </w:tc>
      </w:tr>
      <w:tr>
        <w:trPr>
          <w:trHeight w:val="153"/>
        </w:trPr>
        <w:tc>
          <w:tcPr>
            <w:tcW w:w="70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 reclassified to held for sale</w:t>
            </w:r>
          </w:p>
        </w:tc>
        <w:tc>
          <w:tcPr>
            <w:tcW w:w="30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(17,794)</w:t>
            </w:r>
          </w:p>
        </w:tc>
        <w:tc>
          <w:tcPr>
            <w:tcW w:w="4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(17,794)</w:t>
            </w:r>
          </w:p>
        </w:tc>
      </w:tr>
      <w:tr>
        <w:trPr>
          <w:trHeight w:val="142"/>
        </w:trPr>
        <w:tc>
          <w:tcPr>
            <w:tcW w:w="70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Goodwill at December 31, 2020</w:t>
            </w:r>
          </w:p>
        </w:tc>
        <w:tc>
          <w:tcPr>
            <w:tcW w:w="3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601,878</w:t>
            </w:r>
          </w:p>
        </w:tc>
        <w:tc>
          <w:tcPr>
            <w:tcW w:w="32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601,878</w:t>
            </w:r>
          </w:p>
        </w:tc>
        <w:tc>
          <w:tcPr>
            <w:tcW w:w="120" w:type="dxa"/>
            <w:vAlign w:val="bottom"/>
            <w:tcBorders>
              <w:bottom w:val="single" w:sz="8" w:color="CFF0FC"/>
            </w:tcBorders>
          </w:tcPr>
          <w:p>
            <w:pPr>
              <w:spacing w:after="0"/>
              <w:rPr>
                <w:sz w:val="12"/>
                <w:szCs w:val="12"/>
                <w:color w:val="auto"/>
              </w:rPr>
            </w:pPr>
          </w:p>
        </w:tc>
      </w:tr>
      <w:tr>
        <w:trPr>
          <w:trHeight w:val="149"/>
        </w:trPr>
        <w:tc>
          <w:tcPr>
            <w:tcW w:w="7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Goodwill at December 31, 2021</w:t>
            </w:r>
          </w:p>
        </w:tc>
        <w:tc>
          <w:tcPr>
            <w:tcW w:w="30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601,878</w:t>
            </w:r>
          </w:p>
        </w:tc>
        <w:tc>
          <w:tcPr>
            <w:tcW w:w="3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601,878</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carrying value of our other intangible assets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840" w:type="dxa"/>
            <w:vAlign w:val="bottom"/>
          </w:tcPr>
          <w:p>
            <w:pPr>
              <w:spacing w:after="0"/>
              <w:rPr>
                <w:sz w:val="10"/>
                <w:szCs w:val="10"/>
                <w:color w:val="auto"/>
              </w:rPr>
            </w:pPr>
          </w:p>
        </w:tc>
        <w:tc>
          <w:tcPr>
            <w:tcW w:w="2360" w:type="dxa"/>
            <w:vAlign w:val="bottom"/>
            <w:gridSpan w:val="5"/>
          </w:tcPr>
          <w:p>
            <w:pPr>
              <w:jc w:val="right"/>
              <w:ind w:right="1340"/>
              <w:spacing w:after="0"/>
              <w:rPr>
                <w:sz w:val="20"/>
                <w:szCs w:val="20"/>
                <w:color w:val="auto"/>
              </w:rPr>
            </w:pPr>
            <w:r>
              <w:rPr>
                <w:rFonts w:ascii="Arial" w:cs="Arial" w:eastAsia="Arial" w:hAnsi="Arial"/>
                <w:sz w:val="10"/>
                <w:szCs w:val="10"/>
                <w:b w:val="1"/>
                <w:bCs w:val="1"/>
                <w:color w:val="auto"/>
              </w:rPr>
              <w:t>December 31, 2021</w:t>
            </w:r>
          </w:p>
        </w:tc>
        <w:tc>
          <w:tcPr>
            <w:tcW w:w="860" w:type="dxa"/>
            <w:vAlign w:val="bottom"/>
          </w:tcPr>
          <w:p>
            <w:pPr>
              <w:spacing w:after="0"/>
              <w:rPr>
                <w:sz w:val="10"/>
                <w:szCs w:val="10"/>
                <w:color w:val="auto"/>
              </w:rPr>
            </w:pPr>
          </w:p>
        </w:tc>
        <w:tc>
          <w:tcPr>
            <w:tcW w:w="2200" w:type="dxa"/>
            <w:vAlign w:val="bottom"/>
            <w:gridSpan w:val="5"/>
          </w:tcPr>
          <w:p>
            <w:pPr>
              <w:jc w:val="right"/>
              <w:ind w:right="1200"/>
              <w:spacing w:after="0"/>
              <w:rPr>
                <w:sz w:val="20"/>
                <w:szCs w:val="20"/>
                <w:color w:val="auto"/>
              </w:rPr>
            </w:pPr>
            <w:r>
              <w:rPr>
                <w:rFonts w:ascii="Arial" w:cs="Arial" w:eastAsia="Arial" w:hAnsi="Arial"/>
                <w:sz w:val="10"/>
                <w:szCs w:val="10"/>
                <w:b w:val="1"/>
                <w:bCs w:val="1"/>
                <w:color w:val="auto"/>
              </w:rPr>
              <w:t>December 31, 2020</w:t>
            </w:r>
          </w:p>
        </w:tc>
      </w:tr>
      <w:tr>
        <w:trPr>
          <w:trHeight w:val="97"/>
        </w:trPr>
        <w:tc>
          <w:tcPr>
            <w:tcW w:w="4880" w:type="dxa"/>
            <w:vAlign w:val="bottom"/>
            <w:tcBorders>
              <w:top w:val="single" w:sz="8" w:color="auto"/>
              <w:bottom w:val="single" w:sz="8" w:color="CFF0FC"/>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32"/>
              <w:spacing w:after="0" w:line="97" w:lineRule="exact"/>
              <w:rPr>
                <w:sz w:val="20"/>
                <w:szCs w:val="20"/>
                <w:color w:val="auto"/>
              </w:rPr>
            </w:pPr>
            <w:r>
              <w:rPr>
                <w:rFonts w:ascii="Arial" w:cs="Arial" w:eastAsia="Arial" w:hAnsi="Arial"/>
                <w:sz w:val="10"/>
                <w:szCs w:val="10"/>
                <w:b w:val="1"/>
                <w:bCs w:val="1"/>
                <w:color w:val="auto"/>
              </w:rPr>
              <w:t>Cost</w:t>
            </w:r>
          </w:p>
        </w:tc>
        <w:tc>
          <w:tcPr>
            <w:tcW w:w="50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CFF0FC"/>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260" w:type="dxa"/>
            <w:vAlign w:val="bottom"/>
            <w:tcBorders>
              <w:top w:val="single" w:sz="8" w:color="auto"/>
              <w:bottom w:val="single" w:sz="8" w:color="auto"/>
            </w:tcBorders>
          </w:tcPr>
          <w:p>
            <w:pPr>
              <w:jc w:val="right"/>
              <w:ind w:right="62"/>
              <w:spacing w:after="0" w:line="97" w:lineRule="exact"/>
              <w:rPr>
                <w:sz w:val="20"/>
                <w:szCs w:val="20"/>
                <w:color w:val="auto"/>
              </w:rPr>
            </w:pPr>
            <w:r>
              <w:rPr>
                <w:rFonts w:ascii="Arial" w:cs="Arial" w:eastAsia="Arial" w:hAnsi="Arial"/>
                <w:sz w:val="10"/>
                <w:szCs w:val="10"/>
                <w:b w:val="1"/>
                <w:bCs w:val="1"/>
                <w:color w:val="auto"/>
                <w:w w:val="88"/>
              </w:rPr>
              <w:t>Accumulated Amortization</w:t>
            </w:r>
          </w:p>
        </w:tc>
        <w:tc>
          <w:tcPr>
            <w:tcW w:w="260" w:type="dxa"/>
            <w:vAlign w:val="bottom"/>
            <w:tcBorders>
              <w:bottom w:val="single" w:sz="8" w:color="CFF0FC"/>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Cost</w:t>
            </w:r>
          </w:p>
        </w:tc>
        <w:tc>
          <w:tcPr>
            <w:tcW w:w="48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CFF0FC"/>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260" w:type="dxa"/>
            <w:vAlign w:val="bottom"/>
            <w:tcBorders>
              <w:top w:val="single" w:sz="8" w:color="auto"/>
              <w:bottom w:val="single" w:sz="8" w:color="auto"/>
            </w:tcBorders>
          </w:tcPr>
          <w:p>
            <w:pPr>
              <w:jc w:val="right"/>
              <w:ind w:right="62"/>
              <w:spacing w:after="0" w:line="97" w:lineRule="exact"/>
              <w:rPr>
                <w:sz w:val="20"/>
                <w:szCs w:val="20"/>
                <w:color w:val="auto"/>
              </w:rPr>
            </w:pPr>
            <w:r>
              <w:rPr>
                <w:rFonts w:ascii="Arial" w:cs="Arial" w:eastAsia="Arial" w:hAnsi="Arial"/>
                <w:sz w:val="10"/>
                <w:szCs w:val="10"/>
                <w:b w:val="1"/>
                <w:bCs w:val="1"/>
                <w:color w:val="auto"/>
                <w:w w:val="88"/>
              </w:rPr>
              <w:t>Accumulated Amortization</w:t>
            </w:r>
          </w:p>
        </w:tc>
        <w:tc>
          <w:tcPr>
            <w:tcW w:w="120" w:type="dxa"/>
            <w:vAlign w:val="bottom"/>
            <w:tcBorders>
              <w:bottom w:val="single" w:sz="8" w:color="CFF0FC"/>
            </w:tcBorders>
          </w:tcPr>
          <w:p>
            <w:pPr>
              <w:spacing w:after="0"/>
              <w:rPr>
                <w:sz w:val="8"/>
                <w:szCs w:val="8"/>
                <w:color w:val="auto"/>
              </w:rPr>
            </w:pPr>
          </w:p>
        </w:tc>
      </w:tr>
      <w:tr>
        <w:trPr>
          <w:trHeight w:val="151"/>
        </w:trPr>
        <w:tc>
          <w:tcPr>
            <w:tcW w:w="5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Finite life intangible assets:</w:t>
            </w:r>
          </w:p>
        </w:tc>
        <w:tc>
          <w:tcPr>
            <w:tcW w:w="8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040" w:type="dxa"/>
            <w:vAlign w:val="bottom"/>
            <w:gridSpan w:val="2"/>
          </w:tcPr>
          <w:p>
            <w:pPr>
              <w:spacing w:after="0"/>
              <w:rPr>
                <w:sz w:val="20"/>
                <w:szCs w:val="20"/>
                <w:color w:val="auto"/>
              </w:rPr>
            </w:pPr>
            <w:r>
              <w:rPr>
                <w:rFonts w:ascii="Arial" w:cs="Arial" w:eastAsia="Arial" w:hAnsi="Arial"/>
                <w:sz w:val="12"/>
                <w:szCs w:val="12"/>
                <w:color w:val="auto"/>
              </w:rPr>
              <w:t>Customer lists</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416,104</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(105,861)</w:t>
            </w:r>
          </w:p>
        </w:tc>
        <w:tc>
          <w:tcPr>
            <w:tcW w:w="860" w:type="dxa"/>
            <w:vAlign w:val="bottom"/>
          </w:tcPr>
          <w:p>
            <w:pPr>
              <w:jc w:val="right"/>
              <w:ind w:right="75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416,104</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(82,989)</w:t>
            </w:r>
          </w:p>
        </w:tc>
      </w:tr>
      <w:tr>
        <w:trPr>
          <w:trHeight w:val="153"/>
        </w:trPr>
        <w:tc>
          <w:tcPr>
            <w:tcW w:w="5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Contracts</w:t>
            </w:r>
          </w:p>
        </w:tc>
        <w:tc>
          <w:tcPr>
            <w:tcW w:w="8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52,536</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(8,209)</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48,269</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(1,068)</w:t>
            </w:r>
          </w:p>
        </w:tc>
      </w:tr>
      <w:tr>
        <w:trPr>
          <w:trHeight w:val="162"/>
        </w:trPr>
        <w:tc>
          <w:tcPr>
            <w:tcW w:w="5040" w:type="dxa"/>
            <w:vAlign w:val="bottom"/>
            <w:gridSpan w:val="2"/>
          </w:tcPr>
          <w:p>
            <w:pPr>
              <w:spacing w:after="0"/>
              <w:rPr>
                <w:sz w:val="20"/>
                <w:szCs w:val="20"/>
                <w:color w:val="auto"/>
              </w:rPr>
            </w:pPr>
            <w:r>
              <w:rPr>
                <w:rFonts w:ascii="Arial" w:cs="Arial" w:eastAsia="Arial" w:hAnsi="Arial"/>
                <w:sz w:val="12"/>
                <w:szCs w:val="12"/>
                <w:color w:val="auto"/>
              </w:rPr>
              <w:t>Underlying rights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10,497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(437)</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10,497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(87)</w:t>
            </w:r>
          </w:p>
        </w:tc>
      </w:tr>
      <w:tr>
        <w:trPr>
          <w:trHeight w:val="162"/>
        </w:trPr>
        <w:tc>
          <w:tcPr>
            <w:tcW w:w="4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040" w:type="dxa"/>
            <w:vAlign w:val="bottom"/>
            <w:gridSpan w:val="2"/>
          </w:tcPr>
          <w:p>
            <w:pPr>
              <w:spacing w:after="0"/>
              <w:rPr>
                <w:sz w:val="20"/>
                <w:szCs w:val="20"/>
                <w:color w:val="auto"/>
              </w:rPr>
            </w:pPr>
            <w:r>
              <w:rPr>
                <w:rFonts w:ascii="Arial" w:cs="Arial" w:eastAsia="Arial" w:hAnsi="Arial"/>
                <w:sz w:val="12"/>
                <w:szCs w:val="12"/>
                <w:color w:val="auto"/>
              </w:rPr>
              <w:t>Total intangible assets</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479,137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75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474,870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accumulated amortization</w:t>
            </w:r>
          </w:p>
        </w:tc>
        <w:tc>
          <w:tcPr>
            <w:tcW w:w="8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(114,507)</w:t>
            </w: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(84,145)</w:t>
            </w: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58"/>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Total intangible assets, net</w:t>
            </w:r>
          </w:p>
        </w:tc>
        <w:tc>
          <w:tcPr>
            <w:tcW w:w="84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364,630</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390,725</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62"/>
        </w:trPr>
        <w:tc>
          <w:tcPr>
            <w:tcW w:w="4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58"/>
        </w:trPr>
        <w:tc>
          <w:tcPr>
            <w:tcW w:w="5040" w:type="dxa"/>
            <w:vAlign w:val="bottom"/>
            <w:gridSpan w:val="2"/>
          </w:tcPr>
          <w:p>
            <w:pPr>
              <w:spacing w:after="0"/>
              <w:rPr>
                <w:sz w:val="20"/>
                <w:szCs w:val="20"/>
                <w:color w:val="auto"/>
              </w:rPr>
            </w:pPr>
            <w:r>
              <w:rPr>
                <w:rFonts w:ascii="Arial" w:cs="Arial" w:eastAsia="Arial" w:hAnsi="Arial"/>
                <w:sz w:val="12"/>
                <w:szCs w:val="12"/>
                <w:color w:val="auto"/>
              </w:rPr>
              <w:t>Finite life intangible liabilities:</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6"/>
        </w:trPr>
        <w:tc>
          <w:tcPr>
            <w:tcW w:w="5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Acquired below-market leases</w:t>
            </w:r>
          </w:p>
        </w:tc>
        <w:tc>
          <w:tcPr>
            <w:tcW w:w="840" w:type="dxa"/>
            <w:vAlign w:val="bottom"/>
            <w:shd w:val="clear" w:color="auto" w:fill="CFF0FC"/>
          </w:tcPr>
          <w:p>
            <w:pPr>
              <w:jc w:val="right"/>
              <w:ind w:right="73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191,154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(13,368)</w:t>
            </w:r>
          </w:p>
        </w:tc>
        <w:tc>
          <w:tcPr>
            <w:tcW w:w="860" w:type="dxa"/>
            <w:vAlign w:val="bottom"/>
            <w:shd w:val="clear" w:color="auto" w:fill="CFF0FC"/>
          </w:tcPr>
          <w:p>
            <w:pPr>
              <w:jc w:val="right"/>
              <w:ind w:right="75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190,086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(2,200)</w:t>
            </w:r>
          </w:p>
        </w:tc>
      </w:tr>
      <w:tr>
        <w:trPr>
          <w:trHeight w:val="151"/>
        </w:trPr>
        <w:tc>
          <w:tcPr>
            <w:tcW w:w="4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intangible liabilities</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191,154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190,086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040" w:type="dxa"/>
            <w:vAlign w:val="bottom"/>
            <w:gridSpan w:val="2"/>
          </w:tcPr>
          <w:p>
            <w:pPr>
              <w:spacing w:after="0"/>
              <w:rPr>
                <w:sz w:val="20"/>
                <w:szCs w:val="20"/>
                <w:color w:val="auto"/>
              </w:rPr>
            </w:pPr>
            <w:r>
              <w:rPr>
                <w:rFonts w:ascii="Arial" w:cs="Arial" w:eastAsia="Arial" w:hAnsi="Arial"/>
                <w:sz w:val="12"/>
                <w:szCs w:val="12"/>
                <w:color w:val="auto"/>
              </w:rPr>
              <w:t>Less: accumulated amortization</w:t>
            </w:r>
          </w:p>
        </w:tc>
        <w:tc>
          <w:tcPr>
            <w:tcW w:w="8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(13,368)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(2,200)</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8"/>
        </w:trPr>
        <w:tc>
          <w:tcPr>
            <w:tcW w:w="5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intangible liabilities, net</w:t>
            </w:r>
          </w:p>
        </w:tc>
        <w:tc>
          <w:tcPr>
            <w:tcW w:w="840" w:type="dxa"/>
            <w:vAlign w:val="bottom"/>
            <w:tcBorders>
              <w:top w:val="single" w:sz="8" w:color="auto"/>
              <w:bottom w:val="single" w:sz="8" w:color="auto"/>
            </w:tcBorders>
            <w:shd w:val="clear" w:color="auto" w:fill="CFF0FC"/>
          </w:tcPr>
          <w:p>
            <w:pPr>
              <w:jc w:val="right"/>
              <w:ind w:right="73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177,786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6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ind w:right="75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187,886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35" w:lineRule="exact"/>
        <w:rPr>
          <w:sz w:val="20"/>
          <w:szCs w:val="20"/>
          <w:color w:val="auto"/>
        </w:rPr>
      </w:pPr>
    </w:p>
    <w:p>
      <w:pPr>
        <w:jc w:val="both"/>
        <w:ind w:right="40"/>
        <w:spacing w:after="0" w:line="323" w:lineRule="auto"/>
        <w:rPr>
          <w:sz w:val="20"/>
          <w:szCs w:val="20"/>
          <w:color w:val="auto"/>
        </w:rPr>
      </w:pPr>
      <w:r>
        <w:rPr>
          <w:rFonts w:ascii="Arial" w:cs="Arial" w:eastAsia="Arial" w:hAnsi="Arial"/>
          <w:sz w:val="11"/>
          <w:szCs w:val="11"/>
          <w:color w:val="auto"/>
        </w:rPr>
        <w:t>As of December 31, 2021, the remaining weighted average amortization period of the Company’s intangible assets was 14.9 years. Amortization expense for the years ended December 31, 2021, 2020 and 2019 was $29.8 million, $28.2 million and $27.2 million, respectively. Amortization expense is estimated to be $29.7 million in 2022, $29.8 million in 2023, $29.7. million in 2024, $29.7 million in 2025 and $29.7 million in 2026.</w:t>
      </w:r>
    </w:p>
    <w:p>
      <w:pPr>
        <w:spacing w:after="0" w:line="92"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As part of the Asset Purchase Agreement, we recognize the amortization of below-market leases in revenue. Revenue related to the amortization of the below-market leases for the year ended December 31, 2021 was $10.7 million. We recognized no revenue from intangible liabilities for the years ended December 31, 2020, and 2019, respectively. As of December 31, 2021, the remaining weighted average amortization period of the Company’s intangible liabilities was 17.9 years. Revenue due to the amortization of the below-market leases is estimated to be $10.7 million in 2022, $10.7 million in 2023, $10.7 million in 2024, $10.7 million in 2025, and $10.7 million in 2026.</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Notes and Other Debt</w:t>
      </w:r>
    </w:p>
    <w:p>
      <w:pPr>
        <w:spacing w:after="0" w:line="154" w:lineRule="exact"/>
        <w:rPr>
          <w:sz w:val="20"/>
          <w:szCs w:val="20"/>
          <w:color w:val="auto"/>
        </w:rPr>
      </w:pPr>
    </w:p>
    <w:p>
      <w:pPr>
        <w:jc w:val="center"/>
        <w:ind w:right="420"/>
        <w:spacing w:after="0"/>
        <w:rPr>
          <w:sz w:val="20"/>
          <w:szCs w:val="20"/>
          <w:color w:val="auto"/>
        </w:rPr>
      </w:pPr>
      <w:r>
        <w:rPr>
          <w:rFonts w:ascii="Arial" w:cs="Arial" w:eastAsia="Arial" w:hAnsi="Arial"/>
          <w:sz w:val="10"/>
          <w:szCs w:val="10"/>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4" w:name="page95"/>
    <w:bookmarkEnd w:id="94"/>
    <w:p>
      <w:pPr>
        <w:spacing w:after="0"/>
        <w:rPr>
          <w:sz w:val="20"/>
          <w:szCs w:val="20"/>
          <w:color w:val="auto"/>
        </w:rPr>
      </w:pPr>
      <w:r>
        <w:rPr>
          <w:rFonts w:ascii="Arial" w:cs="Arial" w:eastAsia="Arial" w:hAnsi="Arial"/>
          <w:sz w:val="12"/>
          <w:szCs w:val="12"/>
          <w:u w:val="single" w:color="auto"/>
          <w:color w:val="0000EE"/>
        </w:rPr>
        <w:t>Table of Contents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Notes and other debt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166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0"/>
                <w:szCs w:val="10"/>
                <w:b w:val="1"/>
                <w:bCs w:val="1"/>
                <w:color w:val="auto"/>
              </w:rPr>
              <w:t>December 31, 2021</w:t>
            </w:r>
          </w:p>
        </w:tc>
        <w:tc>
          <w:tcPr>
            <w:tcW w:w="30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0"/>
                <w:szCs w:val="10"/>
                <w:b w:val="1"/>
                <w:bCs w:val="1"/>
                <w:color w:val="auto"/>
              </w:rPr>
              <w:t>December 31, 2020</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Principal amount</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5,175,000</w:t>
            </w:r>
          </w:p>
        </w:tc>
        <w:tc>
          <w:tcPr>
            <w:tcW w:w="52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4,965,000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2"/>
                <w:szCs w:val="12"/>
                <w:color w:val="auto"/>
              </w:rPr>
              <w:t>Less unamortized discount, premium and debt issuance costs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2"/>
                <w:szCs w:val="12"/>
                <w:color w:val="auto"/>
              </w:rPr>
              <w:t>(84,463)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(148,476)</w:t>
            </w:r>
          </w:p>
        </w:tc>
        <w:tc>
          <w:tcPr>
            <w:tcW w:w="0" w:type="dxa"/>
            <w:vAlign w:val="bottom"/>
          </w:tcPr>
          <w:p>
            <w:pPr>
              <w:spacing w:after="0"/>
              <w:rPr>
                <w:sz w:val="1"/>
                <w:szCs w:val="1"/>
                <w:color w:val="auto"/>
              </w:rPr>
            </w:pPr>
          </w:p>
        </w:tc>
      </w:tr>
      <w:tr>
        <w:trPr>
          <w:trHeight w:val="171"/>
        </w:trPr>
        <w:tc>
          <w:tcPr>
            <w:tcW w:w="57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Notes and other debt less unamortized discount and debt issuance costs</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0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8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ind w:right="69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5,090,537</w:t>
            </w:r>
          </w:p>
        </w:tc>
        <w:tc>
          <w:tcPr>
            <w:tcW w:w="3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4,816,524</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5780" w:type="dxa"/>
            <w:vAlign w:val="bottom"/>
            <w:gridSpan w:val="2"/>
          </w:tcPr>
          <w:p>
            <w:pPr>
              <w:spacing w:after="0"/>
              <w:rPr>
                <w:sz w:val="20"/>
                <w:szCs w:val="20"/>
                <w:color w:val="auto"/>
              </w:rPr>
            </w:pPr>
            <w:r>
              <w:rPr>
                <w:rFonts w:ascii="Arial" w:cs="Arial" w:eastAsia="Arial" w:hAnsi="Arial"/>
                <w:sz w:val="12"/>
                <w:szCs w:val="12"/>
                <w:color w:val="auto"/>
              </w:rPr>
              <w:t>Notes and other debt at December 31, 2021 and 2020 consisted of the following:</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7"/>
          </w:tcPr>
          <w:p>
            <w:pPr>
              <w:jc w:val="right"/>
              <w:ind w:right="1180"/>
              <w:spacing w:after="0"/>
              <w:rPr>
                <w:sz w:val="20"/>
                <w:szCs w:val="20"/>
                <w:color w:val="auto"/>
              </w:rPr>
            </w:pPr>
            <w:r>
              <w:rPr>
                <w:rFonts w:ascii="Arial" w:cs="Arial" w:eastAsia="Arial" w:hAnsi="Arial"/>
                <w:sz w:val="10"/>
                <w:szCs w:val="10"/>
                <w:b w:val="1"/>
                <w:bCs w:val="1"/>
                <w:color w:val="auto"/>
              </w:rPr>
              <w:t>December 31, 2021</w:t>
            </w:r>
          </w:p>
        </w:tc>
        <w:tc>
          <w:tcPr>
            <w:tcW w:w="620" w:type="dxa"/>
            <w:vAlign w:val="bottom"/>
          </w:tcPr>
          <w:p>
            <w:pPr>
              <w:spacing w:after="0"/>
              <w:rPr>
                <w:sz w:val="24"/>
                <w:szCs w:val="24"/>
                <w:color w:val="auto"/>
              </w:rPr>
            </w:pPr>
          </w:p>
        </w:tc>
        <w:tc>
          <w:tcPr>
            <w:tcW w:w="2020" w:type="dxa"/>
            <w:vAlign w:val="bottom"/>
            <w:gridSpan w:val="6"/>
          </w:tcPr>
          <w:p>
            <w:pPr>
              <w:jc w:val="right"/>
              <w:ind w:right="1000"/>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83"/>
        </w:trPr>
        <w:tc>
          <w:tcPr>
            <w:tcW w:w="5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3"/>
          </w:tcPr>
          <w:p>
            <w:pPr>
              <w:jc w:val="right"/>
              <w:ind w:right="72"/>
              <w:spacing w:after="0" w:line="83" w:lineRule="exact"/>
              <w:rPr>
                <w:sz w:val="20"/>
                <w:szCs w:val="20"/>
                <w:color w:val="auto"/>
              </w:rPr>
            </w:pPr>
            <w:r>
              <w:rPr>
                <w:rFonts w:ascii="Arial" w:cs="Arial" w:eastAsia="Arial" w:hAnsi="Arial"/>
                <w:sz w:val="8"/>
                <w:szCs w:val="8"/>
                <w:b w:val="1"/>
                <w:bCs w:val="1"/>
                <w:color w:val="auto"/>
              </w:rPr>
              <w:t>Unamortized Discount,</w:t>
            </w:r>
          </w:p>
        </w:tc>
        <w:tc>
          <w:tcPr>
            <w:tcW w:w="2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jc w:val="center"/>
              <w:ind w:right="23"/>
              <w:spacing w:after="0" w:line="83" w:lineRule="exact"/>
              <w:rPr>
                <w:sz w:val="20"/>
                <w:szCs w:val="20"/>
                <w:color w:val="auto"/>
              </w:rPr>
            </w:pPr>
            <w:r>
              <w:rPr>
                <w:rFonts w:ascii="Arial" w:cs="Arial" w:eastAsia="Arial" w:hAnsi="Arial"/>
                <w:sz w:val="8"/>
                <w:szCs w:val="8"/>
                <w:b w:val="1"/>
                <w:bCs w:val="1"/>
                <w:color w:val="auto"/>
              </w:rPr>
              <w:t>Unamortized Discount,</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gridSpan w:val="5"/>
          </w:tcPr>
          <w:p>
            <w:pPr>
              <w:ind w:left="20"/>
              <w:spacing w:after="0" w:line="99" w:lineRule="exact"/>
              <w:rPr>
                <w:sz w:val="20"/>
                <w:szCs w:val="20"/>
                <w:color w:val="auto"/>
              </w:rPr>
            </w:pPr>
            <w:r>
              <w:rPr>
                <w:rFonts w:ascii="Arial" w:cs="Arial" w:eastAsia="Arial" w:hAnsi="Arial"/>
                <w:sz w:val="10"/>
                <w:szCs w:val="10"/>
                <w:b w:val="1"/>
                <w:bCs w:val="1"/>
                <w:color w:val="auto"/>
              </w:rPr>
              <w:t>Premium and Debt Issuance</w:t>
            </w: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Premium and Debt</w:t>
            </w:r>
          </w:p>
        </w:tc>
        <w:tc>
          <w:tcPr>
            <w:tcW w:w="0" w:type="dxa"/>
            <w:vAlign w:val="bottom"/>
          </w:tcPr>
          <w:p>
            <w:pPr>
              <w:spacing w:after="0"/>
              <w:rPr>
                <w:sz w:val="1"/>
                <w:szCs w:val="1"/>
                <w:color w:val="auto"/>
              </w:rPr>
            </w:pPr>
          </w:p>
        </w:tc>
      </w:tr>
      <w:tr>
        <w:trPr>
          <w:trHeight w:val="113"/>
        </w:trPr>
        <w:tc>
          <w:tcPr>
            <w:tcW w:w="566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2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382"/>
              <w:spacing w:after="0" w:line="114" w:lineRule="exact"/>
              <w:rPr>
                <w:sz w:val="20"/>
                <w:szCs w:val="20"/>
                <w:color w:val="auto"/>
              </w:rPr>
            </w:pPr>
            <w:r>
              <w:rPr>
                <w:rFonts w:ascii="Arial" w:cs="Arial" w:eastAsia="Arial" w:hAnsi="Arial"/>
                <w:sz w:val="10"/>
                <w:szCs w:val="10"/>
                <w:b w:val="1"/>
                <w:bCs w:val="1"/>
                <w:color w:val="auto"/>
              </w:rPr>
              <w:t>Principal</w:t>
            </w:r>
          </w:p>
        </w:tc>
        <w:tc>
          <w:tcPr>
            <w:tcW w:w="2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432"/>
              <w:spacing w:after="0" w:line="114" w:lineRule="exact"/>
              <w:rPr>
                <w:sz w:val="20"/>
                <w:szCs w:val="20"/>
                <w:color w:val="auto"/>
              </w:rPr>
            </w:pPr>
            <w:r>
              <w:rPr>
                <w:rFonts w:ascii="Arial" w:cs="Arial" w:eastAsia="Arial" w:hAnsi="Arial"/>
                <w:sz w:val="10"/>
                <w:szCs w:val="10"/>
                <w:b w:val="1"/>
                <w:bCs w:val="1"/>
                <w:color w:val="auto"/>
              </w:rPr>
              <w:t>Costs</w:t>
            </w:r>
          </w:p>
        </w:tc>
        <w:tc>
          <w:tcPr>
            <w:tcW w:w="240" w:type="dxa"/>
            <w:vAlign w:val="bottom"/>
            <w:tcBorders>
              <w:bottom w:val="single" w:sz="8" w:color="CFF0FC"/>
            </w:tcBorders>
          </w:tcPr>
          <w:p>
            <w:pPr>
              <w:spacing w:after="0"/>
              <w:rPr>
                <w:sz w:val="9"/>
                <w:szCs w:val="9"/>
                <w:color w:val="auto"/>
              </w:rPr>
            </w:pPr>
          </w:p>
        </w:tc>
        <w:tc>
          <w:tcPr>
            <w:tcW w:w="1140" w:type="dxa"/>
            <w:vAlign w:val="bottom"/>
            <w:tcBorders>
              <w:bottom w:val="single" w:sz="8" w:color="auto"/>
            </w:tcBorders>
            <w:gridSpan w:val="3"/>
          </w:tcPr>
          <w:p>
            <w:pPr>
              <w:jc w:val="right"/>
              <w:ind w:right="332"/>
              <w:spacing w:after="0" w:line="114" w:lineRule="exact"/>
              <w:rPr>
                <w:sz w:val="20"/>
                <w:szCs w:val="20"/>
                <w:color w:val="auto"/>
              </w:rPr>
            </w:pPr>
            <w:r>
              <w:rPr>
                <w:rFonts w:ascii="Arial" w:cs="Arial" w:eastAsia="Arial" w:hAnsi="Arial"/>
                <w:sz w:val="10"/>
                <w:szCs w:val="10"/>
                <w:b w:val="1"/>
                <w:bCs w:val="1"/>
                <w:color w:val="auto"/>
              </w:rPr>
              <w:t>Principal</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center"/>
              <w:ind w:right="23"/>
              <w:spacing w:after="0" w:line="114" w:lineRule="exact"/>
              <w:rPr>
                <w:sz w:val="20"/>
                <w:szCs w:val="20"/>
                <w:color w:val="auto"/>
              </w:rPr>
            </w:pPr>
            <w:r>
              <w:rPr>
                <w:rFonts w:ascii="Arial" w:cs="Arial" w:eastAsia="Arial" w:hAnsi="Arial"/>
                <w:sz w:val="10"/>
                <w:szCs w:val="10"/>
                <w:b w:val="1"/>
                <w:bCs w:val="1"/>
                <w:color w:val="auto"/>
                <w:w w:val="81"/>
              </w:rPr>
              <w:t>Issuance Costs</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780" w:type="dxa"/>
            <w:vAlign w:val="bottom"/>
            <w:gridSpan w:val="2"/>
            <w:shd w:val="clear" w:color="auto" w:fill="CFF0FC"/>
          </w:tcPr>
          <w:p>
            <w:pPr>
              <w:spacing w:after="0" w:line="133" w:lineRule="exact"/>
              <w:rPr>
                <w:sz w:val="20"/>
                <w:szCs w:val="20"/>
                <w:color w:val="auto"/>
              </w:rPr>
            </w:pPr>
            <w:r>
              <w:rPr>
                <w:rFonts w:ascii="Arial" w:cs="Arial" w:eastAsia="Arial" w:hAnsi="Arial"/>
                <w:sz w:val="12"/>
                <w:szCs w:val="12"/>
                <w:color w:val="auto"/>
              </w:rPr>
              <w:t>Senior secured notes - 6.00%, due April 15, 2023</w:t>
            </w: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6.49%)</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06"/>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550,000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(4,053)</w:t>
            </w:r>
          </w:p>
        </w:tc>
        <w:tc>
          <w:tcPr>
            <w:tcW w:w="0" w:type="dxa"/>
            <w:vAlign w:val="bottom"/>
          </w:tcPr>
          <w:p>
            <w:pPr>
              <w:spacing w:after="0"/>
              <w:rPr>
                <w:sz w:val="1"/>
                <w:szCs w:val="1"/>
                <w:color w:val="auto"/>
              </w:rPr>
            </w:pPr>
          </w:p>
        </w:tc>
      </w:tr>
      <w:tr>
        <w:trPr>
          <w:trHeight w:val="144"/>
        </w:trPr>
        <w:tc>
          <w:tcPr>
            <w:tcW w:w="5780" w:type="dxa"/>
            <w:vAlign w:val="bottom"/>
            <w:gridSpan w:val="2"/>
          </w:tcPr>
          <w:p>
            <w:pPr>
              <w:spacing w:after="0"/>
              <w:rPr>
                <w:sz w:val="20"/>
                <w:szCs w:val="20"/>
                <w:color w:val="auto"/>
              </w:rPr>
            </w:pPr>
            <w:r>
              <w:rPr>
                <w:rFonts w:ascii="Arial" w:cs="Arial" w:eastAsia="Arial" w:hAnsi="Arial"/>
                <w:sz w:val="12"/>
                <w:szCs w:val="12"/>
                <w:color w:val="auto"/>
              </w:rPr>
              <w:t>Senior secured notes - 7.875%, due February 15, 2025</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(discount is based on imputed interest rate of 8.38%)</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2,250,000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2"/>
                <w:szCs w:val="12"/>
                <w:color w:val="auto"/>
              </w:rPr>
              <w:t>(31,411)</w:t>
            </w:r>
          </w:p>
        </w:tc>
        <w:tc>
          <w:tcPr>
            <w:tcW w:w="6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w w:val="89"/>
              </w:rPr>
              <w:t>2,250,000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(39,852)</w:t>
            </w:r>
          </w:p>
        </w:tc>
        <w:tc>
          <w:tcPr>
            <w:tcW w:w="0" w:type="dxa"/>
            <w:vAlign w:val="bottom"/>
          </w:tcPr>
          <w:p>
            <w:pPr>
              <w:spacing w:after="0"/>
              <w:rPr>
                <w:sz w:val="1"/>
                <w:szCs w:val="1"/>
                <w:color w:val="auto"/>
              </w:rPr>
            </w:pPr>
          </w:p>
        </w:tc>
      </w:tr>
      <w:tr>
        <w:trPr>
          <w:trHeight w:val="144"/>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Senior secured notes - 4.75%, due April 15, 2028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5.04%)</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570,000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(8,886)</w:t>
            </w:r>
          </w:p>
        </w:tc>
        <w:tc>
          <w:tcPr>
            <w:tcW w:w="6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780" w:type="dxa"/>
            <w:vAlign w:val="bottom"/>
            <w:gridSpan w:val="2"/>
          </w:tcPr>
          <w:p>
            <w:pPr>
              <w:spacing w:after="0"/>
              <w:rPr>
                <w:sz w:val="20"/>
                <w:szCs w:val="20"/>
                <w:color w:val="auto"/>
              </w:rPr>
            </w:pPr>
            <w:r>
              <w:rPr>
                <w:rFonts w:ascii="Arial" w:cs="Arial" w:eastAsia="Arial" w:hAnsi="Arial"/>
                <w:sz w:val="12"/>
                <w:szCs w:val="12"/>
                <w:color w:val="auto"/>
              </w:rPr>
              <w:t>Senior unsecured notes - 8.25%, due October 15, 2023</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(discount is based on imputed interest rate of 9.06%)</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w w:val="89"/>
              </w:rPr>
              <w:t>1,110,000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(22,024)</w:t>
            </w:r>
          </w:p>
        </w:tc>
        <w:tc>
          <w:tcPr>
            <w:tcW w:w="0" w:type="dxa"/>
            <w:vAlign w:val="bottom"/>
          </w:tcPr>
          <w:p>
            <w:pPr>
              <w:spacing w:after="0"/>
              <w:rPr>
                <w:sz w:val="1"/>
                <w:szCs w:val="1"/>
                <w:color w:val="auto"/>
              </w:rPr>
            </w:pPr>
          </w:p>
        </w:tc>
      </w:tr>
      <w:tr>
        <w:trPr>
          <w:trHeight w:val="144"/>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Exchangeable senior unsecured notes - 4.00%, due June 15, 2024</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4.77%)</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345,000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(6,187)</w:t>
            </w:r>
          </w:p>
        </w:tc>
        <w:tc>
          <w:tcPr>
            <w:tcW w:w="6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345,000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(69,608)</w:t>
            </w:r>
          </w:p>
        </w:tc>
        <w:tc>
          <w:tcPr>
            <w:tcW w:w="0" w:type="dxa"/>
            <w:vAlign w:val="bottom"/>
          </w:tcPr>
          <w:p>
            <w:pPr>
              <w:spacing w:after="0"/>
              <w:rPr>
                <w:sz w:val="1"/>
                <w:szCs w:val="1"/>
                <w:color w:val="auto"/>
              </w:rPr>
            </w:pPr>
          </w:p>
        </w:tc>
      </w:tr>
      <w:tr>
        <w:trPr>
          <w:trHeight w:val="144"/>
        </w:trPr>
        <w:tc>
          <w:tcPr>
            <w:tcW w:w="5780" w:type="dxa"/>
            <w:vAlign w:val="bottom"/>
            <w:gridSpan w:val="2"/>
          </w:tcPr>
          <w:p>
            <w:pPr>
              <w:spacing w:after="0"/>
              <w:rPr>
                <w:sz w:val="20"/>
                <w:szCs w:val="20"/>
                <w:color w:val="auto"/>
              </w:rPr>
            </w:pPr>
            <w:r>
              <w:rPr>
                <w:rFonts w:ascii="Arial" w:cs="Arial" w:eastAsia="Arial" w:hAnsi="Arial"/>
                <w:sz w:val="12"/>
                <w:szCs w:val="12"/>
                <w:color w:val="auto"/>
              </w:rPr>
              <w:t>Senior unsecured notes - 7.125%, due December 15, 2024</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(discount is based on imputed interest rate of 7.38%)</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600,000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(5,316)</w:t>
            </w:r>
          </w:p>
        </w:tc>
        <w:tc>
          <w:tcPr>
            <w:tcW w:w="0" w:type="dxa"/>
            <w:vAlign w:val="bottom"/>
          </w:tcPr>
          <w:p>
            <w:pPr>
              <w:spacing w:after="0"/>
              <w:rPr>
                <w:sz w:val="1"/>
                <w:szCs w:val="1"/>
                <w:color w:val="auto"/>
              </w:rPr>
            </w:pPr>
          </w:p>
        </w:tc>
      </w:tr>
      <w:tr>
        <w:trPr>
          <w:trHeight w:val="144"/>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Senior unsecured notes - 6.50%, due February 15, 2029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6.83%)</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1,110,000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(20,797)</w:t>
            </w:r>
          </w:p>
        </w:tc>
        <w:tc>
          <w:tcPr>
            <w:tcW w:w="6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780" w:type="dxa"/>
            <w:vAlign w:val="bottom"/>
            <w:gridSpan w:val="2"/>
          </w:tcPr>
          <w:p>
            <w:pPr>
              <w:spacing w:after="0"/>
              <w:rPr>
                <w:sz w:val="20"/>
                <w:szCs w:val="20"/>
                <w:color w:val="auto"/>
              </w:rPr>
            </w:pPr>
            <w:r>
              <w:rPr>
                <w:rFonts w:ascii="Arial" w:cs="Arial" w:eastAsia="Arial" w:hAnsi="Arial"/>
                <w:sz w:val="12"/>
                <w:szCs w:val="12"/>
                <w:color w:val="auto"/>
              </w:rPr>
              <w:t>Senior unsecured notes - 6.00%, due January 15, 2030</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(discount is based on imputed interest rate of 6.27%)</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700,000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2"/>
                <w:szCs w:val="12"/>
                <w:color w:val="auto"/>
              </w:rPr>
              <w:t>(11,689)</w:t>
            </w:r>
          </w:p>
        </w:tc>
        <w:tc>
          <w:tcPr>
            <w:tcW w:w="6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Senior secured revolving credit facility, variable rate, due December 10, 2024</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(5,493)</w:t>
            </w:r>
          </w:p>
        </w:tc>
        <w:tc>
          <w:tcPr>
            <w:tcW w:w="6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110,000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(7,623)</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ind w:left="80"/>
              <w:spacing w:after="0"/>
              <w:rPr>
                <w:sz w:val="20"/>
                <w:szCs w:val="20"/>
                <w:color w:val="auto"/>
              </w:rPr>
            </w:pPr>
            <w:r>
              <w:rPr>
                <w:rFonts w:ascii="Arial" w:cs="Arial" w:eastAsia="Arial" w:hAnsi="Arial"/>
                <w:sz w:val="12"/>
                <w:szCs w:val="12"/>
                <w:color w:val="auto"/>
              </w:rPr>
              <w:t>Total</w:t>
            </w: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80" w:type="dxa"/>
            <w:vAlign w:val="bottom"/>
            <w:gridSpan w:val="2"/>
            <w:vMerge w:val="continue"/>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5,175,000</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320" w:type="dxa"/>
            <w:vAlign w:val="bottom"/>
            <w:gridSpan w:val="4"/>
          </w:tcPr>
          <w:p>
            <w:pPr>
              <w:jc w:val="right"/>
              <w:ind w:right="200"/>
              <w:spacing w:after="0"/>
              <w:rPr>
                <w:sz w:val="20"/>
                <w:szCs w:val="20"/>
                <w:color w:val="auto"/>
              </w:rPr>
            </w:pPr>
            <w:r>
              <w:rPr>
                <w:rFonts w:ascii="Arial" w:cs="Arial" w:eastAsia="Arial" w:hAnsi="Arial"/>
                <w:sz w:val="12"/>
                <w:szCs w:val="12"/>
                <w:color w:val="auto"/>
              </w:rPr>
              <w:t>(84,463)</w:t>
            </w:r>
          </w:p>
        </w:tc>
        <w:tc>
          <w:tcPr>
            <w:tcW w:w="620" w:type="dxa"/>
            <w:vAlign w:val="bottom"/>
          </w:tcPr>
          <w:p>
            <w:pPr>
              <w:jc w:val="right"/>
              <w:ind w:right="506"/>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w w:val="89"/>
              </w:rPr>
              <w:t>4,965,000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(148,476)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At December 31, 2021, notes and other debt included the following: (i) $200.0 million under the Revolving Credit Facility (as defined below) pursuant to the credit agreement by and among Uniti Group LP, Uniti Group Finance 2019 Inc. and CSL Capital, LLC (hereinafter, the “Borrowers”), the guarantors and lenders party thereto and Bank of America, N.A., as administrative agent and collateral agent (the “Credit Agreement”); (ii) $2.25 billion aggregate principal amount of 7.875% Senior Secured Notes due 2025 (the “2025 Secured Notes”); (iii) $570.0 million aggregate principal amount of 4.75% Senior Secured Notes due April 15, 2028 (the “2028 Secured Notes”); (iv) $1.11 billion aggregate principal amount of 6.50% Senior Unsecured Notes due February 15, 2029 (the “2029 Notes”); (v) $345 million aggregate principal amount of 4.00% Exchangeable Senior Notes due June 15, 2024 (the “Exchangeable Notes”); and (vi) $700.0 million aggregate principal amount of 6.00% Senior Secured Notes due January 15, 2030 (the “2030 Notes” and collectively with the 2025 Secured Notes, 2028 Secured Notes, 2029 Notes and the Exchangeable Notes, the “Notes”). Until our net leverage ratio is below 5.75:1.00, our 2025 Secured Notes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Credit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5" w:name="page96"/>
    <w:bookmarkEnd w:id="95"/>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100"/>
        <w:spacing w:after="0" w:line="326" w:lineRule="auto"/>
        <w:rPr>
          <w:sz w:val="20"/>
          <w:szCs w:val="20"/>
          <w:color w:val="auto"/>
        </w:rPr>
      </w:pPr>
      <w:r>
        <w:rPr>
          <w:rFonts w:ascii="Arial" w:cs="Arial" w:eastAsia="Arial" w:hAnsi="Arial"/>
          <w:sz w:val="10"/>
          <w:szCs w:val="10"/>
          <w:color w:val="auto"/>
        </w:rPr>
        <w:t>The Borrowers are party to the Credit Agreement, which after the Seventh Amendment (as defined below) as of December 31, 2021, provided for a $60.5 million non-extended revolving credit facility that matures on April 24, 2022 (the “Non-Extended Revolving Credit Facility”) and a $500 million revolving credit facility extended that, upon receipt of routine regulatory approvals, will mature on December 10, 2024 (the “Extended Revolving Credit Facility” and together with Non-Extended Revolving Credit facility, the “Revolving Credit Facility”), which provide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95" w:lineRule="exact"/>
        <w:rPr>
          <w:sz w:val="20"/>
          <w:szCs w:val="20"/>
          <w:color w:val="auto"/>
        </w:rPr>
      </w:pPr>
    </w:p>
    <w:p>
      <w:pPr>
        <w:ind w:right="100"/>
        <w:spacing w:after="0" w:line="281" w:lineRule="auto"/>
        <w:rPr>
          <w:sz w:val="20"/>
          <w:szCs w:val="20"/>
          <w:color w:val="auto"/>
        </w:rPr>
      </w:pPr>
      <w:r>
        <w:rPr>
          <w:rFonts w:ascii="Arial" w:cs="Arial" w:eastAsia="Arial" w:hAnsi="Arial"/>
          <w:sz w:val="11"/>
          <w:szCs w:val="11"/>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2021, the Borrowers were in compliance with all of the covenants under the Credit Agreement.</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On June 24, 2019, we entered into an amendment (the “Fifth Amendment”) to our Credit Agreement to extend the maturity date of $575.9 million of commitments under the Revolving Credit Facility to April 24, 2022 and to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below to fund the repayments.</w:t>
      </w:r>
    </w:p>
    <w:p>
      <w:pPr>
        <w:spacing w:after="0" w:line="128"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an amendment (the “Sixth Amendment”) to our Credit Agreement.</w:t>
      </w:r>
    </w:p>
    <w:p>
      <w:pPr>
        <w:spacing w:after="0" w:line="115"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On December 10, 2020, we entered into an amendment (the “Seventh Amendment”) to our Credit Agreement. Pursuant to the Seventh Amendment, commitments from new and existing lenders under the Revolving Credit Facility have increased to $500 million and, subject to certain conditions, the maturity date of such commitments has been extended to December 10, 2024. Certain non-extending lender commitments of $60.5 million will mature on April 24, 2022 and will continue to bear interest at rates previously in effect. Prior to the expiration of these commitments, the aggregate size of the Revolving Credit Facility will be $560.5 million from all lenders.</w:t>
      </w:r>
    </w:p>
    <w:p>
      <w:pPr>
        <w:spacing w:after="0" w:line="105"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Borrowings under (a) the Non-Extended Revolving Credit Facility bear interest at a rate equal to either a base rate plus an applicable margin ranging from 3.75% to 4.25% or a eurodollar rate plus an applicable margin ranging from 4.75% to 5.25% and (b) effective April 17, 2021, following the receipt of certain routine regulatory approvals, the Extended Revolving Credit Facility bear interest at a rate equal to either a base rate plus an applicable margin ranging from 2.75% to 3.50% or a eurodollar rate plus an applicable margin ranging from 3.75% to 4.50%, in each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6" w:name="page97"/>
    <w:bookmarkEnd w:id="96"/>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The Notes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Secured Notes</w:t>
      </w:r>
    </w:p>
    <w:p>
      <w:pPr>
        <w:spacing w:after="0" w:line="150" w:lineRule="exact"/>
        <w:rPr>
          <w:sz w:val="20"/>
          <w:szCs w:val="20"/>
          <w:color w:val="auto"/>
        </w:rPr>
      </w:pPr>
    </w:p>
    <w:p>
      <w:pPr>
        <w:ind w:right="260"/>
        <w:spacing w:after="0" w:line="379" w:lineRule="auto"/>
        <w:rPr>
          <w:sz w:val="20"/>
          <w:szCs w:val="20"/>
          <w:color w:val="auto"/>
        </w:rPr>
      </w:pPr>
      <w:r>
        <w:rPr>
          <w:rFonts w:ascii="Arial" w:cs="Arial" w:eastAsia="Arial" w:hAnsi="Arial"/>
          <w:sz w:val="10"/>
          <w:szCs w:val="10"/>
          <w:color w:val="auto"/>
        </w:rPr>
        <w:t>The Operating Partnership, CSL Capital, LLC, Uniti Group Finance 2019 Inc. and Uniti Fiber Holdings Inc. (collectively, the “Issuers”), have outstanding $2.25 billion aggregate principal amount of the 2025 Secured Notes, which were issued on February 10, 2020. The 2025 Secured Notes mature on February 15, 2025 and bear interest at a rate of 7.875% per year. Interest on the 2025 Secured Notes is payable on February 15 and August 15 of each year.</w:t>
      </w:r>
    </w:p>
    <w:p>
      <w:pPr>
        <w:spacing w:after="0" w:line="69"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On April 20, 2021, the Borrowers issued $570 million aggregate principal amount of the 2028 Secured Notes (together with the 2025 Secured Notes, the “Secured Notes”) and used the net proceeds from the offering to fund the redemption in full of the $550.0 million aggregate principal amount of 6.00% Senior Secured Notes due April 15, 2023 (the “2023 Secured Notes”) on May 6, 2021. During the three months ended June 30, 2021, we recognized a $4.3 million loss on the extinguishment of the 2023 Secured Notes within interest expense, net on the Condensed Consolidated Statements of Income (Loss), which included $1.3 million of non-cash interest expense for the write off of the unamortized discount and deferred financing costs and $3.0 million of cash interest expense for the redemption premium. The 2028 Secured Notes mature on April 15, 2028 and bear interest at a rate of 4.750% per year. Interest on the 2028 Secured Notes is payable on April 15 and October 15 of each year.</w:t>
      </w:r>
    </w:p>
    <w:p>
      <w:pPr>
        <w:spacing w:after="0" w:line="12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Secured Notes and the related guarantees are secured by liens on substantially all of the assets of the issuers and guarantors thereto, which assets also ratably secure obligations under the senior secured credit facilities, in each case, subject to certain exceptions and permitted liens. The collateral does not include real property (below a specified threshold of value), but includes certain fixtures and other equipment as well as cash that we receive pursuant the Windstream Leases.</w:t>
      </w:r>
    </w:p>
    <w:p>
      <w:pPr>
        <w:spacing w:after="0" w:line="122" w:lineRule="exact"/>
        <w:rPr>
          <w:sz w:val="20"/>
          <w:szCs w:val="20"/>
          <w:color w:val="auto"/>
        </w:rPr>
      </w:pPr>
    </w:p>
    <w:p>
      <w:pPr>
        <w:ind w:right="220"/>
        <w:spacing w:after="0" w:line="283" w:lineRule="auto"/>
        <w:rPr>
          <w:sz w:val="20"/>
          <w:szCs w:val="20"/>
          <w:color w:val="auto"/>
        </w:rPr>
      </w:pPr>
      <w:r>
        <w:rPr>
          <w:rFonts w:ascii="Arial" w:cs="Arial" w:eastAsia="Arial" w:hAnsi="Arial"/>
          <w:sz w:val="11"/>
          <w:szCs w:val="11"/>
          <w:color w:val="auto"/>
        </w:rPr>
        <w:t>The indentures governing the Secured Notes contain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to pay dividends or other amounts to the Borrowers or Issuers, as applicable. These covenants are subject to a number of limitations, qualifications and exceptions. Further, until our net leverage ratio is below 5.75 : 1.00, the 2025 Secured Notes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The indentures governing the Secured Notes also contain customary events of default. As of December 31, 2021, the Company was in compliance with all of the covenants under the indentures governing the Secured Notes.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Senior Unsecured Notes</w:t>
      </w:r>
    </w:p>
    <w:p>
      <w:pPr>
        <w:spacing w:after="0" w:line="150"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On February 2, 2021, the Borrowers issued $1.11 billion aggregate principal of the 2029 Notes and used the net proceeds to fund the tender offer and subsequent redemption of all outstanding 8.25% Senior Unsecured Notes due October 15, 2023 (the “2023 Notes”). During the year ended December 31, 2021, we recognized a $39.1 million loss on the tendered 2023 Notes within interest expense, net on the Consolidated Statements of Income (Loss), which included $21.5 million of non-cash interest expense for the write off of the unamortized discount and deferred financing costs and $17.6 million of cash interest expense for the tender premium. The 2029 Notes mature on February 15, 2029 and bear interest at a rate of 6.50% per year. Interest on the 2029 Notes is payable on February 15 and August 15 of each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7" w:name="page98"/>
    <w:bookmarkEnd w:id="97"/>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On October 13, 2021, the Issuers issued $700.0 million aggregate principal amount of the 2030 Senior (together with the 2029 Notes, the “Senior Unsecured Notes”) and used the net proceeds to fund redemption in full of the $600.0 million 7.125% Senior Unsecured Notes due December 15, 2024 (the “2024 Notes”) on December 15, 2021. During the year ended December 31, 2021, we recognized a $5.9 million loss on the extinguishment of the 2024 Notes within interest expense, net on the Consolidated Statements of Income (Loss), which included $1.8 million of non-cash interest expense for the write off of the unamortized discount and deferred financing costs and $4.1 million of cash interest expense for the redemption premium. The Company used the remaining proceeds of $78.0 million to prepay a portion of the settlement obligations under the settlement agreement with Windstream. See Note 16. The 2030 Notes mature on January 15, 2030 and bear interest at a rate of 6.000% per year. Interest on the 2030 Notes is payable on January 15 and July 15 of each year, beginning on July 15, 2022.</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The indentures governing the Senior Unsecured Notes contain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to pay dividends or other amounts to the Issuers or Borrowers, as applicable. These covenants are subject to a number of important and significant limitations, qualifications and exceptions. The indentures governing the Senior Unsecured Notes also contain customary events of default. As of December 31, 2021, the Company was in compliance with all of the covenants under the indentures governing the Senior Unsecured Notes.</w:t>
      </w:r>
    </w:p>
    <w:p>
      <w:pPr>
        <w:spacing w:after="0" w:line="128"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The Notes are fully and unconditionally guaranteed, jointly and severally, on a senior unsecured basis by the Company and by each of Uniti Group LP’s existing and future domestic restricted subsidiaries (other than the Borrowers or Issuers, as applicable) that guarantees indebtedness under the Company’s senior secured credit facilities. The guarantees are subject to release under specified circumstances, including certain circumstances in which such guarantees may be automatically released without the consent of the holders of the Notes.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The Exchangeable Notes</w:t>
      </w:r>
    </w:p>
    <w:p>
      <w:pPr>
        <w:spacing w:after="0" w:line="150" w:lineRule="exact"/>
        <w:rPr>
          <w:sz w:val="20"/>
          <w:szCs w:val="20"/>
          <w:color w:val="auto"/>
        </w:rPr>
      </w:pPr>
    </w:p>
    <w:p>
      <w:pPr>
        <w:ind w:right="120"/>
        <w:spacing w:after="0" w:line="326" w:lineRule="auto"/>
        <w:rPr>
          <w:sz w:val="20"/>
          <w:szCs w:val="20"/>
          <w:color w:val="auto"/>
        </w:rPr>
      </w:pPr>
      <w:r>
        <w:rPr>
          <w:rFonts w:ascii="Arial" w:cs="Arial" w:eastAsia="Arial" w:hAnsi="Arial"/>
          <w:sz w:val="10"/>
          <w:szCs w:val="10"/>
          <w:color w:val="auto"/>
        </w:rPr>
        <w:t>On June 28, 2019, Uniti Fiber Holdings Inc., a subsidiary of the Company, issued $345 million aggregate principal amount of the Exchangeable Notes. The Exchangeable Notes are senior unsecured notes and are guaranteed by the Company and each of the Company’s subsidiaries (other than Uniti Fiber Holdings Inc.)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 Holdings Inc.’s election, subject to limitations under the Company's Credit Agreement. The Exchangeable Notes will mature on June 15, 2024, unless earlier exchanged, redeemed or repurchased.</w:t>
      </w:r>
    </w:p>
    <w:p>
      <w:pPr>
        <w:spacing w:after="0" w:line="95"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Uniti Fiber Holdings Inc. issued the Exchangeable Notes pursuant to an indenture, dated as of June 28, 2019 (the “Indenture”), among Uniti Fiber Holdings Inc., the Company, the other guarantors party thereto and Deutsche Bank Trust Company Americas, as trustee. Prior to the close of business on the business day immediately preceding March 15, 2024, the Exchangeable Notes are exchangeable only upon satisfaction of certain conditions and during certain periods described in the Indenture, and thereafter, the Exchangeable Notes are exchangeable at any time until the close of business on the second scheduled trading day immediately preceding the maturity date. The Exchangeable Notes are exchangeable on the terms set forth in the Indenture into cash, shares of the Company’s common stock, or a combination thereof, at Uniti Fiber Holdings Inc.’s election, subject to limitations under the Company's Credit Agreement. The exchange rate is initially 80.4602 shares of the Company’s common stock per $1,000 principal amount of Exchangeable Notes (equivalent to an initial exchange price of approximately $12.43 per share of the Company’s common stock). The exchange rate is subject to adjustment in some circumstances as described in the Indenture. In addition, following certain corporate events that occur prior to the maturity date or Uniti Fiber Holdings Inc.’s delivery of a notice of redemption, Uniti Fiber Holdings Inc. will increase, in certain circumstances, the exchange rate for a holder who elects to exchange its Exchangeable Notes in connection with such corporate event or notice of redemption, as the case may be.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8" w:name="page99"/>
    <w:bookmarkEnd w:id="98"/>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40"/>
        <w:spacing w:after="0" w:line="379" w:lineRule="auto"/>
        <w:rPr>
          <w:sz w:val="20"/>
          <w:szCs w:val="20"/>
          <w:color w:val="auto"/>
        </w:rPr>
      </w:pPr>
      <w:r>
        <w:rPr>
          <w:rFonts w:ascii="Arial" w:cs="Arial" w:eastAsia="Arial" w:hAnsi="Arial"/>
          <w:sz w:val="10"/>
          <w:szCs w:val="10"/>
          <w:color w:val="auto"/>
        </w:rPr>
        <w:t>If Uniti Fiber Holdings Inc. or the Company undergoes a fundamental change (as defined in the Indenture), subject to certain conditions, holders may require Uniti Fiber Holdings Inc. to repurchase for cash all or part of their Exchangeable Notes at a repurchase price equal to 100% of the principal amount of the Exchangeable Notes to be repurchased, plus accrued and unpaid interest, if any, to, but not including, the fundamental change repurchase date.</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Uniti Fiber Holdings Inc. may redeem all or a portion of the Exchangeable Notes, at any time, at a cash redemption price equal to 100% of the principal amount of the Exchangeable Notes to be redeemed, plus accrued and unpaid</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interest to, but not including, the redemption date, if the Company’s board of directors determines such redemption is necessary to preserve the Company's status as a real estate investment trust for U.S. federal income tax</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purposes. Uniti Fiber Holdings Inc. may not otherwise redeem the Exchangeable Notes prior to June 20, 2022. On or after June 20, 2022 and prior to the 42nd scheduled trading day immediately preceding the maturity date, if the last</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reported sale price per share of the Company’s common stock has been at least 130% of the exchange price for the Exchangeable Notes for certain specified periods, Uniti Fiber Holdings Inc. may redeem all or a portion of</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 Exchangeable Notes at a cash redemption price equal to 100% of the principal amount of the Exchangeable Notes to be redeemed plus accrued and unpaid interest to, but not including, the redemption date.</w:t>
      </w:r>
    </w:p>
    <w:p>
      <w:pPr>
        <w:spacing w:after="0" w:line="141"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On June 28, 2019, Uniti Fiber Holdings Inc., the Company and Barclays Capital Inc., on behalf of the initial purchasers involved in the offering of the Exchangeable Notes (the “Initial Purchasers”), entered into a registration rights agreement with respect to the Company’s common stock deliverable upon exchange of the Exchangeable Notes (the “Registration Rights Agreement”). Under the Registration Rights Agreement, the Company has agreed to file a shelf registration statement to register the resale of the common stock of the Company deliverable upon exchange of the Exchangeable Notes. The Company agreed to use its commercially reasonable efforts to cause such shelf registration statement to become effective on or prior to the 365th day after the issue date of the Exchangeable Notes.</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spacing w:after="0" w:line="122"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The carrying amount of the equity component, which was recognized as a debt discount, represents the difference between the proceeds from the issuance of the Exchangeable Notes and the fair value of the liability component of the Exchangeable Notes. The excess of the principal amount of the liability component over its carrying amount will be amortized to interest expense using an effective interest rate of 11.1% over the term of the Exchangeable Notes. The equity component is not remeasured as long as it continues to meet the conditions for equity classification.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Debt issuance costs related to the Exchangeable Notes were comprised of commissions payable to the Initial Purchasers of $10.4 million and third-party costs of approximately $1.4 million.</w:t>
      </w:r>
    </w:p>
    <w:p>
      <w:pPr>
        <w:spacing w:after="0" w:line="150" w:lineRule="exact"/>
        <w:rPr>
          <w:sz w:val="20"/>
          <w:szCs w:val="20"/>
          <w:color w:val="auto"/>
        </w:rPr>
      </w:pPr>
    </w:p>
    <w:p>
      <w:pPr>
        <w:ind w:right="160"/>
        <w:spacing w:after="0" w:line="340" w:lineRule="auto"/>
        <w:rPr>
          <w:sz w:val="20"/>
          <w:szCs w:val="20"/>
          <w:color w:val="auto"/>
        </w:rPr>
      </w:pPr>
      <w:r>
        <w:rPr>
          <w:rFonts w:ascii="Arial" w:cs="Arial" w:eastAsia="Arial" w:hAnsi="Arial"/>
          <w:sz w:val="10"/>
          <w:szCs w:val="10"/>
          <w:color w:val="auto"/>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Consolidated Balance Sheets. These costs are amortized to interest expense using the effective interest method over the term of the Exchangeable Notes. Debt issuance costs of $2.9 million attributable to the equity component are netted with the equity component in stockholders’ equity, which netted to $80.8 million.</w:t>
      </w:r>
    </w:p>
    <w:p>
      <w:pPr>
        <w:spacing w:after="0" w:line="87"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As a result of early adopting ASU 2020-06, the Company made certain adjustments to its accounting for the outstanding exchangeable senior unsecured notes. The adoption of ASU 2020-06 resulted in the re-combination of the liability and equity components of these notes into a single liability instrument. The carrying value as of December 31, 2020, totaled approximately $275.4 million and as a result of the adoption increased by $61.1 million to $336.5 million as of January 1, 2021. Because of this adoption, the effective interest rate on the exchangeable senior unsecured notes went from 11.1% to 4.8%. Additional paid-in-capital was reduced by $59.9 million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9" w:name="page100"/>
    <w:bookmarkEnd w:id="99"/>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deferred tax liabilities were reduced by $15.8 million. Approximately $14.6 million of cumulative effect of adoption was recognized to the opening balance of retained earnings as of January 1, 2021. See Note 3.</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Deferred Financing Cost</w:t>
      </w:r>
    </w:p>
    <w:p>
      <w:pPr>
        <w:spacing w:after="0" w:line="150" w:lineRule="exact"/>
        <w:rPr>
          <w:sz w:val="20"/>
          <w:szCs w:val="20"/>
          <w:color w:val="auto"/>
        </w:rPr>
      </w:pPr>
    </w:p>
    <w:p>
      <w:pPr>
        <w:jc w:val="both"/>
        <w:ind w:left="8" w:right="100"/>
        <w:spacing w:after="0" w:line="263" w:lineRule="auto"/>
        <w:rPr>
          <w:sz w:val="20"/>
          <w:szCs w:val="20"/>
          <w:color w:val="auto"/>
        </w:rPr>
      </w:pPr>
      <w:r>
        <w:rPr>
          <w:rFonts w:ascii="Arial" w:cs="Arial" w:eastAsia="Arial" w:hAnsi="Arial"/>
          <w:sz w:val="12"/>
          <w:szCs w:val="12"/>
          <w:color w:val="auto"/>
        </w:rPr>
        <w:t>Deferred financing costs were incurred in connection with the issuance of the Notes and the Facilities. These costs are amortized using the effective interest method over the term of the related indebtedness, and are included in interest expense in our Consolidated Statements of Income (Loss). For the year ended December 31, 2021, 2020 and 2019, we recognized $16.5 million, $15.3 million and $16.2 million of non-cash interest expense, respectively, related to the amortization of deferred financing costs.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Aggregate annual maturities of our long-term obligations at December 31, 2021 are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9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800" w:type="dxa"/>
            <w:vAlign w:val="bottom"/>
            <w:tcBorders>
              <w:bottom w:val="single" w:sz="8" w:color="CFF0FC"/>
            </w:tcBorders>
          </w:tcPr>
          <w:p>
            <w:pPr>
              <w:spacing w:after="0"/>
              <w:rPr>
                <w:sz w:val="10"/>
                <w:szCs w:val="10"/>
                <w:color w:val="auto"/>
              </w:rPr>
            </w:pPr>
          </w:p>
        </w:tc>
        <w:tc>
          <w:tcPr>
            <w:tcW w:w="122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r>
      <w:tr>
        <w:trPr>
          <w:trHeight w:val="142"/>
        </w:trPr>
        <w:tc>
          <w:tcPr>
            <w:tcW w:w="916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800" w:type="dxa"/>
            <w:vAlign w:val="bottom"/>
            <w:shd w:val="clear" w:color="auto" w:fill="CFF0FC"/>
          </w:tcPr>
          <w:p>
            <w:pPr>
              <w:jc w:val="right"/>
              <w:ind w:right="69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r>
      <w:tr>
        <w:trPr>
          <w:trHeight w:val="153"/>
        </w:trPr>
        <w:tc>
          <w:tcPr>
            <w:tcW w:w="9160" w:type="dxa"/>
            <w:vAlign w:val="bottom"/>
          </w:tcPr>
          <w:p>
            <w:pPr>
              <w:spacing w:after="0"/>
              <w:rPr>
                <w:sz w:val="20"/>
                <w:szCs w:val="20"/>
                <w:color w:val="auto"/>
              </w:rPr>
            </w:pPr>
            <w:r>
              <w:rPr>
                <w:rFonts w:ascii="Arial" w:cs="Arial" w:eastAsia="Arial" w:hAnsi="Arial"/>
                <w:sz w:val="12"/>
                <w:szCs w:val="12"/>
                <w:color w:val="auto"/>
              </w:rPr>
              <w:t>2023</w:t>
            </w:r>
          </w:p>
        </w:tc>
        <w:tc>
          <w:tcPr>
            <w:tcW w:w="8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916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8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545,000</w:t>
            </w:r>
          </w:p>
        </w:tc>
        <w:tc>
          <w:tcPr>
            <w:tcW w:w="120" w:type="dxa"/>
            <w:vAlign w:val="bottom"/>
            <w:shd w:val="clear" w:color="auto" w:fill="CFF0FC"/>
          </w:tcPr>
          <w:p>
            <w:pPr>
              <w:spacing w:after="0"/>
              <w:rPr>
                <w:sz w:val="13"/>
                <w:szCs w:val="13"/>
                <w:color w:val="auto"/>
              </w:rPr>
            </w:pPr>
          </w:p>
        </w:tc>
      </w:tr>
      <w:tr>
        <w:trPr>
          <w:trHeight w:val="153"/>
        </w:trPr>
        <w:tc>
          <w:tcPr>
            <w:tcW w:w="9160" w:type="dxa"/>
            <w:vAlign w:val="bottom"/>
          </w:tcPr>
          <w:p>
            <w:pPr>
              <w:spacing w:after="0"/>
              <w:rPr>
                <w:sz w:val="20"/>
                <w:szCs w:val="20"/>
                <w:color w:val="auto"/>
              </w:rPr>
            </w:pPr>
            <w:r>
              <w:rPr>
                <w:rFonts w:ascii="Arial" w:cs="Arial" w:eastAsia="Arial" w:hAnsi="Arial"/>
                <w:sz w:val="12"/>
                <w:szCs w:val="12"/>
                <w:color w:val="auto"/>
              </w:rPr>
              <w:t>2025</w:t>
            </w:r>
          </w:p>
        </w:tc>
        <w:tc>
          <w:tcPr>
            <w:tcW w:w="8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2,250,000</w:t>
            </w:r>
          </w:p>
        </w:tc>
        <w:tc>
          <w:tcPr>
            <w:tcW w:w="120" w:type="dxa"/>
            <w:vAlign w:val="bottom"/>
          </w:tcPr>
          <w:p>
            <w:pPr>
              <w:spacing w:after="0"/>
              <w:rPr>
                <w:sz w:val="13"/>
                <w:szCs w:val="13"/>
                <w:color w:val="auto"/>
              </w:rPr>
            </w:pPr>
          </w:p>
        </w:tc>
      </w:tr>
      <w:tr>
        <w:trPr>
          <w:trHeight w:val="153"/>
        </w:trPr>
        <w:tc>
          <w:tcPr>
            <w:tcW w:w="9160" w:type="dxa"/>
            <w:vAlign w:val="bottom"/>
            <w:shd w:val="clear" w:color="auto" w:fill="CFF0FC"/>
          </w:tcPr>
          <w:p>
            <w:pPr>
              <w:spacing w:after="0"/>
              <w:rPr>
                <w:sz w:val="20"/>
                <w:szCs w:val="20"/>
                <w:color w:val="auto"/>
              </w:rPr>
            </w:pPr>
            <w:r>
              <w:rPr>
                <w:rFonts w:ascii="Arial" w:cs="Arial" w:eastAsia="Arial" w:hAnsi="Arial"/>
                <w:sz w:val="12"/>
                <w:szCs w:val="12"/>
                <w:color w:val="auto"/>
              </w:rPr>
              <w:t>2026</w:t>
            </w:r>
          </w:p>
        </w:tc>
        <w:tc>
          <w:tcPr>
            <w:tcW w:w="8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91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8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2,380,000</w:t>
            </w:r>
          </w:p>
        </w:tc>
        <w:tc>
          <w:tcPr>
            <w:tcW w:w="120" w:type="dxa"/>
            <w:vAlign w:val="bottom"/>
            <w:tcBorders>
              <w:bottom w:val="single" w:sz="8" w:color="CFF0FC"/>
            </w:tcBorders>
          </w:tcPr>
          <w:p>
            <w:pPr>
              <w:spacing w:after="0"/>
              <w:rPr>
                <w:sz w:val="13"/>
                <w:szCs w:val="13"/>
                <w:color w:val="auto"/>
              </w:rPr>
            </w:pPr>
          </w:p>
        </w:tc>
      </w:tr>
      <w:tr>
        <w:trPr>
          <w:trHeight w:val="158"/>
        </w:trPr>
        <w:tc>
          <w:tcPr>
            <w:tcW w:w="9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800" w:type="dxa"/>
            <w:vAlign w:val="bottom"/>
            <w:tcBorders>
              <w:bottom w:val="single" w:sz="8" w:color="auto"/>
            </w:tcBorders>
            <w:shd w:val="clear" w:color="auto" w:fill="CFF0FC"/>
          </w:tcPr>
          <w:p>
            <w:pPr>
              <w:jc w:val="right"/>
              <w:ind w:right="6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5,175,000</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26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13. Stock-Based Compensation</w:t>
      </w:r>
    </w:p>
    <w:p>
      <w:pPr>
        <w:spacing w:after="0" w:line="154"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The Company’s Board of Directors adopted the Uniti Group Inc.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Restricted Awards</w:t>
      </w:r>
    </w:p>
    <w:p>
      <w:pPr>
        <w:spacing w:after="0" w:line="150"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During the year ended December 31, 2021, the Company granted 691,241 shares of restricted stock to employees, which had a fair value of $8.2 million as of the date of grant. 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 2021, there were 2,676,776 shares available for future issuance under the Equity Plan. The following table sets forth the number of unvested restricted stock awards and the weighted-average fair value of these awards at the date of grant:</w:t>
      </w:r>
    </w:p>
    <w:p>
      <w:pPr>
        <w:spacing w:after="0" w:line="34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80" w:type="dxa"/>
            <w:vAlign w:val="bottom"/>
            <w:tcBorders>
              <w:bottom w:val="single" w:sz="8" w:color="CFF0FC"/>
            </w:tcBorders>
          </w:tcPr>
          <w:p>
            <w:pPr>
              <w:spacing w:after="0"/>
              <w:rPr>
                <w:sz w:val="10"/>
                <w:szCs w:val="10"/>
                <w:color w:val="auto"/>
              </w:rPr>
            </w:pPr>
          </w:p>
        </w:tc>
        <w:tc>
          <w:tcPr>
            <w:tcW w:w="144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w w:val="93"/>
              </w:rPr>
              <w:t>Restricted Awards</w:t>
            </w: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7"/>
              </w:rPr>
              <w:t>Weighted Average Fair Value at Grant Date</w:t>
            </w:r>
          </w:p>
        </w:tc>
        <w:tc>
          <w:tcPr>
            <w:tcW w:w="26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w w:val="93"/>
              </w:rPr>
              <w:t>Aggregate Intrinsic Value</w:t>
            </w:r>
            <w:r>
              <w:rPr>
                <w:rFonts w:ascii="Arial" w:cs="Arial" w:eastAsia="Arial" w:hAnsi="Arial"/>
                <w:sz w:val="8"/>
                <w:szCs w:val="8"/>
                <w:b w:val="1"/>
                <w:bCs w:val="1"/>
                <w:color w:val="auto"/>
                <w:w w:val="93"/>
              </w:rPr>
              <w:t>(1)</w:t>
            </w:r>
            <w:r>
              <w:rPr>
                <w:rFonts w:ascii="Arial" w:cs="Arial" w:eastAsia="Arial" w:hAnsi="Arial"/>
                <w:sz w:val="10"/>
                <w:szCs w:val="10"/>
                <w:b w:val="1"/>
                <w:bCs w:val="1"/>
                <w:color w:val="auto"/>
                <w:w w:val="93"/>
              </w:rPr>
              <w:t xml:space="preserve"> ($000s)</w:t>
            </w:r>
          </w:p>
        </w:tc>
        <w:tc>
          <w:tcPr>
            <w:tcW w:w="120" w:type="dxa"/>
            <w:vAlign w:val="bottom"/>
            <w:tcBorders>
              <w:bottom w:val="single" w:sz="8" w:color="CFF0FC"/>
            </w:tcBorders>
          </w:tcPr>
          <w:p>
            <w:pPr>
              <w:spacing w:after="0"/>
              <w:rPr>
                <w:sz w:val="10"/>
                <w:szCs w:val="10"/>
                <w:color w:val="auto"/>
              </w:rPr>
            </w:pPr>
          </w:p>
        </w:tc>
      </w:tr>
      <w:tr>
        <w:trPr>
          <w:trHeight w:val="142"/>
        </w:trPr>
        <w:tc>
          <w:tcPr>
            <w:tcW w:w="61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Unvested balance December 31, 2020</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1,561,415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12.33</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12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540" w:type="dxa"/>
            <w:vAlign w:val="bottom"/>
          </w:tcPr>
          <w:p>
            <w:pPr>
              <w:jc w:val="right"/>
              <w:spacing w:after="0"/>
              <w:rPr>
                <w:sz w:val="20"/>
                <w:szCs w:val="20"/>
                <w:color w:val="auto"/>
              </w:rPr>
            </w:pPr>
            <w:r>
              <w:rPr>
                <w:rFonts w:ascii="Arial" w:cs="Arial" w:eastAsia="Arial" w:hAnsi="Arial"/>
                <w:sz w:val="12"/>
                <w:szCs w:val="12"/>
                <w:color w:val="auto"/>
              </w:rPr>
              <w:t>691,241</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11.82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1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Forfeited</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(133,061)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11.36</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680" w:type="dxa"/>
            <w:vAlign w:val="bottom"/>
          </w:tcPr>
          <w:p>
            <w:pPr>
              <w:spacing w:after="0"/>
              <w:rPr>
                <w:sz w:val="20"/>
                <w:szCs w:val="20"/>
                <w:color w:val="auto"/>
              </w:rPr>
            </w:pPr>
            <w:r>
              <w:rPr>
                <w:rFonts w:ascii="Arial" w:cs="Arial" w:eastAsia="Arial" w:hAnsi="Arial"/>
                <w:sz w:val="12"/>
                <w:szCs w:val="12"/>
                <w:color w:val="auto"/>
              </w:rPr>
              <w:t>Vested</w:t>
            </w:r>
          </w:p>
        </w:tc>
        <w:tc>
          <w:tcPr>
            <w:tcW w:w="14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(765,622)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12.95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Unvested balance, December 31, 2021</w:t>
            </w:r>
          </w:p>
        </w:tc>
        <w:tc>
          <w:tcPr>
            <w:tcW w:w="144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1,353,973</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11.58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18,969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left="208" w:right="200" w:hanging="208"/>
        <w:spacing w:after="0" w:line="276" w:lineRule="auto"/>
        <w:tabs>
          <w:tab w:leader="none" w:pos="208" w:val="left"/>
        </w:tabs>
        <w:numPr>
          <w:ilvl w:val="0"/>
          <w:numId w:val="19"/>
        </w:numPr>
        <w:rPr>
          <w:rFonts w:ascii="Arial" w:cs="Arial" w:eastAsia="Arial" w:hAnsi="Arial"/>
          <w:sz w:val="10"/>
          <w:szCs w:val="10"/>
          <w:color w:val="auto"/>
        </w:rPr>
      </w:pPr>
      <w:r>
        <w:rPr>
          <w:rFonts w:ascii="Arial" w:cs="Arial" w:eastAsia="Arial" w:hAnsi="Arial"/>
          <w:sz w:val="12"/>
          <w:szCs w:val="12"/>
          <w:color w:val="auto"/>
        </w:rPr>
        <w:t>The aggregate intrinsic value is calculated as the market value of our common stock as of December 31, 2021. The market value as of December 31, 2021 was $14.01 per share, which was the closing price of our common stock reported for transactions effected on the NASDAQ Global Select Market on December 31, 2021, the final trading day of 2021.</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00" w:name="page101"/>
    <w:bookmarkEnd w:id="100"/>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8" w:right="440"/>
        <w:spacing w:after="0" w:line="276" w:lineRule="auto"/>
        <w:rPr>
          <w:sz w:val="20"/>
          <w:szCs w:val="20"/>
          <w:color w:val="auto"/>
        </w:rPr>
      </w:pPr>
      <w:r>
        <w:rPr>
          <w:rFonts w:ascii="Arial" w:cs="Arial" w:eastAsia="Arial" w:hAnsi="Arial"/>
          <w:sz w:val="12"/>
          <w:szCs w:val="12"/>
          <w:color w:val="auto"/>
        </w:rPr>
        <w:t>During the year ended December 31, 2020, there were 996,037 shares of restricted stock granted with a weighted-average fair value of $10.39 per share. During the year ended December 31, 2019, there were 833,448 shares of restricted stock granted with a weighted-average fair value of $11.62 per share.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total fair value of shares vested for the years ended December 31, 2021, 2020 and 2019 was $9.9 million, $8.6 million and $6.4 million, respectively.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2021, total unrecognized compensation expense on restricted awards was approximately $8.6 million, and the expense is expected to be recognized over a weighted average vesting period of 0.8 years.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Performance Awards</w:t>
      </w:r>
    </w:p>
    <w:p>
      <w:pPr>
        <w:spacing w:after="0" w:line="150" w:lineRule="exact"/>
        <w:rPr>
          <w:sz w:val="20"/>
          <w:szCs w:val="20"/>
          <w:color w:val="auto"/>
        </w:rPr>
      </w:pPr>
    </w:p>
    <w:p>
      <w:pPr>
        <w:ind w:left="8" w:right="100"/>
        <w:spacing w:after="0" w:line="259" w:lineRule="auto"/>
        <w:rPr>
          <w:sz w:val="20"/>
          <w:szCs w:val="20"/>
          <w:color w:val="auto"/>
        </w:rPr>
      </w:pPr>
      <w:r>
        <w:rPr>
          <w:rFonts w:ascii="Arial" w:cs="Arial" w:eastAsia="Arial" w:hAnsi="Arial"/>
          <w:sz w:val="12"/>
          <w:szCs w:val="12"/>
          <w:color w:val="auto"/>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and paid in cash upon the vesting of a PSU. Dividend equivalents are forfeited to the extent that the underlying PSU is forfeited.</w:t>
      </w:r>
    </w:p>
    <w:p>
      <w:pPr>
        <w:spacing w:after="0" w:line="124"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On February 24, 2021, we issued 216,085 PSUs equal to 100% of the target amount, with an aggregate fair value of $3.5 million on the grant date. The PSUs, in addition to a service condition, are subject to the Company’s performance versus the total return of the MSCI US REIT Index and a triple-net lease peer group, as defined by the Compensation Committee. Upon evaluating the results of the market conditions, the final number of shares is determined, and such shares vest based on satisfaction of the service condition. The PSUs are amortized on a straight-line basis over the vesting period. During the year ended December 31, 2021, 75,463 PSUs were forfeited due to termination of service. The following table sets forth the number of unvested PSUs and the weighted-average fair value of these awards at the date of grant:</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80" w:type="dxa"/>
            <w:vAlign w:val="bottom"/>
            <w:tcBorders>
              <w:bottom w:val="single" w:sz="8" w:color="CFF0FC"/>
            </w:tcBorders>
          </w:tcPr>
          <w:p>
            <w:pPr>
              <w:spacing w:after="0"/>
              <w:rPr>
                <w:sz w:val="10"/>
                <w:szCs w:val="10"/>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w w:val="89"/>
              </w:rPr>
              <w:t>Performance Awards</w:t>
            </w: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7"/>
              </w:rPr>
              <w:t>Weighted Average Fair Value at Grant Date</w:t>
            </w:r>
          </w:p>
        </w:tc>
        <w:tc>
          <w:tcPr>
            <w:tcW w:w="26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w w:val="93"/>
              </w:rPr>
              <w:t>Aggregate Intrinsic Value</w:t>
            </w:r>
            <w:r>
              <w:rPr>
                <w:rFonts w:ascii="Arial" w:cs="Arial" w:eastAsia="Arial" w:hAnsi="Arial"/>
                <w:sz w:val="8"/>
                <w:szCs w:val="8"/>
                <w:b w:val="1"/>
                <w:bCs w:val="1"/>
                <w:color w:val="auto"/>
                <w:w w:val="93"/>
              </w:rPr>
              <w:t>(1)</w:t>
            </w:r>
            <w:r>
              <w:rPr>
                <w:rFonts w:ascii="Arial" w:cs="Arial" w:eastAsia="Arial" w:hAnsi="Arial"/>
                <w:sz w:val="10"/>
                <w:szCs w:val="10"/>
                <w:b w:val="1"/>
                <w:bCs w:val="1"/>
                <w:color w:val="auto"/>
                <w:w w:val="93"/>
              </w:rPr>
              <w:t xml:space="preserve"> ($000s)</w:t>
            </w:r>
          </w:p>
        </w:tc>
        <w:tc>
          <w:tcPr>
            <w:tcW w:w="120" w:type="dxa"/>
            <w:vAlign w:val="bottom"/>
            <w:tcBorders>
              <w:bottom w:val="single" w:sz="8" w:color="CFF0FC"/>
            </w:tcBorders>
          </w:tcPr>
          <w:p>
            <w:pPr>
              <w:spacing w:after="0"/>
              <w:rPr>
                <w:sz w:val="10"/>
                <w:szCs w:val="10"/>
                <w:color w:val="auto"/>
              </w:rPr>
            </w:pPr>
          </w:p>
        </w:tc>
      </w:tr>
      <w:tr>
        <w:trPr>
          <w:trHeight w:val="142"/>
        </w:trPr>
        <w:tc>
          <w:tcPr>
            <w:tcW w:w="6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Unvested balance December 31, 2020</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706,570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17.64</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16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500" w:type="dxa"/>
            <w:vAlign w:val="bottom"/>
          </w:tcPr>
          <w:p>
            <w:pPr>
              <w:jc w:val="right"/>
              <w:spacing w:after="0"/>
              <w:rPr>
                <w:sz w:val="20"/>
                <w:szCs w:val="20"/>
                <w:color w:val="auto"/>
              </w:rPr>
            </w:pPr>
            <w:r>
              <w:rPr>
                <w:rFonts w:ascii="Arial" w:cs="Arial" w:eastAsia="Arial" w:hAnsi="Arial"/>
                <w:sz w:val="12"/>
                <w:szCs w:val="12"/>
                <w:color w:val="auto"/>
              </w:rPr>
              <w:t>216,085</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16.27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Forfeited</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(75,463)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16.96</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680" w:type="dxa"/>
            <w:vAlign w:val="bottom"/>
          </w:tcPr>
          <w:p>
            <w:pPr>
              <w:spacing w:after="0"/>
              <w:rPr>
                <w:sz w:val="20"/>
                <w:szCs w:val="20"/>
                <w:color w:val="auto"/>
              </w:rPr>
            </w:pPr>
            <w:r>
              <w:rPr>
                <w:rFonts w:ascii="Arial" w:cs="Arial" w:eastAsia="Arial" w:hAnsi="Arial"/>
                <w:sz w:val="12"/>
                <w:szCs w:val="12"/>
                <w:color w:val="auto"/>
              </w:rPr>
              <w:t>Vested</w:t>
            </w:r>
          </w:p>
        </w:tc>
        <w:tc>
          <w:tcPr>
            <w:tcW w:w="14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(224,077)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18.96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Unvested balance, December 31, 2021</w:t>
            </w:r>
          </w:p>
        </w:tc>
        <w:tc>
          <w:tcPr>
            <w:tcW w:w="148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623,115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16.78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8,730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left="208" w:right="200" w:hanging="208"/>
        <w:spacing w:after="0" w:line="276" w:lineRule="auto"/>
        <w:tabs>
          <w:tab w:leader="none" w:pos="208" w:val="left"/>
        </w:tabs>
        <w:numPr>
          <w:ilvl w:val="0"/>
          <w:numId w:val="20"/>
        </w:numPr>
        <w:rPr>
          <w:rFonts w:ascii="Arial" w:cs="Arial" w:eastAsia="Arial" w:hAnsi="Arial"/>
          <w:sz w:val="10"/>
          <w:szCs w:val="10"/>
          <w:color w:val="auto"/>
        </w:rPr>
      </w:pPr>
      <w:r>
        <w:rPr>
          <w:rFonts w:ascii="Arial" w:cs="Arial" w:eastAsia="Arial" w:hAnsi="Arial"/>
          <w:sz w:val="12"/>
          <w:szCs w:val="12"/>
          <w:color w:val="auto"/>
        </w:rPr>
        <w:t>The aggregate intrinsic value is calculated as the market value of our common stock as of December 31, 2021. The market value as of December 31, 2021 was $14.01 per share, which was the closing price of our common stock reported for transactions effected on the NASDAQ Global Select Market on December 31, 2021, the final trading day of 2021.</w:t>
      </w:r>
    </w:p>
    <w:p>
      <w:pPr>
        <w:spacing w:after="0" w:line="115" w:lineRule="exact"/>
        <w:rPr>
          <w:sz w:val="20"/>
          <w:szCs w:val="20"/>
          <w:color w:val="auto"/>
        </w:rPr>
      </w:pPr>
    </w:p>
    <w:p>
      <w:pPr>
        <w:ind w:left="8" w:right="300"/>
        <w:spacing w:after="0" w:line="276" w:lineRule="auto"/>
        <w:rPr>
          <w:sz w:val="20"/>
          <w:szCs w:val="20"/>
          <w:color w:val="auto"/>
        </w:rPr>
      </w:pPr>
      <w:r>
        <w:rPr>
          <w:rFonts w:ascii="Arial" w:cs="Arial" w:eastAsia="Arial" w:hAnsi="Arial"/>
          <w:sz w:val="12"/>
          <w:szCs w:val="12"/>
          <w:color w:val="auto"/>
        </w:rPr>
        <w:t>During the year ended December 31, 2020, there were 322,209 PSUs granted with a weighted-average fair value of $15.45 per share. During the year ended December 31, 2019, there were 255,517 PSUs granted with a weighted-average fair value of $18.99 per share.</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As of December 31, 2021, total unrecognized compensation expense related to PSUs was approximately $3.9 million, and the weighted-average vesting period was 1.2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 2021, 2020 and 2019:</w:t>
      </w:r>
    </w:p>
    <w:p>
      <w:pPr>
        <w:spacing w:after="0" w:line="182" w:lineRule="exact"/>
        <w:rPr>
          <w:sz w:val="20"/>
          <w:szCs w:val="20"/>
          <w:color w:val="auto"/>
        </w:rPr>
      </w:pPr>
    </w:p>
    <w:p>
      <w:pPr>
        <w:ind w:left="7380"/>
        <w:spacing w:after="0"/>
        <w:rPr>
          <w:sz w:val="20"/>
          <w:szCs w:val="20"/>
          <w:color w:val="auto"/>
        </w:rPr>
      </w:pPr>
      <w:r>
        <w:rPr>
          <w:rFonts w:ascii="Arial" w:cs="Arial" w:eastAsia="Arial" w:hAnsi="Arial"/>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-635</wp:posOffset>
            </wp:positionV>
            <wp:extent cx="413194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4131945" cy="571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Borders>
              <w:bottom w:val="single" w:sz="8" w:color="CFF0FC"/>
            </w:tcBorders>
          </w:tcPr>
          <w:p>
            <w:pPr>
              <w:spacing w:after="0"/>
              <w:rPr>
                <w:sz w:val="10"/>
                <w:szCs w:val="10"/>
                <w:color w:val="auto"/>
              </w:rPr>
            </w:pPr>
          </w:p>
        </w:tc>
        <w:tc>
          <w:tcPr>
            <w:tcW w:w="14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200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10"/>
                <w:szCs w:val="10"/>
                <w:color w:val="auto"/>
              </w:rPr>
            </w:pPr>
          </w:p>
        </w:tc>
        <w:tc>
          <w:tcPr>
            <w:tcW w:w="200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CFF0FC"/>
            </w:tcBorders>
          </w:tcPr>
          <w:p>
            <w:pPr>
              <w:spacing w:after="0"/>
              <w:rPr>
                <w:sz w:val="10"/>
                <w:szCs w:val="10"/>
                <w:color w:val="auto"/>
              </w:rPr>
            </w:pPr>
          </w:p>
        </w:tc>
      </w:tr>
      <w:tr>
        <w:trPr>
          <w:trHeight w:val="142"/>
        </w:trPr>
        <w:tc>
          <w:tcPr>
            <w:tcW w:w="6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term (years)</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2"/>
                <w:szCs w:val="12"/>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FF0FC"/>
          </w:tcPr>
          <w:p>
            <w:pPr>
              <w:spacing w:after="0"/>
              <w:rPr>
                <w:sz w:val="12"/>
                <w:szCs w:val="12"/>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140" w:type="dxa"/>
            <w:vAlign w:val="bottom"/>
            <w:shd w:val="clear" w:color="auto" w:fill="CFF0FC"/>
          </w:tcPr>
          <w:p>
            <w:pPr>
              <w:spacing w:after="0"/>
              <w:rPr>
                <w:sz w:val="12"/>
                <w:szCs w:val="12"/>
                <w:color w:val="auto"/>
              </w:rPr>
            </w:pPr>
          </w:p>
        </w:tc>
      </w:tr>
      <w:tr>
        <w:trPr>
          <w:trHeight w:val="153"/>
        </w:trPr>
        <w:tc>
          <w:tcPr>
            <w:tcW w:w="6100" w:type="dxa"/>
            <w:vAlign w:val="bottom"/>
            <w:gridSpan w:val="2"/>
          </w:tcPr>
          <w:p>
            <w:pPr>
              <w:spacing w:after="0"/>
              <w:rPr>
                <w:sz w:val="20"/>
                <w:szCs w:val="20"/>
                <w:color w:val="auto"/>
              </w:rPr>
            </w:pPr>
            <w:r>
              <w:rPr>
                <w:rFonts w:ascii="Arial" w:cs="Arial" w:eastAsia="Arial" w:hAnsi="Arial"/>
                <w:sz w:val="12"/>
                <w:szCs w:val="12"/>
                <w:color w:val="auto"/>
              </w:rPr>
              <w:t>Expected volatility</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57.1%</w:t>
            </w:r>
          </w:p>
        </w:tc>
        <w:tc>
          <w:tcPr>
            <w:tcW w:w="2240" w:type="dxa"/>
            <w:vAlign w:val="bottom"/>
            <w:gridSpan w:val="2"/>
          </w:tcPr>
          <w:p>
            <w:pPr>
              <w:jc w:val="right"/>
              <w:ind w:right="140"/>
              <w:spacing w:after="0"/>
              <w:rPr>
                <w:sz w:val="20"/>
                <w:szCs w:val="20"/>
                <w:color w:val="auto"/>
              </w:rPr>
            </w:pPr>
            <w:r>
              <w:rPr>
                <w:rFonts w:ascii="Arial" w:cs="Arial" w:eastAsia="Arial" w:hAnsi="Arial"/>
                <w:sz w:val="12"/>
                <w:szCs w:val="12"/>
                <w:color w:val="auto"/>
              </w:rPr>
              <w:t>63.0%</w:t>
            </w:r>
          </w:p>
        </w:tc>
        <w:tc>
          <w:tcPr>
            <w:tcW w:w="2140" w:type="dxa"/>
            <w:vAlign w:val="bottom"/>
            <w:gridSpan w:val="2"/>
          </w:tcPr>
          <w:p>
            <w:pPr>
              <w:jc w:val="right"/>
              <w:ind w:right="20"/>
              <w:spacing w:after="0"/>
              <w:rPr>
                <w:sz w:val="20"/>
                <w:szCs w:val="20"/>
                <w:color w:val="auto"/>
              </w:rPr>
            </w:pPr>
            <w:r>
              <w:rPr>
                <w:rFonts w:ascii="Arial" w:cs="Arial" w:eastAsia="Arial" w:hAnsi="Arial"/>
                <w:sz w:val="12"/>
                <w:szCs w:val="12"/>
                <w:color w:val="auto"/>
              </w:rPr>
              <w:t>57.5%</w:t>
            </w:r>
          </w:p>
        </w:tc>
      </w:tr>
      <w:tr>
        <w:trPr>
          <w:trHeight w:val="153"/>
        </w:trPr>
        <w:tc>
          <w:tcPr>
            <w:tcW w:w="6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annual dividend</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0.0%</w:t>
            </w:r>
          </w:p>
        </w:tc>
        <w:tc>
          <w:tcPr>
            <w:tcW w:w="22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0.0%</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0.0%</w:t>
            </w:r>
          </w:p>
        </w:tc>
      </w:tr>
      <w:tr>
        <w:trPr>
          <w:trHeight w:val="153"/>
        </w:trPr>
        <w:tc>
          <w:tcPr>
            <w:tcW w:w="6100" w:type="dxa"/>
            <w:vAlign w:val="bottom"/>
            <w:gridSpan w:val="2"/>
          </w:tcPr>
          <w:p>
            <w:pPr>
              <w:spacing w:after="0"/>
              <w:rPr>
                <w:sz w:val="20"/>
                <w:szCs w:val="20"/>
                <w:color w:val="auto"/>
              </w:rPr>
            </w:pPr>
            <w:r>
              <w:rPr>
                <w:rFonts w:ascii="Arial" w:cs="Arial" w:eastAsia="Arial" w:hAnsi="Arial"/>
                <w:sz w:val="12"/>
                <w:szCs w:val="12"/>
                <w:color w:val="auto"/>
              </w:rPr>
              <w:t>Risk free rate</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0.2%</w:t>
            </w:r>
          </w:p>
        </w:tc>
        <w:tc>
          <w:tcPr>
            <w:tcW w:w="2240" w:type="dxa"/>
            <w:vAlign w:val="bottom"/>
            <w:gridSpan w:val="2"/>
          </w:tcPr>
          <w:p>
            <w:pPr>
              <w:jc w:val="right"/>
              <w:ind w:right="140"/>
              <w:spacing w:after="0"/>
              <w:rPr>
                <w:sz w:val="20"/>
                <w:szCs w:val="20"/>
                <w:color w:val="auto"/>
              </w:rPr>
            </w:pPr>
            <w:r>
              <w:rPr>
                <w:rFonts w:ascii="Arial" w:cs="Arial" w:eastAsia="Arial" w:hAnsi="Arial"/>
                <w:sz w:val="12"/>
                <w:szCs w:val="12"/>
                <w:color w:val="auto"/>
              </w:rPr>
              <w:t>0.7%</w:t>
            </w:r>
          </w:p>
        </w:tc>
        <w:tc>
          <w:tcPr>
            <w:tcW w:w="2140" w:type="dxa"/>
            <w:vAlign w:val="bottom"/>
            <w:gridSpan w:val="2"/>
          </w:tcPr>
          <w:p>
            <w:pPr>
              <w:jc w:val="right"/>
              <w:ind w:right="20"/>
              <w:spacing w:after="0"/>
              <w:rPr>
                <w:sz w:val="20"/>
                <w:szCs w:val="20"/>
                <w:color w:val="auto"/>
              </w:rPr>
            </w:pPr>
            <w:r>
              <w:rPr>
                <w:rFonts w:ascii="Arial" w:cs="Arial" w:eastAsia="Arial" w:hAnsi="Arial"/>
                <w:sz w:val="12"/>
                <w:szCs w:val="12"/>
                <w:color w:val="auto"/>
              </w:rPr>
              <w:t>2.3%</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150"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On May 17, 2018, our stockholders approved and adopted the Uniti Group Inc. Employee Stock Purchase Plan (the “ESPP”). The ESPP authorizes us to issue up to 2,000,000 shares of our common stock to any of our employees so long as the employee is employed on the first day of the applicable offering period. Under the ESPP, there are two six-month plan periods during each calendar year, one beginning January 1 and ending on June 30, and one beginning on July 1 and ending on December 31. Under the terms of the ESPP, employees can choose each plan period to have up to 15% of their annual base earnings, limited to $25,000 withheld to purchase our common stock. The purchase price of the stock is 85% of the lower of its beginning-of-period or end-of-period market price. Under the ESPP the Company issued 74,950, 96,788 and 83,287 shares during the years ended December 31, 2021, 2020 and 2019, respectively. As of December 31, 2021, there were 1,744,975 shares available for future issuance under the ESPP. The following table summarizes the assumptions used to value the purchase rights granted under the ESPP during the years ended December 31, 2021, 2020 and 2019:</w:t>
      </w:r>
    </w:p>
    <w:p>
      <w:pPr>
        <w:spacing w:after="0" w:line="186" w:lineRule="exact"/>
        <w:rPr>
          <w:sz w:val="20"/>
          <w:szCs w:val="20"/>
          <w:color w:val="auto"/>
        </w:rPr>
      </w:pPr>
    </w:p>
    <w:p>
      <w:pPr>
        <w:ind w:left="7380"/>
        <w:spacing w:after="0"/>
        <w:rPr>
          <w:sz w:val="20"/>
          <w:szCs w:val="20"/>
          <w:color w:val="auto"/>
        </w:rPr>
      </w:pPr>
      <w:r>
        <w:rPr>
          <w:rFonts w:ascii="Arial" w:cs="Arial" w:eastAsia="Arial" w:hAnsi="Arial"/>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-635</wp:posOffset>
            </wp:positionV>
            <wp:extent cx="413194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4131945" cy="571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Borders>
              <w:bottom w:val="single" w:sz="8" w:color="CFF0FC"/>
            </w:tcBorders>
          </w:tcPr>
          <w:p>
            <w:pPr>
              <w:spacing w:after="0"/>
              <w:rPr>
                <w:sz w:val="10"/>
                <w:szCs w:val="10"/>
                <w:color w:val="auto"/>
              </w:rPr>
            </w:pPr>
          </w:p>
        </w:tc>
        <w:tc>
          <w:tcPr>
            <w:tcW w:w="14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200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10"/>
                <w:szCs w:val="10"/>
                <w:color w:val="auto"/>
              </w:rPr>
            </w:pPr>
          </w:p>
        </w:tc>
        <w:tc>
          <w:tcPr>
            <w:tcW w:w="200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CFF0FC"/>
            </w:tcBorders>
          </w:tcPr>
          <w:p>
            <w:pPr>
              <w:spacing w:after="0"/>
              <w:rPr>
                <w:sz w:val="10"/>
                <w:szCs w:val="10"/>
                <w:color w:val="auto"/>
              </w:rPr>
            </w:pPr>
          </w:p>
        </w:tc>
      </w:tr>
      <w:tr>
        <w:trPr>
          <w:trHeight w:val="142"/>
        </w:trPr>
        <w:tc>
          <w:tcPr>
            <w:tcW w:w="6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term (years)</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260" w:type="dxa"/>
            <w:vAlign w:val="bottom"/>
            <w:shd w:val="clear" w:color="auto" w:fill="CFF0FC"/>
          </w:tcPr>
          <w:p>
            <w:pPr>
              <w:spacing w:after="0"/>
              <w:rPr>
                <w:sz w:val="12"/>
                <w:szCs w:val="12"/>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240" w:type="dxa"/>
            <w:vAlign w:val="bottom"/>
            <w:shd w:val="clear" w:color="auto" w:fill="CFF0FC"/>
          </w:tcPr>
          <w:p>
            <w:pPr>
              <w:spacing w:after="0"/>
              <w:rPr>
                <w:sz w:val="12"/>
                <w:szCs w:val="12"/>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140" w:type="dxa"/>
            <w:vAlign w:val="bottom"/>
            <w:shd w:val="clear" w:color="auto" w:fill="CFF0FC"/>
          </w:tcPr>
          <w:p>
            <w:pPr>
              <w:spacing w:after="0"/>
              <w:rPr>
                <w:sz w:val="12"/>
                <w:szCs w:val="12"/>
                <w:color w:val="auto"/>
              </w:rPr>
            </w:pPr>
          </w:p>
        </w:tc>
      </w:tr>
      <w:tr>
        <w:trPr>
          <w:trHeight w:val="153"/>
        </w:trPr>
        <w:tc>
          <w:tcPr>
            <w:tcW w:w="6100" w:type="dxa"/>
            <w:vAlign w:val="bottom"/>
            <w:gridSpan w:val="2"/>
          </w:tcPr>
          <w:p>
            <w:pPr>
              <w:spacing w:after="0"/>
              <w:rPr>
                <w:sz w:val="20"/>
                <w:szCs w:val="20"/>
                <w:color w:val="auto"/>
              </w:rPr>
            </w:pPr>
            <w:r>
              <w:rPr>
                <w:rFonts w:ascii="Arial" w:cs="Arial" w:eastAsia="Arial" w:hAnsi="Arial"/>
                <w:sz w:val="12"/>
                <w:szCs w:val="12"/>
                <w:color w:val="auto"/>
              </w:rPr>
              <w:t>Expected volatility</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28.0%</w:t>
            </w:r>
          </w:p>
        </w:tc>
        <w:tc>
          <w:tcPr>
            <w:tcW w:w="2240" w:type="dxa"/>
            <w:vAlign w:val="bottom"/>
            <w:gridSpan w:val="2"/>
          </w:tcPr>
          <w:p>
            <w:pPr>
              <w:jc w:val="right"/>
              <w:ind w:right="140"/>
              <w:spacing w:after="0"/>
              <w:rPr>
                <w:sz w:val="20"/>
                <w:szCs w:val="20"/>
                <w:color w:val="auto"/>
              </w:rPr>
            </w:pPr>
            <w:r>
              <w:rPr>
                <w:rFonts w:ascii="Arial" w:cs="Arial" w:eastAsia="Arial" w:hAnsi="Arial"/>
                <w:sz w:val="12"/>
                <w:szCs w:val="12"/>
                <w:color w:val="auto"/>
              </w:rPr>
              <w:t>72.0%</w:t>
            </w:r>
          </w:p>
        </w:tc>
        <w:tc>
          <w:tcPr>
            <w:tcW w:w="2140" w:type="dxa"/>
            <w:vAlign w:val="bottom"/>
            <w:gridSpan w:val="2"/>
          </w:tcPr>
          <w:p>
            <w:pPr>
              <w:jc w:val="right"/>
              <w:ind w:right="20"/>
              <w:spacing w:after="0"/>
              <w:rPr>
                <w:sz w:val="20"/>
                <w:szCs w:val="20"/>
                <w:color w:val="auto"/>
              </w:rPr>
            </w:pPr>
            <w:r>
              <w:rPr>
                <w:rFonts w:ascii="Arial" w:cs="Arial" w:eastAsia="Arial" w:hAnsi="Arial"/>
                <w:sz w:val="12"/>
                <w:szCs w:val="12"/>
                <w:color w:val="auto"/>
              </w:rPr>
              <w:t>24.0%</w:t>
            </w:r>
          </w:p>
        </w:tc>
      </w:tr>
      <w:tr>
        <w:trPr>
          <w:trHeight w:val="153"/>
        </w:trPr>
        <w:tc>
          <w:tcPr>
            <w:tcW w:w="6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annual dividend</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5.5%</w:t>
            </w:r>
          </w:p>
        </w:tc>
        <w:tc>
          <w:tcPr>
            <w:tcW w:w="22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3.9%</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2.1%</w:t>
            </w:r>
          </w:p>
        </w:tc>
      </w:tr>
      <w:tr>
        <w:trPr>
          <w:trHeight w:val="153"/>
        </w:trPr>
        <w:tc>
          <w:tcPr>
            <w:tcW w:w="6100" w:type="dxa"/>
            <w:vAlign w:val="bottom"/>
            <w:gridSpan w:val="2"/>
          </w:tcPr>
          <w:p>
            <w:pPr>
              <w:spacing w:after="0"/>
              <w:rPr>
                <w:sz w:val="20"/>
                <w:szCs w:val="20"/>
                <w:color w:val="auto"/>
              </w:rPr>
            </w:pPr>
            <w:r>
              <w:rPr>
                <w:rFonts w:ascii="Arial" w:cs="Arial" w:eastAsia="Arial" w:hAnsi="Arial"/>
                <w:sz w:val="12"/>
                <w:szCs w:val="12"/>
                <w:color w:val="auto"/>
              </w:rPr>
              <w:t>Risk free rate</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0.1%</w:t>
            </w:r>
          </w:p>
        </w:tc>
        <w:tc>
          <w:tcPr>
            <w:tcW w:w="2240" w:type="dxa"/>
            <w:vAlign w:val="bottom"/>
            <w:gridSpan w:val="2"/>
          </w:tcPr>
          <w:p>
            <w:pPr>
              <w:jc w:val="right"/>
              <w:ind w:right="140"/>
              <w:spacing w:after="0"/>
              <w:rPr>
                <w:sz w:val="20"/>
                <w:szCs w:val="20"/>
                <w:color w:val="auto"/>
              </w:rPr>
            </w:pPr>
            <w:r>
              <w:rPr>
                <w:rFonts w:ascii="Arial" w:cs="Arial" w:eastAsia="Arial" w:hAnsi="Arial"/>
                <w:sz w:val="12"/>
                <w:szCs w:val="12"/>
                <w:color w:val="auto"/>
              </w:rPr>
              <w:t>0.2%</w:t>
            </w:r>
          </w:p>
        </w:tc>
        <w:tc>
          <w:tcPr>
            <w:tcW w:w="214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r>
    </w:tbl>
    <w:p>
      <w:pPr>
        <w:spacing w:after="0" w:line="135"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For the years ended December 31, 2021, 2020 and 2019, we recognized $13.8 million, $13.7 million and $10.8 million, respectively, of compensation expense related to restricted stock awards, performance-based awards and the ESPP, which is recorded in general and administrative expense on our Consolidated Statements of Income (Loss).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Earnings Per Share</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2"/>
          <w:szCs w:val="12"/>
          <w:i w:val="1"/>
          <w:iCs w:val="1"/>
          <w:color w:val="auto"/>
        </w:rPr>
        <w:t>Earnings per Share</w:t>
      </w:r>
      <w:r>
        <w:rPr>
          <w:rFonts w:ascii="Arial" w:cs="Arial" w:eastAsia="Arial" w:hAnsi="Arial"/>
          <w:sz w:val="12"/>
          <w:szCs w:val="12"/>
          <w:color w:val="auto"/>
        </w:rPr>
        <w:t>.</w:t>
      </w:r>
    </w:p>
    <w:p>
      <w:pPr>
        <w:spacing w:after="0" w:line="115" w:lineRule="exact"/>
        <w:rPr>
          <w:sz w:val="20"/>
          <w:szCs w:val="20"/>
          <w:color w:val="auto"/>
        </w:rPr>
      </w:pPr>
    </w:p>
    <w:p>
      <w:pPr>
        <w:ind w:right="160"/>
        <w:spacing w:after="0" w:line="298" w:lineRule="auto"/>
        <w:rPr>
          <w:sz w:val="20"/>
          <w:szCs w:val="20"/>
          <w:color w:val="auto"/>
        </w:rPr>
      </w:pPr>
      <w:r>
        <w:rPr>
          <w:rFonts w:ascii="Arial" w:cs="Arial" w:eastAsia="Arial" w:hAnsi="Arial"/>
          <w:sz w:val="11"/>
          <w:szCs w:val="11"/>
          <w:color w:val="auto"/>
        </w:rPr>
        <w:t>We also issue PSUs that contain forfeitable rights to receive dividends and are therefore considered non-participating restrictive shares and are not dilutive under the two-class method until performance conditions are met. During the year ended December 31, 2020, approximately 707,000 PSUs were excluded from the computation of diluted net loss per share because their effect is anti-dilutive as a result of our net loss for the period. During the year ended December 31, 2019, approximately 517,000 PSUs were excluded from the computation of diluted earnings per share because the performance conditions had not been met.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0"/>
        <w:spacing w:after="0" w:line="256" w:lineRule="auto"/>
        <w:rPr>
          <w:rFonts w:ascii="Arial" w:cs="Arial" w:eastAsia="Arial" w:hAnsi="Arial"/>
          <w:sz w:val="12"/>
          <w:szCs w:val="12"/>
          <w:color w:val="auto"/>
        </w:rPr>
      </w:pPr>
      <w:r>
        <w:rPr>
          <w:rFonts w:ascii="Arial" w:cs="Arial" w:eastAsia="Arial" w:hAnsi="Arial"/>
          <w:sz w:val="12"/>
          <w:szCs w:val="12"/>
          <w:color w:val="auto"/>
        </w:rPr>
        <w:t xml:space="preserve">Prior to the second quarter of 2019, the earnings-per-share impact of the Company’s 3% Series A Convertible Preferred Stock, $0.0001 par value (the “Series A Shares”) </w:t>
      </w:r>
      <w:hyperlink w:anchor="page115">
        <w:r>
          <w:rPr>
            <w:rFonts w:ascii="Arial" w:cs="Arial" w:eastAsia="Arial" w:hAnsi="Arial"/>
            <w:sz w:val="12"/>
            <w:szCs w:val="12"/>
            <w:color w:val="auto"/>
          </w:rPr>
          <w:t xml:space="preserve">(See Note </w:t>
        </w:r>
      </w:hyperlink>
      <w:r>
        <w:rPr>
          <w:rFonts w:ascii="Arial" w:cs="Arial" w:eastAsia="Arial" w:hAnsi="Arial"/>
          <w:sz w:val="12"/>
          <w:szCs w:val="12"/>
          <w:color w:val="auto"/>
        </w:rPr>
        <w:t>20), issued in connection with the May 2, 2016 acquisition of PEG Bandwidth, LLC, was calculated using the net share settlement method, whereby the redemption value of the instrument is assumed to be settled in cash and only the conversion premium, if any, is assumed to be settled in shares. The Series A Shares provided Uniti the option to settle the instrument in cash or shares. During the second quarter of 2019, the Company received notice from the holder of the Series A Shares of its election to convert all its shares, and the Company made an election to issue shares upon conversion, which occurred on July 2, 2019. As a result, the earnings-per-share impact for the year ended December 31, 2019 is calculated based on the shares outstanding from the issuance date through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5213350</wp:posOffset>
            </wp:positionH>
            <wp:positionV relativeFrom="paragraph">
              <wp:posOffset>-386715</wp:posOffset>
            </wp:positionV>
            <wp:extent cx="33401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334010" cy="5715"/>
                    </a:xfrm>
                    <a:prstGeom prst="rect">
                      <a:avLst/>
                    </a:prstGeom>
                    <a:noFill/>
                  </pic:spPr>
                </pic:pic>
              </a:graphicData>
            </a:graphic>
          </wp:anchor>
        </w:drawing>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dilutive effect of the Exchangeable Notes (see Note 12)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The dilutive effect of the Warrants (see Note 10) is calculated using the treasury-stock method. During the years ended December 31, 2021, 2020 and 2019, the Warrants were excluded from diluted shares outstanding because the exercise price exceeded the average market price of our common stock for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-297815</wp:posOffset>
            </wp:positionV>
            <wp:extent cx="32131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21310" cy="571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sets forth the computation of basic and diluted earnings per share under the two-class method: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6"/>
              </w:rPr>
              <w:t>Year Ended December 31,</w:t>
            </w: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0"/>
              </w:rPr>
              <w:t>2020</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gridSpan w:val="2"/>
          </w:tcPr>
          <w:p>
            <w:pPr>
              <w:spacing w:after="0"/>
              <w:rPr>
                <w:sz w:val="20"/>
                <w:szCs w:val="20"/>
                <w:color w:val="auto"/>
              </w:rPr>
            </w:pPr>
            <w:r>
              <w:rPr>
                <w:rFonts w:ascii="Arial" w:cs="Arial" w:eastAsia="Arial" w:hAnsi="Arial"/>
                <w:sz w:val="12"/>
                <w:szCs w:val="12"/>
                <w:color w:val="auto"/>
              </w:rPr>
              <w:t>Basic earnings per share:</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Numerator:</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0"/>
              <w:spacing w:after="0"/>
              <w:rPr>
                <w:sz w:val="20"/>
                <w:szCs w:val="20"/>
                <w:color w:val="auto"/>
              </w:rPr>
            </w:pPr>
            <w:r>
              <w:rPr>
                <w:rFonts w:ascii="Arial" w:cs="Arial" w:eastAsia="Arial" w:hAnsi="Arial"/>
                <w:sz w:val="12"/>
                <w:szCs w:val="12"/>
                <w:color w:val="auto"/>
              </w:rPr>
              <w:t>Net income (loss) attributable to shareholders</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123,660</w:t>
            </w:r>
          </w:p>
        </w:tc>
        <w:tc>
          <w:tcPr>
            <w:tcW w:w="24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(706,301)</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10,582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Less: Income allocated to participating securities</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(1,077)</w:t>
            </w:r>
          </w:p>
        </w:tc>
        <w:tc>
          <w:tcPr>
            <w:tcW w:w="2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(1,078)</w:t>
            </w: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(549)</w:t>
            </w:r>
          </w:p>
        </w:tc>
        <w:tc>
          <w:tcPr>
            <w:tcW w:w="0" w:type="dxa"/>
            <w:vAlign w:val="bottom"/>
          </w:tcPr>
          <w:p>
            <w:pPr>
              <w:spacing w:after="0"/>
              <w:rPr>
                <w:sz w:val="1"/>
                <w:szCs w:val="1"/>
                <w:color w:val="auto"/>
              </w:rPr>
            </w:pPr>
          </w:p>
        </w:tc>
      </w:tr>
      <w:tr>
        <w:trPr>
          <w:trHeight w:val="153"/>
        </w:trPr>
        <w:tc>
          <w:tcPr>
            <w:tcW w:w="5140" w:type="dxa"/>
            <w:vAlign w:val="bottom"/>
            <w:gridSpan w:val="2"/>
          </w:tcPr>
          <w:p>
            <w:pPr>
              <w:ind w:left="320"/>
              <w:spacing w:after="0"/>
              <w:rPr>
                <w:sz w:val="20"/>
                <w:szCs w:val="20"/>
                <w:color w:val="auto"/>
              </w:rPr>
            </w:pPr>
            <w:r>
              <w:rPr>
                <w:rFonts w:ascii="Arial" w:cs="Arial" w:eastAsia="Arial" w:hAnsi="Arial"/>
                <w:sz w:val="12"/>
                <w:szCs w:val="12"/>
                <w:color w:val="auto"/>
              </w:rPr>
              <w:t>Dividends declared on convertible preferred stock</w:t>
            </w:r>
          </w:p>
        </w:tc>
        <w:tc>
          <w:tcPr>
            <w:tcW w:w="44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24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(9)</w:t>
            </w:r>
          </w:p>
        </w:tc>
        <w:tc>
          <w:tcPr>
            <w:tcW w:w="44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(656)</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Amortization of discount on convertible preferred stock</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(993)</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60"/>
              <w:spacing w:after="0"/>
              <w:rPr>
                <w:sz w:val="20"/>
                <w:szCs w:val="20"/>
                <w:color w:val="auto"/>
              </w:rPr>
            </w:pPr>
            <w:r>
              <w:rPr>
                <w:rFonts w:ascii="Arial" w:cs="Arial" w:eastAsia="Arial" w:hAnsi="Arial"/>
                <w:sz w:val="12"/>
                <w:szCs w:val="12"/>
                <w:color w:val="auto"/>
              </w:rPr>
              <w:t>Net income (loss) attributable to common shares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122,573</w:t>
            </w:r>
          </w:p>
        </w:tc>
        <w:tc>
          <w:tcPr>
            <w:tcW w:w="24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(707,388)</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8,384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Denominator:</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Basic weighted-average common shares outstanding</w:t>
            </w: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232,888</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203,600</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187,358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Basic earnings (loss) per common share</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0.53</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(3.47)</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50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6"/>
              </w:rPr>
              <w:t>Year Ended December 31,</w:t>
            </w:r>
          </w:p>
        </w:tc>
        <w:tc>
          <w:tcPr>
            <w:tcW w:w="2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0"/>
              </w:rPr>
              <w:t>2020</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gridSpan w:val="2"/>
          </w:tcPr>
          <w:p>
            <w:pPr>
              <w:spacing w:after="0"/>
              <w:rPr>
                <w:sz w:val="20"/>
                <w:szCs w:val="20"/>
                <w:color w:val="auto"/>
              </w:rPr>
            </w:pPr>
            <w:r>
              <w:rPr>
                <w:rFonts w:ascii="Arial" w:cs="Arial" w:eastAsia="Arial" w:hAnsi="Arial"/>
                <w:sz w:val="12"/>
                <w:szCs w:val="12"/>
                <w:color w:val="auto"/>
              </w:rPr>
              <w:t>Diluted earnings per share:</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Numerator:</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0"/>
              <w:spacing w:after="0"/>
              <w:rPr>
                <w:sz w:val="20"/>
                <w:szCs w:val="20"/>
                <w:color w:val="auto"/>
              </w:rPr>
            </w:pPr>
            <w:r>
              <w:rPr>
                <w:rFonts w:ascii="Arial" w:cs="Arial" w:eastAsia="Arial" w:hAnsi="Arial"/>
                <w:sz w:val="12"/>
                <w:szCs w:val="12"/>
                <w:color w:val="auto"/>
              </w:rPr>
              <w:t>Net income (loss) attributable to shareholders</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123,660</w:t>
            </w:r>
          </w:p>
        </w:tc>
        <w:tc>
          <w:tcPr>
            <w:tcW w:w="24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(706,301)</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10,582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Less: Income allocated to participating securities</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(1,077)</w:t>
            </w:r>
          </w:p>
        </w:tc>
        <w:tc>
          <w:tcPr>
            <w:tcW w:w="2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(1,078)</w:t>
            </w: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(549)</w:t>
            </w:r>
          </w:p>
        </w:tc>
        <w:tc>
          <w:tcPr>
            <w:tcW w:w="0" w:type="dxa"/>
            <w:vAlign w:val="bottom"/>
          </w:tcPr>
          <w:p>
            <w:pPr>
              <w:spacing w:after="0"/>
              <w:rPr>
                <w:sz w:val="1"/>
                <w:szCs w:val="1"/>
                <w:color w:val="auto"/>
              </w:rPr>
            </w:pPr>
          </w:p>
        </w:tc>
      </w:tr>
      <w:tr>
        <w:trPr>
          <w:trHeight w:val="153"/>
        </w:trPr>
        <w:tc>
          <w:tcPr>
            <w:tcW w:w="5140" w:type="dxa"/>
            <w:vAlign w:val="bottom"/>
            <w:gridSpan w:val="2"/>
          </w:tcPr>
          <w:p>
            <w:pPr>
              <w:ind w:left="320"/>
              <w:spacing w:after="0"/>
              <w:rPr>
                <w:sz w:val="20"/>
                <w:szCs w:val="20"/>
                <w:color w:val="auto"/>
              </w:rPr>
            </w:pPr>
            <w:r>
              <w:rPr>
                <w:rFonts w:ascii="Arial" w:cs="Arial" w:eastAsia="Arial" w:hAnsi="Arial"/>
                <w:sz w:val="12"/>
                <w:szCs w:val="12"/>
                <w:color w:val="auto"/>
              </w:rPr>
              <w:t>Dividends declared on convertible preferred stock</w:t>
            </w:r>
          </w:p>
        </w:tc>
        <w:tc>
          <w:tcPr>
            <w:tcW w:w="44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24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(9)</w:t>
            </w:r>
          </w:p>
        </w:tc>
        <w:tc>
          <w:tcPr>
            <w:tcW w:w="44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(656)</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Amortization of discount on convertible preferred stock</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(993)</w:t>
            </w:r>
          </w:p>
        </w:tc>
        <w:tc>
          <w:tcPr>
            <w:tcW w:w="0" w:type="dxa"/>
            <w:vAlign w:val="bottom"/>
          </w:tcPr>
          <w:p>
            <w:pPr>
              <w:spacing w:after="0"/>
              <w:rPr>
                <w:sz w:val="1"/>
                <w:szCs w:val="1"/>
                <w:color w:val="auto"/>
              </w:rPr>
            </w:pPr>
          </w:p>
        </w:tc>
      </w:tr>
      <w:tr>
        <w:trPr>
          <w:trHeight w:val="153"/>
        </w:trPr>
        <w:tc>
          <w:tcPr>
            <w:tcW w:w="5140" w:type="dxa"/>
            <w:vAlign w:val="bottom"/>
            <w:tcBorders>
              <w:bottom w:val="single" w:sz="8" w:color="CFF0FC"/>
            </w:tcBorders>
            <w:gridSpan w:val="2"/>
          </w:tcPr>
          <w:p>
            <w:pPr>
              <w:ind w:left="320"/>
              <w:spacing w:after="0"/>
              <w:rPr>
                <w:sz w:val="20"/>
                <w:szCs w:val="20"/>
                <w:color w:val="auto"/>
              </w:rPr>
            </w:pPr>
            <w:r>
              <w:rPr>
                <w:rFonts w:ascii="Arial" w:cs="Arial" w:eastAsia="Arial" w:hAnsi="Arial"/>
                <w:sz w:val="12"/>
                <w:szCs w:val="12"/>
                <w:color w:val="auto"/>
              </w:rPr>
              <w:t>Impact on if-converted dilutive securities</w:t>
            </w: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11,926</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Net income (loss) attributable to common shares</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134,499</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(707,388)</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spacing w:after="0"/>
              <w:rPr>
                <w:sz w:val="20"/>
                <w:szCs w:val="20"/>
                <w:color w:val="auto"/>
              </w:rPr>
            </w:pPr>
            <w:r>
              <w:rPr>
                <w:rFonts w:ascii="Arial" w:cs="Arial" w:eastAsia="Arial" w:hAnsi="Arial"/>
                <w:sz w:val="12"/>
                <w:szCs w:val="12"/>
                <w:color w:val="auto"/>
              </w:rPr>
              <w:t>Denominator:</w:t>
            </w: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Basic weighted-average common shares outstanding</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232,888</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203,600</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187,358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320"/>
              <w:spacing w:after="0"/>
              <w:rPr>
                <w:sz w:val="20"/>
                <w:szCs w:val="20"/>
                <w:color w:val="auto"/>
              </w:rPr>
            </w:pPr>
            <w:r>
              <w:rPr>
                <w:rFonts w:ascii="Arial" w:cs="Arial" w:eastAsia="Arial" w:hAnsi="Arial"/>
                <w:sz w:val="12"/>
                <w:szCs w:val="12"/>
                <w:color w:val="auto"/>
              </w:rPr>
              <w:t>Impact on if-converted dilutive securities</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30,809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Effect of dilutive non-participating securities</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Weighted-average shares for dilutive earnings per common share</w:t>
            </w:r>
          </w:p>
        </w:tc>
        <w:tc>
          <w:tcPr>
            <w:tcW w:w="4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264,077</w:t>
            </w:r>
          </w:p>
        </w:tc>
        <w:tc>
          <w:tcPr>
            <w:tcW w:w="2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203,600</w:t>
            </w:r>
          </w:p>
        </w:tc>
        <w:tc>
          <w:tcPr>
            <w:tcW w:w="24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187,358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Dilutive earnings (loss) per common share</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0.51</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(3.47)</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For the years ended December 31, 2020 and 2019, 29,777,226 and 14,221,616 potential common shares related to the Exchangeable Notes were excluded from the computation of earnings per share, as their effect would have been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Segment Information</w:t>
      </w:r>
    </w:p>
    <w:p>
      <w:pPr>
        <w:spacing w:after="0" w:line="154" w:lineRule="exact"/>
        <w:rPr>
          <w:sz w:val="20"/>
          <w:szCs w:val="20"/>
          <w:color w:val="auto"/>
        </w:rPr>
      </w:pPr>
    </w:p>
    <w:p>
      <w:pPr>
        <w:jc w:val="center"/>
        <w:ind w:right="540"/>
        <w:spacing w:after="0"/>
        <w:rPr>
          <w:sz w:val="20"/>
          <w:szCs w:val="20"/>
          <w:color w:val="auto"/>
        </w:rPr>
      </w:pPr>
      <w:r>
        <w:rPr>
          <w:rFonts w:ascii="Arial" w:cs="Arial" w:eastAsia="Arial" w:hAnsi="Arial"/>
          <w:sz w:val="10"/>
          <w:szCs w:val="10"/>
          <w:color w:val="auto"/>
        </w:rPr>
        <w:t>Historically our management, including our chief executive officer, who is our chief operating decision maker, managed our operations as four operating business segments in addition to our corporate operations, as described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below. Due to the sale of our towers business and wind down of the Consumer CLEC Business, effective January 1, 2021, we will manage our operations focused on our two primary businesses, Leasing and Fiber Infrastructure.</w:t>
      </w:r>
    </w:p>
    <w:p>
      <w:pPr>
        <w:spacing w:after="0" w:line="162"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i w:val="1"/>
          <w:iCs w:val="1"/>
          <w:u w:val="single" w:color="auto"/>
          <w:color w:val="auto"/>
        </w:rPr>
        <w:t>Leasing</w:t>
      </w:r>
      <w:r>
        <w:rPr>
          <w:rFonts w:ascii="Arial" w:cs="Arial" w:eastAsia="Arial" w:hAnsi="Arial"/>
          <w:sz w:val="11"/>
          <w:szCs w:val="11"/>
          <w:color w:val="auto"/>
        </w:rPr>
        <w:t>: Represents a component of our REIT operations and includes the results from our leasing business, Uniti Leasing, which is engaged in the acquisition and construction of mission-critical communications assets and leasing</w:t>
      </w:r>
      <w:r>
        <w:rPr>
          <w:rFonts w:ascii="Arial" w:cs="Arial" w:eastAsia="Arial" w:hAnsi="Arial"/>
          <w:sz w:val="11"/>
          <w:szCs w:val="11"/>
          <w:i w:val="1"/>
          <w:iCs w:val="1"/>
          <w:color w:val="auto"/>
        </w:rPr>
        <w:t xml:space="preserve"> </w:t>
      </w:r>
      <w:r>
        <w:rPr>
          <w:rFonts w:ascii="Arial" w:cs="Arial" w:eastAsia="Arial" w:hAnsi="Arial"/>
          <w:sz w:val="11"/>
          <w:szCs w:val="11"/>
          <w:color w:val="auto"/>
        </w:rPr>
        <w:t>them back to anchor customers on either an exclusive or shared-tenant basis, in addition to the leasing of dark fiber on our existing dark fiber network assets that we either constructed or acquired.</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auto"/>
        </w:rPr>
        <w:t>Fiber Infrastructure</w:t>
      </w:r>
      <w:r>
        <w:rPr>
          <w:rFonts w:ascii="Arial" w:cs="Arial" w:eastAsia="Arial" w:hAnsi="Arial"/>
          <w:sz w:val="11"/>
          <w:szCs w:val="11"/>
          <w:color w:val="auto"/>
        </w:rPr>
        <w:t>: Represents the operations of our fiber business, Uniti Fiber, which is a leading provider of infrastructure solutions, including cell site backhaul and dark fiber, to the telecommunications industry.</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color w:val="auto"/>
        </w:rPr>
        <w:t>: Represents the operations of our former towers business, Uniti Towers, through which we acquired and constructed tower and tower-related real estate and leased space on communications towers to wireless service providers</w:t>
      </w:r>
      <w:r>
        <w:rPr>
          <w:rFonts w:ascii="Arial" w:cs="Arial" w:eastAsia="Arial" w:hAnsi="Arial"/>
          <w:sz w:val="12"/>
          <w:szCs w:val="12"/>
          <w:i w:val="1"/>
          <w:iCs w:val="1"/>
          <w:color w:val="auto"/>
        </w:rPr>
        <w:t xml:space="preserve"> </w:t>
      </w:r>
      <w:r>
        <w:rPr>
          <w:rFonts w:ascii="Arial" w:cs="Arial" w:eastAsia="Arial" w:hAnsi="Arial"/>
          <w:sz w:val="12"/>
          <w:szCs w:val="12"/>
          <w:color w:val="auto"/>
        </w:rPr>
        <w:t>and other tenants in the United States and Latin America. The Company completed a series of transactions to largely divest of its towers business: on April 2, 2019, May 23, 2019 and June 1, 2020, the Company completed the sales of its Latin American business, substantially all of its U.S. ground lease business, and its U.S. tower business, respectively.</w:t>
      </w:r>
    </w:p>
    <w:p>
      <w:pPr>
        <w:spacing w:after="0" w:line="122"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color w:val="auto"/>
        </w:rPr>
        <w:t>: Represents the operations of Talk America through which we operated the Consumer CLEC business, which prior to Uniti’s separation and spin-off from Windstream (the “Spin-Off”) was reported as an integrated</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 within Windstream. Talk America provided local telephone, high-speed internet and long-distance services to customers in the eastern and central United States. As of the end of the second quarter of 2020, we substantially completed a wind down of our Consumer CLEC business.</w:t>
      </w:r>
    </w:p>
    <w:p>
      <w:pPr>
        <w:spacing w:after="0" w:line="12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i w:val="1"/>
          <w:iCs w:val="1"/>
          <w:u w:val="single" w:color="auto"/>
          <w:color w:val="auto"/>
        </w:rPr>
        <w:t>Corporate</w:t>
      </w:r>
      <w:r>
        <w:rPr>
          <w:rFonts w:ascii="Arial" w:cs="Arial" w:eastAsia="Arial" w:hAnsi="Arial"/>
          <w:sz w:val="12"/>
          <w:szCs w:val="12"/>
          <w:i w:val="1"/>
          <w:iCs w:val="1"/>
          <w:color w:val="auto"/>
        </w:rPr>
        <w:t xml:space="preserve">: </w:t>
      </w:r>
      <w:r>
        <w:rPr>
          <w:rFonts w:ascii="Arial" w:cs="Arial" w:eastAsia="Arial" w:hAnsi="Arial"/>
          <w:sz w:val="12"/>
          <w:szCs w:val="12"/>
          <w:color w:val="auto"/>
        </w:rPr>
        <w:t>Represents our corporate office and shared service functions. Certain costs and expenses, primarily related to headcount, insurance, professional fees and similar charges, that are directly attributable to operations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segments are allocated to the respective segments.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05" w:name="page106"/>
    <w:bookmarkEnd w:id="105"/>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Selected financial data related to our segments is presented below for the years ended December 31, 2021, 2020 and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0"/>
                <w:szCs w:val="10"/>
                <w:b w:val="1"/>
                <w:bCs w:val="1"/>
                <w:color w:val="auto"/>
              </w:rPr>
              <w:t>Year Ended December 31, 2021</w:t>
            </w: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right"/>
              <w:ind w:right="2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r>
      <w:tr>
        <w:trPr>
          <w:trHeight w:val="113"/>
        </w:trPr>
        <w:tc>
          <w:tcPr>
            <w:tcW w:w="42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2"/>
          </w:tcPr>
          <w:p>
            <w:pPr>
              <w:ind w:left="40"/>
              <w:spacing w:after="0" w:line="114" w:lineRule="exact"/>
              <w:rPr>
                <w:sz w:val="20"/>
                <w:szCs w:val="20"/>
                <w:color w:val="auto"/>
              </w:rPr>
            </w:pPr>
            <w:r>
              <w:rPr>
                <w:rFonts w:ascii="Arial" w:cs="Arial" w:eastAsia="Arial" w:hAnsi="Arial"/>
                <w:sz w:val="10"/>
                <w:szCs w:val="10"/>
                <w:b w:val="1"/>
                <w:bCs w:val="1"/>
                <w:color w:val="auto"/>
                <w:w w:val="95"/>
              </w:rPr>
              <w:t>Fiber Infrastructure</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04"/>
              <w:spacing w:after="0" w:line="114" w:lineRule="exact"/>
              <w:rPr>
                <w:sz w:val="20"/>
                <w:szCs w:val="20"/>
                <w:color w:val="auto"/>
              </w:rPr>
            </w:pPr>
            <w:r>
              <w:rPr>
                <w:rFonts w:ascii="Arial" w:cs="Arial" w:eastAsia="Arial" w:hAnsi="Arial"/>
                <w:sz w:val="10"/>
                <w:szCs w:val="10"/>
                <w:b w:val="1"/>
                <w:bCs w:val="1"/>
                <w:color w:val="auto"/>
              </w:rPr>
              <w:t>Towers</w:t>
            </w:r>
          </w:p>
        </w:tc>
        <w:tc>
          <w:tcPr>
            <w:tcW w:w="22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Consumer CLEC</w:t>
            </w: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0"/>
                <w:szCs w:val="10"/>
                <w:b w:val="1"/>
                <w:bCs w:val="1"/>
                <w:color w:val="auto"/>
              </w:rPr>
              <w:t>Segments</w:t>
            </w:r>
          </w:p>
        </w:tc>
        <w:tc>
          <w:tcPr>
            <w:tcW w:w="120" w:type="dxa"/>
            <w:vAlign w:val="bottom"/>
            <w:tcBorders>
              <w:bottom w:val="single" w:sz="8" w:color="CFF0FC"/>
            </w:tcBorders>
          </w:tcPr>
          <w:p>
            <w:pPr>
              <w:spacing w:after="0"/>
              <w:rPr>
                <w:sz w:val="9"/>
                <w:szCs w:val="9"/>
                <w:color w:val="auto"/>
              </w:rPr>
            </w:pPr>
          </w:p>
        </w:tc>
      </w:tr>
      <w:tr>
        <w:trPr>
          <w:trHeight w:val="142"/>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Revenues</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801,497</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299,025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752"/>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1,100,522</w:t>
            </w:r>
          </w:p>
        </w:tc>
        <w:tc>
          <w:tcPr>
            <w:tcW w:w="120" w:type="dxa"/>
            <w:vAlign w:val="bottom"/>
            <w:shd w:val="clear" w:color="auto" w:fill="CFF0FC"/>
          </w:tcPr>
          <w:p>
            <w:pPr>
              <w:spacing w:after="0"/>
              <w:rPr>
                <w:sz w:val="12"/>
                <w:szCs w:val="12"/>
                <w:color w:val="auto"/>
              </w:rPr>
            </w:pPr>
          </w:p>
        </w:tc>
      </w:tr>
      <w:tr>
        <w:trPr>
          <w:trHeight w:val="153"/>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784,061</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118,452</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752"/>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(24,232)</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878,281</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spacing w:after="0"/>
              <w:rPr>
                <w:sz w:val="20"/>
                <w:szCs w:val="20"/>
                <w:color w:val="auto"/>
              </w:rPr>
            </w:pPr>
            <w:r>
              <w:rPr>
                <w:rFonts w:ascii="Arial" w:cs="Arial" w:eastAsia="Arial" w:hAnsi="Arial"/>
                <w:sz w:val="12"/>
                <w:szCs w:val="12"/>
                <w:color w:val="auto"/>
              </w:rPr>
              <w:t>Less: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Interest expense,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446,296</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174,622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116,065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290,942</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24,917</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Transaction related and other costs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7,544</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Gain on sale of operations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(28,143)</w:t>
            </w: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Gain on sale of real estate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(442)</w:t>
            </w: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Stock-based compensation</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13,847</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Income tax benefit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(4,916)</w:t>
            </w: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Adjustments for equity in earnings from unconsolidated entities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3,491</w:t>
            </w:r>
          </w:p>
        </w:tc>
        <w:tc>
          <w:tcPr>
            <w:tcW w:w="120" w:type="dxa"/>
            <w:vAlign w:val="bottom"/>
            <w:shd w:val="clear" w:color="auto" w:fill="CFF0FC"/>
          </w:tcPr>
          <w:p>
            <w:pPr>
              <w:spacing w:after="0"/>
              <w:rPr>
                <w:sz w:val="13"/>
                <w:szCs w:val="13"/>
                <w:color w:val="auto"/>
              </w:rPr>
            </w:pPr>
          </w:p>
        </w:tc>
      </w:tr>
      <w:tr>
        <w:trPr>
          <w:trHeight w:val="149"/>
        </w:trPr>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Net income</w:t>
            </w:r>
          </w:p>
        </w:tc>
        <w:tc>
          <w:tcPr>
            <w:tcW w:w="18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400" w:type="dxa"/>
            <w:vAlign w:val="bottom"/>
            <w:tcBorders>
              <w:bottom w:val="single" w:sz="8" w:color="CFF0FC"/>
            </w:tcBorders>
          </w:tcPr>
          <w:p>
            <w:pPr>
              <w:spacing w:after="0"/>
              <w:rPr>
                <w:sz w:val="12"/>
                <w:szCs w:val="12"/>
                <w:color w:val="auto"/>
              </w:rPr>
            </w:pPr>
          </w:p>
        </w:tc>
        <w:tc>
          <w:tcPr>
            <w:tcW w:w="5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124,745</w:t>
            </w:r>
          </w:p>
        </w:tc>
        <w:tc>
          <w:tcPr>
            <w:tcW w:w="120" w:type="dxa"/>
            <w:vAlign w:val="bottom"/>
            <w:tcBorders>
              <w:bottom w:val="single" w:sz="8" w:color="CFF0FC"/>
            </w:tcBorders>
          </w:tcPr>
          <w:p>
            <w:pPr>
              <w:spacing w:after="0"/>
              <w:rPr>
                <w:sz w:val="12"/>
                <w:szCs w:val="12"/>
                <w:color w:val="auto"/>
              </w:rPr>
            </w:pPr>
          </w:p>
        </w:tc>
      </w:tr>
      <w:tr>
        <w:trPr>
          <w:trHeight w:val="153"/>
        </w:trPr>
        <w:tc>
          <w:tcPr>
            <w:tcW w:w="4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223,251</w:t>
            </w:r>
          </w:p>
        </w:tc>
        <w:tc>
          <w:tcPr>
            <w:tcW w:w="220" w:type="dxa"/>
            <w:vAlign w:val="bottom"/>
          </w:tcPr>
          <w:p>
            <w:pPr>
              <w:spacing w:after="0"/>
              <w:rPr>
                <w:sz w:val="13"/>
                <w:szCs w:val="13"/>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162,463</w:t>
            </w:r>
          </w:p>
        </w:tc>
        <w:tc>
          <w:tcPr>
            <w:tcW w:w="2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60" w:type="dxa"/>
            <w:vAlign w:val="bottom"/>
          </w:tcPr>
          <w:p>
            <w:pPr>
              <w:jc w:val="right"/>
              <w:ind w:right="752"/>
              <w:spacing w:after="0"/>
              <w:rPr>
                <w:sz w:val="20"/>
                <w:szCs w:val="20"/>
                <w:color w:val="auto"/>
              </w:rPr>
            </w:pPr>
            <w:r>
              <w:rPr>
                <w:rFonts w:ascii="Arial" w:cs="Arial" w:eastAsia="Arial" w:hAnsi="Arial"/>
                <w:sz w:val="10"/>
                <w:szCs w:val="10"/>
                <w:color w:val="auto"/>
                <w:w w:val="71"/>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141</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385,855</w:t>
            </w:r>
          </w:p>
        </w:tc>
        <w:tc>
          <w:tcPr>
            <w:tcW w:w="120" w:type="dxa"/>
            <w:vAlign w:val="bottom"/>
          </w:tcPr>
          <w:p>
            <w:pPr>
              <w:spacing w:after="0"/>
              <w:rPr>
                <w:sz w:val="13"/>
                <w:szCs w:val="13"/>
                <w:color w:val="auto"/>
              </w:rPr>
            </w:pPr>
          </w:p>
        </w:tc>
      </w:tr>
      <w:tr>
        <w:trPr>
          <w:trHeight w:val="720"/>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2"/>
                <w:szCs w:val="12"/>
                <w:color w:val="auto"/>
              </w:rPr>
              <w:t>106</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4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6" w:name="page107"/>
    <w:bookmarkEnd w:id="106"/>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0"/>
                <w:szCs w:val="10"/>
                <w:b w:val="1"/>
                <w:bCs w:val="1"/>
                <w:color w:val="auto"/>
              </w:rPr>
              <w:t>Year Ended December 31, 2020</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center"/>
              <w:ind w:right="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r>
      <w:tr>
        <w:trPr>
          <w:trHeight w:val="113"/>
        </w:trPr>
        <w:tc>
          <w:tcPr>
            <w:tcW w:w="42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93"/>
              </w:rPr>
              <w:t>Fiber Infrastructure</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04"/>
              <w:spacing w:after="0" w:line="114" w:lineRule="exact"/>
              <w:rPr>
                <w:sz w:val="20"/>
                <w:szCs w:val="20"/>
                <w:color w:val="auto"/>
              </w:rPr>
            </w:pPr>
            <w:r>
              <w:rPr>
                <w:rFonts w:ascii="Arial" w:cs="Arial" w:eastAsia="Arial" w:hAnsi="Arial"/>
                <w:sz w:val="10"/>
                <w:szCs w:val="10"/>
                <w:b w:val="1"/>
                <w:bCs w:val="1"/>
                <w:color w:val="auto"/>
              </w:rPr>
              <w:t>Towers</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6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22"/>
              <w:spacing w:after="0" w:line="114" w:lineRule="exact"/>
              <w:rPr>
                <w:sz w:val="20"/>
                <w:szCs w:val="20"/>
                <w:color w:val="auto"/>
              </w:rPr>
            </w:pPr>
            <w:r>
              <w:rPr>
                <w:rFonts w:ascii="Arial" w:cs="Arial" w:eastAsia="Arial" w:hAnsi="Arial"/>
                <w:sz w:val="10"/>
                <w:szCs w:val="10"/>
                <w:b w:val="1"/>
                <w:bCs w:val="1"/>
                <w:color w:val="auto"/>
                <w:w w:val="79"/>
              </w:rPr>
              <w:t>Segments</w:t>
            </w:r>
          </w:p>
        </w:tc>
        <w:tc>
          <w:tcPr>
            <w:tcW w:w="120" w:type="dxa"/>
            <w:vAlign w:val="bottom"/>
            <w:tcBorders>
              <w:bottom w:val="single" w:sz="8" w:color="CFF0FC"/>
            </w:tcBorders>
          </w:tcPr>
          <w:p>
            <w:pPr>
              <w:spacing w:after="0"/>
              <w:rPr>
                <w:sz w:val="9"/>
                <w:szCs w:val="9"/>
                <w:color w:val="auto"/>
              </w:rPr>
            </w:pPr>
          </w:p>
        </w:tc>
      </w:tr>
      <w:tr>
        <w:trPr>
          <w:trHeight w:val="142"/>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Revenues</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745,915</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314,363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1,067,041</w:t>
            </w:r>
          </w:p>
        </w:tc>
        <w:tc>
          <w:tcPr>
            <w:tcW w:w="120" w:type="dxa"/>
            <w:vAlign w:val="bottom"/>
            <w:shd w:val="clear" w:color="auto" w:fill="CFF0FC"/>
          </w:tcPr>
          <w:p>
            <w:pPr>
              <w:spacing w:after="0"/>
              <w:rPr>
                <w:sz w:val="12"/>
                <w:szCs w:val="12"/>
                <w:color w:val="auto"/>
              </w:rPr>
            </w:pPr>
          </w:p>
        </w:tc>
      </w:tr>
      <w:tr>
        <w:trPr>
          <w:trHeight w:val="153"/>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737,337</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112,289</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(545)</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(30,323)</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818,835</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spacing w:after="0"/>
              <w:rPr>
                <w:sz w:val="20"/>
                <w:szCs w:val="20"/>
                <w:color w:val="auto"/>
              </w:rPr>
            </w:pPr>
            <w:r>
              <w:rPr>
                <w:rFonts w:ascii="Arial" w:cs="Arial" w:eastAsia="Arial" w:hAnsi="Arial"/>
                <w:sz w:val="12"/>
                <w:szCs w:val="12"/>
                <w:color w:val="auto"/>
              </w:rPr>
              <w:t>Less: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Interest expense,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497,128</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201,321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126,211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783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791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329,403</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11,703</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Settlement expense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650,000</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Goodwill impairment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71,000</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Transaction related and other costs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63,875</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Gain on sale of real estate</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(86,267)</w:t>
            </w: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13,721</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(15,203)</w:t>
            </w:r>
          </w:p>
        </w:tc>
      </w:tr>
      <w:tr>
        <w:trPr>
          <w:trHeight w:val="153"/>
        </w:trPr>
        <w:tc>
          <w:tcPr>
            <w:tcW w:w="4340" w:type="dxa"/>
            <w:vAlign w:val="bottom"/>
            <w:tcBorders>
              <w:bottom w:val="single" w:sz="8" w:color="CFF0FC"/>
            </w:tcBorders>
            <w:gridSpan w:val="2"/>
          </w:tcPr>
          <w:p>
            <w:pPr>
              <w:ind w:left="80"/>
              <w:spacing w:after="0"/>
              <w:rPr>
                <w:sz w:val="20"/>
                <w:szCs w:val="20"/>
                <w:color w:val="auto"/>
              </w:rPr>
            </w:pPr>
            <w:r>
              <w:rPr>
                <w:rFonts w:ascii="Arial" w:cs="Arial" w:eastAsia="Arial" w:hAnsi="Arial"/>
                <w:sz w:val="12"/>
                <w:szCs w:val="12"/>
                <w:color w:val="auto"/>
              </w:rPr>
              <w:t>Adjustments for equity in earnings from unconsolidated entities</w:t>
            </w:r>
          </w:p>
        </w:tc>
        <w:tc>
          <w:tcPr>
            <w:tcW w:w="1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2,287</w:t>
            </w:r>
          </w:p>
        </w:tc>
        <w:tc>
          <w:tcPr>
            <w:tcW w:w="120" w:type="dxa"/>
            <w:vAlign w:val="bottom"/>
            <w:tcBorders>
              <w:bottom w:val="single" w:sz="8" w:color="CFF0FC"/>
            </w:tcBorders>
          </w:tcPr>
          <w:p>
            <w:pPr>
              <w:spacing w:after="0"/>
              <w:rPr>
                <w:sz w:val="13"/>
                <w:szCs w:val="13"/>
                <w:color w:val="auto"/>
              </w:rPr>
            </w:pPr>
          </w:p>
        </w:tc>
      </w:tr>
      <w:tr>
        <w:trPr>
          <w:trHeight w:val="149"/>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loss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(718,812)</w:t>
            </w:r>
          </w:p>
        </w:tc>
      </w:tr>
      <w:tr>
        <w:trPr>
          <w:trHeight w:val="153"/>
        </w:trPr>
        <w:tc>
          <w:tcPr>
            <w:tcW w:w="42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64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53"/>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169,306</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197,023</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24,162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390,491</w:t>
            </w:r>
          </w:p>
        </w:tc>
        <w:tc>
          <w:tcPr>
            <w:tcW w:w="120" w:type="dxa"/>
            <w:vAlign w:val="bottom"/>
            <w:shd w:val="clear" w:color="auto" w:fill="CFF0FC"/>
          </w:tcPr>
          <w:p>
            <w:pPr>
              <w:spacing w:after="0"/>
              <w:rPr>
                <w:sz w:val="13"/>
                <w:szCs w:val="13"/>
                <w:color w:val="auto"/>
              </w:rPr>
            </w:pPr>
          </w:p>
        </w:tc>
      </w:tr>
      <w:tr>
        <w:trPr>
          <w:trHeight w:val="306"/>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0"/>
                <w:szCs w:val="10"/>
                <w:b w:val="1"/>
                <w:bCs w:val="1"/>
                <w:color w:val="auto"/>
              </w:rPr>
              <w:t>Year Ended December 31, 2019</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83"/>
        </w:trPr>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center"/>
              <w:ind w:right="2"/>
              <w:spacing w:after="0" w:line="83" w:lineRule="exact"/>
              <w:rPr>
                <w:sz w:val="20"/>
                <w:szCs w:val="20"/>
                <w:color w:val="auto"/>
              </w:rPr>
            </w:pPr>
            <w:r>
              <w:rPr>
                <w:rFonts w:ascii="Arial" w:cs="Arial" w:eastAsia="Arial" w:hAnsi="Arial"/>
                <w:sz w:val="8"/>
                <w:szCs w:val="8"/>
                <w:b w:val="1"/>
                <w:bCs w:val="1"/>
                <w:color w:val="auto"/>
              </w:rPr>
              <w:t>Total of Reportable</w:t>
            </w:r>
          </w:p>
        </w:tc>
        <w:tc>
          <w:tcPr>
            <w:tcW w:w="120" w:type="dxa"/>
            <w:vAlign w:val="bottom"/>
          </w:tcPr>
          <w:p>
            <w:pPr>
              <w:spacing w:after="0"/>
              <w:rPr>
                <w:sz w:val="7"/>
                <w:szCs w:val="7"/>
                <w:color w:val="auto"/>
              </w:rPr>
            </w:pPr>
          </w:p>
        </w:tc>
      </w:tr>
      <w:tr>
        <w:trPr>
          <w:trHeight w:val="113"/>
        </w:trPr>
        <w:tc>
          <w:tcPr>
            <w:tcW w:w="42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93"/>
              </w:rPr>
              <w:t>Fiber Infrastructure</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04"/>
              <w:spacing w:after="0" w:line="114" w:lineRule="exact"/>
              <w:rPr>
                <w:sz w:val="20"/>
                <w:szCs w:val="20"/>
                <w:color w:val="auto"/>
              </w:rPr>
            </w:pPr>
            <w:r>
              <w:rPr>
                <w:rFonts w:ascii="Arial" w:cs="Arial" w:eastAsia="Arial" w:hAnsi="Arial"/>
                <w:sz w:val="10"/>
                <w:szCs w:val="10"/>
                <w:b w:val="1"/>
                <w:bCs w:val="1"/>
                <w:color w:val="auto"/>
              </w:rPr>
              <w:t>Towers</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6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22"/>
              <w:spacing w:after="0" w:line="114" w:lineRule="exact"/>
              <w:rPr>
                <w:sz w:val="20"/>
                <w:szCs w:val="20"/>
                <w:color w:val="auto"/>
              </w:rPr>
            </w:pPr>
            <w:r>
              <w:rPr>
                <w:rFonts w:ascii="Arial" w:cs="Arial" w:eastAsia="Arial" w:hAnsi="Arial"/>
                <w:sz w:val="10"/>
                <w:szCs w:val="10"/>
                <w:b w:val="1"/>
                <w:bCs w:val="1"/>
                <w:color w:val="auto"/>
                <w:w w:val="79"/>
              </w:rPr>
              <w:t>Segments</w:t>
            </w:r>
          </w:p>
        </w:tc>
        <w:tc>
          <w:tcPr>
            <w:tcW w:w="120" w:type="dxa"/>
            <w:vAlign w:val="bottom"/>
            <w:tcBorders>
              <w:bottom w:val="single" w:sz="8" w:color="CFF0FC"/>
            </w:tcBorders>
          </w:tcPr>
          <w:p>
            <w:pPr>
              <w:spacing w:after="0"/>
              <w:rPr>
                <w:sz w:val="9"/>
                <w:szCs w:val="9"/>
                <w:color w:val="auto"/>
              </w:rPr>
            </w:pPr>
          </w:p>
        </w:tc>
      </w:tr>
      <w:tr>
        <w:trPr>
          <w:trHeight w:val="142"/>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Revenues</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716,640</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315,605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14,693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10,673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1,057,611</w:t>
            </w:r>
          </w:p>
        </w:tc>
        <w:tc>
          <w:tcPr>
            <w:tcW w:w="120" w:type="dxa"/>
            <w:vAlign w:val="bottom"/>
            <w:shd w:val="clear" w:color="auto" w:fill="CFF0FC"/>
          </w:tcPr>
          <w:p>
            <w:pPr>
              <w:spacing w:after="0"/>
              <w:rPr>
                <w:sz w:val="12"/>
                <w:szCs w:val="12"/>
                <w:color w:val="auto"/>
              </w:rPr>
            </w:pPr>
          </w:p>
        </w:tc>
      </w:tr>
      <w:tr>
        <w:trPr>
          <w:trHeight w:val="153"/>
        </w:trPr>
        <w:tc>
          <w:tcPr>
            <w:tcW w:w="43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711,119</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126,754</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(595)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(26,494)</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812,739</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spacing w:after="0"/>
              <w:rPr>
                <w:sz w:val="20"/>
                <w:szCs w:val="20"/>
                <w:color w:val="auto"/>
              </w:rPr>
            </w:pPr>
            <w:r>
              <w:rPr>
                <w:rFonts w:ascii="Arial" w:cs="Arial" w:eastAsia="Arial" w:hAnsi="Arial"/>
                <w:sz w:val="12"/>
                <w:szCs w:val="12"/>
                <w:color w:val="auto"/>
              </w:rPr>
              <w:t>Less: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Interest expense,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390,112</w:t>
            </w: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282,107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114,566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6,474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1,879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728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405,754</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 net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(24,219)</w:t>
            </w: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Transaction related and other costs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43,708</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Gain on sale of real estate</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(28,995)</w:t>
            </w:r>
          </w:p>
        </w:tc>
      </w:tr>
      <w:tr>
        <w:trPr>
          <w:trHeight w:val="153"/>
        </w:trPr>
        <w:tc>
          <w:tcPr>
            <w:tcW w:w="434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10,808</w:t>
            </w:r>
          </w:p>
        </w:tc>
        <w:tc>
          <w:tcPr>
            <w:tcW w:w="120" w:type="dxa"/>
            <w:vAlign w:val="bottom"/>
          </w:tcPr>
          <w:p>
            <w:pPr>
              <w:spacing w:after="0"/>
              <w:rPr>
                <w:sz w:val="13"/>
                <w:szCs w:val="13"/>
                <w:color w:val="auto"/>
              </w:rPr>
            </w:pPr>
          </w:p>
        </w:tc>
      </w:tr>
      <w:tr>
        <w:trPr>
          <w:trHeight w:val="153"/>
        </w:trPr>
        <w:tc>
          <w:tcPr>
            <w:tcW w:w="4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Income tax expense</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4,663</w:t>
            </w:r>
          </w:p>
        </w:tc>
        <w:tc>
          <w:tcPr>
            <w:tcW w:w="120" w:type="dxa"/>
            <w:vAlign w:val="bottom"/>
            <w:shd w:val="clear" w:color="auto" w:fill="CFF0FC"/>
          </w:tcPr>
          <w:p>
            <w:pPr>
              <w:spacing w:after="0"/>
              <w:rPr>
                <w:sz w:val="13"/>
                <w:szCs w:val="13"/>
                <w:color w:val="auto"/>
              </w:rPr>
            </w:pPr>
          </w:p>
        </w:tc>
      </w:tr>
      <w:tr>
        <w:trPr>
          <w:trHeight w:val="149"/>
        </w:trPr>
        <w:tc>
          <w:tcPr>
            <w:tcW w:w="4340" w:type="dxa"/>
            <w:vAlign w:val="bottom"/>
            <w:tcBorders>
              <w:bottom w:val="single" w:sz="8" w:color="CFF0FC"/>
            </w:tcBorders>
            <w:gridSpan w:val="2"/>
          </w:tcPr>
          <w:p>
            <w:pPr>
              <w:ind w:left="80"/>
              <w:spacing w:after="0"/>
              <w:rPr>
                <w:sz w:val="20"/>
                <w:szCs w:val="20"/>
                <w:color w:val="auto"/>
              </w:rPr>
            </w:pPr>
            <w:r>
              <w:rPr>
                <w:rFonts w:ascii="Arial" w:cs="Arial" w:eastAsia="Arial" w:hAnsi="Arial"/>
                <w:sz w:val="12"/>
                <w:szCs w:val="12"/>
                <w:color w:val="auto"/>
              </w:rPr>
              <w:t>Net income</w:t>
            </w:r>
          </w:p>
        </w:tc>
        <w:tc>
          <w:tcPr>
            <w:tcW w:w="18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10,908</w:t>
            </w:r>
          </w:p>
        </w:tc>
        <w:tc>
          <w:tcPr>
            <w:tcW w:w="120" w:type="dxa"/>
            <w:vAlign w:val="bottom"/>
            <w:tcBorders>
              <w:bottom w:val="single" w:sz="8" w:color="CFF0FC"/>
            </w:tcBorders>
          </w:tcPr>
          <w:p>
            <w:pPr>
              <w:spacing w:after="0"/>
              <w:rPr>
                <w:sz w:val="12"/>
                <w:szCs w:val="12"/>
                <w:color w:val="auto"/>
              </w:rPr>
            </w:pPr>
          </w:p>
        </w:tc>
      </w:tr>
      <w:tr>
        <w:trPr>
          <w:trHeight w:val="153"/>
        </w:trPr>
        <w:tc>
          <w:tcPr>
            <w:tcW w:w="4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340" w:type="dxa"/>
            <w:vAlign w:val="bottom"/>
            <w:gridSpan w:val="2"/>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338,543</w:t>
            </w:r>
          </w:p>
        </w:tc>
        <w:tc>
          <w:tcPr>
            <w:tcW w:w="220" w:type="dxa"/>
            <w:vAlign w:val="bottom"/>
          </w:tcPr>
          <w:p>
            <w:pPr>
              <w:spacing w:after="0"/>
              <w:rPr>
                <w:sz w:val="13"/>
                <w:szCs w:val="13"/>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233,506</w:t>
            </w:r>
          </w:p>
        </w:tc>
        <w:tc>
          <w:tcPr>
            <w:tcW w:w="2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99,234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671,298</w:t>
            </w:r>
          </w:p>
        </w:tc>
        <w:tc>
          <w:tcPr>
            <w:tcW w:w="120" w:type="dxa"/>
            <w:vAlign w:val="bottom"/>
          </w:tcPr>
          <w:p>
            <w:pPr>
              <w:spacing w:after="0"/>
              <w:rPr>
                <w:sz w:val="13"/>
                <w:szCs w:val="13"/>
                <w:color w:val="auto"/>
              </w:rPr>
            </w:pPr>
          </w:p>
        </w:tc>
      </w:tr>
    </w:tbl>
    <w:p>
      <w:pPr>
        <w:spacing w:after="0" w:line="279" w:lineRule="exact"/>
        <w:rPr>
          <w:sz w:val="20"/>
          <w:szCs w:val="20"/>
          <w:color w:val="auto"/>
        </w:rPr>
      </w:pPr>
    </w:p>
    <w:p>
      <w:pPr>
        <w:ind w:left="428" w:right="40" w:hanging="428"/>
        <w:spacing w:after="0" w:line="276" w:lineRule="auto"/>
        <w:tabs>
          <w:tab w:leader="none" w:pos="428" w:val="left"/>
        </w:tabs>
        <w:numPr>
          <w:ilvl w:val="0"/>
          <w:numId w:val="21"/>
        </w:numPr>
        <w:rPr>
          <w:rFonts w:ascii="Arial" w:cs="Arial" w:eastAsia="Arial" w:hAnsi="Arial"/>
          <w:sz w:val="10"/>
          <w:szCs w:val="10"/>
          <w:color w:val="auto"/>
        </w:rPr>
      </w:pPr>
      <w:r>
        <w:rPr>
          <w:rFonts w:ascii="Arial" w:cs="Arial" w:eastAsia="Arial" w:hAnsi="Arial"/>
          <w:sz w:val="12"/>
          <w:szCs w:val="12"/>
          <w:color w:val="auto"/>
        </w:rPr>
        <w:t>Segment capital expenditures represents capital expenditures, the Windstream Asset Purchase Agreement and Bluebird asset acquisition (see Note 6) as reported in the investing activities section of the Consolidated Statements of Cash Flows.</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Total assets by business segment as of December 31, 2021 and December 31, 2020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0"/>
                <w:szCs w:val="10"/>
                <w:b w:val="1"/>
                <w:bCs w:val="1"/>
                <w:color w:val="auto"/>
              </w:rPr>
              <w:t>December 31,</w:t>
            </w:r>
          </w:p>
        </w:tc>
        <w:tc>
          <w:tcPr>
            <w:tcW w:w="1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7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2021</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151"/>
        </w:trPr>
        <w:tc>
          <w:tcPr>
            <w:tcW w:w="7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Leasing</w:t>
            </w:r>
          </w:p>
        </w:tc>
        <w:tc>
          <w:tcPr>
            <w:tcW w:w="420" w:type="dxa"/>
            <w:vAlign w:val="bottom"/>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2,521,406</w:t>
            </w:r>
          </w:p>
        </w:tc>
        <w:tc>
          <w:tcPr>
            <w:tcW w:w="3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2,295,289</w:t>
            </w:r>
          </w:p>
        </w:tc>
        <w:tc>
          <w:tcPr>
            <w:tcW w:w="120" w:type="dxa"/>
            <w:vAlign w:val="bottom"/>
            <w:shd w:val="clear" w:color="auto" w:fill="CFF0FC"/>
          </w:tcPr>
          <w:p>
            <w:pPr>
              <w:spacing w:after="0"/>
              <w:rPr>
                <w:sz w:val="13"/>
                <w:szCs w:val="13"/>
                <w:color w:val="auto"/>
              </w:rPr>
            </w:pPr>
          </w:p>
        </w:tc>
      </w:tr>
      <w:tr>
        <w:trPr>
          <w:trHeight w:val="153"/>
        </w:trPr>
        <w:tc>
          <w:tcPr>
            <w:tcW w:w="7480" w:type="dxa"/>
            <w:vAlign w:val="bottom"/>
            <w:gridSpan w:val="2"/>
          </w:tcPr>
          <w:p>
            <w:pPr>
              <w:spacing w:after="0"/>
              <w:rPr>
                <w:sz w:val="20"/>
                <w:szCs w:val="20"/>
                <w:color w:val="auto"/>
              </w:rPr>
            </w:pPr>
            <w:r>
              <w:rPr>
                <w:rFonts w:ascii="Arial" w:cs="Arial" w:eastAsia="Arial" w:hAnsi="Arial"/>
                <w:sz w:val="12"/>
                <w:szCs w:val="12"/>
                <w:color w:val="auto"/>
              </w:rPr>
              <w:t>Fiber Infrastructure</w:t>
            </w:r>
          </w:p>
        </w:tc>
        <w:tc>
          <w:tcPr>
            <w:tcW w:w="4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2,249,860</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2,354,569</w:t>
            </w:r>
          </w:p>
        </w:tc>
        <w:tc>
          <w:tcPr>
            <w:tcW w:w="120" w:type="dxa"/>
            <w:vAlign w:val="bottom"/>
          </w:tcPr>
          <w:p>
            <w:pPr>
              <w:spacing w:after="0"/>
              <w:rPr>
                <w:sz w:val="13"/>
                <w:szCs w:val="13"/>
                <w:color w:val="auto"/>
              </w:rPr>
            </w:pPr>
          </w:p>
        </w:tc>
      </w:tr>
      <w:tr>
        <w:trPr>
          <w:trHeight w:val="153"/>
        </w:trPr>
        <w:tc>
          <w:tcPr>
            <w:tcW w:w="7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Corporate</w:t>
            </w:r>
          </w:p>
        </w:tc>
        <w:tc>
          <w:tcPr>
            <w:tcW w:w="4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37,977</w:t>
            </w:r>
          </w:p>
        </w:tc>
        <w:tc>
          <w:tcPr>
            <w:tcW w:w="3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73,253</w:t>
            </w:r>
          </w:p>
        </w:tc>
        <w:tc>
          <w:tcPr>
            <w:tcW w:w="120" w:type="dxa"/>
            <w:vAlign w:val="bottom"/>
            <w:shd w:val="clear" w:color="auto" w:fill="CFF0FC"/>
          </w:tcPr>
          <w:p>
            <w:pPr>
              <w:spacing w:after="0"/>
              <w:rPr>
                <w:sz w:val="13"/>
                <w:szCs w:val="13"/>
                <w:color w:val="auto"/>
              </w:rPr>
            </w:pPr>
          </w:p>
        </w:tc>
      </w:tr>
      <w:tr>
        <w:trPr>
          <w:trHeight w:val="153"/>
        </w:trPr>
        <w:tc>
          <w:tcPr>
            <w:tcW w:w="74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Consumer CLEC</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8,707</w:t>
            </w:r>
          </w:p>
        </w:tc>
        <w:tc>
          <w:tcPr>
            <w:tcW w:w="120" w:type="dxa"/>
            <w:vAlign w:val="bottom"/>
            <w:tcBorders>
              <w:bottom w:val="single" w:sz="8" w:color="CFF0FC"/>
            </w:tcBorders>
          </w:tcPr>
          <w:p>
            <w:pPr>
              <w:spacing w:after="0"/>
              <w:rPr>
                <w:sz w:val="13"/>
                <w:szCs w:val="13"/>
                <w:color w:val="auto"/>
              </w:rPr>
            </w:pPr>
          </w:p>
        </w:tc>
      </w:tr>
      <w:tr>
        <w:trPr>
          <w:trHeight w:val="149"/>
        </w:trPr>
        <w:tc>
          <w:tcPr>
            <w:tcW w:w="7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of reportable segments</w:t>
            </w:r>
          </w:p>
        </w:tc>
        <w:tc>
          <w:tcPr>
            <w:tcW w:w="420" w:type="dxa"/>
            <w:vAlign w:val="bottom"/>
            <w:tcBorders>
              <w:bottom w:val="single" w:sz="8" w:color="auto"/>
            </w:tcBorders>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4,809,243</w:t>
            </w:r>
          </w:p>
        </w:tc>
        <w:tc>
          <w:tcPr>
            <w:tcW w:w="30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4,731,818</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Commitments and Contingencies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Litigation</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On July 25, 2019, in connection with Windstream’s bankruptcy, Windstream Holdings and Windstream Services, LLC (“Windstream Services”) filed a complaint with the Bankruptcy Court in an adversary proceeding against Uniti and certain of its affiliates, alleging, among other things, that the Master Lease should be recharacterized as a financing arrangement, that certain rent payments and TCIs made by Windstream under the Master Lease constitute constructive fraudulent transfers, that the Master Lease is a lease of personal property and that Uniti breached certain of its obligations under the Master Lease. On March 2, 2020, Uniti and Windstream jointly announced that they agreed to the Settlement (as defined below)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As a result, during the second quarter of 2020, we estimated that $650.0 million of the consideration paid to Windstream should be classified as settlement of litigation, and therefore, recorded a $650.0 million charge. The charge represented our estimated fair value of the litigation settlement component of the Settlement.</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On September 21, 2020, Windstream emerged from bankruptcy following its voluntary petition for relief under Chapter 11 of the Bankruptcy Code. In connection with Windstream’s emergence from bankruptcy, Uniti entered into several agreements and consummated the transactions, each as described herein, to implement its settlement (the “Settlement”) with Windstream pursuant to the settlement agreement (the “Settlement Agreement”) dated as of May 12, 2020 between Uniti and Windstream. Pursuant to the Settlement, Uniti and Windstream agreed to mutual releases with respect to any and all liability related to any claims and causes of action between them, including those brought by Windstream and certain of its creditors relating to Windstream’s Chapter 11 proceedings and the Master Lease.</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On May 26, 2020, UMB Bank, National Association and U.S. Bank National Association, in their respective capacities as indenture trustees of Windstream’s bonds filed a notice of appeal in the United States District Court for the Southern District of New York from the bankruptcy court’s May 12, 2020 order approving the settlement. On July 20, 2020, UMB Bank, National Association withdrew from the appeal. The appeal was fully briefed on September 10, 2020. The district court has not yet issued a ruling on the appeal.</w:t>
      </w:r>
    </w:p>
    <w:p>
      <w:pPr>
        <w:spacing w:after="0" w:line="12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On January 8, 2021, Windstream filed in the bankruptcy court a stipulation and order dismissing the adversary proceeding against Uniti with prejudice subject to the terms set forth in the parties’ settlement agreement. The stipulation and order was entered by the bankruptcy court on January 25, 2021.</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On June 22, 2021, the district court dismissed the appeal of the bankruptcy court’s order approving the settlement as equitably moot. On July 26, 2021, U.S. Bank National Association filed a notice of appeal in the United States Court of Appeals for the Second Circuit from the district court’s order. U.S. Bank filed its brief on November 21, 2021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8" w:name="page109"/>
    <w:bookmarkEnd w:id="108"/>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Windstream and intervenor-appellee Elliott Investment Management L.P. filed their briefs on January 28, 2022. U.S. Bank National Association filed its reply brief on February 18, 2022.</w:t>
      </w:r>
    </w:p>
    <w:p>
      <w:pPr>
        <w:spacing w:after="0" w:line="150"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Under the Settlement Agreement, in addition to completing the transactions and executing the Windstream Leases (see Note 5), Uniti is required to make quarterly cash payments of $24.5 million to Windstream over 20 consecutive quarters beginning in October 2020, and Uniti may prepay any installments falling due on or after the first anniversary of the Settlement’s effective date (discounted at a 9% rate). This obligation has been recorded at its initial fair value of $438.6 million and is reported as settlement payable on our Consolidated Balance Sheet at December 31, 2020. The difference between the initial fair value of the obligation and total undiscounted cash payments, $490.1 million, will be recognized as interest expense within our Consolidated Statements of Income (Loss) at an effective rate of 4.7%.</w:t>
      </w:r>
    </w:p>
    <w:p>
      <w:pPr>
        <w:spacing w:after="0" w:line="124"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color w:val="auto"/>
        </w:rPr>
        <w:t>On October 14, 2021, the Company prepaid four installments for a total of $92.9 million, $78.0 million of which was funded from a portion of the proceeds of the 2030 Notes (see Note 12). As of December 31, 2021, the Company has made payments totaling $215.4 million.</w:t>
      </w:r>
    </w:p>
    <w:p>
      <w:pPr>
        <w:spacing w:after="0" w:line="115" w:lineRule="exact"/>
        <w:rPr>
          <w:sz w:val="20"/>
          <w:szCs w:val="20"/>
          <w:color w:val="auto"/>
        </w:rPr>
      </w:pPr>
    </w:p>
    <w:p>
      <w:pPr>
        <w:ind w:left="8" w:right="20"/>
        <w:spacing w:after="0" w:line="278" w:lineRule="auto"/>
        <w:rPr>
          <w:sz w:val="20"/>
          <w:szCs w:val="20"/>
          <w:color w:val="auto"/>
        </w:rPr>
      </w:pPr>
      <w:r>
        <w:rPr>
          <w:rFonts w:ascii="Arial" w:cs="Arial" w:eastAsia="Arial" w:hAnsi="Arial"/>
          <w:sz w:val="11"/>
          <w:szCs w:val="11"/>
          <w:color w:val="auto"/>
        </w:rPr>
        <w:t>Further, we are obligated to reimburse Windstream for up to an aggregate of $1.75 billion for certain growth capital improvements in long-term value accretive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 2020. Accordingly, because we funded $84.7 million of the $125 million limit in 2020, we were committed to fund up to $265.3 million of Growth Capital Improvements in 2021. During the year ended December 31, 2021, Uniti reimbursed $221.5 million of Growth Capital Improvements, of which $28.5 million, as allowed under the Settlement, represented the reimbursement of capital improvements completed in 2020 that were previously classified as tenant funded capital improvements.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Stock Purchase Agreements</w:t>
      </w:r>
    </w:p>
    <w:p>
      <w:pPr>
        <w:spacing w:after="0" w:line="150"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On September 9, 2020, Uniti entered into stock purchase agreements (each, a “Stock Purchase Agreement”) with certain first lien creditors of Windstream to replace and codify the terms set forth in the previously-filed binding 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and in partial settlement of the litigation with Windstream.</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Asset Purchase Agreement (see Note 6)</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On September 18, 2020, and in furtherance of the Settlement Agreement, Uniti and Windstream closed an asset purchase agreement, as amended by a letter agreement (collectively, the “Asset Purchase Agreement”), pursuant to which</w:t>
      </w:r>
    </w:p>
    <w:p>
      <w:pPr>
        <w:spacing w:after="0" w:line="38" w:lineRule="exact"/>
        <w:rPr>
          <w:sz w:val="20"/>
          <w:szCs w:val="20"/>
          <w:color w:val="auto"/>
        </w:rPr>
      </w:pPr>
    </w:p>
    <w:p>
      <w:pPr>
        <w:jc w:val="center"/>
        <w:ind w:left="5568" w:right="640" w:hanging="5568"/>
        <w:spacing w:after="0" w:line="511" w:lineRule="auto"/>
        <w:tabs>
          <w:tab w:leader="none" w:pos="169" w:val="left"/>
        </w:tabs>
        <w:numPr>
          <w:ilvl w:val="0"/>
          <w:numId w:val="22"/>
        </w:numPr>
        <w:rPr>
          <w:rFonts w:ascii="Arial" w:cs="Arial" w:eastAsia="Arial" w:hAnsi="Arial"/>
          <w:sz w:val="12"/>
          <w:szCs w:val="12"/>
          <w:color w:val="auto"/>
        </w:rPr>
      </w:pPr>
      <w:r>
        <w:rPr>
          <w:rFonts w:ascii="Arial" w:cs="Arial" w:eastAsia="Arial" w:hAnsi="Arial"/>
          <w:sz w:val="12"/>
          <w:szCs w:val="12"/>
          <w:color w:val="auto"/>
        </w:rPr>
        <w:t>Uniti paid to Windstream approximately $284.6 million and (b) Windstream (i) granted to Uniti exclusive rights to use 1.8 million fiber strand miles leased by Windstream under the CLEC MLA, which fiber strands are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109" w:name="page110"/>
    <w:bookmarkEnd w:id="109"/>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8" w:right="60"/>
        <w:spacing w:after="0" w:line="281" w:lineRule="auto"/>
        <w:rPr>
          <w:sz w:val="20"/>
          <w:szCs w:val="20"/>
          <w:color w:val="auto"/>
        </w:rPr>
      </w:pPr>
      <w:r>
        <w:rPr>
          <w:rFonts w:ascii="Arial" w:cs="Arial" w:eastAsia="Arial" w:hAnsi="Arial"/>
          <w:sz w:val="11"/>
          <w:szCs w:val="11"/>
          <w:color w:val="auto"/>
        </w:rPr>
        <w:t>either unutilized or utilized under certain dark fiber indefeasible rights of use (“IRUs”) that were simultaneously transferred to Uniti, (ii) conveyed to Uniti fiber assets (and underlying rights) consisting of 0.4 million fiber strand miles (covering 4,000 route miles) owned by Windstream, and (iii) transferred and assigned to subsidiaries of Uniti dark fiber IRUs relating to (x) the fiber strand miles granted to Uniti under the CLEC MLA (and described in clause (i)) and</w:t>
      </w:r>
    </w:p>
    <w:p>
      <w:pPr>
        <w:spacing w:after="0" w:line="1" w:lineRule="exact"/>
        <w:rPr>
          <w:sz w:val="20"/>
          <w:szCs w:val="20"/>
          <w:color w:val="auto"/>
        </w:rPr>
      </w:pPr>
    </w:p>
    <w:p>
      <w:pPr>
        <w:ind w:left="8" w:right="420" w:hanging="8"/>
        <w:spacing w:after="0" w:line="361" w:lineRule="auto"/>
        <w:tabs>
          <w:tab w:leader="none" w:pos="178" w:val="left"/>
        </w:tabs>
        <w:numPr>
          <w:ilvl w:val="0"/>
          <w:numId w:val="23"/>
        </w:numPr>
        <w:rPr>
          <w:rFonts w:ascii="Arial" w:cs="Arial" w:eastAsia="Arial" w:hAnsi="Arial"/>
          <w:sz w:val="10"/>
          <w:szCs w:val="10"/>
          <w:color w:val="auto"/>
        </w:rPr>
      </w:pPr>
      <w:r>
        <w:rPr>
          <w:rFonts w:ascii="Arial" w:cs="Arial" w:eastAsia="Arial" w:hAnsi="Arial"/>
          <w:sz w:val="10"/>
          <w:szCs w:val="10"/>
          <w:color w:val="auto"/>
        </w:rPr>
        <w:t>the fiber assets (and underlying rights) for the 0.4 million fiber strand miles conveyed to Uniti (and described in clause (ii)), which IRUs generated $28.9 million of annual EBITDA in the aggregate as of closing of the Asset Purchase Agreement. In addition, upon the transfer of the Windstream owned fiber assets (described in clause (ii) above), Uniti granted to Windstream a 20-year IRU for certain strands included in the transferred fiber assets.</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Other Litigation</w:t>
      </w:r>
    </w:p>
    <w:p>
      <w:pPr>
        <w:spacing w:after="0" w:line="150" w:lineRule="exact"/>
        <w:rPr>
          <w:sz w:val="20"/>
          <w:szCs w:val="20"/>
          <w:color w:val="auto"/>
        </w:rPr>
      </w:pPr>
    </w:p>
    <w:p>
      <w:pPr>
        <w:ind w:left="8"/>
        <w:spacing w:after="0" w:line="278" w:lineRule="auto"/>
        <w:rPr>
          <w:sz w:val="20"/>
          <w:szCs w:val="20"/>
          <w:color w:val="auto"/>
        </w:rPr>
      </w:pPr>
      <w:r>
        <w:rPr>
          <w:rFonts w:ascii="Arial" w:cs="Arial" w:eastAsia="Arial" w:hAnsi="Arial"/>
          <w:sz w:val="11"/>
          <w:szCs w:val="11"/>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a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On November 4, 2020, the court granted the Defendants’ motion and dismissed SLF’s amended complaint, in its entirety, with prejudice. On December 1, 2020, SLF filed a notice of appeal to the United States Court of Appeals for the Third Circuit from the district court’s dismissal order. The appeal was fully briefed on September 10, 2021, and the Court of Appeals notified the parties that it will decide the appeal without oral argument. We have evaluated this matter under the guidance provided by ASC 450-20, Contingencies (“ASC 450”), and as of the date of this Annual Report on Form 10-K, we consider a loss not to be probable and are unable to estimate a reasonably possible range of loss; therefore, we have not recorded any liabilities associated with these claims in our Consolidated Balance Sheet.</w:t>
      </w:r>
    </w:p>
    <w:p>
      <w:pPr>
        <w:spacing w:after="0" w:line="119" w:lineRule="exact"/>
        <w:rPr>
          <w:sz w:val="20"/>
          <w:szCs w:val="20"/>
          <w:color w:val="auto"/>
        </w:rPr>
      </w:pPr>
    </w:p>
    <w:p>
      <w:pPr>
        <w:ind w:left="8" w:right="20"/>
        <w:spacing w:after="0" w:line="277" w:lineRule="auto"/>
        <w:rPr>
          <w:sz w:val="20"/>
          <w:szCs w:val="20"/>
          <w:color w:val="auto"/>
        </w:rPr>
      </w:pPr>
      <w:r>
        <w:rPr>
          <w:rFonts w:ascii="Arial" w:cs="Arial" w:eastAsia="Arial" w:hAnsi="Arial"/>
          <w:sz w:val="11"/>
          <w:szCs w:val="11"/>
          <w:color w:val="auto"/>
        </w:rPr>
        <w:t>Beginning on October 25, 2019, several purported shareholders filed separate putative class actions in the U.S. District Court for the Eastern District of Arkansas against the Company and certain of our officers, alleging violations of the federal securities laws, based on claims similar to those asserted in the SLF Action. On March 12, 2020, the U.S. District Court for the Eastern District of Arkansas consolidated the various shareholder actions and appointed lead plaintiffs and lead counsel in the consolidated cases under the caption In re Uniti Group Inc. Securities Litigation (the “Class Action”). On May 11, 2020, lead plaintiffs filed a consolidated amended complaint in the Class Action. The consolidated amended complaint seeks to represent investors who acquired the Company’s securities between April 20, 2015 and February 15, 2019. The Class Action asserts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a “true lease.” The Class Action seeks class certification, unspecified monetary damages, costs and attorneys’ fees and other relief. On July 10, 2020, defendants moved to dismiss the consolidated amended complaint. On April 1, 2021, the court issued an order denying defendants’ motion to dismiss. On April 15, 2021, defendants filed a motion for reconsideration of the order or, in the alternative, for certification of an appeal of the decision to the Eighth Circuit. On December 22, 2021, the court issued an order denying defendants’ motion for reconsideration or, in the alternative, certification of an appeal. On October 25, 2021, plaintiffs filed a motion for class certification, which defendants have opposed. Discovery is ongoing. We intend to defend this matter vigorously, and, because it is still in its relatively early stages, we have not yet determined what effect this lawsuit will have, if any, on our financial position or results of operations. We have evaluated this matter under the guidance provided by ASC 450, and as of the date of this Annual Report on Form 10-K, we consider a loss not to be probable and are unable to estimate a reasonably possible range of loss; therefore, we have not recorded any liabilities associated with these claims in our Consolidated Balance Sheet.</w:t>
      </w:r>
    </w:p>
    <w:p>
      <w:pPr>
        <w:spacing w:after="0" w:line="12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0"/>
        <w:spacing w:after="0" w:line="311" w:lineRule="auto"/>
        <w:rPr>
          <w:sz w:val="20"/>
          <w:szCs w:val="20"/>
          <w:color w:val="auto"/>
        </w:rPr>
      </w:pPr>
      <w:r>
        <w:rPr>
          <w:rFonts w:ascii="Arial" w:cs="Arial" w:eastAsia="Arial" w:hAnsi="Arial"/>
          <w:sz w:val="10"/>
          <w:szCs w:val="10"/>
          <w:color w:val="auto"/>
        </w:rPr>
        <w:t>On August 17, 2021, two purported shareholders filed a derivative action on behalf of Uniti in the Circuit Court for Baltimore City, Maryland, under the caption Mayer et al. v. Gunderman et al., 24-C-21-003488 (the “Derivative Action”). The Derivative Action names Kenneth Gunderman and Mark Wallace as defendants and the Company as a nominal defendant and asserts claims for breach of fiduciary duty and unjust enrichment. The complaint alleges that the individual defendants caused the Company to issue certain false and misleading statements relating to the Spin-Off and/or the Master Lease. In particular, as in the Class Action, the complaint alleges, among other things, that Defendants failed to disclose the risk that the Spin-Off and entry into the Master Lease violated certain debt covenants of Windstream and/or the risk that the Master Lease purportedly could be recharacterized as a financing instead of a “true lease.” The complaint seeks unspecified damages, unspecified equitable relief, and related costs and fees. The parties are currently discussing a potential stay of the action pending the outcome of the Class Action. On December 23, 2021, the court entered a joint stipulation to stay the Derivative Action pending the outcome of the Class Action, including the time for the defendants to respond to the complaint. Because this matter is still in its preliminary stages, we have not yet determined what effect this lawsuit will have, if any, on our financial position or results of operations. We have evaluated this matter under the guidance provided by ASC 450, and as of the date of this Annual Report on Form 10-K, we consider a loss not to be probable and are unable to estimate a reasonably possible range of loss; therefore, we have not recorded any liabilities associated with these claims in our Consolidated Balance Sheet.</w:t>
      </w:r>
    </w:p>
    <w:p>
      <w:pPr>
        <w:spacing w:after="0" w:line="104"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On February 11, 2022, a purported shareholder filed a derivative action on behalf of Uniti in the federal District Court for the District of Maryland. The complaint names Kenneth Gunderman, Mark Wallace, Francis Frantz, David Solomon, Jennifer Banner, and Scott Bruce as defendants and the Company as a nominal defendant and asserts claims for contribution against Gunderman and Wallace if the Company is found to be liable for violations of the federal securities laws in the Class Action and claims against all the individual defendants for breaches of fiduciary duty, waste of corporate assets, and unjust enrichment against. The allegations in the complaint are similar to those in the Derivative Action and the Class Action. The complaint seeks unspecified damages, equitable relief, and related costs and fees. We intend to defend this matter vigorously, and, because it is still in its relatively early stages, we have not yet determined what effect this lawsuit will have, if any, on our financial position or results of operations. We have evaluated this matter under the guidance provided by ASC 450, and as of the date of this Annual Report on Form 10-K, we consider a loss not to be probable and are unable to estimate a reasonably possible range of loss; therefore, we have not recorded any liabilities associated with these claims in our Consolidated Balance Sheet.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We maintain insurance policies that would provide coverage to various degrees for potential liabilities arising from the legal proceedings described above.</w:t>
      </w:r>
    </w:p>
    <w:p>
      <w:pPr>
        <w:spacing w:after="0" w:line="150"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 as of December 31, 2021.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Accumulated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Changes in accumulated other comprehensive income (loss) by component is as follows for the years ended December 31, 2021, 2020 and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2021</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2020</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2019</w:t>
            </w:r>
          </w:p>
        </w:tc>
        <w:tc>
          <w:tcPr>
            <w:tcW w:w="120" w:type="dxa"/>
            <w:vAlign w:val="bottom"/>
            <w:tcBorders>
              <w:bottom w:val="single" w:sz="8" w:color="CFF0FC"/>
            </w:tcBorders>
          </w:tcPr>
          <w:p>
            <w:pPr>
              <w:spacing w:after="0"/>
              <w:rPr>
                <w:sz w:val="13"/>
                <w:szCs w:val="13"/>
                <w:color w:val="auto"/>
              </w:rPr>
            </w:pPr>
          </w:p>
        </w:tc>
      </w:tr>
      <w:tr>
        <w:trPr>
          <w:trHeight w:val="151"/>
        </w:trPr>
        <w:tc>
          <w:tcPr>
            <w:tcW w:w="6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flow hedge changes in fair value gain (loss):</w:t>
            </w: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Balance at beginning of period</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(30,353)</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(23,442)</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30,042</w:t>
            </w:r>
          </w:p>
        </w:tc>
        <w:tc>
          <w:tcPr>
            <w:tcW w:w="120" w:type="dxa"/>
            <w:vAlign w:val="bottom"/>
          </w:tcPr>
          <w:p>
            <w:pPr>
              <w:spacing w:after="0"/>
              <w:rPr>
                <w:sz w:val="14"/>
                <w:szCs w:val="14"/>
                <w:color w:val="auto"/>
              </w:rPr>
            </w:pPr>
          </w:p>
        </w:tc>
      </w:tr>
      <w:tr>
        <w:trPr>
          <w:trHeight w:val="162"/>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comprehensive loss before reclassifications</w:t>
            </w: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(7,713)</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(51,288)</w:t>
            </w:r>
          </w:p>
        </w:tc>
      </w:tr>
      <w:tr>
        <w:trPr>
          <w:trHeight w:val="162"/>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Amounts reclassified from accumulated other comprehensive income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677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(3,324)</w:t>
            </w:r>
          </w:p>
        </w:tc>
      </w:tr>
      <w:tr>
        <w:trPr>
          <w:trHeight w:val="20"/>
        </w:trPr>
        <w:tc>
          <w:tcPr>
            <w:tcW w:w="6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1"/>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Net other comprehensive loss</w:t>
            </w:r>
          </w:p>
        </w:tc>
        <w:tc>
          <w:tcPr>
            <w:tcW w:w="34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(30,353)</w:t>
            </w:r>
          </w:p>
        </w:tc>
        <w:tc>
          <w:tcPr>
            <w:tcW w:w="3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(30,478)</w:t>
            </w:r>
          </w:p>
        </w:tc>
        <w:tc>
          <w:tcPr>
            <w:tcW w:w="3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(24,570)</w:t>
            </w:r>
          </w:p>
        </w:tc>
      </w:tr>
      <w:tr>
        <w:trPr>
          <w:trHeight w:val="162"/>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Less: Other comprehensive loss attributable to noncontrolling interest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(125)</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(1,128)</w:t>
            </w:r>
          </w:p>
        </w:tc>
      </w:tr>
      <w:tr>
        <w:trPr>
          <w:trHeight w:val="20"/>
        </w:trPr>
        <w:tc>
          <w:tcPr>
            <w:tcW w:w="6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1"/>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Balance at end of period</w:t>
            </w:r>
          </w:p>
        </w:tc>
        <w:tc>
          <w:tcPr>
            <w:tcW w:w="34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(30,353)</w:t>
            </w:r>
          </w:p>
        </w:tc>
        <w:tc>
          <w:tcPr>
            <w:tcW w:w="3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(30,353)</w:t>
            </w:r>
          </w:p>
        </w:tc>
        <w:tc>
          <w:tcPr>
            <w:tcW w:w="3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(23,442)</w:t>
            </w:r>
          </w:p>
        </w:tc>
      </w:tr>
      <w:tr>
        <w:trPr>
          <w:trHeight w:val="151"/>
        </w:trPr>
        <w:tc>
          <w:tcPr>
            <w:tcW w:w="6300" w:type="dxa"/>
            <w:vAlign w:val="bottom"/>
            <w:gridSpan w:val="2"/>
          </w:tcPr>
          <w:p>
            <w:pPr>
              <w:spacing w:after="0"/>
              <w:rPr>
                <w:sz w:val="20"/>
                <w:szCs w:val="20"/>
                <w:color w:val="auto"/>
              </w:rPr>
            </w:pPr>
            <w:r>
              <w:rPr>
                <w:rFonts w:ascii="Arial" w:cs="Arial" w:eastAsia="Arial" w:hAnsi="Arial"/>
                <w:sz w:val="12"/>
                <w:szCs w:val="12"/>
                <w:color w:val="auto"/>
              </w:rPr>
              <w:t>Interest rate swap termination:</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Balance at beginning of period attributable to common shareholders</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9,986</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62"/>
        </w:trPr>
        <w:tc>
          <w:tcPr>
            <w:tcW w:w="630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Amounts reclassified from accumulated other comprehensive income</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11,317</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10,155</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4"/>
                <w:szCs w:val="14"/>
                <w:color w:val="auto"/>
              </w:rPr>
            </w:pPr>
          </w:p>
        </w:tc>
      </w:tr>
      <w:tr>
        <w:trPr>
          <w:trHeight w:val="151"/>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Balance at end of period</w:t>
            </w: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21,303</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10,155</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62"/>
        </w:trPr>
        <w:tc>
          <w:tcPr>
            <w:tcW w:w="630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Less: Other comprehensive income attributable to noncontrolling interest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4"/>
                <w:szCs w:val="14"/>
                <w:color w:val="auto"/>
              </w:rPr>
            </w:pPr>
          </w:p>
        </w:tc>
      </w:tr>
      <w:tr>
        <w:trPr>
          <w:trHeight w:val="151"/>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Balance at end of period attributable to common shareholders</w:t>
            </w: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21,189</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9,986</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62"/>
        </w:trPr>
        <w:tc>
          <w:tcPr>
            <w:tcW w:w="6300" w:type="dxa"/>
            <w:vAlign w:val="bottom"/>
            <w:gridSpan w:val="2"/>
          </w:tcPr>
          <w:p>
            <w:pPr>
              <w:spacing w:after="0"/>
              <w:rPr>
                <w:sz w:val="20"/>
                <w:szCs w:val="20"/>
                <w:color w:val="auto"/>
              </w:rPr>
            </w:pPr>
            <w:r>
              <w:rPr>
                <w:rFonts w:ascii="Arial" w:cs="Arial" w:eastAsia="Arial" w:hAnsi="Arial"/>
                <w:sz w:val="12"/>
                <w:szCs w:val="12"/>
                <w:color w:val="auto"/>
              </w:rPr>
              <w:t>Foreign currency translation gain (loss):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Balance at beginning of period</w:t>
            </w: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w:t>
            </w:r>
          </w:p>
        </w:tc>
        <w:tc>
          <w:tcPr>
            <w:tcW w:w="120" w:type="dxa"/>
            <w:vAlign w:val="bottom"/>
            <w:shd w:val="clear" w:color="auto" w:fill="CFF0FC"/>
          </w:tcPr>
          <w:p>
            <w:pPr>
              <w:spacing w:after="0"/>
              <w:rPr>
                <w:sz w:val="14"/>
                <w:szCs w:val="14"/>
                <w:color w:val="auto"/>
              </w:rPr>
            </w:pPr>
          </w:p>
        </w:tc>
      </w:tr>
      <w:tr>
        <w:trPr>
          <w:trHeight w:val="162"/>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Translation adjustments</w:t>
            </w:r>
          </w:p>
        </w:tc>
        <w:tc>
          <w:tcPr>
            <w:tcW w:w="3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62"/>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Amounts reclassified from accumulated other comprehensive income</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(63)</w:t>
            </w:r>
          </w:p>
        </w:tc>
      </w:tr>
      <w:tr>
        <w:trPr>
          <w:trHeight w:val="151"/>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Net other comprehensive income (loss)</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62"/>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Less: Other comprehensive income (loss) attributable to noncontrolling interest</w:t>
            </w:r>
          </w:p>
        </w:tc>
        <w:tc>
          <w:tcPr>
            <w:tcW w:w="3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r>
      <w:tr>
        <w:trPr>
          <w:trHeight w:val="151"/>
        </w:trPr>
        <w:tc>
          <w:tcPr>
            <w:tcW w:w="630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Balance at end of period</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2"/>
        </w:trPr>
        <w:tc>
          <w:tcPr>
            <w:tcW w:w="6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Accumulated other comprehensive income (loss) at end of period</w:t>
            </w:r>
          </w:p>
        </w:tc>
        <w:tc>
          <w:tcPr>
            <w:tcW w:w="340" w:type="dxa"/>
            <w:vAlign w:val="bottom"/>
            <w:shd w:val="clear" w:color="auto" w:fill="CFF0FC"/>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(9,164)</w:t>
            </w: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(20,367)</w:t>
            </w: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(23,442)</w:t>
            </w:r>
          </w:p>
        </w:tc>
      </w:tr>
      <w:tr>
        <w:trPr>
          <w:trHeight w:val="27"/>
        </w:trPr>
        <w:tc>
          <w:tcPr>
            <w:tcW w:w="61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Income Taxes</w:t>
      </w:r>
    </w:p>
    <w:p>
      <w:pPr>
        <w:spacing w:after="0" w:line="154"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We elected on our initial U.S. federal income tax return to be treated as a REIT under the Code. To qualify as a REIT, we must distribute at least 90% of our annual REIT taxable income, determined without regard to the dividends paid deduction and excluding any capital gains,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unless certain relief provisions apply,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2" w:name="page113"/>
    <w:bookmarkEnd w:id="112"/>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Subject to the restrictions imposed by our 7.875% senior secured notes due 2025 (see Note 12),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Income tax expense (benefit) for the years ended December 31, 2021, 2020 and 2019 as reported in the accompanying Consolidated Statements of Income (Loss) was comprised of the following:</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0"/>
                <w:szCs w:val="10"/>
                <w:b w:val="1"/>
                <w:bCs w:val="1"/>
                <w:color w:val="auto"/>
                <w:w w:val="97"/>
              </w:rPr>
              <w:t>Year Ended December 31,</w:t>
            </w: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9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Current</w:t>
            </w:r>
          </w:p>
        </w:tc>
        <w:tc>
          <w:tcPr>
            <w:tcW w:w="4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40" w:type="dxa"/>
            <w:vAlign w:val="bottom"/>
            <w:gridSpan w:val="2"/>
          </w:tcPr>
          <w:p>
            <w:pPr>
              <w:ind w:left="160"/>
              <w:spacing w:after="0"/>
              <w:rPr>
                <w:sz w:val="20"/>
                <w:szCs w:val="20"/>
                <w:color w:val="auto"/>
              </w:rPr>
            </w:pPr>
            <w:r>
              <w:rPr>
                <w:rFonts w:ascii="Arial" w:cs="Arial" w:eastAsia="Arial" w:hAnsi="Arial"/>
                <w:sz w:val="12"/>
                <w:szCs w:val="12"/>
                <w:color w:val="auto"/>
              </w:rPr>
              <w:t>Federal</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200"/>
              <w:spacing w:after="0"/>
              <w:rPr>
                <w:sz w:val="20"/>
                <w:szCs w:val="20"/>
                <w:color w:val="auto"/>
              </w:rPr>
            </w:pPr>
            <w:r>
              <w:rPr>
                <w:rFonts w:ascii="Arial" w:cs="Arial" w:eastAsia="Arial" w:hAnsi="Arial"/>
                <w:sz w:val="12"/>
                <w:szCs w:val="12"/>
                <w:color w:val="auto"/>
              </w:rPr>
              <w:t>(71)</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(901)</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10,401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State</w:t>
            </w:r>
          </w:p>
        </w:tc>
        <w:tc>
          <w:tcPr>
            <w:tcW w:w="4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1,622</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(498)</w:t>
            </w:r>
          </w:p>
        </w:tc>
        <w:tc>
          <w:tcPr>
            <w:tcW w:w="4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Foreign</w:t>
            </w: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Total current expense</w:t>
            </w:r>
          </w:p>
        </w:tc>
        <w:tc>
          <w:tcPr>
            <w:tcW w:w="4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(1,312)</w:t>
            </w:r>
          </w:p>
        </w:tc>
        <w:tc>
          <w:tcPr>
            <w:tcW w:w="4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16,091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w:t>
            </w:r>
          </w:p>
        </w:tc>
        <w:tc>
          <w:tcPr>
            <w:tcW w:w="4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tcPr>
          <w:p>
            <w:pPr>
              <w:ind w:left="160"/>
              <w:spacing w:after="0"/>
              <w:rPr>
                <w:sz w:val="20"/>
                <w:szCs w:val="20"/>
                <w:color w:val="auto"/>
              </w:rPr>
            </w:pPr>
            <w:r>
              <w:rPr>
                <w:rFonts w:ascii="Arial" w:cs="Arial" w:eastAsia="Arial" w:hAnsi="Arial"/>
                <w:sz w:val="12"/>
                <w:szCs w:val="12"/>
                <w:color w:val="auto"/>
              </w:rPr>
              <w:t>Federal</w:t>
            </w:r>
          </w:p>
        </w:tc>
        <w:tc>
          <w:tcPr>
            <w:tcW w:w="440" w:type="dxa"/>
            <w:vAlign w:val="bottom"/>
          </w:tcPr>
          <w:p>
            <w:pPr>
              <w:spacing w:after="0"/>
              <w:rPr>
                <w:sz w:val="13"/>
                <w:szCs w:val="1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2"/>
                <w:szCs w:val="12"/>
                <w:color w:val="auto"/>
              </w:rPr>
              <w:t>(5,066)</w:t>
            </w:r>
          </w:p>
        </w:tc>
        <w:tc>
          <w:tcPr>
            <w:tcW w:w="220" w:type="dxa"/>
            <w:vAlign w:val="bottom"/>
          </w:tcPr>
          <w:p>
            <w:pPr>
              <w:spacing w:after="0"/>
              <w:rPr>
                <w:sz w:val="13"/>
                <w:szCs w:val="1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(7,665)</w:t>
            </w:r>
          </w:p>
        </w:tc>
        <w:tc>
          <w:tcPr>
            <w:tcW w:w="44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2"/>
                <w:szCs w:val="12"/>
                <w:color w:val="auto"/>
              </w:rPr>
              <w:t>(9,378)</w:t>
            </w: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State</w:t>
            </w:r>
          </w:p>
        </w:tc>
        <w:tc>
          <w:tcPr>
            <w:tcW w:w="4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(1,401)</w:t>
            </w:r>
          </w:p>
        </w:tc>
        <w:tc>
          <w:tcPr>
            <w:tcW w:w="22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(6,226)</w:t>
            </w:r>
          </w:p>
        </w:tc>
        <w:tc>
          <w:tcPr>
            <w:tcW w:w="4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(2,050)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 deferred expense</w:t>
            </w: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2"/>
                <w:szCs w:val="12"/>
                <w:color w:val="auto"/>
              </w:rPr>
              <w:t>(6,467)</w:t>
            </w:r>
          </w:p>
        </w:tc>
        <w:tc>
          <w:tcPr>
            <w:tcW w:w="220" w:type="dxa"/>
            <w:vAlign w:val="bottom"/>
          </w:tcPr>
          <w:p>
            <w:pPr>
              <w:spacing w:after="0"/>
              <w:rPr>
                <w:sz w:val="12"/>
                <w:szCs w:val="12"/>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(13,891)</w:t>
            </w:r>
          </w:p>
        </w:tc>
        <w:tc>
          <w:tcPr>
            <w:tcW w:w="440" w:type="dxa"/>
            <w:vAlign w:val="bottom"/>
          </w:tcPr>
          <w:p>
            <w:pPr>
              <w:spacing w:after="0"/>
              <w:rPr>
                <w:sz w:val="12"/>
                <w:szCs w:val="12"/>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2"/>
                <w:szCs w:val="12"/>
                <w:color w:val="auto"/>
              </w:rPr>
              <w:t>(11,428)</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income tax (benefit) expense</w:t>
            </w: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40" w:type="dxa"/>
            <w:vAlign w:val="bottom"/>
            <w:gridSpan w:val="2"/>
            <w:vMerge w:val="continue"/>
            <w:shd w:val="clear" w:color="auto" w:fill="CFF0FC"/>
          </w:tcPr>
          <w:p>
            <w:pPr>
              <w:spacing w:after="0"/>
              <w:rPr>
                <w:sz w:val="12"/>
                <w:szCs w:val="12"/>
                <w:color w:val="auto"/>
              </w:rPr>
            </w:pP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(4,916)</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(15,203)</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9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An income tax expense reconciliation between the U.S. statutory tax rate and the effective tax rate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0"/>
                <w:szCs w:val="10"/>
                <w:b w:val="1"/>
                <w:bCs w:val="1"/>
                <w:color w:val="auto"/>
                <w:w w:val="99"/>
              </w:rPr>
              <w:t>Year Ended December 31,</w:t>
            </w: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5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142"/>
        </w:trPr>
        <w:tc>
          <w:tcPr>
            <w:tcW w:w="5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from continuing operations, before tax</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119,844</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(734,015)</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15,571</w:t>
            </w:r>
          </w:p>
        </w:tc>
        <w:tc>
          <w:tcPr>
            <w:tcW w:w="120" w:type="dxa"/>
            <w:vAlign w:val="bottom"/>
            <w:shd w:val="clear" w:color="auto" w:fill="CFF0FC"/>
          </w:tcPr>
          <w:p>
            <w:pPr>
              <w:spacing w:after="0"/>
              <w:rPr>
                <w:sz w:val="12"/>
                <w:szCs w:val="12"/>
                <w:color w:val="auto"/>
              </w:rPr>
            </w:pPr>
          </w:p>
        </w:tc>
      </w:tr>
      <w:tr>
        <w:trPr>
          <w:trHeight w:val="153"/>
        </w:trPr>
        <w:tc>
          <w:tcPr>
            <w:tcW w:w="5180" w:type="dxa"/>
            <w:vAlign w:val="bottom"/>
            <w:gridSpan w:val="2"/>
          </w:tcPr>
          <w:p>
            <w:pPr>
              <w:spacing w:after="0"/>
              <w:rPr>
                <w:sz w:val="20"/>
                <w:szCs w:val="20"/>
                <w:color w:val="auto"/>
              </w:rPr>
            </w:pPr>
            <w:r>
              <w:rPr>
                <w:rFonts w:ascii="Arial" w:cs="Arial" w:eastAsia="Arial" w:hAnsi="Arial"/>
                <w:sz w:val="12"/>
                <w:szCs w:val="12"/>
                <w:color w:val="auto"/>
              </w:rPr>
              <w:t>Income tax at U.S. statutory federal rate</w:t>
            </w: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25,167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(154,143)</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3,270</w:t>
            </w:r>
          </w:p>
        </w:tc>
        <w:tc>
          <w:tcPr>
            <w:tcW w:w="120" w:type="dxa"/>
            <w:vAlign w:val="bottom"/>
          </w:tcPr>
          <w:p>
            <w:pPr>
              <w:spacing w:after="0"/>
              <w:rPr>
                <w:sz w:val="13"/>
                <w:szCs w:val="13"/>
                <w:color w:val="auto"/>
              </w:rPr>
            </w:pPr>
          </w:p>
        </w:tc>
      </w:tr>
      <w:tr>
        <w:trPr>
          <w:trHeight w:val="153"/>
        </w:trPr>
        <w:tc>
          <w:tcPr>
            <w:tcW w:w="5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Increases (decreases) resulting from:</w:t>
            </w: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State taxes, net of federal benefit</w:t>
            </w: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288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(3,452)</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407</w:t>
            </w:r>
          </w:p>
        </w:tc>
        <w:tc>
          <w:tcPr>
            <w:tcW w:w="120" w:type="dxa"/>
            <w:vAlign w:val="bottom"/>
          </w:tcPr>
          <w:p>
            <w:pPr>
              <w:spacing w:after="0"/>
              <w:rPr>
                <w:sz w:val="13"/>
                <w:szCs w:val="13"/>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Benefit of REIT status</w:t>
            </w:r>
          </w:p>
        </w:tc>
        <w:tc>
          <w:tcPr>
            <w:tcW w:w="22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(30,565)</w:t>
            </w: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129,742</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(2,188)</w:t>
            </w: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Goodwill impairment</w:t>
            </w: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14,910</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Return to accrual</w:t>
            </w: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(2,795)</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w:t>
            </w:r>
          </w:p>
        </w:tc>
        <w:tc>
          <w:tcPr>
            <w:tcW w:w="120" w:type="dxa"/>
            <w:vAlign w:val="bottom"/>
            <w:shd w:val="clear" w:color="auto" w:fill="CFF0FC"/>
          </w:tcPr>
          <w:p>
            <w:pPr>
              <w:spacing w:after="0"/>
              <w:rPr>
                <w:sz w:val="13"/>
                <w:szCs w:val="13"/>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Permanent differences</w:t>
            </w: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448</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3"/>
                <w:szCs w:val="13"/>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Foreign taxes</w:t>
            </w:r>
          </w:p>
        </w:tc>
        <w:tc>
          <w:tcPr>
            <w:tcW w:w="22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87</w:t>
            </w:r>
          </w:p>
        </w:tc>
        <w:tc>
          <w:tcPr>
            <w:tcW w:w="24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2,948</w:t>
            </w:r>
          </w:p>
        </w:tc>
        <w:tc>
          <w:tcPr>
            <w:tcW w:w="120" w:type="dxa"/>
            <w:vAlign w:val="bottom"/>
            <w:shd w:val="clear" w:color="auto" w:fill="CFF0FC"/>
          </w:tcPr>
          <w:p>
            <w:pPr>
              <w:spacing w:after="0"/>
              <w:rPr>
                <w:sz w:val="13"/>
                <w:szCs w:val="13"/>
                <w:color w:val="auto"/>
              </w:rPr>
            </w:pPr>
          </w:p>
        </w:tc>
      </w:tr>
      <w:tr>
        <w:trPr>
          <w:trHeight w:val="149"/>
        </w:trPr>
        <w:tc>
          <w:tcPr>
            <w:tcW w:w="5180" w:type="dxa"/>
            <w:vAlign w:val="bottom"/>
            <w:gridSpan w:val="2"/>
          </w:tcPr>
          <w:p>
            <w:pPr>
              <w:spacing w:after="0"/>
              <w:rPr>
                <w:sz w:val="20"/>
                <w:szCs w:val="20"/>
                <w:color w:val="auto"/>
              </w:rPr>
            </w:pPr>
            <w:r>
              <w:rPr>
                <w:rFonts w:ascii="Arial" w:cs="Arial" w:eastAsia="Arial" w:hAnsi="Arial"/>
                <w:sz w:val="12"/>
                <w:szCs w:val="12"/>
                <w:color w:val="auto"/>
              </w:rPr>
              <w:t>Income tax (benefit) expense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180"/>
              <w:spacing w:after="0"/>
              <w:rPr>
                <w:sz w:val="20"/>
                <w:szCs w:val="20"/>
                <w:color w:val="auto"/>
              </w:rPr>
            </w:pPr>
            <w:r>
              <w:rPr>
                <w:rFonts w:ascii="Arial" w:cs="Arial" w:eastAsia="Arial" w:hAnsi="Arial"/>
                <w:sz w:val="12"/>
                <w:szCs w:val="12"/>
                <w:color w:val="auto"/>
              </w:rPr>
              <w:t>(4,916)</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(15,203)</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4,663</w:t>
            </w:r>
          </w:p>
        </w:tc>
        <w:tc>
          <w:tcPr>
            <w:tcW w:w="120" w:type="dxa"/>
            <w:vAlign w:val="bottom"/>
          </w:tcPr>
          <w:p>
            <w:pPr>
              <w:spacing w:after="0"/>
              <w:rPr>
                <w:sz w:val="12"/>
                <w:szCs w:val="12"/>
                <w:color w:val="auto"/>
              </w:rPr>
            </w:pPr>
          </w:p>
        </w:tc>
      </w:tr>
      <w:tr>
        <w:trPr>
          <w:trHeight w:val="288"/>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221"/>
              <w:spacing w:after="0"/>
              <w:rPr>
                <w:sz w:val="20"/>
                <w:szCs w:val="20"/>
                <w:color w:val="auto"/>
              </w:rPr>
            </w:pPr>
            <w:r>
              <w:rPr>
                <w:rFonts w:ascii="Arial" w:cs="Arial" w:eastAsia="Arial" w:hAnsi="Arial"/>
                <w:sz w:val="12"/>
                <w:szCs w:val="12"/>
                <w:color w:val="auto"/>
              </w:rPr>
              <w:t>113</w:t>
            </w: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50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effective tax rate on income from continuing operations differs from tax at the statutory rate primarily due to our status as a REIT.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Deferred tax assets and liabilities are recognized for the estimated future tax consequences attributable to differences between the financial statement carrying amounts of existing assets and liabilities and their respective tax bases.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the Company's deferred tax assets and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20" w:type="dxa"/>
            <w:vAlign w:val="bottom"/>
            <w:tcBorders>
              <w:bottom w:val="single" w:sz="8" w:color="CFF0FC"/>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681"/>
              <w:spacing w:after="0"/>
              <w:rPr>
                <w:sz w:val="20"/>
                <w:szCs w:val="20"/>
                <w:color w:val="auto"/>
              </w:rPr>
            </w:pPr>
            <w:r>
              <w:rPr>
                <w:rFonts w:ascii="Arial" w:cs="Arial" w:eastAsia="Arial" w:hAnsi="Arial"/>
                <w:sz w:val="10"/>
                <w:szCs w:val="10"/>
                <w:b w:val="1"/>
                <w:bCs w:val="1"/>
                <w:color w:val="auto"/>
              </w:rPr>
              <w:t>December 31, 2021</w:t>
            </w:r>
          </w:p>
        </w:tc>
        <w:tc>
          <w:tcPr>
            <w:tcW w:w="280" w:type="dxa"/>
            <w:vAlign w:val="bottom"/>
            <w:tcBorders>
              <w:bottom w:val="single" w:sz="8" w:color="CFF0FC"/>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681"/>
              <w:spacing w:after="0"/>
              <w:rPr>
                <w:sz w:val="20"/>
                <w:szCs w:val="20"/>
                <w:color w:val="auto"/>
              </w:rPr>
            </w:pPr>
            <w:r>
              <w:rPr>
                <w:rFonts w:ascii="Arial" w:cs="Arial" w:eastAsia="Arial" w:hAnsi="Arial"/>
                <w:sz w:val="10"/>
                <w:szCs w:val="10"/>
                <w:b w:val="1"/>
                <w:bCs w:val="1"/>
                <w:color w:val="auto"/>
              </w:rPr>
              <w:t>December 31, 2020</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3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tax assets:</w:t>
            </w:r>
          </w:p>
        </w:tc>
        <w:tc>
          <w:tcPr>
            <w:tcW w:w="40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80" w:type="dxa"/>
            <w:vAlign w:val="bottom"/>
            <w:gridSpan w:val="2"/>
          </w:tcPr>
          <w:p>
            <w:pPr>
              <w:ind w:left="160"/>
              <w:spacing w:after="0"/>
              <w:rPr>
                <w:sz w:val="20"/>
                <w:szCs w:val="20"/>
                <w:color w:val="auto"/>
              </w:rPr>
            </w:pPr>
            <w:r>
              <w:rPr>
                <w:rFonts w:ascii="Arial" w:cs="Arial" w:eastAsia="Arial" w:hAnsi="Arial"/>
                <w:sz w:val="12"/>
                <w:szCs w:val="12"/>
                <w:color w:val="auto"/>
              </w:rPr>
              <w:t>Deferred revenue</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29,275</w:t>
            </w:r>
          </w:p>
        </w:tc>
        <w:tc>
          <w:tcPr>
            <w:tcW w:w="28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34,207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Accrued bonuses</w:t>
            </w: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tcPr>
          <w:p>
            <w:pPr>
              <w:ind w:left="160"/>
              <w:spacing w:after="0"/>
              <w:rPr>
                <w:sz w:val="20"/>
                <w:szCs w:val="20"/>
                <w:color w:val="auto"/>
              </w:rPr>
            </w:pPr>
            <w:r>
              <w:rPr>
                <w:rFonts w:ascii="Arial" w:cs="Arial" w:eastAsia="Arial" w:hAnsi="Arial"/>
                <w:sz w:val="12"/>
                <w:szCs w:val="12"/>
                <w:color w:val="auto"/>
              </w:rPr>
              <w:t>Stock-based compensation</w:t>
            </w: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503</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801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Accrued expenses and other</w:t>
            </w: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183</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tcPr>
          <w:p>
            <w:pPr>
              <w:ind w:left="160"/>
              <w:spacing w:after="0"/>
              <w:rPr>
                <w:sz w:val="20"/>
                <w:szCs w:val="20"/>
                <w:color w:val="auto"/>
              </w:rPr>
            </w:pPr>
            <w:r>
              <w:rPr>
                <w:rFonts w:ascii="Arial" w:cs="Arial" w:eastAsia="Arial" w:hAnsi="Arial"/>
                <w:sz w:val="12"/>
                <w:szCs w:val="12"/>
                <w:color w:val="auto"/>
              </w:rPr>
              <w:t>Asset retirement obligation</w:t>
            </w: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1,791</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1,429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Inventory reserve</w:t>
            </w: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tcPr>
          <w:p>
            <w:pPr>
              <w:ind w:left="160"/>
              <w:spacing w:after="0"/>
              <w:rPr>
                <w:sz w:val="20"/>
                <w:szCs w:val="20"/>
                <w:color w:val="auto"/>
              </w:rPr>
            </w:pPr>
            <w:r>
              <w:rPr>
                <w:rFonts w:ascii="Arial" w:cs="Arial" w:eastAsia="Arial" w:hAnsi="Arial"/>
                <w:sz w:val="12"/>
                <w:szCs w:val="12"/>
                <w:color w:val="auto"/>
              </w:rPr>
              <w:t>Excess business interest expense</w:t>
            </w: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306</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Lease asset liability</w:t>
            </w: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13,952</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tcPr>
          <w:p>
            <w:pPr>
              <w:ind w:left="160"/>
              <w:spacing w:after="0"/>
              <w:rPr>
                <w:sz w:val="20"/>
                <w:szCs w:val="20"/>
                <w:color w:val="auto"/>
              </w:rPr>
            </w:pPr>
            <w:r>
              <w:rPr>
                <w:rFonts w:ascii="Arial" w:cs="Arial" w:eastAsia="Arial" w:hAnsi="Arial"/>
                <w:sz w:val="12"/>
                <w:szCs w:val="12"/>
                <w:color w:val="auto"/>
              </w:rPr>
              <w:t>Settlement obligation</w:t>
            </w: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710</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883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Debt discount and interest expense</w:t>
            </w: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10,040</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tcPr>
          <w:p>
            <w:pPr>
              <w:ind w:left="160"/>
              <w:spacing w:after="0"/>
              <w:rPr>
                <w:sz w:val="20"/>
                <w:szCs w:val="20"/>
                <w:color w:val="auto"/>
              </w:rPr>
            </w:pPr>
            <w:r>
              <w:rPr>
                <w:rFonts w:ascii="Arial" w:cs="Arial" w:eastAsia="Arial" w:hAnsi="Arial"/>
                <w:sz w:val="12"/>
                <w:szCs w:val="12"/>
                <w:color w:val="auto"/>
              </w:rPr>
              <w:t>Other</w:t>
            </w: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2,215</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3,032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Net operating loss carryforwards</w:t>
            </w:r>
          </w:p>
        </w:tc>
        <w:tc>
          <w:tcPr>
            <w:tcW w:w="400" w:type="dxa"/>
            <w:vAlign w:val="bottom"/>
            <w:tcBorders>
              <w:bottom w:val="single" w:sz="8" w:color="auto"/>
            </w:tcBorders>
            <w:shd w:val="clear" w:color="auto" w:fill="CFF0FC"/>
          </w:tcPr>
          <w:p>
            <w:pPr>
              <w:spacing w:after="0"/>
              <w:rPr>
                <w:sz w:val="13"/>
                <w:szCs w:val="13"/>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139,020</w:t>
            </w:r>
          </w:p>
        </w:tc>
        <w:tc>
          <w:tcPr>
            <w:tcW w:w="28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126,464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38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40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198,135</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184,189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tcPr>
          <w:p>
            <w:pPr>
              <w:spacing w:after="0"/>
              <w:rPr>
                <w:sz w:val="20"/>
                <w:szCs w:val="20"/>
                <w:color w:val="auto"/>
              </w:rPr>
            </w:pPr>
            <w:r>
              <w:rPr>
                <w:rFonts w:ascii="Arial" w:cs="Arial" w:eastAsia="Arial" w:hAnsi="Arial"/>
                <w:sz w:val="12"/>
                <w:szCs w:val="12"/>
                <w:color w:val="auto"/>
              </w:rPr>
              <w:t>Deferred tax liabilities:</w:t>
            </w:r>
          </w:p>
        </w:tc>
        <w:tc>
          <w:tcPr>
            <w:tcW w:w="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Property, plant and equipment</w:t>
            </w: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(97,372)</w:t>
            </w: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(103,441)</w:t>
            </w:r>
          </w:p>
        </w:tc>
        <w:tc>
          <w:tcPr>
            <w:tcW w:w="0" w:type="dxa"/>
            <w:vAlign w:val="bottom"/>
          </w:tcPr>
          <w:p>
            <w:pPr>
              <w:spacing w:after="0"/>
              <w:rPr>
                <w:sz w:val="1"/>
                <w:szCs w:val="1"/>
                <w:color w:val="auto"/>
              </w:rPr>
            </w:pPr>
          </w:p>
        </w:tc>
      </w:tr>
      <w:tr>
        <w:trPr>
          <w:trHeight w:val="153"/>
        </w:trPr>
        <w:tc>
          <w:tcPr>
            <w:tcW w:w="6380" w:type="dxa"/>
            <w:vAlign w:val="bottom"/>
            <w:gridSpan w:val="2"/>
          </w:tcPr>
          <w:p>
            <w:pPr>
              <w:ind w:left="160"/>
              <w:spacing w:after="0"/>
              <w:rPr>
                <w:sz w:val="20"/>
                <w:szCs w:val="20"/>
                <w:color w:val="auto"/>
              </w:rPr>
            </w:pPr>
            <w:r>
              <w:rPr>
                <w:rFonts w:ascii="Arial" w:cs="Arial" w:eastAsia="Arial" w:hAnsi="Arial"/>
                <w:sz w:val="12"/>
                <w:szCs w:val="12"/>
                <w:color w:val="auto"/>
              </w:rPr>
              <w:t>Customer list intangible</w:t>
            </w:r>
          </w:p>
        </w:tc>
        <w:tc>
          <w:tcPr>
            <w:tcW w:w="400" w:type="dxa"/>
            <w:vAlign w:val="bottom"/>
          </w:tcPr>
          <w:p>
            <w:pPr>
              <w:spacing w:after="0"/>
              <w:rPr>
                <w:sz w:val="13"/>
                <w:szCs w:val="13"/>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2"/>
                <w:szCs w:val="12"/>
                <w:color w:val="auto"/>
              </w:rPr>
              <w:t>(40,941)</w:t>
            </w:r>
          </w:p>
        </w:tc>
        <w:tc>
          <w:tcPr>
            <w:tcW w:w="400" w:type="dxa"/>
            <w:vAlign w:val="bottom"/>
          </w:tcPr>
          <w:p>
            <w:pPr>
              <w:spacing w:after="0"/>
              <w:rPr>
                <w:sz w:val="13"/>
                <w:szCs w:val="13"/>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(42,898)</w:t>
            </w: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intangible amortization</w:t>
            </w:r>
          </w:p>
        </w:tc>
        <w:tc>
          <w:tcPr>
            <w:tcW w:w="400" w:type="dxa"/>
            <w:vAlign w:val="bottom"/>
            <w:shd w:val="clear" w:color="auto" w:fill="CFF0FC"/>
          </w:tcPr>
          <w:p>
            <w:pPr>
              <w:spacing w:after="0"/>
              <w:rPr>
                <w:sz w:val="13"/>
                <w:szCs w:val="13"/>
                <w:color w:val="auto"/>
              </w:rPr>
            </w:pP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(28,689)</w:t>
            </w:r>
          </w:p>
        </w:tc>
        <w:tc>
          <w:tcPr>
            <w:tcW w:w="4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(24,852)</w:t>
            </w:r>
          </w:p>
        </w:tc>
        <w:tc>
          <w:tcPr>
            <w:tcW w:w="0" w:type="dxa"/>
            <w:vAlign w:val="bottom"/>
          </w:tcPr>
          <w:p>
            <w:pPr>
              <w:spacing w:after="0"/>
              <w:rPr>
                <w:sz w:val="1"/>
                <w:szCs w:val="1"/>
                <w:color w:val="auto"/>
              </w:rPr>
            </w:pPr>
          </w:p>
        </w:tc>
      </w:tr>
      <w:tr>
        <w:trPr>
          <w:trHeight w:val="153"/>
        </w:trPr>
        <w:tc>
          <w:tcPr>
            <w:tcW w:w="6380" w:type="dxa"/>
            <w:vAlign w:val="bottom"/>
            <w:gridSpan w:val="2"/>
          </w:tcPr>
          <w:p>
            <w:pPr>
              <w:ind w:left="160"/>
              <w:spacing w:after="0"/>
              <w:rPr>
                <w:sz w:val="20"/>
                <w:szCs w:val="20"/>
                <w:color w:val="auto"/>
              </w:rPr>
            </w:pPr>
            <w:r>
              <w:rPr>
                <w:rFonts w:ascii="Arial" w:cs="Arial" w:eastAsia="Arial" w:hAnsi="Arial"/>
                <w:sz w:val="12"/>
                <w:szCs w:val="12"/>
                <w:color w:val="auto"/>
              </w:rPr>
              <w:t>Right of use asset</w:t>
            </w:r>
          </w:p>
        </w:tc>
        <w:tc>
          <w:tcPr>
            <w:tcW w:w="400" w:type="dxa"/>
            <w:vAlign w:val="bottom"/>
          </w:tcPr>
          <w:p>
            <w:pPr>
              <w:spacing w:after="0"/>
              <w:rPr>
                <w:sz w:val="13"/>
                <w:szCs w:val="13"/>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2"/>
                <w:szCs w:val="12"/>
                <w:color w:val="auto"/>
              </w:rPr>
              <w:t>(16,039)</w:t>
            </w:r>
          </w:p>
        </w:tc>
        <w:tc>
          <w:tcPr>
            <w:tcW w:w="400" w:type="dxa"/>
            <w:vAlign w:val="bottom"/>
          </w:tcPr>
          <w:p>
            <w:pPr>
              <w:spacing w:after="0"/>
              <w:rPr>
                <w:sz w:val="13"/>
                <w:szCs w:val="13"/>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(18,443)</w:t>
            </w: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Deferred or prepaid costs</w:t>
            </w:r>
          </w:p>
        </w:tc>
        <w:tc>
          <w:tcPr>
            <w:tcW w:w="400" w:type="dxa"/>
            <w:vAlign w:val="bottom"/>
            <w:shd w:val="clear" w:color="auto" w:fill="CFF0FC"/>
          </w:tcPr>
          <w:p>
            <w:pPr>
              <w:spacing w:after="0"/>
              <w:rPr>
                <w:sz w:val="13"/>
                <w:szCs w:val="13"/>
                <w:color w:val="auto"/>
              </w:rPr>
            </w:pP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(3,373)</w:t>
            </w:r>
          </w:p>
        </w:tc>
        <w:tc>
          <w:tcPr>
            <w:tcW w:w="4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(3,041)</w:t>
            </w:r>
          </w:p>
        </w:tc>
        <w:tc>
          <w:tcPr>
            <w:tcW w:w="0" w:type="dxa"/>
            <w:vAlign w:val="bottom"/>
          </w:tcPr>
          <w:p>
            <w:pPr>
              <w:spacing w:after="0"/>
              <w:rPr>
                <w:sz w:val="1"/>
                <w:szCs w:val="1"/>
                <w:color w:val="auto"/>
              </w:rPr>
            </w:pPr>
          </w:p>
        </w:tc>
      </w:tr>
      <w:tr>
        <w:trPr>
          <w:trHeight w:val="153"/>
        </w:trPr>
        <w:tc>
          <w:tcPr>
            <w:tcW w:w="6380" w:type="dxa"/>
            <w:vAlign w:val="bottom"/>
            <w:gridSpan w:val="2"/>
          </w:tcPr>
          <w:p>
            <w:pPr>
              <w:ind w:left="160"/>
              <w:spacing w:after="0"/>
              <w:rPr>
                <w:sz w:val="20"/>
                <w:szCs w:val="20"/>
                <w:color w:val="auto"/>
              </w:rPr>
            </w:pPr>
            <w:r>
              <w:rPr>
                <w:rFonts w:ascii="Arial" w:cs="Arial" w:eastAsia="Arial" w:hAnsi="Arial"/>
                <w:sz w:val="12"/>
                <w:szCs w:val="12"/>
                <w:color w:val="auto"/>
              </w:rPr>
              <w:t>Debt discount and interest expense</w:t>
            </w: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(2,034)</w:t>
            </w: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2"/>
                <w:szCs w:val="12"/>
                <w:color w:val="auto"/>
              </w:rPr>
              <w:t>Deferred tax liabilities</w:t>
            </w:r>
          </w:p>
        </w:tc>
        <w:tc>
          <w:tcPr>
            <w:tcW w:w="4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gridSpan w:val="2"/>
            <w:vMerge w:val="continue"/>
          </w:tcPr>
          <w:p>
            <w:pPr>
              <w:spacing w:after="0"/>
              <w:rPr>
                <w:sz w:val="12"/>
                <w:szCs w:val="12"/>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2140" w:type="dxa"/>
            <w:vAlign w:val="bottom"/>
            <w:gridSpan w:val="2"/>
          </w:tcPr>
          <w:p>
            <w:pPr>
              <w:jc w:val="right"/>
              <w:ind w:right="220"/>
              <w:spacing w:after="0"/>
              <w:rPr>
                <w:sz w:val="20"/>
                <w:szCs w:val="20"/>
                <w:color w:val="auto"/>
              </w:rPr>
            </w:pPr>
            <w:r>
              <w:rPr>
                <w:rFonts w:ascii="Arial" w:cs="Arial" w:eastAsia="Arial" w:hAnsi="Arial"/>
                <w:sz w:val="12"/>
                <w:szCs w:val="12"/>
                <w:color w:val="auto"/>
              </w:rPr>
              <w:t>(186,414)</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(194,729)</w:t>
            </w:r>
          </w:p>
        </w:tc>
        <w:tc>
          <w:tcPr>
            <w:tcW w:w="0" w:type="dxa"/>
            <w:vAlign w:val="bottom"/>
          </w:tcPr>
          <w:p>
            <w:pPr>
              <w:spacing w:after="0"/>
              <w:rPr>
                <w:sz w:val="1"/>
                <w:szCs w:val="1"/>
                <w:color w:val="auto"/>
              </w:rPr>
            </w:pPr>
          </w:p>
        </w:tc>
      </w:tr>
      <w:tr>
        <w:trPr>
          <w:trHeight w:val="142"/>
        </w:trPr>
        <w:tc>
          <w:tcPr>
            <w:tcW w:w="61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1860" w:type="dxa"/>
            <w:vAlign w:val="bottom"/>
            <w:tcBorders>
              <w:top w:val="single" w:sz="8" w:color="auto"/>
              <w:bottom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1860" w:type="dxa"/>
            <w:vAlign w:val="bottom"/>
            <w:tcBorders>
              <w:top w:val="single" w:sz="8" w:color="auto"/>
              <w:bottom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gridSpan w:val="2"/>
          </w:tcPr>
          <w:p>
            <w:pPr>
              <w:spacing w:after="0"/>
              <w:rPr>
                <w:sz w:val="20"/>
                <w:szCs w:val="20"/>
                <w:color w:val="auto"/>
              </w:rPr>
            </w:pPr>
            <w:r>
              <w:rPr>
                <w:rFonts w:ascii="Arial" w:cs="Arial" w:eastAsia="Arial" w:hAnsi="Arial"/>
                <w:sz w:val="12"/>
                <w:szCs w:val="12"/>
                <w:color w:val="auto"/>
              </w:rPr>
              <w:t>Deferred tax asset (liability), net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11,721</w:t>
            </w:r>
          </w:p>
        </w:tc>
        <w:tc>
          <w:tcPr>
            <w:tcW w:w="280" w:type="dxa"/>
            <w:vAlign w:val="bottom"/>
          </w:tcPr>
          <w:p>
            <w:pPr>
              <w:spacing w:after="0"/>
              <w:rPr>
                <w:sz w:val="12"/>
                <w:szCs w:val="12"/>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(10,540)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2021, the Company’s deferred tax assets were primarily the result of U.S. federal and state NOL carryforwards.</w:t>
      </w:r>
    </w:p>
    <w:p>
      <w:pPr>
        <w:spacing w:after="0" w:line="150"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As of each reporting date, the Company’s management considers new evidence, both positive and negative, that could impact management’s view with regard to future realization of deferred tax assets. Given the Company has significant deferred tax liabilities, management determined that sufficient positive evidence exists as of December 31, 2021, to conclude that it is more likely than not that all of its deferred tax assets are realizable, and therefore, no valuation allowance has been recorded.</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On August 31, 2016, we acquired 100% of the outstanding equity of Tower Cloud, Inc., which had federal NOL carryforwards of approximately $81.2 million at the date of the acquisition. As a result of the change in ownership, the utilization of Tower Cloud, Inc. NOL carryforwards is subject to limitations imposed by the Code. Approximately $18.3 million of the Tower Cloud, Inc. NOL carryforward was utilized in 2017. The remaining Tower Cloud, Inc. NOL carryforwards will expire between 2026 and 2036.</w:t>
      </w:r>
    </w:p>
    <w:p>
      <w:pPr>
        <w:spacing w:after="0" w:line="12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have total federal NOL carryforwards as of December 31, 2021 of approximately $165.2 million which will expire between 2026 and 2037, and approximately $375.4 million which will not expire but the utilization of which will be limited to 80% of taxable income annually under provisions enacted in the Tax Cut and Jobs Act.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With the exception of Tower Cloud, Inc. and Uniti Fiber Holdings Inc., our 2018 returns remain open to examination. As Tower Cloud, Inc. and Uniti Fiber Holdings Inc. have NOLs available to carry forward, the applicable tax years will generally remain open to examination several years after the applicable loss carryforwards have been utilized or expire.</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Company or its subsidiaries file tax returns in the U.S. federal jurisdiction, various state and local jurisdictions, and certain foreign jurisdictions. A reconciliation of the Company’s beginning and ending liability for unrecognized tax benefits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ind w:right="1004"/>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CFF0FC"/>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jc w:val="right"/>
              <w:ind w:right="984"/>
              <w:spacing w:after="0"/>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FF0FC"/>
            </w:tcBorders>
          </w:tcPr>
          <w:p>
            <w:pPr>
              <w:spacing w:after="0"/>
              <w:rPr>
                <w:sz w:val="10"/>
                <w:szCs w:val="10"/>
                <w:color w:val="auto"/>
              </w:rPr>
            </w:pPr>
          </w:p>
        </w:tc>
      </w:tr>
      <w:tr>
        <w:trPr>
          <w:trHeight w:val="142"/>
        </w:trPr>
        <w:tc>
          <w:tcPr>
            <w:tcW w:w="63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at January 1</w:t>
            </w:r>
          </w:p>
        </w:tc>
        <w:tc>
          <w:tcPr>
            <w:tcW w:w="540" w:type="dxa"/>
            <w:vAlign w:val="bottom"/>
            <w:tcBorders>
              <w:bottom w:val="single" w:sz="8" w:color="auto"/>
            </w:tcBorders>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1,734</w:t>
            </w:r>
          </w:p>
        </w:tc>
        <w:tc>
          <w:tcPr>
            <w:tcW w:w="26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452"/>
              <w:spacing w:after="0"/>
              <w:rPr>
                <w:sz w:val="20"/>
                <w:szCs w:val="20"/>
                <w:color w:val="auto"/>
              </w:rPr>
            </w:pPr>
            <w:r>
              <w:rPr>
                <w:rFonts w:ascii="Arial" w:cs="Arial" w:eastAsia="Arial" w:hAnsi="Arial"/>
                <w:sz w:val="10"/>
                <w:szCs w:val="10"/>
                <w:color w:val="auto"/>
                <w:w w:val="71"/>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1,734</w:t>
            </w:r>
          </w:p>
        </w:tc>
        <w:tc>
          <w:tcPr>
            <w:tcW w:w="120" w:type="dxa"/>
            <w:vAlign w:val="bottom"/>
            <w:shd w:val="clear" w:color="auto" w:fill="CFF0FC"/>
          </w:tcPr>
          <w:p>
            <w:pPr>
              <w:spacing w:after="0"/>
              <w:rPr>
                <w:sz w:val="12"/>
                <w:szCs w:val="12"/>
                <w:color w:val="auto"/>
              </w:rPr>
            </w:pPr>
          </w:p>
        </w:tc>
      </w:tr>
      <w:tr>
        <w:trPr>
          <w:trHeight w:val="149"/>
        </w:trPr>
        <w:tc>
          <w:tcPr>
            <w:tcW w:w="6360" w:type="dxa"/>
            <w:vAlign w:val="bottom"/>
            <w:gridSpan w:val="2"/>
          </w:tcPr>
          <w:p>
            <w:pPr>
              <w:spacing w:after="0"/>
              <w:rPr>
                <w:sz w:val="20"/>
                <w:szCs w:val="20"/>
                <w:color w:val="auto"/>
              </w:rPr>
            </w:pPr>
            <w:r>
              <w:rPr>
                <w:rFonts w:ascii="Arial" w:cs="Arial" w:eastAsia="Arial" w:hAnsi="Arial"/>
                <w:sz w:val="12"/>
                <w:szCs w:val="12"/>
                <w:color w:val="auto"/>
              </w:rPr>
              <w:t>Balance at December 31</w:t>
            </w: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1,734</w:t>
            </w:r>
          </w:p>
        </w:tc>
        <w:tc>
          <w:tcPr>
            <w:tcW w:w="260" w:type="dxa"/>
            <w:vAlign w:val="bottom"/>
          </w:tcPr>
          <w:p>
            <w:pPr>
              <w:spacing w:after="0"/>
              <w:rPr>
                <w:sz w:val="12"/>
                <w:szCs w:val="12"/>
                <w:color w:val="auto"/>
              </w:rPr>
            </w:pPr>
          </w:p>
        </w:tc>
        <w:tc>
          <w:tcPr>
            <w:tcW w:w="5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1,734</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Company’s entire liability for unrecognized tax benefit would affect the annual effective tax rate if recognized.</w:t>
      </w:r>
    </w:p>
    <w:p>
      <w:pPr>
        <w:spacing w:after="0" w:line="150"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The Company recognizes accrued interest and penalties related to unrecognized tax benefits as additional tax expense. The Company recorded no interest expense and penalties for the period ending December 31, 2021. The Company’s balance of accrued interest and penalties related to unrecognized tax benefits as of December 31, 2021 was $1.3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19. Supplemental Cash Flow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Cash paid for interest expense, net of capitalized interest and income taxes, net of refunds for the years ended December 31, 2021, 2020 and 2019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Year Ended December 31,</w:t>
            </w:r>
          </w:p>
        </w:tc>
        <w:tc>
          <w:tcPr>
            <w:tcW w:w="5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42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500" w:type="dxa"/>
            <w:vAlign w:val="bottom"/>
          </w:tcPr>
          <w:p>
            <w:pPr>
              <w:spacing w:after="0"/>
              <w:rPr>
                <w:sz w:val="13"/>
                <w:szCs w:val="13"/>
                <w:color w:val="auto"/>
              </w:rPr>
            </w:pPr>
          </w:p>
        </w:tc>
        <w:tc>
          <w:tcPr>
            <w:tcW w:w="1600" w:type="dxa"/>
            <w:vAlign w:val="bottom"/>
          </w:tcPr>
          <w:p>
            <w:pPr>
              <w:jc w:val="right"/>
              <w:ind w:right="908"/>
              <w:spacing w:after="0"/>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tcPr>
          <w:p>
            <w:pPr>
              <w:jc w:val="right"/>
              <w:ind w:right="909"/>
              <w:spacing w:after="0"/>
              <w:rPr>
                <w:sz w:val="20"/>
                <w:szCs w:val="20"/>
                <w:color w:val="auto"/>
              </w:rPr>
            </w:pPr>
            <w:r>
              <w:rPr>
                <w:rFonts w:ascii="Arial" w:cs="Arial" w:eastAsia="Arial" w:hAnsi="Arial"/>
                <w:sz w:val="10"/>
                <w:szCs w:val="10"/>
                <w:b w:val="1"/>
                <w:bCs w:val="1"/>
                <w:color w:val="auto"/>
              </w:rPr>
              <w:t>2020</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jc w:val="right"/>
              <w:ind w:right="908"/>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3"/>
                <w:szCs w:val="13"/>
                <w:color w:val="auto"/>
              </w:rPr>
            </w:pPr>
          </w:p>
        </w:tc>
      </w:tr>
      <w:tr>
        <w:trPr>
          <w:trHeight w:val="133"/>
        </w:trPr>
        <w:tc>
          <w:tcPr>
            <w:tcW w:w="4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Cash payments for:</w:t>
            </w:r>
          </w:p>
        </w:tc>
        <w:tc>
          <w:tcPr>
            <w:tcW w:w="22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6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8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2"/>
        </w:trPr>
        <w:tc>
          <w:tcPr>
            <w:tcW w:w="4220" w:type="dxa"/>
            <w:vAlign w:val="bottom"/>
            <w:gridSpan w:val="2"/>
          </w:tcPr>
          <w:p>
            <w:pPr>
              <w:ind w:left="160"/>
              <w:spacing w:after="0"/>
              <w:rPr>
                <w:sz w:val="20"/>
                <w:szCs w:val="20"/>
                <w:color w:val="auto"/>
              </w:rPr>
            </w:pPr>
            <w:r>
              <w:rPr>
                <w:rFonts w:ascii="Arial" w:cs="Arial" w:eastAsia="Arial" w:hAnsi="Arial"/>
                <w:sz w:val="11"/>
                <w:szCs w:val="11"/>
                <w:color w:val="auto"/>
              </w:rPr>
              <w:t>Interest, net of capitalized interest</w:t>
            </w: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600" w:type="dxa"/>
            <w:vAlign w:val="bottom"/>
          </w:tcPr>
          <w:p>
            <w:pPr>
              <w:jc w:val="right"/>
              <w:spacing w:after="0"/>
              <w:rPr>
                <w:sz w:val="20"/>
                <w:szCs w:val="20"/>
                <w:color w:val="auto"/>
              </w:rPr>
            </w:pPr>
            <w:r>
              <w:rPr>
                <w:rFonts w:ascii="Arial" w:cs="Arial" w:eastAsia="Arial" w:hAnsi="Arial"/>
                <w:sz w:val="11"/>
                <w:szCs w:val="11"/>
                <w:color w:val="auto"/>
              </w:rPr>
              <w:t>375,578</w:t>
            </w:r>
          </w:p>
        </w:tc>
        <w:tc>
          <w:tcPr>
            <w:tcW w:w="32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820" w:type="dxa"/>
            <w:vAlign w:val="bottom"/>
          </w:tcPr>
          <w:p>
            <w:pPr>
              <w:jc w:val="right"/>
              <w:spacing w:after="0"/>
              <w:rPr>
                <w:sz w:val="20"/>
                <w:szCs w:val="20"/>
                <w:color w:val="auto"/>
              </w:rPr>
            </w:pPr>
            <w:r>
              <w:rPr>
                <w:rFonts w:ascii="Arial" w:cs="Arial" w:eastAsia="Arial" w:hAnsi="Arial"/>
                <w:sz w:val="11"/>
                <w:szCs w:val="11"/>
                <w:color w:val="auto"/>
              </w:rPr>
              <w:t>314,276</w:t>
            </w:r>
          </w:p>
        </w:tc>
        <w:tc>
          <w:tcPr>
            <w:tcW w:w="320" w:type="dxa"/>
            <w:vAlign w:val="bottom"/>
          </w:tcPr>
          <w:p>
            <w:pPr>
              <w:spacing w:after="0"/>
              <w:rPr>
                <w:sz w:val="12"/>
                <w:szCs w:val="12"/>
                <w:color w:val="auto"/>
              </w:rPr>
            </w:pP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600" w:type="dxa"/>
            <w:vAlign w:val="bottom"/>
          </w:tcPr>
          <w:p>
            <w:pPr>
              <w:jc w:val="right"/>
              <w:spacing w:after="0"/>
              <w:rPr>
                <w:sz w:val="20"/>
                <w:szCs w:val="20"/>
                <w:color w:val="auto"/>
              </w:rPr>
            </w:pPr>
            <w:r>
              <w:rPr>
                <w:rFonts w:ascii="Arial" w:cs="Arial" w:eastAsia="Arial" w:hAnsi="Arial"/>
                <w:sz w:val="11"/>
                <w:szCs w:val="11"/>
                <w:color w:val="auto"/>
              </w:rPr>
              <w:t>344,464</w:t>
            </w:r>
          </w:p>
        </w:tc>
        <w:tc>
          <w:tcPr>
            <w:tcW w:w="120" w:type="dxa"/>
            <w:vAlign w:val="bottom"/>
          </w:tcPr>
          <w:p>
            <w:pPr>
              <w:spacing w:after="0"/>
              <w:rPr>
                <w:sz w:val="12"/>
                <w:szCs w:val="12"/>
                <w:color w:val="auto"/>
              </w:rPr>
            </w:pPr>
          </w:p>
        </w:tc>
      </w:tr>
      <w:tr>
        <w:trPr>
          <w:trHeight w:val="146"/>
        </w:trPr>
        <w:tc>
          <w:tcPr>
            <w:tcW w:w="42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Income taxes, net of refunds</w:t>
            </w: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1,386</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1"/>
              <w:spacing w:after="0"/>
              <w:rPr>
                <w:sz w:val="20"/>
                <w:szCs w:val="20"/>
                <w:color w:val="auto"/>
              </w:rPr>
            </w:pPr>
            <w:r>
              <w:rPr>
                <w:rFonts w:ascii="Arial" w:cs="Arial" w:eastAsia="Arial" w:hAnsi="Arial"/>
                <w:sz w:val="10"/>
                <w:szCs w:val="10"/>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1,155</w:t>
            </w:r>
          </w:p>
        </w:tc>
        <w:tc>
          <w:tcPr>
            <w:tcW w:w="3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16,073</w:t>
            </w:r>
          </w:p>
        </w:tc>
        <w:tc>
          <w:tcPr>
            <w:tcW w:w="120" w:type="dxa"/>
            <w:vAlign w:val="bottom"/>
            <w:shd w:val="clear" w:color="auto" w:fill="CFF0FC"/>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20. Capital Stock</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limited partner equity interests in our operating partnership (commonly called “OP Units”), are exchangeable on a one-for-one basis for shares of our common stock or, at our election, cash of equivalent value. During the year ended December 31, 2021, the Company exchanged 2,768,199 OP Units held by a third party for an equal number of common shares of the Company. The OP Units exchanged represented approximately 80% of the OP Units held by a third party with a carrying value of $55.2 million as of the exchange date.</w:t>
      </w:r>
    </w:p>
    <w:p>
      <w:pPr>
        <w:spacing w:after="0" w:line="122" w:lineRule="exact"/>
        <w:rPr>
          <w:sz w:val="20"/>
          <w:szCs w:val="20"/>
          <w:color w:val="auto"/>
        </w:rPr>
      </w:pPr>
    </w:p>
    <w:p>
      <w:pPr>
        <w:ind w:right="100"/>
        <w:spacing w:after="0" w:line="283" w:lineRule="auto"/>
        <w:rPr>
          <w:sz w:val="20"/>
          <w:szCs w:val="20"/>
          <w:color w:val="auto"/>
        </w:rPr>
      </w:pPr>
      <w:r>
        <w:rPr>
          <w:rFonts w:ascii="Arial" w:cs="Arial" w:eastAsia="Arial" w:hAnsi="Arial"/>
          <w:sz w:val="11"/>
          <w:szCs w:val="11"/>
          <w:color w:val="auto"/>
        </w:rPr>
        <w:t>On September 9, 2020, Uniti entered into stock purchase agreements with certain first lien creditors of Windstream to replace and codify the terms set forth in the previously-filed binding 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and settlement of the litigation with Windstream. The issuance and sale of the Settlement Common Stock was made in reliance upon the exemption from registration requirements pursuant to Section 4(a)(2) of the Securities Act of 1933, as amended. Certain recipients of the Settlement Common Stock are subject to a one-year lock up, and all recipients are subject to a customary standstill agreement. No recipient will receive any governance rights in connection with the issuance. The binding letters of intent and the Stock Purchase Agreements also provide for customary registration rights.</w:t>
      </w:r>
    </w:p>
    <w:p>
      <w:pPr>
        <w:spacing w:after="0" w:line="11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On June 22, 2020, we established an at-the-market common stock offering program (the “ATM Program”) to sell shares of our common stock, par value $0.0001 per share, having an aggregate offering price of up to $250 million. This offering supersedes and replaces the $250 million program we commenced on September 2, 2016, which had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5" w:name="page116"/>
    <w:bookmarkEnd w:id="115"/>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8" w:right="540"/>
        <w:spacing w:after="0" w:line="276" w:lineRule="auto"/>
        <w:rPr>
          <w:sz w:val="20"/>
          <w:szCs w:val="20"/>
          <w:color w:val="auto"/>
        </w:rPr>
      </w:pPr>
      <w:r>
        <w:rPr>
          <w:rFonts w:ascii="Arial" w:cs="Arial" w:eastAsia="Arial" w:hAnsi="Arial"/>
          <w:sz w:val="12"/>
          <w:szCs w:val="12"/>
          <w:color w:val="auto"/>
        </w:rPr>
        <w:t>approximately $117.1 million available for issuance under such program. We have not made any sales under the refreshed ATM Program. This program is intended to provide additional financial flexibility and an alternative mechanism to access the capital markets at an efficient cost as and when we need financing, including for acquisitions.</w:t>
      </w:r>
    </w:p>
    <w:p>
      <w:pPr>
        <w:spacing w:after="0" w:line="115" w:lineRule="exact"/>
        <w:rPr>
          <w:sz w:val="20"/>
          <w:szCs w:val="20"/>
          <w:color w:val="auto"/>
        </w:rPr>
      </w:pPr>
    </w:p>
    <w:p>
      <w:pPr>
        <w:ind w:left="8" w:right="160"/>
        <w:spacing w:after="0" w:line="298" w:lineRule="auto"/>
        <w:rPr>
          <w:sz w:val="20"/>
          <w:szCs w:val="20"/>
          <w:color w:val="auto"/>
        </w:rPr>
      </w:pPr>
      <w:r>
        <w:rPr>
          <w:rFonts w:ascii="Arial" w:cs="Arial" w:eastAsia="Arial" w:hAnsi="Arial"/>
          <w:sz w:val="11"/>
          <w:szCs w:val="11"/>
          <w:color w:val="auto"/>
        </w:rPr>
        <w:t>On July 2, 2019, the Company issued 8,677,163 shares of its commons stock in connection with the conversion by PEG Bandwidth Holdings, LLC of 87,500 shares of the Series A Shares. The Company issued common stock with a total value of $87.5 million, with the total number of shares calculated based on the five-day volume weighted average price of its common stock ending on June 27, 2019. Upon conversion, all outstanding Series A Shares were cancelled and no longer remain outstanding. The issuance by the Company of the common stock was made in reliance upon the exception from registration requirements pursuant to Section 3(a)(9) of the Securities Act.</w:t>
      </w:r>
    </w:p>
    <w:p>
      <w:pPr>
        <w:spacing w:after="0" w:line="105" w:lineRule="exact"/>
        <w:rPr>
          <w:sz w:val="20"/>
          <w:szCs w:val="20"/>
          <w:color w:val="auto"/>
        </w:rPr>
      </w:pPr>
    </w:p>
    <w:p>
      <w:pPr>
        <w:ind w:left="8" w:right="240"/>
        <w:spacing w:after="0" w:line="276" w:lineRule="auto"/>
        <w:rPr>
          <w:sz w:val="20"/>
          <w:szCs w:val="20"/>
          <w:color w:val="auto"/>
        </w:rPr>
      </w:pPr>
      <w:r>
        <w:rPr>
          <w:rFonts w:ascii="Arial" w:cs="Arial" w:eastAsia="Arial" w:hAnsi="Arial"/>
          <w:sz w:val="12"/>
          <w:szCs w:val="12"/>
          <w:color w:val="auto"/>
        </w:rPr>
        <w:t>We are authorized to issue up to 500,000,000 shares of voting common stock and 50,000,000 shares of preferred stock, of which 234,779,247 and 0 shares, respectively, were outstanding at December 31, 2021. We had 265,220,753 shares of voting common stock available for issuance at December 31, 2021.</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21. Dividends (Distributions)</w:t>
      </w:r>
    </w:p>
    <w:p>
      <w:pPr>
        <w:spacing w:after="0" w:line="154"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Distributions with respect to our common stock is characterized for federal income tax purposes as taxable ordinary dividends, capital gains dividends, non-dividend distribution or a combination thereof. For the years ended December 31, 2021, 2020, and 2019, our common stock distribution per share was $0.45, $0.60 and $0.97, respectively, characterized as follows:</w:t>
      </w:r>
    </w:p>
    <w:p>
      <w:pPr>
        <w:spacing w:after="0" w:line="17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Year Ended December 31,</w:t>
            </w:r>
          </w:p>
        </w:tc>
        <w:tc>
          <w:tcPr>
            <w:tcW w:w="5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426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 xml:space="preserve">2021 </w:t>
            </w:r>
            <w:r>
              <w:rPr>
                <w:rFonts w:ascii="Arial" w:cs="Arial" w:eastAsia="Arial" w:hAnsi="Arial"/>
                <w:sz w:val="8"/>
                <w:szCs w:val="8"/>
                <w:b w:val="1"/>
                <w:bCs w:val="1"/>
                <w:color w:val="auto"/>
              </w:rPr>
              <w:t>(1)</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824"/>
              <w:spacing w:after="0"/>
              <w:rPr>
                <w:sz w:val="20"/>
                <w:szCs w:val="20"/>
                <w:color w:val="auto"/>
              </w:rPr>
            </w:pPr>
            <w:r>
              <w:rPr>
                <w:rFonts w:ascii="Arial" w:cs="Arial" w:eastAsia="Arial" w:hAnsi="Arial"/>
                <w:sz w:val="10"/>
                <w:szCs w:val="10"/>
                <w:b w:val="1"/>
                <w:bCs w:val="1"/>
                <w:color w:val="auto"/>
              </w:rPr>
              <w:t xml:space="preserve">2020 </w:t>
            </w:r>
            <w:r>
              <w:rPr>
                <w:rFonts w:ascii="Arial" w:cs="Arial" w:eastAsia="Arial" w:hAnsi="Arial"/>
                <w:sz w:val="8"/>
                <w:szCs w:val="8"/>
                <w:b w:val="1"/>
                <w:bCs w:val="1"/>
                <w:color w:val="auto"/>
              </w:rPr>
              <w:t>(2)</w:t>
            </w:r>
          </w:p>
        </w:tc>
        <w:tc>
          <w:tcPr>
            <w:tcW w:w="2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942"/>
              <w:spacing w:after="0"/>
              <w:rPr>
                <w:sz w:val="20"/>
                <w:szCs w:val="20"/>
                <w:color w:val="auto"/>
              </w:rPr>
            </w:pPr>
            <w:r>
              <w:rPr>
                <w:rFonts w:ascii="Arial" w:cs="Arial" w:eastAsia="Arial" w:hAnsi="Arial"/>
                <w:sz w:val="10"/>
                <w:szCs w:val="10"/>
                <w:b w:val="1"/>
                <w:bCs w:val="1"/>
                <w:color w:val="auto"/>
              </w:rPr>
              <w:t>2019</w:t>
            </w:r>
            <w:r>
              <w:rPr>
                <w:rFonts w:ascii="Arial" w:cs="Arial" w:eastAsia="Arial" w:hAnsi="Arial"/>
                <w:sz w:val="8"/>
                <w:szCs w:val="8"/>
                <w:b w:val="1"/>
                <w:bCs w:val="1"/>
                <w:color w:val="auto"/>
              </w:rPr>
              <w:t>(3)</w:t>
            </w:r>
          </w:p>
        </w:tc>
        <w:tc>
          <w:tcPr>
            <w:tcW w:w="120" w:type="dxa"/>
            <w:vAlign w:val="bottom"/>
            <w:tcBorders>
              <w:bottom w:val="single" w:sz="8" w:color="CFF0FC"/>
            </w:tcBorders>
          </w:tcPr>
          <w:p>
            <w:pPr>
              <w:spacing w:after="0"/>
              <w:rPr>
                <w:sz w:val="13"/>
                <w:szCs w:val="13"/>
                <w:color w:val="auto"/>
              </w:rPr>
            </w:pPr>
          </w:p>
        </w:tc>
      </w:tr>
      <w:tr>
        <w:trPr>
          <w:trHeight w:val="151"/>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Ordinary dividends</w:t>
            </w:r>
          </w:p>
        </w:tc>
        <w:tc>
          <w:tcPr>
            <w:tcW w:w="1520" w:type="dxa"/>
            <w:vAlign w:val="bottom"/>
            <w:shd w:val="clear" w:color="auto" w:fill="CFF0FC"/>
          </w:tcPr>
          <w:p>
            <w:pPr>
              <w:jc w:val="right"/>
              <w:ind w:right="141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0.45</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0.52</w:t>
            </w:r>
          </w:p>
        </w:tc>
        <w:tc>
          <w:tcPr>
            <w:tcW w:w="2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12"/>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0.97</w:t>
            </w:r>
          </w:p>
        </w:tc>
        <w:tc>
          <w:tcPr>
            <w:tcW w:w="120" w:type="dxa"/>
            <w:vAlign w:val="bottom"/>
            <w:shd w:val="clear" w:color="auto" w:fill="CFF0FC"/>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2"/>
                <w:szCs w:val="12"/>
                <w:color w:val="auto"/>
              </w:rPr>
              <w:t>Capital gain distribution</w:t>
            </w:r>
          </w:p>
        </w:tc>
        <w:tc>
          <w:tcPr>
            <w:tcW w:w="1520" w:type="dxa"/>
            <w:vAlign w:val="bottom"/>
          </w:tcPr>
          <w:p>
            <w:pPr>
              <w:jc w:val="right"/>
              <w:ind w:right="14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0.08</w:t>
            </w:r>
          </w:p>
        </w:tc>
        <w:tc>
          <w:tcPr>
            <w:tcW w:w="260" w:type="dxa"/>
            <w:vAlign w:val="bottom"/>
          </w:tcPr>
          <w:p>
            <w:pPr>
              <w:spacing w:after="0"/>
              <w:rPr>
                <w:sz w:val="14"/>
                <w:szCs w:val="14"/>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r>
      <w:tr>
        <w:trPr>
          <w:trHeight w:val="162"/>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Non-dividend distributions</w:t>
            </w:r>
          </w:p>
        </w:tc>
        <w:tc>
          <w:tcPr>
            <w:tcW w:w="15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r>
      <w:tr>
        <w:trPr>
          <w:trHeight w:val="151"/>
        </w:trPr>
        <w:tc>
          <w:tcPr>
            <w:tcW w:w="4260" w:type="dxa"/>
            <w:vAlign w:val="bottom"/>
          </w:tcPr>
          <w:p>
            <w:pPr>
              <w:spacing w:after="0"/>
              <w:rPr>
                <w:sz w:val="20"/>
                <w:szCs w:val="20"/>
                <w:color w:val="auto"/>
              </w:rPr>
            </w:pPr>
            <w:r>
              <w:rPr>
                <w:rFonts w:ascii="Arial" w:cs="Arial" w:eastAsia="Arial" w:hAnsi="Arial"/>
                <w:sz w:val="12"/>
                <w:szCs w:val="12"/>
                <w:color w:val="auto"/>
              </w:rPr>
              <w:t>Total</w:t>
            </w:r>
          </w:p>
        </w:tc>
        <w:tc>
          <w:tcPr>
            <w:tcW w:w="1520" w:type="dxa"/>
            <w:vAlign w:val="bottom"/>
          </w:tcPr>
          <w:p>
            <w:pPr>
              <w:jc w:val="right"/>
              <w:ind w:right="14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0.45</w:t>
            </w:r>
          </w:p>
        </w:tc>
        <w:tc>
          <w:tcPr>
            <w:tcW w:w="26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0.60</w:t>
            </w:r>
          </w:p>
        </w:tc>
        <w:tc>
          <w:tcPr>
            <w:tcW w:w="260" w:type="dxa"/>
            <w:vAlign w:val="bottom"/>
          </w:tcPr>
          <w:p>
            <w:pPr>
              <w:spacing w:after="0"/>
              <w:rPr>
                <w:sz w:val="13"/>
                <w:szCs w:val="13"/>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0.97</w:t>
            </w:r>
          </w:p>
        </w:tc>
        <w:tc>
          <w:tcPr>
            <w:tcW w:w="120" w:type="dxa"/>
            <w:vAlign w:val="bottom"/>
          </w:tcPr>
          <w:p>
            <w:pPr>
              <w:spacing w:after="0"/>
              <w:rPr>
                <w:sz w:val="13"/>
                <w:szCs w:val="13"/>
                <w:color w:val="auto"/>
              </w:rPr>
            </w:pPr>
          </w:p>
        </w:tc>
      </w:tr>
    </w:tbl>
    <w:p>
      <w:pPr>
        <w:spacing w:after="0" w:line="135" w:lineRule="exact"/>
        <w:rPr>
          <w:sz w:val="20"/>
          <w:szCs w:val="20"/>
          <w:color w:val="auto"/>
        </w:rPr>
      </w:pPr>
    </w:p>
    <w:p>
      <w:pPr>
        <w:ind w:left="428" w:right="180" w:hanging="411"/>
        <w:spacing w:after="0" w:line="276" w:lineRule="auto"/>
        <w:tabs>
          <w:tab w:leader="none" w:pos="244" w:val="left"/>
        </w:tabs>
        <w:numPr>
          <w:ilvl w:val="1"/>
          <w:numId w:val="24"/>
        </w:numPr>
        <w:rPr>
          <w:rFonts w:ascii="Arial" w:cs="Arial" w:eastAsia="Arial" w:hAnsi="Arial"/>
          <w:sz w:val="10"/>
          <w:szCs w:val="10"/>
          <w:color w:val="auto"/>
        </w:rPr>
      </w:pPr>
      <w:r>
        <w:rPr>
          <w:rFonts w:ascii="Arial" w:cs="Arial" w:eastAsia="Arial" w:hAnsi="Arial"/>
          <w:sz w:val="12"/>
          <w:szCs w:val="12"/>
          <w:color w:val="auto"/>
        </w:rPr>
        <w:t>Pursuant to Internal Revenue Code Section 857(b)(9), if you were a stockholder of record as of December 17, 2021, your dividend payment of $0.1500 per share received in January 2022 will be reported on Form 1099-DIV for the 2022 taxable year for federal income tax purposes.</w:t>
      </w:r>
    </w:p>
    <w:p>
      <w:pPr>
        <w:spacing w:after="0" w:line="114" w:lineRule="exact"/>
        <w:rPr>
          <w:rFonts w:ascii="Arial" w:cs="Arial" w:eastAsia="Arial" w:hAnsi="Arial"/>
          <w:sz w:val="10"/>
          <w:szCs w:val="10"/>
          <w:color w:val="auto"/>
        </w:rPr>
      </w:pPr>
    </w:p>
    <w:p>
      <w:pPr>
        <w:ind w:left="428" w:right="140" w:hanging="428"/>
        <w:spacing w:after="0" w:line="276" w:lineRule="auto"/>
        <w:tabs>
          <w:tab w:leader="none" w:pos="428" w:val="left"/>
        </w:tabs>
        <w:numPr>
          <w:ilvl w:val="0"/>
          <w:numId w:val="25"/>
        </w:numPr>
        <w:rPr>
          <w:rFonts w:ascii="Arial" w:cs="Arial" w:eastAsia="Arial" w:hAnsi="Arial"/>
          <w:sz w:val="10"/>
          <w:szCs w:val="10"/>
          <w:color w:val="auto"/>
        </w:rPr>
      </w:pPr>
      <w:r>
        <w:rPr>
          <w:rFonts w:ascii="Arial" w:cs="Arial" w:eastAsia="Arial" w:hAnsi="Arial"/>
          <w:sz w:val="12"/>
          <w:szCs w:val="12"/>
          <w:color w:val="auto"/>
        </w:rPr>
        <w:t>Pursuant to Internal Revenue Code Section 857(b)(9), if you were a stockholder of record as of December 15, 2020, your dividend payment of $0.1500 per share received in January 2021 was reported on Form 1099-DIV for the 2020 taxable year for federal income tax purposes.</w:t>
      </w:r>
    </w:p>
    <w:p>
      <w:pPr>
        <w:spacing w:after="0" w:line="114" w:lineRule="exact"/>
        <w:rPr>
          <w:rFonts w:ascii="Arial" w:cs="Arial" w:eastAsia="Arial" w:hAnsi="Arial"/>
          <w:sz w:val="10"/>
          <w:szCs w:val="10"/>
          <w:color w:val="auto"/>
        </w:rPr>
      </w:pPr>
    </w:p>
    <w:p>
      <w:pPr>
        <w:ind w:left="428" w:right="140" w:hanging="428"/>
        <w:spacing w:after="0" w:line="276" w:lineRule="auto"/>
        <w:tabs>
          <w:tab w:leader="none" w:pos="428" w:val="left"/>
        </w:tabs>
        <w:numPr>
          <w:ilvl w:val="0"/>
          <w:numId w:val="25"/>
        </w:numPr>
        <w:rPr>
          <w:rFonts w:ascii="Arial" w:cs="Arial" w:eastAsia="Arial" w:hAnsi="Arial"/>
          <w:sz w:val="10"/>
          <w:szCs w:val="10"/>
          <w:color w:val="auto"/>
        </w:rPr>
      </w:pPr>
      <w:r>
        <w:rPr>
          <w:rFonts w:ascii="Arial" w:cs="Arial" w:eastAsia="Arial" w:hAnsi="Arial"/>
          <w:sz w:val="12"/>
          <w:szCs w:val="12"/>
          <w:color w:val="auto"/>
        </w:rPr>
        <w:t>Pursuant to Internal Revenue Code Section 857(b)(9), if you were a stockholder of record as of December 31, 2019, your dividend payment of $0.2200 per share received in January 2020 was reported on Form 1099-DIV for the 2019 taxable year for federal income tax purposes.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22. Employee Benefit Plan</w:t>
      </w:r>
    </w:p>
    <w:p>
      <w:pPr>
        <w:spacing w:after="0" w:line="154" w:lineRule="exact"/>
        <w:rPr>
          <w:sz w:val="20"/>
          <w:szCs w:val="20"/>
          <w:color w:val="auto"/>
        </w:rPr>
      </w:pPr>
    </w:p>
    <w:p>
      <w:pPr>
        <w:jc w:val="both"/>
        <w:ind w:left="8" w:right="80"/>
        <w:spacing w:after="0" w:line="263" w:lineRule="auto"/>
        <w:rPr>
          <w:sz w:val="20"/>
          <w:szCs w:val="20"/>
          <w:color w:val="auto"/>
        </w:rPr>
      </w:pPr>
      <w:r>
        <w:rPr>
          <w:rFonts w:ascii="Arial" w:cs="Arial" w:eastAsia="Arial" w:hAnsi="Arial"/>
          <w:sz w:val="12"/>
          <w:szCs w:val="12"/>
          <w:color w:val="auto"/>
        </w:rPr>
        <w:t>We sponsor a defined contribution plan under section 401(k) of the Internal Revenue Code, which covers employees who are 21 years of age and over. Under this plan, we match voluntary employee contributions at a rate of 100% for the first 3% of an employee’s annual compensation and at a rate of 50% for the next 2% of an employee’s annual compensation. Employees vest in our contribution immediately. Our expense related to the plan recognized for the years ended December 31, 2021, 2020 and 2019 was $2.1 million, $2.2 million and $1.7 million, respectively.</w:t>
      </w:r>
    </w:p>
    <w:p>
      <w:pPr>
        <w:spacing w:after="0" w:line="122" w:lineRule="exact"/>
        <w:rPr>
          <w:sz w:val="20"/>
          <w:szCs w:val="20"/>
          <w:color w:val="auto"/>
        </w:rPr>
      </w:pPr>
    </w:p>
    <w:p>
      <w:pPr>
        <w:jc w:val="both"/>
        <w:ind w:left="8" w:right="80"/>
        <w:spacing w:after="0" w:line="323" w:lineRule="auto"/>
        <w:rPr>
          <w:sz w:val="20"/>
          <w:szCs w:val="20"/>
          <w:color w:val="auto"/>
        </w:rPr>
      </w:pPr>
      <w:r>
        <w:rPr>
          <w:rFonts w:ascii="Arial" w:cs="Arial" w:eastAsia="Arial" w:hAnsi="Arial"/>
          <w:sz w:val="11"/>
          <w:szCs w:val="11"/>
          <w:color w:val="auto"/>
        </w:rPr>
        <w:t>We sponsor a deferred compensation plan. The plan is established and maintained by the Company primarily to permit certain management or highly compensated employees of the Company and its subsidiaries, within the meaning of Section 301(a) of the Employee Retirement Income Security Act of 1974, as amended (“ERISA”), to defer a percentage of their compensation. The plan is an unfunded deferred compensation plan intended to qualify</w:t>
      </w:r>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16" w:name="page117"/>
    <w:bookmarkEnd w:id="116"/>
    <w:p>
      <w:pPr>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for the exemptions provided in, and shall be administered in a manner consistent with Section 201, 301 and 401 of ERISA and Section 409A of the Internal Revenue Code of 1986, as amended.</w:t>
      </w:r>
    </w:p>
    <w:p>
      <w:pPr>
        <w:spacing w:after="0" w:line="17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117" w:name="page118"/>
    <w:bookmarkEnd w:id="117"/>
    <w:p>
      <w:pPr>
        <w:spacing w:after="0"/>
        <w:rPr>
          <w:sz w:val="20"/>
          <w:szCs w:val="20"/>
          <w:color w:val="auto"/>
        </w:rPr>
      </w:pPr>
      <w:r>
        <w:rPr>
          <w:rFonts w:ascii="Arial" w:cs="Arial" w:eastAsia="Arial" w:hAnsi="Arial"/>
          <w:sz w:val="12"/>
          <w:szCs w:val="12"/>
          <w:u w:val="single" w:color="auto"/>
          <w:color w:val="0000EE"/>
        </w:rPr>
        <w:t>Table of Contents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have established disclosure controls and procedures, as such term is defined in Rule 13a-15(e) under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2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Our management, with the participation of our principal executive officer and principal financial officer, evaluated the effectiveness of our disclosure controls and procedures as of December 31, 2021. Based on this evaluation, our principal executive officer and principal financial officer concluded that our disclosure controls and procedures were effective as of December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Remediation of Previously Disclosed Material Weakness in Internal Control Over Financial Reporting</w:t>
      </w:r>
    </w:p>
    <w:p>
      <w:pPr>
        <w:spacing w:after="0" w:line="150"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As disclosed in “Part II. Item 9A. Controls and Procedures” in our Annual Report on Form 10-K for the year ended December 31, 2020, during the fourth quarter of 2020, we identified the following material weakness in our internal control over financial reporting. The Company had ineffective controls over the annual goodwill impairment assessment, specifically, the control activities over the determination of the carrying value to be used in the assessment of goodwill impairment did not operate effectively due to an insufficient complement of qualified personnel. Management initiated a plan to remediate the material weakness and implemented improvements to the design and operation of control activities and procedures associated with the determination of the carrying value to be used in the assessment of goodwill impairment, in addition to the hiring of incremental qualified personnel.</w:t>
      </w:r>
    </w:p>
    <w:p>
      <w:pPr>
        <w:spacing w:after="0" w:line="111"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During the quarter ended December 31, 2021, we completed our testing of the design and operating effectiveness of the actions discussed above. We have concluded that the enhanced control processes have now been designed, in addition to the hiring of incremental qualified personnel, so as to provide reasonable assurance as to their operating effectiveness, and, as a result, we believe that the material weakness described above was remediated as of December 31, 2021.</w:t>
      </w:r>
    </w:p>
    <w:p>
      <w:pPr>
        <w:spacing w:after="0" w:line="122"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Management believes that our consolidated financial statements included in this Annual Report on Form 10-K have been prepared in accordance with US GAAP. Our principal executive officer and principal financial officer have certified that, based on such officer’s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Management’s Annual Report on Internal Control Over Financial Reporting</w:t>
      </w:r>
    </w:p>
    <w:p>
      <w:pPr>
        <w:spacing w:after="0" w:line="145" w:lineRule="exact"/>
        <w:rPr>
          <w:sz w:val="20"/>
          <w:szCs w:val="20"/>
          <w:color w:val="auto"/>
        </w:rPr>
      </w:pPr>
    </w:p>
    <w:p>
      <w:pPr>
        <w:ind w:right="300"/>
        <w:spacing w:after="0" w:line="243" w:lineRule="auto"/>
        <w:rPr>
          <w:sz w:val="20"/>
          <w:szCs w:val="20"/>
          <w:color w:val="auto"/>
        </w:rPr>
      </w:pPr>
      <w:r>
        <w:rPr>
          <w:rFonts w:ascii="Arial" w:cs="Arial" w:eastAsia="Arial" w:hAnsi="Arial"/>
          <w:sz w:val="14"/>
          <w:szCs w:val="14"/>
          <w:color w:val="auto"/>
        </w:rPr>
        <w:t xml:space="preserve">Management </w:t>
      </w:r>
      <w:r>
        <w:rPr>
          <w:rFonts w:ascii="Arial" w:cs="Arial" w:eastAsia="Arial" w:hAnsi="Arial"/>
          <w:sz w:val="11"/>
          <w:szCs w:val="11"/>
          <w:color w:val="auto"/>
        </w:rPr>
        <w:t>is responsible for establishing and maintaining adequate internal control over financial reporting, as defined in Rule 13a-15(f) and 15d-15(f) under the Exchange Act. The Company’s internal control over financial</w:t>
      </w:r>
      <w:r>
        <w:rPr>
          <w:rFonts w:ascii="Arial" w:cs="Arial" w:eastAsia="Arial" w:hAnsi="Arial"/>
          <w:sz w:val="14"/>
          <w:szCs w:val="14"/>
          <w:color w:val="auto"/>
        </w:rPr>
        <w:t xml:space="preserve"> </w:t>
      </w:r>
      <w:r>
        <w:rPr>
          <w:rFonts w:ascii="Arial" w:cs="Arial" w:eastAsia="Arial" w:hAnsi="Arial"/>
          <w:sz w:val="11"/>
          <w:szCs w:val="11"/>
          <w:color w:val="auto"/>
        </w:rPr>
        <w:t>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r>
        <w:rPr>
          <w:rFonts w:ascii="Arial" w:cs="Arial" w:eastAsia="Arial" w:hAnsi="Arial"/>
          <w:sz w:val="14"/>
          <w:szCs w:val="14"/>
          <w:color w:val="auto"/>
        </w:rPr>
        <w:t>:</w:t>
      </w:r>
    </w:p>
    <w:p>
      <w:pPr>
        <w:spacing w:after="0" w:line="123" w:lineRule="exact"/>
        <w:rPr>
          <w:sz w:val="20"/>
          <w:szCs w:val="20"/>
          <w:color w:val="auto"/>
        </w:rPr>
      </w:pPr>
    </w:p>
    <w:p>
      <w:pPr>
        <w:ind w:left="5560" w:right="3000" w:hanging="5136"/>
        <w:spacing w:after="0" w:line="452" w:lineRule="auto"/>
        <w:tabs>
          <w:tab w:leader="none" w:pos="8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Pertain </w:t>
      </w:r>
      <w:r>
        <w:rPr>
          <w:rFonts w:ascii="Arial" w:cs="Arial" w:eastAsia="Arial" w:hAnsi="Arial"/>
          <w:sz w:val="11"/>
          <w:szCs w:val="11"/>
          <w:color w:val="auto"/>
        </w:rPr>
        <w:t>to the maintenance of records that in reasonable detail accurately and fairly reflect the transactions and dispositions of the assets of the Company</w:t>
      </w:r>
      <w:r>
        <w:rPr>
          <w:rFonts w:ascii="Arial" w:cs="Arial" w:eastAsia="Arial" w:hAnsi="Arial"/>
          <w:sz w:val="14"/>
          <w:szCs w:val="14"/>
          <w:color w:val="auto"/>
        </w:rPr>
        <w:t xml:space="preserve">; </w:t>
      </w:r>
      <w:r>
        <w:rPr>
          <w:rFonts w:ascii="Arial" w:cs="Arial" w:eastAsia="Arial" w:hAnsi="Arial"/>
          <w:sz w:val="11"/>
          <w:szCs w:val="1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-56515</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u w:val="single" w:color="auto"/>
          <w:color w:val="0000EE"/>
        </w:rPr>
        <w:t>Table of Contents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Provide </w:t>
      </w:r>
      <w:r>
        <w:rPr>
          <w:rFonts w:ascii="Arial" w:cs="Arial" w:eastAsia="Arial" w:hAnsi="Arial"/>
          <w:sz w:val="10"/>
          <w:szCs w:val="10"/>
          <w:color w:val="auto"/>
        </w:rPr>
        <w:t>reasonable assurance that transactions are recorded as necessary to permit preparation of financial statements in accordance with generally accepted accounting principles, and that receipts and expenditures of the Company are</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860" w:hanging="436"/>
        <w:spacing w:after="0"/>
        <w:tabs>
          <w:tab w:leader="none" w:pos="8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Provide </w:t>
      </w:r>
      <w:r>
        <w:rPr>
          <w:rFonts w:ascii="Arial" w:cs="Arial" w:eastAsia="Arial" w:hAnsi="Arial"/>
          <w:sz w:val="11"/>
          <w:szCs w:val="11"/>
          <w:color w:val="auto"/>
        </w:rPr>
        <w:t>reasonable assurance regarding prevention or timely detection of unauthorized acquisition, use or disposition of the Company’s assets that could have a material effect on the financial statements</w:t>
      </w:r>
      <w:r>
        <w:rPr>
          <w:rFonts w:ascii="Arial" w:cs="Arial" w:eastAsia="Arial" w:hAnsi="Arial"/>
          <w:sz w:val="14"/>
          <w:szCs w:val="14"/>
          <w:color w:val="auto"/>
        </w:rPr>
        <w:t>.</w:t>
      </w:r>
    </w:p>
    <w:p>
      <w:pPr>
        <w:spacing w:after="0" w:line="133" w:lineRule="exact"/>
        <w:rPr>
          <w:sz w:val="20"/>
          <w:szCs w:val="20"/>
          <w:color w:val="auto"/>
        </w:rPr>
      </w:pPr>
    </w:p>
    <w:p>
      <w:pPr>
        <w:ind w:right="440"/>
        <w:spacing w:after="0" w:line="273" w:lineRule="auto"/>
        <w:rPr>
          <w:sz w:val="20"/>
          <w:szCs w:val="20"/>
          <w:color w:val="auto"/>
        </w:rPr>
      </w:pPr>
      <w:r>
        <w:rPr>
          <w:rFonts w:ascii="Arial" w:cs="Arial" w:eastAsia="Arial" w:hAnsi="Arial"/>
          <w:sz w:val="14"/>
          <w:szCs w:val="14"/>
          <w:color w:val="auto"/>
        </w:rPr>
        <w:t xml:space="preserve">Because </w:t>
      </w:r>
      <w:r>
        <w:rPr>
          <w:rFonts w:ascii="Arial" w:cs="Arial" w:eastAsia="Arial" w:hAnsi="Arial"/>
          <w:sz w:val="11"/>
          <w:szCs w:val="11"/>
          <w:color w:val="auto"/>
        </w:rPr>
        <w:t>of its inherent limitations, internal control over financial reporting may not prevent or detect misstatements. Also, projections of any evaluation of effectiveness to future periods are subject to the risk that controls may</w:t>
      </w:r>
      <w:r>
        <w:rPr>
          <w:rFonts w:ascii="Arial" w:cs="Arial" w:eastAsia="Arial" w:hAnsi="Arial"/>
          <w:sz w:val="14"/>
          <w:szCs w:val="14"/>
          <w:color w:val="auto"/>
        </w:rPr>
        <w:t xml:space="preserve"> </w:t>
      </w:r>
      <w:r>
        <w:rPr>
          <w:rFonts w:ascii="Arial" w:cs="Arial" w:eastAsia="Arial" w:hAnsi="Arial"/>
          <w:sz w:val="11"/>
          <w:szCs w:val="11"/>
          <w:color w:val="auto"/>
        </w:rPr>
        <w:t>become inadequate because of changes in conditions, or the degree of compliance with the policies or procedures may deteriorate</w:t>
      </w:r>
      <w:r>
        <w:rPr>
          <w:rFonts w:ascii="Arial" w:cs="Arial" w:eastAsia="Arial" w:hAnsi="Arial"/>
          <w:sz w:val="14"/>
          <w:szCs w:val="14"/>
          <w:color w:val="auto"/>
        </w:rPr>
        <w:t>.</w:t>
      </w:r>
    </w:p>
    <w:p>
      <w:pPr>
        <w:spacing w:after="0" w:line="107" w:lineRule="exact"/>
        <w:rPr>
          <w:sz w:val="20"/>
          <w:szCs w:val="20"/>
          <w:color w:val="auto"/>
        </w:rPr>
      </w:pPr>
    </w:p>
    <w:p>
      <w:pPr>
        <w:ind w:right="240"/>
        <w:spacing w:after="0" w:line="272" w:lineRule="auto"/>
        <w:rPr>
          <w:sz w:val="20"/>
          <w:szCs w:val="20"/>
          <w:color w:val="auto"/>
        </w:rPr>
      </w:pPr>
      <w:r>
        <w:rPr>
          <w:rFonts w:ascii="Arial" w:cs="Arial" w:eastAsia="Arial" w:hAnsi="Arial"/>
          <w:sz w:val="12"/>
          <w:szCs w:val="12"/>
          <w:color w:val="auto"/>
        </w:rPr>
        <w:t xml:space="preserve">Our management, with the participation of our principal executive officer and principal financial officer, assessed the effectiveness of our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2"/>
          <w:szCs w:val="12"/>
          <w:i w:val="1"/>
          <w:iCs w:val="1"/>
          <w:color w:val="auto"/>
        </w:rPr>
        <w:t>Internal Control - Integrated Framework (2013)</w:t>
      </w:r>
      <w:r>
        <w:rPr>
          <w:rFonts w:ascii="Arial" w:cs="Arial" w:eastAsia="Arial" w:hAnsi="Arial"/>
          <w:sz w:val="14"/>
          <w:szCs w:val="14"/>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Based on this evaluation under the framework in Internal Control - Integrated Framework (2013) issued by COSO, management concluded the Company’s internal control over financial reporting was effective as of December 31, 2021.</w:t>
      </w:r>
    </w:p>
    <w:p>
      <w:pPr>
        <w:spacing w:after="0" w:line="173"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Company’s independent registered public accounting firm, KPMG LLP, who audited the consolidated financial statements included in this Annual Report on Form 10-K, has also audited the effectiveness of the Company’s internal control over financial reporting as of December 31, 2021. KPMG LLP’s report appears in Part II, Item 8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50"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Other than the changes made in response to the material weakness as described above, there have been no changes in our internal control over financial reporting, as such term is defined in Rule 13a-15(f) under the Exchange Act, during the quarter ended December 31, 2021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9C. Disclosure Regarding Foreign Jurisdictions that Prevent Inspections.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40"/>
          </w:cols>
          <w:pgMar w:left="300" w:top="131" w:right="25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u w:val="single" w:color="auto"/>
          <w:color w:val="0000EE"/>
        </w:rPr>
        <w:t>Table of Contents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Except as set forth below, the information required by this item is incorporated by reference from the definitive proxy statement to be filed within 120 days after December 31, 2021, pursuant to Regulation 14A under the Exchange Act in connection with our 2022 annual meeting of stockholders.</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have a code of ethics as defined in Item 406 of Regulation S-K, which code applies to all of our directors and employees, including our principal executive officer, principal financial officer, principal accounting officer or controller, and persons performing similar functions. A copy of this code of ethics, titled “Code of Business Conduct and Ethics and Whistleblower Policy,” is available free of charge in the </w:t>
      </w:r>
      <w:r>
        <w:rPr>
          <w:rFonts w:ascii="Arial" w:cs="Arial" w:eastAsia="Arial" w:hAnsi="Arial"/>
          <w:sz w:val="11"/>
          <w:szCs w:val="11"/>
          <w:i w:val="1"/>
          <w:iCs w:val="1"/>
          <w:color w:val="auto"/>
        </w:rPr>
        <w:t>Corporate Governance</w:t>
      </w:r>
      <w:r>
        <w:rPr>
          <w:rFonts w:ascii="Arial" w:cs="Arial" w:eastAsia="Arial" w:hAnsi="Arial"/>
          <w:sz w:val="11"/>
          <w:szCs w:val="11"/>
          <w:color w:val="auto"/>
        </w:rPr>
        <w:t xml:space="preserve"> section of the About Us page on our website at www.uniti.com. We intend to satisfy the disclosure requirements of Form 8-K regarding any amendment to, or a waiver from, any provision of our code of ethics by posting such amendment or waiver on our website.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8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2021, pursuant to Regulation 14A under the Exchange Act in connection with our 2022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Except as set forth below, the information required by this item is incorporated by reference from the definitive proxy statement to be filed within 120 days after December 31, 2021, pursuant to Regulation 14A under the Exchange Act in connection with our 2022 annual meeting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Securities Authorized for Issuance Under Equity Compensation Plans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contains information about our equity compensation plan as of December 31, 2021:</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E</w:t>
      </w:r>
      <w:r>
        <w:rPr>
          <w:rFonts w:ascii="Arial" w:cs="Arial" w:eastAsia="Arial" w:hAnsi="Arial"/>
          <w:sz w:val="7"/>
          <w:szCs w:val="7"/>
          <w:b w:val="1"/>
          <w:bCs w:val="1"/>
          <w:color w:val="auto"/>
        </w:rPr>
        <w:t>QUITY</w:t>
      </w:r>
      <w:r>
        <w:rPr>
          <w:rFonts w:ascii="Arial" w:cs="Arial" w:eastAsia="Arial" w:hAnsi="Arial"/>
          <w:sz w:val="11"/>
          <w:szCs w:val="11"/>
          <w:b w:val="1"/>
          <w:bCs w:val="1"/>
          <w:color w:val="auto"/>
        </w:rPr>
        <w:t xml:space="preserve"> C</w:t>
      </w:r>
      <w:r>
        <w:rPr>
          <w:rFonts w:ascii="Arial" w:cs="Arial" w:eastAsia="Arial" w:hAnsi="Arial"/>
          <w:sz w:val="7"/>
          <w:szCs w:val="7"/>
          <w:b w:val="1"/>
          <w:bCs w:val="1"/>
          <w:color w:val="auto"/>
        </w:rPr>
        <w:t>OMPENSATION</w:t>
      </w:r>
      <w:r>
        <w:rPr>
          <w:rFonts w:ascii="Arial" w:cs="Arial" w:eastAsia="Arial" w:hAnsi="Arial"/>
          <w:sz w:val="11"/>
          <w:szCs w:val="11"/>
          <w:b w:val="1"/>
          <w:bCs w:val="1"/>
          <w:color w:val="auto"/>
        </w:rPr>
        <w:t xml:space="preserve"> P</w:t>
      </w:r>
      <w:r>
        <w:rPr>
          <w:rFonts w:ascii="Arial" w:cs="Arial" w:eastAsia="Arial" w:hAnsi="Arial"/>
          <w:sz w:val="7"/>
          <w:szCs w:val="7"/>
          <w:b w:val="1"/>
          <w:bCs w:val="1"/>
          <w:color w:val="auto"/>
        </w:rPr>
        <w:t>LAN</w:t>
      </w:r>
      <w:r>
        <w:rPr>
          <w:rFonts w:ascii="Arial" w:cs="Arial" w:eastAsia="Arial" w:hAnsi="Arial"/>
          <w:sz w:val="11"/>
          <w:szCs w:val="11"/>
          <w:b w:val="1"/>
          <w:bCs w:val="1"/>
          <w:color w:val="auto"/>
        </w:rPr>
        <w:t xml:space="preserve"> I</w:t>
      </w:r>
      <w:r>
        <w:rPr>
          <w:rFonts w:ascii="Arial" w:cs="Arial" w:eastAsia="Arial" w:hAnsi="Arial"/>
          <w:sz w:val="7"/>
          <w:szCs w:val="7"/>
          <w:b w:val="1"/>
          <w:bCs w:val="1"/>
          <w:color w:val="auto"/>
        </w:rPr>
        <w:t>NFORMATION</w:t>
      </w:r>
    </w:p>
    <w:p>
      <w:pPr>
        <w:sectPr>
          <w:pgSz w:w="11900" w:h="16838" w:orient="portrait"/>
          <w:cols w:equalWidth="0" w:num="1">
            <w:col w:w="11280"/>
          </w:cols>
          <w:pgMar w:left="30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80"/>
        <w:spacing w:after="0"/>
        <w:rPr>
          <w:sz w:val="20"/>
          <w:szCs w:val="20"/>
          <w:color w:val="auto"/>
        </w:rPr>
      </w:pPr>
      <w:r>
        <w:rPr>
          <w:rFonts w:ascii="Arial" w:cs="Arial" w:eastAsia="Arial" w:hAnsi="Arial"/>
          <w:sz w:val="11"/>
          <w:szCs w:val="11"/>
          <w:b w:val="1"/>
          <w:bCs w:val="1"/>
          <w:color w:val="auto"/>
        </w:rPr>
        <w:t>Plan category</w:t>
      </w:r>
    </w:p>
    <w:p>
      <w:pPr>
        <w:spacing w:after="0" w:line="292" w:lineRule="exact"/>
        <w:rPr>
          <w:sz w:val="20"/>
          <w:szCs w:val="20"/>
          <w:color w:val="auto"/>
        </w:rPr>
      </w:pPr>
    </w:p>
    <w:p>
      <w:pPr>
        <w:jc w:val="center"/>
        <w:ind w:left="3120"/>
        <w:spacing w:after="0"/>
        <w:rPr>
          <w:sz w:val="20"/>
          <w:szCs w:val="20"/>
          <w:color w:val="auto"/>
        </w:rPr>
      </w:pPr>
      <w:r>
        <w:rPr>
          <w:rFonts w:ascii="Arial" w:cs="Arial" w:eastAsia="Arial" w:hAnsi="Arial"/>
          <w:sz w:val="9"/>
          <w:szCs w:val="9"/>
          <w:color w:val="auto"/>
        </w:rPr>
        <w:t>Equity compensation plans</w:t>
      </w:r>
    </w:p>
    <w:p>
      <w:pPr>
        <w:spacing w:after="0" w:line="33" w:lineRule="exact"/>
        <w:rPr>
          <w:sz w:val="20"/>
          <w:szCs w:val="20"/>
          <w:color w:val="auto"/>
        </w:rPr>
      </w:pPr>
    </w:p>
    <w:p>
      <w:pPr>
        <w:jc w:val="center"/>
        <w:ind w:left="3120"/>
        <w:spacing w:after="0"/>
        <w:rPr>
          <w:sz w:val="20"/>
          <w:szCs w:val="20"/>
          <w:color w:val="auto"/>
        </w:rPr>
      </w:pPr>
      <w:r>
        <w:rPr>
          <w:rFonts w:ascii="Arial" w:cs="Arial" w:eastAsia="Arial" w:hAnsi="Arial"/>
          <w:sz w:val="11"/>
          <w:szCs w:val="11"/>
          <w:color w:val="auto"/>
        </w:rPr>
        <w:t>approved by security</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1"/>
          <w:szCs w:val="11"/>
          <w:color w:val="auto"/>
        </w:rPr>
        <w:t>holders</w:t>
      </w:r>
    </w:p>
    <w:p>
      <w:pPr>
        <w:spacing w:after="0" w:line="142" w:lineRule="exact"/>
        <w:rPr>
          <w:sz w:val="20"/>
          <w:szCs w:val="20"/>
          <w:color w:val="auto"/>
        </w:rPr>
      </w:pPr>
    </w:p>
    <w:p>
      <w:pPr>
        <w:jc w:val="center"/>
        <w:ind w:left="3120"/>
        <w:spacing w:after="0"/>
        <w:rPr>
          <w:sz w:val="20"/>
          <w:szCs w:val="20"/>
          <w:color w:val="auto"/>
        </w:rPr>
      </w:pPr>
      <w:r>
        <w:rPr>
          <w:rFonts w:ascii="Arial" w:cs="Arial" w:eastAsia="Arial" w:hAnsi="Arial"/>
          <w:sz w:val="9"/>
          <w:szCs w:val="9"/>
          <w:color w:val="auto"/>
        </w:rPr>
        <w:t>Equity compensation plans</w:t>
      </w:r>
    </w:p>
    <w:p>
      <w:pPr>
        <w:spacing w:after="0" w:line="33" w:lineRule="exact"/>
        <w:rPr>
          <w:sz w:val="20"/>
          <w:szCs w:val="20"/>
          <w:color w:val="auto"/>
        </w:rPr>
      </w:pPr>
    </w:p>
    <w:p>
      <w:pPr>
        <w:jc w:val="center"/>
        <w:ind w:left="3120"/>
        <w:spacing w:after="0"/>
        <w:rPr>
          <w:sz w:val="20"/>
          <w:szCs w:val="20"/>
          <w:color w:val="auto"/>
        </w:rPr>
      </w:pPr>
      <w:r>
        <w:rPr>
          <w:rFonts w:ascii="Arial" w:cs="Arial" w:eastAsia="Arial" w:hAnsi="Arial"/>
          <w:sz w:val="10"/>
          <w:szCs w:val="10"/>
          <w:color w:val="auto"/>
        </w:rPr>
        <w:t>not approved by security</w:t>
      </w:r>
    </w:p>
    <w:p>
      <w:pPr>
        <w:spacing w:after="0" w:line="20" w:lineRule="exact"/>
        <w:rPr>
          <w:sz w:val="20"/>
          <w:szCs w:val="20"/>
          <w:color w:val="auto"/>
        </w:rPr>
      </w:pPr>
    </w:p>
    <w:p>
      <w:pPr>
        <w:jc w:val="center"/>
        <w:ind w:left="3120"/>
        <w:spacing w:after="0"/>
        <w:rPr>
          <w:sz w:val="20"/>
          <w:szCs w:val="20"/>
          <w:color w:val="auto"/>
        </w:rPr>
      </w:pPr>
      <w:r>
        <w:rPr>
          <w:rFonts w:ascii="Arial" w:cs="Arial" w:eastAsia="Arial" w:hAnsi="Arial"/>
          <w:sz w:val="11"/>
          <w:szCs w:val="11"/>
          <w:color w:val="auto"/>
        </w:rPr>
        <w:t>holders</w:t>
      </w:r>
    </w:p>
    <w:p>
      <w:pPr>
        <w:spacing w:after="0" w:line="286" w:lineRule="exact"/>
        <w:rPr>
          <w:sz w:val="20"/>
          <w:szCs w:val="20"/>
          <w:color w:val="auto"/>
        </w:rPr>
      </w:pPr>
    </w:p>
    <w:p>
      <w:pPr>
        <w:ind w:left="3580"/>
        <w:spacing w:after="0"/>
        <w:rPr>
          <w:sz w:val="20"/>
          <w:szCs w:val="20"/>
          <w:color w:val="auto"/>
        </w:rPr>
      </w:pPr>
      <w:r>
        <w:rPr>
          <w:rFonts w:ascii="Arial" w:cs="Arial" w:eastAsia="Arial" w:hAnsi="Arial"/>
          <w:sz w:val="11"/>
          <w:szCs w:val="11"/>
          <w:color w:val="auto"/>
        </w:rPr>
        <w:t>Total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18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Number of securities</w:t>
            </w:r>
          </w:p>
        </w:tc>
        <w:tc>
          <w:tcPr>
            <w:tcW w:w="1200" w:type="dxa"/>
            <w:vAlign w:val="bottom"/>
          </w:tcPr>
          <w:p>
            <w:pPr>
              <w:spacing w:after="0"/>
              <w:rPr>
                <w:sz w:val="11"/>
                <w:szCs w:val="11"/>
                <w:color w:val="auto"/>
              </w:rPr>
            </w:pP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7"/>
              </w:rPr>
              <w:t>Number of securities</w:t>
            </w:r>
          </w:p>
        </w:tc>
        <w:tc>
          <w:tcPr>
            <w:tcW w:w="0" w:type="dxa"/>
            <w:vAlign w:val="bottom"/>
          </w:tcPr>
          <w:p>
            <w:pPr>
              <w:spacing w:after="0"/>
              <w:rPr>
                <w:sz w:val="1"/>
                <w:szCs w:val="1"/>
                <w:color w:val="auto"/>
              </w:rPr>
            </w:pPr>
          </w:p>
        </w:tc>
      </w:tr>
      <w:tr>
        <w:trPr>
          <w:trHeight w:val="135"/>
        </w:trPr>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2"/>
              </w:rPr>
              <w:t>to be issued upon</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6"/>
              </w:rPr>
              <w:t>Weighted-average</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8"/>
              </w:rPr>
              <w:t>available for future issuance</w:t>
            </w:r>
          </w:p>
        </w:tc>
        <w:tc>
          <w:tcPr>
            <w:tcW w:w="0" w:type="dxa"/>
            <w:vAlign w:val="bottom"/>
          </w:tcPr>
          <w:p>
            <w:pPr>
              <w:spacing w:after="0"/>
              <w:rPr>
                <w:sz w:val="1"/>
                <w:szCs w:val="1"/>
                <w:color w:val="auto"/>
              </w:rPr>
            </w:pPr>
          </w:p>
        </w:tc>
      </w:tr>
      <w:tr>
        <w:trPr>
          <w:trHeight w:val="135"/>
        </w:trPr>
        <w:tc>
          <w:tcPr>
            <w:tcW w:w="1180" w:type="dxa"/>
            <w:vAlign w:val="bottom"/>
          </w:tcPr>
          <w:p>
            <w:pPr>
              <w:jc w:val="center"/>
              <w:ind w:right="6"/>
              <w:spacing w:after="0"/>
              <w:rPr>
                <w:sz w:val="20"/>
                <w:szCs w:val="20"/>
                <w:color w:val="auto"/>
              </w:rPr>
            </w:pPr>
            <w:r>
              <w:rPr>
                <w:rFonts w:ascii="Arial" w:cs="Arial" w:eastAsia="Arial" w:hAnsi="Arial"/>
                <w:sz w:val="11"/>
                <w:szCs w:val="11"/>
                <w:b w:val="1"/>
                <w:bCs w:val="1"/>
                <w:color w:val="auto"/>
                <w:w w:val="83"/>
              </w:rPr>
              <w:t>exercise of</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5"/>
              </w:rPr>
              <w:t>exercise price of</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6"/>
              </w:rPr>
              <w:t>under equity compensation</w:t>
            </w:r>
          </w:p>
        </w:tc>
        <w:tc>
          <w:tcPr>
            <w:tcW w:w="0" w:type="dxa"/>
            <w:vAlign w:val="bottom"/>
          </w:tcPr>
          <w:p>
            <w:pPr>
              <w:spacing w:after="0"/>
              <w:rPr>
                <w:sz w:val="1"/>
                <w:szCs w:val="1"/>
                <w:color w:val="auto"/>
              </w:rPr>
            </w:pPr>
          </w:p>
        </w:tc>
      </w:tr>
      <w:tr>
        <w:trPr>
          <w:trHeight w:val="135"/>
        </w:trPr>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6"/>
              </w:rPr>
              <w:t>outstanding options,</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6"/>
              </w:rPr>
              <w:t>outstanding options,</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4"/>
              </w:rPr>
              <w:t>plans (excluding securities</w:t>
            </w:r>
          </w:p>
        </w:tc>
        <w:tc>
          <w:tcPr>
            <w:tcW w:w="0" w:type="dxa"/>
            <w:vAlign w:val="bottom"/>
          </w:tcPr>
          <w:p>
            <w:pPr>
              <w:spacing w:after="0"/>
              <w:rPr>
                <w:sz w:val="1"/>
                <w:szCs w:val="1"/>
                <w:color w:val="auto"/>
              </w:rPr>
            </w:pPr>
          </w:p>
        </w:tc>
      </w:tr>
      <w:tr>
        <w:trPr>
          <w:trHeight w:val="142"/>
        </w:trPr>
        <w:tc>
          <w:tcPr>
            <w:tcW w:w="11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0"/>
              </w:rPr>
              <w:t>warrants and rights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warrants and rights</w:t>
            </w:r>
          </w:p>
        </w:tc>
        <w:tc>
          <w:tcPr>
            <w:tcW w:w="1500" w:type="dxa"/>
            <w:vAlign w:val="bottom"/>
            <w:tcBorders>
              <w:bottom w:val="single" w:sz="8" w:color="auto"/>
            </w:tcBorders>
          </w:tcPr>
          <w:p>
            <w:pPr>
              <w:jc w:val="center"/>
              <w:ind w:left="6"/>
              <w:spacing w:after="0"/>
              <w:rPr>
                <w:sz w:val="20"/>
                <w:szCs w:val="20"/>
                <w:color w:val="auto"/>
              </w:rPr>
            </w:pPr>
            <w:r>
              <w:rPr>
                <w:rFonts w:ascii="Arial" w:cs="Arial" w:eastAsia="Arial" w:hAnsi="Arial"/>
                <w:sz w:val="11"/>
                <w:szCs w:val="11"/>
                <w:b w:val="1"/>
                <w:bCs w:val="1"/>
                <w:color w:val="auto"/>
                <w:w w:val="89"/>
              </w:rPr>
              <w:t>reflected in column (a))</w:t>
            </w:r>
          </w:p>
        </w:tc>
        <w:tc>
          <w:tcPr>
            <w:tcW w:w="0" w:type="dxa"/>
            <w:vAlign w:val="bottom"/>
          </w:tcPr>
          <w:p>
            <w:pPr>
              <w:spacing w:after="0"/>
              <w:rPr>
                <w:sz w:val="1"/>
                <w:szCs w:val="1"/>
                <w:color w:val="auto"/>
              </w:rPr>
            </w:pPr>
          </w:p>
        </w:tc>
      </w:tr>
      <w:tr>
        <w:trPr>
          <w:trHeight w:val="131"/>
        </w:trPr>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(a)</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9"/>
              </w:rPr>
              <w:t>(b)</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427"/>
        </w:trPr>
        <w:tc>
          <w:tcPr>
            <w:tcW w:w="118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ind w:left="6"/>
              <w:spacing w:after="0"/>
              <w:rPr>
                <w:sz w:val="20"/>
                <w:szCs w:val="20"/>
                <w:color w:val="auto"/>
              </w:rPr>
            </w:pPr>
            <w:r>
              <w:rPr>
                <w:rFonts w:ascii="Arial" w:cs="Arial" w:eastAsia="Arial" w:hAnsi="Arial"/>
                <w:sz w:val="11"/>
                <w:szCs w:val="11"/>
                <w:color w:val="auto"/>
                <w:w w:val="86"/>
              </w:rPr>
              <w:t>4,421,751</w:t>
            </w:r>
            <w:r>
              <w:rPr>
                <w:rFonts w:ascii="Arial" w:cs="Arial" w:eastAsia="Arial" w:hAnsi="Arial"/>
                <w:sz w:val="18"/>
                <w:szCs w:val="18"/>
                <w:color w:val="auto"/>
                <w:w w:val="86"/>
                <w:vertAlign w:val="superscript"/>
              </w:rPr>
              <w:t>1</w:t>
            </w:r>
          </w:p>
        </w:tc>
        <w:tc>
          <w:tcPr>
            <w:tcW w:w="0" w:type="dxa"/>
            <w:vAlign w:val="bottom"/>
          </w:tcPr>
          <w:p>
            <w:pPr>
              <w:spacing w:after="0"/>
              <w:rPr>
                <w:sz w:val="1"/>
                <w:szCs w:val="1"/>
                <w:color w:val="auto"/>
              </w:rPr>
            </w:pPr>
          </w:p>
        </w:tc>
      </w:tr>
      <w:tr>
        <w:trPr>
          <w:trHeight w:val="32"/>
        </w:trPr>
        <w:tc>
          <w:tcPr>
            <w:tcW w:w="118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8"/>
        </w:trPr>
        <w:tc>
          <w:tcPr>
            <w:tcW w:w="118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ind w:left="6"/>
              <w:spacing w:after="0"/>
              <w:rPr>
                <w:sz w:val="20"/>
                <w:szCs w:val="20"/>
                <w:color w:val="auto"/>
              </w:rPr>
            </w:pPr>
            <w:r>
              <w:rPr>
                <w:rFonts w:ascii="Courier New" w:cs="Courier New" w:eastAsia="Courier New" w:hAnsi="Courier New"/>
                <w:sz w:val="11"/>
                <w:szCs w:val="11"/>
                <w:color w:val="auto"/>
              </w:rPr>
              <w:t>-</w:t>
            </w:r>
          </w:p>
        </w:tc>
        <w:tc>
          <w:tcPr>
            <w:tcW w:w="0" w:type="dxa"/>
            <w:vAlign w:val="bottom"/>
          </w:tcPr>
          <w:p>
            <w:pPr>
              <w:spacing w:after="0"/>
              <w:rPr>
                <w:sz w:val="1"/>
                <w:szCs w:val="1"/>
                <w:color w:val="auto"/>
              </w:rPr>
            </w:pPr>
          </w:p>
        </w:tc>
      </w:tr>
      <w:tr>
        <w:trPr>
          <w:trHeight w:val="283"/>
        </w:trPr>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8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ind w:left="6"/>
              <w:spacing w:after="0" w:line="125" w:lineRule="exact"/>
              <w:rPr>
                <w:sz w:val="20"/>
                <w:szCs w:val="20"/>
                <w:color w:val="auto"/>
              </w:rPr>
            </w:pPr>
            <w:r>
              <w:rPr>
                <w:rFonts w:ascii="Arial" w:cs="Arial" w:eastAsia="Arial" w:hAnsi="Arial"/>
                <w:sz w:val="11"/>
                <w:szCs w:val="11"/>
                <w:color w:val="auto"/>
                <w:w w:val="89"/>
              </w:rPr>
              <w:t>4,421,751</w:t>
            </w:r>
          </w:p>
        </w:tc>
        <w:tc>
          <w:tcPr>
            <w:tcW w:w="0" w:type="dxa"/>
            <w:vAlign w:val="bottom"/>
          </w:tcPr>
          <w:p>
            <w:pPr>
              <w:spacing w:after="0"/>
              <w:rPr>
                <w:sz w:val="1"/>
                <w:szCs w:val="1"/>
                <w:color w:val="auto"/>
              </w:rPr>
            </w:pPr>
          </w:p>
        </w:tc>
      </w:tr>
      <w:tr>
        <w:trPr>
          <w:trHeight w:val="58"/>
        </w:trPr>
        <w:tc>
          <w:tcPr>
            <w:tcW w:w="11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85725</wp:posOffset>
            </wp:positionV>
            <wp:extent cx="3251835" cy="182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3251835" cy="18288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280" w:space="40"/>
            <w:col w:w="6960"/>
          </w:cols>
          <w:pgMar w:left="300" w:top="131" w:right="319" w:bottom="1440" w:gutter="0" w:footer="0" w:header="0"/>
          <w:type w:val="continuous"/>
        </w:sectPr>
      </w:pPr>
    </w:p>
    <w:p>
      <w:pPr>
        <w:ind w:left="3380" w:right="3280" w:hanging="283"/>
        <w:spacing w:after="0" w:line="209" w:lineRule="auto"/>
        <w:tabs>
          <w:tab w:leader="none" w:pos="3380" w:val="left"/>
        </w:tabs>
        <w:numPr>
          <w:ilvl w:val="0"/>
          <w:numId w:val="28"/>
        </w:numPr>
        <w:rPr>
          <w:rFonts w:ascii="Arial" w:cs="Arial" w:eastAsia="Arial" w:hAnsi="Arial"/>
          <w:sz w:val="17"/>
          <w:szCs w:val="17"/>
          <w:color w:val="auto"/>
          <w:vertAlign w:val="superscript"/>
        </w:rPr>
      </w:pPr>
      <w:r>
        <w:rPr>
          <w:rFonts w:ascii="Arial" w:cs="Arial" w:eastAsia="Arial" w:hAnsi="Arial"/>
          <w:sz w:val="10"/>
          <w:szCs w:val="10"/>
          <w:color w:val="auto"/>
        </w:rPr>
        <w:t>Amount includes 2,676,776 shares available for issuance under the Uniti Group Inc. 2015 Equity Incentive Plan and 1,744,975 shares under the Uniti Group Inc. Employee Stock Purchase Plan.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2"/>
          <w:szCs w:val="12"/>
          <w:u w:val="single" w:color="auto"/>
          <w:color w:val="0000EE"/>
        </w:rPr>
        <w:t>Table of Contents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2021, pursuant to Regulation 14A under the Exchange Act in connection with our 2022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2021, pursuant to Regulation 14A under the Exchange Act in connection with our 2022 annual meeting of stockholders.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131" w:right="479"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u w:val="single" w:color="auto"/>
          <w:color w:val="0000EE"/>
        </w:rPr>
        <w:t>Table of Contents</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See Index to Consolidated Financial Statements in “Financial Statements and Supplementary Data.”</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 Schedules</w:t>
      </w:r>
    </w:p>
    <w:p>
      <w:pPr>
        <w:spacing w:after="0" w:line="8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Uniti Group Inc. Schedule I – Condensed Financial Information of the Registrant (Parent Company) Condensed Balance Sheets as of December 31, 2021 and 2020, and the related Condensed Statements of Comprehensive Income and Cash Flows for each of the three years in the period ended December 31, 2021, including the related notes, appearing on pages S-1, S-2, S-3, and S-4 of this report.</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Schedule II – Valuation and Qualifying Accounts for each of the three years in the period ended December 31, 2021 appearing on page S-5 of this report.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Schedule III – Schedule of Real Estate Investments and Accumulated Depreciation as of December 31, 2021 appearing on page S-6 of this report.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Index to Exhibits</w:t>
            </w: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2"/>
        </w:trPr>
        <w:tc>
          <w:tcPr>
            <w:tcW w:w="1600" w:type="dxa"/>
            <w:vAlign w:val="bottom"/>
            <w:gridSpan w:val="2"/>
          </w:tcPr>
          <w:p>
            <w:pPr>
              <w:ind w:left="320"/>
              <w:spacing w:after="0"/>
              <w:rPr>
                <w:sz w:val="20"/>
                <w:szCs w:val="20"/>
                <w:color w:val="auto"/>
              </w:rPr>
            </w:pPr>
            <w:r>
              <w:rPr>
                <w:rFonts w:ascii="Arial" w:cs="Arial" w:eastAsia="Arial" w:hAnsi="Arial"/>
                <w:sz w:val="12"/>
                <w:szCs w:val="12"/>
                <w:b w:val="1"/>
                <w:bCs w:val="1"/>
                <w:color w:val="auto"/>
              </w:rPr>
              <w:t>Exhibit No.</w:t>
            </w: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60" w:type="dxa"/>
            <w:vAlign w:val="bottom"/>
            <w:gridSpan w:val="12"/>
          </w:tcPr>
          <w:p>
            <w:pPr>
              <w:ind w:left="200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12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2.1</w:t>
            </w:r>
          </w:p>
        </w:tc>
        <w:tc>
          <w:tcPr>
            <w:tcW w:w="360" w:type="dxa"/>
            <w:vAlign w:val="bottom"/>
          </w:tcPr>
          <w:p>
            <w:pPr>
              <w:spacing w:after="0"/>
              <w:rPr>
                <w:sz w:val="10"/>
                <w:szCs w:val="10"/>
                <w:color w:val="auto"/>
              </w:rPr>
            </w:pPr>
          </w:p>
        </w:tc>
        <w:tc>
          <w:tcPr>
            <w:tcW w:w="9640" w:type="dxa"/>
            <w:vAlign w:val="bottom"/>
            <w:tcBorders>
              <w:top w:val="single" w:sz="8" w:color="auto"/>
              <w:bottom w:val="single" w:sz="8" w:color="0000EE"/>
            </w:tcBorders>
            <w:gridSpan w:val="12"/>
          </w:tcPr>
          <w:p>
            <w:pPr>
              <w:spacing w:after="0" w:line="120" w:lineRule="exact"/>
              <w:rPr>
                <w:rFonts w:ascii="Arial" w:cs="Arial" w:eastAsia="Arial" w:hAnsi="Arial"/>
                <w:sz w:val="12"/>
                <w:szCs w:val="12"/>
                <w:color w:val="0000EE"/>
                <w:w w:val="91"/>
              </w:rPr>
            </w:pPr>
            <w:hyperlink r:id="rId158">
              <w:r>
                <w:rPr>
                  <w:rFonts w:ascii="Arial" w:cs="Arial" w:eastAsia="Arial" w:hAnsi="Arial"/>
                  <w:sz w:val="12"/>
                  <w:szCs w:val="12"/>
                  <w:color w:val="0000EE"/>
                  <w:w w:val="91"/>
                </w:rPr>
                <w:t>Separation and Distribution Agreement, dated as of March 26, 2015, by and among Windstream Holdings, Inc., Windstream Services, LLC and Communications Sales &amp; Leasing, Inc. (incorporated by</w:t>
              </w:r>
            </w:hyperlink>
          </w:p>
        </w:tc>
        <w:tc>
          <w:tcPr>
            <w:tcW w:w="80" w:type="dxa"/>
            <w:vAlign w:val="bottom"/>
            <w:tcBorders>
              <w:top w:val="single" w:sz="8" w:color="auto"/>
            </w:tcBorders>
            <w:gridSpan w:val="2"/>
          </w:tcPr>
          <w:p>
            <w:pPr>
              <w:spacing w:after="0"/>
              <w:rPr>
                <w:sz w:val="10"/>
                <w:szCs w:val="10"/>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980" w:type="dxa"/>
            <w:vAlign w:val="bottom"/>
            <w:tcBorders>
              <w:bottom w:val="single" w:sz="8" w:color="0000EE"/>
            </w:tcBorders>
            <w:gridSpan w:val="6"/>
          </w:tcPr>
          <w:p>
            <w:pPr>
              <w:spacing w:after="0" w:line="124" w:lineRule="exact"/>
              <w:rPr>
                <w:rFonts w:ascii="Arial" w:cs="Arial" w:eastAsia="Arial" w:hAnsi="Arial"/>
                <w:sz w:val="12"/>
                <w:szCs w:val="12"/>
                <w:color w:val="0000EE"/>
                <w:w w:val="91"/>
              </w:rPr>
            </w:pPr>
            <w:hyperlink r:id="rId158">
              <w:r>
                <w:rPr>
                  <w:rFonts w:ascii="Arial" w:cs="Arial" w:eastAsia="Arial" w:hAnsi="Arial"/>
                  <w:sz w:val="12"/>
                  <w:szCs w:val="12"/>
                  <w:color w:val="0000EE"/>
                  <w:w w:val="91"/>
                </w:rPr>
                <w:t>reference to Exhibit 2.1 to the Company’s Current Report on Form 8-K dated and filed with the SEC as of March 26, 2015 (File No. 001-36708))</w:t>
              </w:r>
            </w:hyperlink>
          </w:p>
        </w:tc>
        <w:tc>
          <w:tcPr>
            <w:tcW w:w="2740" w:type="dxa"/>
            <w:vAlign w:val="bottom"/>
            <w:gridSpan w:val="8"/>
          </w:tcPr>
          <w:p>
            <w:pPr>
              <w:spacing w:after="0"/>
              <w:rPr>
                <w:sz w:val="10"/>
                <w:szCs w:val="10"/>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2.2</w:t>
            </w:r>
          </w:p>
        </w:tc>
        <w:tc>
          <w:tcPr>
            <w:tcW w:w="360" w:type="dxa"/>
            <w:vAlign w:val="bottom"/>
          </w:tcPr>
          <w:p>
            <w:pPr>
              <w:spacing w:after="0"/>
              <w:rPr>
                <w:sz w:val="12"/>
                <w:szCs w:val="12"/>
                <w:color w:val="auto"/>
              </w:rPr>
            </w:pPr>
          </w:p>
        </w:tc>
        <w:tc>
          <w:tcPr>
            <w:tcW w:w="9720" w:type="dxa"/>
            <w:vAlign w:val="bottom"/>
            <w:tcBorders>
              <w:bottom w:val="single" w:sz="8" w:color="0000EE"/>
            </w:tcBorders>
            <w:gridSpan w:val="14"/>
          </w:tcPr>
          <w:p>
            <w:pPr>
              <w:spacing w:after="0"/>
              <w:rPr>
                <w:rFonts w:ascii="Arial" w:cs="Arial" w:eastAsia="Arial" w:hAnsi="Arial"/>
                <w:sz w:val="12"/>
                <w:szCs w:val="12"/>
                <w:color w:val="0000EE"/>
                <w:w w:val="91"/>
              </w:rPr>
            </w:pPr>
            <w:hyperlink r:id="rId159">
              <w:r>
                <w:rPr>
                  <w:rFonts w:ascii="Arial" w:cs="Arial" w:eastAsia="Arial" w:hAnsi="Arial"/>
                  <w:sz w:val="12"/>
                  <w:szCs w:val="12"/>
                  <w:color w:val="0000EE"/>
                  <w:w w:val="91"/>
                </w:rPr>
                <w:t>Agreement and Plan of Merger, dated as of January 7, 2016, by and among Communications Sales &amp; Leasing, Inc., CSL Bandwidth Inc., Penn Merger Sub, LLC, PEG Bandwidth, LLC, PEG Bandwidth</w:t>
              </w:r>
            </w:hyperlink>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0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159">
              <w:r>
                <w:rPr>
                  <w:rFonts w:ascii="Arial" w:cs="Arial" w:eastAsia="Arial" w:hAnsi="Arial"/>
                  <w:sz w:val="12"/>
                  <w:szCs w:val="12"/>
                  <w:color w:val="0000EE"/>
                  <w:w w:val="91"/>
                </w:rPr>
                <w:t>Holdings, LLC, and PEG Bandwidth Holdings, LLC, as Unitholders’ Representative (incorporated by reference to Exhibit 2.1 to the Company’s Current Report on Form 8-K dated and filed with the</w:t>
              </w:r>
            </w:hyperlink>
          </w:p>
        </w:tc>
        <w:tc>
          <w:tcPr>
            <w:tcW w:w="220" w:type="dxa"/>
            <w:vAlign w:val="bottom"/>
            <w:gridSpan w:val="6"/>
          </w:tcPr>
          <w:p>
            <w:pPr>
              <w:spacing w:after="0"/>
              <w:rPr>
                <w:sz w:val="10"/>
                <w:szCs w:val="10"/>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20" w:type="dxa"/>
            <w:vAlign w:val="bottom"/>
            <w:tcBorders>
              <w:bottom w:val="single" w:sz="8" w:color="0000EE"/>
            </w:tcBorders>
          </w:tcPr>
          <w:p>
            <w:pPr>
              <w:spacing w:after="0" w:line="124" w:lineRule="exact"/>
              <w:rPr>
                <w:rFonts w:ascii="Arial" w:cs="Arial" w:eastAsia="Arial" w:hAnsi="Arial"/>
                <w:sz w:val="12"/>
                <w:szCs w:val="12"/>
                <w:color w:val="0000EE"/>
                <w:w w:val="89"/>
              </w:rPr>
            </w:pPr>
            <w:hyperlink r:id="rId159">
              <w:r>
                <w:rPr>
                  <w:rFonts w:ascii="Arial" w:cs="Arial" w:eastAsia="Arial" w:hAnsi="Arial"/>
                  <w:sz w:val="12"/>
                  <w:szCs w:val="12"/>
                  <w:color w:val="0000EE"/>
                  <w:w w:val="89"/>
                </w:rPr>
                <w:t>SEC as of January 12, 2016 (File No. 001-36708))</w:t>
              </w:r>
            </w:hyperlink>
          </w:p>
        </w:tc>
        <w:tc>
          <w:tcPr>
            <w:tcW w:w="7300" w:type="dxa"/>
            <w:vAlign w:val="bottom"/>
            <w:gridSpan w:val="13"/>
          </w:tcPr>
          <w:p>
            <w:pPr>
              <w:spacing w:after="0"/>
              <w:rPr>
                <w:sz w:val="10"/>
                <w:szCs w:val="10"/>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2.3**</w:t>
            </w:r>
          </w:p>
        </w:tc>
        <w:tc>
          <w:tcPr>
            <w:tcW w:w="360" w:type="dxa"/>
            <w:vAlign w:val="bottom"/>
          </w:tcPr>
          <w:p>
            <w:pPr>
              <w:spacing w:after="0"/>
              <w:rPr>
                <w:sz w:val="12"/>
                <w:szCs w:val="12"/>
                <w:color w:val="auto"/>
              </w:rPr>
            </w:pPr>
          </w:p>
        </w:tc>
        <w:tc>
          <w:tcPr>
            <w:tcW w:w="9580" w:type="dxa"/>
            <w:vAlign w:val="bottom"/>
            <w:tcBorders>
              <w:bottom w:val="single" w:sz="8" w:color="0000EE"/>
            </w:tcBorders>
            <w:gridSpan w:val="9"/>
          </w:tcPr>
          <w:p>
            <w:pPr>
              <w:spacing w:after="0"/>
              <w:rPr>
                <w:rFonts w:ascii="Arial" w:cs="Arial" w:eastAsia="Arial" w:hAnsi="Arial"/>
                <w:sz w:val="12"/>
                <w:szCs w:val="12"/>
                <w:color w:val="0000EE"/>
                <w:w w:val="90"/>
              </w:rPr>
            </w:pPr>
            <w:hyperlink r:id="rId160">
              <w:r>
                <w:rPr>
                  <w:rFonts w:ascii="Arial" w:cs="Arial" w:eastAsia="Arial" w:hAnsi="Arial"/>
                  <w:sz w:val="12"/>
                  <w:szCs w:val="12"/>
                  <w:color w:val="0000EE"/>
                  <w:w w:val="90"/>
                </w:rPr>
                <w:t>Agreement and Plan of Merger, dated as of June 20, 2016, by and among Communications Sales &amp; Leasing, Inc., CSL Fiber Holdings LLC, Thor Merger Sub, Inc., Tower Cloud, Inc. and Shareholder</w:t>
              </w:r>
            </w:hyperlink>
          </w:p>
        </w:tc>
        <w:tc>
          <w:tcPr>
            <w:tcW w:w="140" w:type="dxa"/>
            <w:vAlign w:val="bottom"/>
            <w:gridSpan w:val="5"/>
          </w:tcPr>
          <w:p>
            <w:pPr>
              <w:spacing w:after="0"/>
              <w:rPr>
                <w:sz w:val="12"/>
                <w:szCs w:val="12"/>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160">
              <w:r>
                <w:rPr>
                  <w:rFonts w:ascii="Arial" w:cs="Arial" w:eastAsia="Arial" w:hAnsi="Arial"/>
                  <w:sz w:val="12"/>
                  <w:szCs w:val="12"/>
                  <w:color w:val="0000EE"/>
                  <w:w w:val="91"/>
                </w:rPr>
                <w:t>Representative Services LLC, as representative of the equityholders of Tower Cloud, Inc. (incorporated by reference to Exhibit 2.1 to the Company’s Quarterly Report on Form 10-Q dated and filed with</w:t>
              </w:r>
            </w:hyperlink>
          </w:p>
        </w:tc>
        <w:tc>
          <w:tcPr>
            <w:tcW w:w="20" w:type="dxa"/>
            <w:vAlign w:val="bottom"/>
          </w:tcPr>
          <w:p>
            <w:pPr>
              <w:spacing w:after="0"/>
              <w:rPr>
                <w:sz w:val="10"/>
                <w:szCs w:val="10"/>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4"/>
          </w:tcPr>
          <w:p>
            <w:pPr>
              <w:spacing w:after="0" w:line="124" w:lineRule="exact"/>
              <w:rPr>
                <w:rFonts w:ascii="Arial" w:cs="Arial" w:eastAsia="Arial" w:hAnsi="Arial"/>
                <w:sz w:val="12"/>
                <w:szCs w:val="12"/>
                <w:color w:val="0000EE"/>
              </w:rPr>
            </w:pPr>
            <w:hyperlink r:id="rId160">
              <w:r>
                <w:rPr>
                  <w:rFonts w:ascii="Arial" w:cs="Arial" w:eastAsia="Arial" w:hAnsi="Arial"/>
                  <w:sz w:val="12"/>
                  <w:szCs w:val="12"/>
                  <w:color w:val="0000EE"/>
                </w:rPr>
                <w:t>the SEC as of August 11, 2016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2.4</w:t>
            </w:r>
          </w:p>
        </w:tc>
        <w:tc>
          <w:tcPr>
            <w:tcW w:w="360" w:type="dxa"/>
            <w:vAlign w:val="bottom"/>
          </w:tcPr>
          <w:p>
            <w:pPr>
              <w:spacing w:after="0"/>
              <w:rPr>
                <w:sz w:val="12"/>
                <w:szCs w:val="12"/>
                <w:color w:val="auto"/>
              </w:rPr>
            </w:pPr>
          </w:p>
        </w:tc>
        <w:tc>
          <w:tcPr>
            <w:tcW w:w="9600" w:type="dxa"/>
            <w:vAlign w:val="bottom"/>
            <w:tcBorders>
              <w:bottom w:val="single" w:sz="8" w:color="0000EE"/>
            </w:tcBorders>
            <w:gridSpan w:val="10"/>
          </w:tcPr>
          <w:p>
            <w:pPr>
              <w:spacing w:after="0"/>
              <w:rPr>
                <w:rFonts w:ascii="Arial" w:cs="Arial" w:eastAsia="Arial" w:hAnsi="Arial"/>
                <w:sz w:val="12"/>
                <w:szCs w:val="12"/>
                <w:color w:val="0000EE"/>
                <w:w w:val="90"/>
              </w:rPr>
            </w:pPr>
            <w:hyperlink r:id="rId161">
              <w:r>
                <w:rPr>
                  <w:rFonts w:ascii="Arial" w:cs="Arial" w:eastAsia="Arial" w:hAnsi="Arial"/>
                  <w:sz w:val="12"/>
                  <w:szCs w:val="12"/>
                  <w:color w:val="0000EE"/>
                  <w:w w:val="90"/>
                </w:rPr>
                <w:t>First Amendment, dated as of August 11, 2016, to the Agreement and Plan of Merger, dated as of June 20, 2016, by and among Communications Sales &amp; Leasing, Inc., CSL Fiber Holdings LLC, Thor</w:t>
              </w:r>
            </w:hyperlink>
          </w:p>
        </w:tc>
        <w:tc>
          <w:tcPr>
            <w:tcW w:w="120" w:type="dxa"/>
            <w:vAlign w:val="bottom"/>
            <w:gridSpan w:val="4"/>
          </w:tcPr>
          <w:p>
            <w:pPr>
              <w:spacing w:after="0"/>
              <w:rPr>
                <w:sz w:val="12"/>
                <w:szCs w:val="12"/>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Borders>
              <w:bottom w:val="single" w:sz="8" w:color="0000EE"/>
            </w:tcBorders>
            <w:gridSpan w:val="7"/>
          </w:tcPr>
          <w:p>
            <w:pPr>
              <w:spacing w:after="0" w:line="124" w:lineRule="exact"/>
              <w:rPr>
                <w:rFonts w:ascii="Arial" w:cs="Arial" w:eastAsia="Arial" w:hAnsi="Arial"/>
                <w:sz w:val="12"/>
                <w:szCs w:val="12"/>
                <w:color w:val="0000EE"/>
                <w:w w:val="90"/>
              </w:rPr>
            </w:pPr>
            <w:hyperlink r:id="rId161">
              <w:r>
                <w:rPr>
                  <w:rFonts w:ascii="Arial" w:cs="Arial" w:eastAsia="Arial" w:hAnsi="Arial"/>
                  <w:sz w:val="12"/>
                  <w:szCs w:val="12"/>
                  <w:color w:val="0000EE"/>
                  <w:w w:val="90"/>
                </w:rPr>
                <w:t>Merger Sub, Inc., Tower Cloud, Inc. and Shareholder Representative Services LLC, as representative of the equityholders of Tower Cloud, Inc. (incorporated by reference to Exhibit 2.2 to the</w:t>
              </w:r>
            </w:hyperlink>
          </w:p>
        </w:tc>
        <w:tc>
          <w:tcPr>
            <w:tcW w:w="560" w:type="dxa"/>
            <w:vAlign w:val="bottom"/>
            <w:gridSpan w:val="7"/>
          </w:tcPr>
          <w:p>
            <w:pPr>
              <w:spacing w:after="0"/>
              <w:rPr>
                <w:sz w:val="10"/>
                <w:szCs w:val="10"/>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70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r:id="rId161">
              <w:r>
                <w:rPr>
                  <w:rFonts w:ascii="Arial" w:cs="Arial" w:eastAsia="Arial" w:hAnsi="Arial"/>
                  <w:sz w:val="12"/>
                  <w:szCs w:val="12"/>
                  <w:color w:val="0000EE"/>
                  <w:w w:val="91"/>
                </w:rPr>
                <w:t>Company’s Quarterly Report on Form 10-Q dated and filed with the SEC as of August 11, 2016 (File No. 001-36708))</w:t>
              </w:r>
            </w:hyperlink>
          </w:p>
        </w:tc>
        <w:tc>
          <w:tcPr>
            <w:tcW w:w="4020" w:type="dxa"/>
            <w:vAlign w:val="bottom"/>
            <w:gridSpan w:val="9"/>
          </w:tcPr>
          <w:p>
            <w:pPr>
              <w:spacing w:after="0"/>
              <w:rPr>
                <w:sz w:val="10"/>
                <w:szCs w:val="10"/>
                <w:color w:val="auto"/>
              </w:rPr>
            </w:pPr>
          </w:p>
        </w:tc>
      </w:tr>
      <w:tr>
        <w:trPr>
          <w:trHeight w:val="214"/>
        </w:trPr>
        <w:tc>
          <w:tcPr>
            <w:tcW w:w="1240" w:type="dxa"/>
            <w:vAlign w:val="bottom"/>
          </w:tcPr>
          <w:p>
            <w:pPr>
              <w:spacing w:after="0"/>
              <w:rPr>
                <w:sz w:val="20"/>
                <w:szCs w:val="20"/>
                <w:color w:val="auto"/>
              </w:rPr>
            </w:pPr>
            <w:r>
              <w:rPr>
                <w:rFonts w:ascii="Arial" w:cs="Arial" w:eastAsia="Arial" w:hAnsi="Arial"/>
                <w:sz w:val="12"/>
                <w:szCs w:val="12"/>
                <w:color w:val="auto"/>
              </w:rPr>
              <w:t>2.5</w:t>
            </w:r>
          </w:p>
        </w:tc>
        <w:tc>
          <w:tcPr>
            <w:tcW w:w="360" w:type="dxa"/>
            <w:vAlign w:val="bottom"/>
          </w:tcPr>
          <w:p>
            <w:pPr>
              <w:spacing w:after="0"/>
              <w:rPr>
                <w:sz w:val="18"/>
                <w:szCs w:val="18"/>
                <w:color w:val="auto"/>
              </w:rPr>
            </w:pPr>
          </w:p>
        </w:tc>
        <w:tc>
          <w:tcPr>
            <w:tcW w:w="9640" w:type="dxa"/>
            <w:vAlign w:val="bottom"/>
            <w:tcBorders>
              <w:bottom w:val="single" w:sz="8" w:color="0000EE"/>
            </w:tcBorders>
            <w:gridSpan w:val="12"/>
          </w:tcPr>
          <w:p>
            <w:pPr>
              <w:spacing w:after="0"/>
              <w:rPr>
                <w:rFonts w:ascii="Arial" w:cs="Arial" w:eastAsia="Arial" w:hAnsi="Arial"/>
                <w:sz w:val="12"/>
                <w:szCs w:val="12"/>
                <w:color w:val="0000EE"/>
                <w:w w:val="91"/>
              </w:rPr>
            </w:pPr>
            <w:hyperlink r:id="rId162">
              <w:r>
                <w:rPr>
                  <w:rFonts w:ascii="Arial" w:cs="Arial" w:eastAsia="Arial" w:hAnsi="Arial"/>
                  <w:sz w:val="12"/>
                  <w:szCs w:val="12"/>
                  <w:color w:val="0000EE"/>
                  <w:w w:val="91"/>
                </w:rPr>
                <w:t>Membership Interests Purchase Agreement, dated as of April 7, 2017, by and among Uniti Group Inc., Uniti Fiber Holdings Inc. and SLF Holdings, LLC (incorporated by reference to Exhibit 2.1 to the</w:t>
              </w:r>
            </w:hyperlink>
          </w:p>
        </w:tc>
        <w:tc>
          <w:tcPr>
            <w:tcW w:w="80" w:type="dxa"/>
            <w:vAlign w:val="bottom"/>
            <w:gridSpan w:val="2"/>
          </w:tcPr>
          <w:p>
            <w:pPr>
              <w:spacing w:after="0"/>
              <w:rPr>
                <w:sz w:val="18"/>
                <w:szCs w:val="18"/>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4"/>
          </w:tcPr>
          <w:p>
            <w:pPr>
              <w:spacing w:after="0" w:line="124" w:lineRule="exact"/>
              <w:rPr>
                <w:rFonts w:ascii="Arial" w:cs="Arial" w:eastAsia="Arial" w:hAnsi="Arial"/>
                <w:sz w:val="12"/>
                <w:szCs w:val="12"/>
                <w:color w:val="0000EE"/>
              </w:rPr>
            </w:pPr>
            <w:hyperlink r:id="rId162">
              <w:r>
                <w:rPr>
                  <w:rFonts w:ascii="Arial" w:cs="Arial" w:eastAsia="Arial" w:hAnsi="Arial"/>
                  <w:sz w:val="12"/>
                  <w:szCs w:val="12"/>
                  <w:color w:val="0000EE"/>
                </w:rPr>
                <w:t>Company’s Current Report on Form 8-K dated and filed with the SEC as of April 11, 2017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2.6</w:t>
            </w:r>
          </w:p>
        </w:tc>
        <w:tc>
          <w:tcPr>
            <w:tcW w:w="360" w:type="dxa"/>
            <w:vAlign w:val="bottom"/>
          </w:tcPr>
          <w:p>
            <w:pPr>
              <w:spacing w:after="0"/>
              <w:rPr>
                <w:sz w:val="12"/>
                <w:szCs w:val="12"/>
                <w:color w:val="auto"/>
              </w:rPr>
            </w:pPr>
          </w:p>
        </w:tc>
        <w:tc>
          <w:tcPr>
            <w:tcW w:w="9620" w:type="dxa"/>
            <w:vAlign w:val="bottom"/>
            <w:tcBorders>
              <w:bottom w:val="single" w:sz="8" w:color="0000EE"/>
            </w:tcBorders>
            <w:gridSpan w:val="11"/>
          </w:tcPr>
          <w:p>
            <w:pPr>
              <w:spacing w:after="0"/>
              <w:rPr>
                <w:rFonts w:ascii="Arial" w:cs="Arial" w:eastAsia="Arial" w:hAnsi="Arial"/>
                <w:sz w:val="12"/>
                <w:szCs w:val="12"/>
                <w:color w:val="0000EE"/>
                <w:w w:val="91"/>
              </w:rPr>
            </w:pPr>
            <w:hyperlink r:id="rId163">
              <w:r>
                <w:rPr>
                  <w:rFonts w:ascii="Arial" w:cs="Arial" w:eastAsia="Arial" w:hAnsi="Arial"/>
                  <w:sz w:val="12"/>
                  <w:szCs w:val="12"/>
                  <w:color w:val="0000EE"/>
                  <w:w w:val="91"/>
                </w:rPr>
                <w:t>Amended and Restated Agreement of Limited Partnership of Uniti Group LP, dated July 3, 2017, by and between Uniti Group Inc. and Uniti Group LP LLC (incorporated by reference to Exhibit 2.1 to</w:t>
              </w:r>
            </w:hyperlink>
          </w:p>
        </w:tc>
        <w:tc>
          <w:tcPr>
            <w:tcW w:w="100" w:type="dxa"/>
            <w:vAlign w:val="bottom"/>
            <w:gridSpan w:val="3"/>
          </w:tcPr>
          <w:p>
            <w:pPr>
              <w:spacing w:after="0"/>
              <w:rPr>
                <w:sz w:val="12"/>
                <w:szCs w:val="12"/>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4"/>
          </w:tcPr>
          <w:p>
            <w:pPr>
              <w:spacing w:after="0" w:line="124" w:lineRule="exact"/>
              <w:rPr>
                <w:rFonts w:ascii="Arial" w:cs="Arial" w:eastAsia="Arial" w:hAnsi="Arial"/>
                <w:sz w:val="12"/>
                <w:szCs w:val="12"/>
                <w:color w:val="0000EE"/>
              </w:rPr>
            </w:pPr>
            <w:hyperlink r:id="rId163">
              <w:r>
                <w:rPr>
                  <w:rFonts w:ascii="Arial" w:cs="Arial" w:eastAsia="Arial" w:hAnsi="Arial"/>
                  <w:sz w:val="12"/>
                  <w:szCs w:val="12"/>
                  <w:color w:val="0000EE"/>
                </w:rPr>
                <w:t>the Company’s Current Report on Form 8-K dated and filed with the SEC as of July 3, 2017 (File No. 001-36708))</w:t>
              </w:r>
            </w:hyperlink>
          </w:p>
        </w:tc>
      </w:tr>
      <w:tr>
        <w:trPr>
          <w:trHeight w:val="304"/>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40" w:type="dxa"/>
            <w:vAlign w:val="bottom"/>
            <w:tcBorders>
              <w:top w:val="single" w:sz="8" w:color="0000EE"/>
            </w:tcBorders>
            <w:gridSpan w:val="3"/>
          </w:tcPr>
          <w:p>
            <w:pPr>
              <w:ind w:left="3960"/>
              <w:spacing w:after="0"/>
              <w:rPr>
                <w:sz w:val="20"/>
                <w:szCs w:val="20"/>
                <w:color w:val="auto"/>
              </w:rPr>
            </w:pPr>
            <w:r>
              <w:rPr>
                <w:rFonts w:ascii="Arial" w:cs="Arial" w:eastAsia="Arial" w:hAnsi="Arial"/>
                <w:sz w:val="12"/>
                <w:szCs w:val="12"/>
                <w:color w:val="auto"/>
              </w:rPr>
              <w:t>122</w:t>
            </w: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2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38"/>
        </w:trPr>
        <w:tc>
          <w:tcPr>
            <w:tcW w:w="160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20" w:type="dxa"/>
            <w:vAlign w:val="bottom"/>
            <w:gridSpan w:val="13"/>
          </w:tcPr>
          <w:p>
            <w:pPr>
              <w:ind w:left="1260"/>
              <w:spacing w:after="0"/>
              <w:rPr>
                <w:sz w:val="20"/>
                <w:szCs w:val="20"/>
                <w:color w:val="auto"/>
              </w:rPr>
            </w:pPr>
            <w:r>
              <w:rPr>
                <w:rFonts w:ascii="Arial" w:cs="Arial" w:eastAsia="Arial" w:hAnsi="Arial"/>
                <w:sz w:val="12"/>
                <w:szCs w:val="12"/>
                <w:b w:val="1"/>
                <w:bCs w:val="1"/>
                <w:color w:val="auto"/>
              </w:rPr>
              <w:t>Description</w:t>
            </w:r>
          </w:p>
        </w:tc>
      </w:tr>
      <w:tr>
        <w:trPr>
          <w:trHeight w:val="119"/>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3.1</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680" w:type="dxa"/>
            <w:vAlign w:val="bottom"/>
            <w:tcBorders>
              <w:top w:val="single" w:sz="8" w:color="auto"/>
              <w:bottom w:val="single" w:sz="8" w:color="0000EE"/>
            </w:tcBorders>
            <w:gridSpan w:val="23"/>
          </w:tcPr>
          <w:p>
            <w:pPr>
              <w:spacing w:after="0" w:line="120" w:lineRule="exact"/>
              <w:rPr>
                <w:rFonts w:ascii="Arial" w:cs="Arial" w:eastAsia="Arial" w:hAnsi="Arial"/>
                <w:sz w:val="12"/>
                <w:szCs w:val="12"/>
                <w:color w:val="0000EE"/>
                <w:w w:val="91"/>
              </w:rPr>
            </w:pPr>
            <w:hyperlink r:id="rId166">
              <w:r>
                <w:rPr>
                  <w:rFonts w:ascii="Arial" w:cs="Arial" w:eastAsia="Arial" w:hAnsi="Arial"/>
                  <w:sz w:val="12"/>
                  <w:szCs w:val="12"/>
                  <w:color w:val="0000EE"/>
                  <w:w w:val="91"/>
                </w:rPr>
                <w:t>Articles of Amendment and Restatement of Communications Sales &amp; Leasing, Inc. (incorporated by reference to Exhibit 3.1 to the Company’s Current Report on Form 8-K dated and filed with the SEC</w:t>
              </w:r>
            </w:hyperlink>
          </w:p>
        </w:tc>
        <w:tc>
          <w:tcPr>
            <w:tcW w:w="40" w:type="dxa"/>
            <w:vAlign w:val="bottom"/>
            <w:tcBorders>
              <w:top w:val="single" w:sz="8" w:color="auto"/>
            </w:tcBorders>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5"/>
          </w:tcPr>
          <w:p>
            <w:pPr>
              <w:spacing w:after="0" w:line="124" w:lineRule="exact"/>
              <w:rPr>
                <w:rFonts w:ascii="Arial" w:cs="Arial" w:eastAsia="Arial" w:hAnsi="Arial"/>
                <w:sz w:val="12"/>
                <w:szCs w:val="12"/>
                <w:color w:val="0000EE"/>
              </w:rPr>
            </w:pPr>
            <w:hyperlink r:id="rId166">
              <w:r>
                <w:rPr>
                  <w:rFonts w:ascii="Arial" w:cs="Arial" w:eastAsia="Arial" w:hAnsi="Arial"/>
                  <w:sz w:val="12"/>
                  <w:szCs w:val="12"/>
                  <w:color w:val="0000EE"/>
                </w:rPr>
                <w:t>as of April 10, 2015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80" w:type="dxa"/>
            <w:vAlign w:val="bottom"/>
            <w:tcBorders>
              <w:bottom w:val="single" w:sz="8" w:color="0000EE"/>
            </w:tcBorders>
            <w:gridSpan w:val="18"/>
          </w:tcPr>
          <w:p>
            <w:pPr>
              <w:spacing w:after="0"/>
              <w:rPr>
                <w:rFonts w:ascii="Arial" w:cs="Arial" w:eastAsia="Arial" w:hAnsi="Arial"/>
                <w:sz w:val="12"/>
                <w:szCs w:val="12"/>
                <w:color w:val="0000EE"/>
                <w:w w:val="91"/>
              </w:rPr>
            </w:pPr>
            <w:hyperlink r:id="rId167">
              <w:r>
                <w:rPr>
                  <w:rFonts w:ascii="Arial" w:cs="Arial" w:eastAsia="Arial" w:hAnsi="Arial"/>
                  <w:sz w:val="12"/>
                  <w:szCs w:val="12"/>
                  <w:color w:val="0000EE"/>
                  <w:w w:val="91"/>
                </w:rPr>
                <w:t>Articles of Amendment of Communications Sales &amp; Leasing, Inc. (incorporated by reference to Exhibit 3.1 to the Company’s Current Report on Form 8-K dated and filed with the SEC as of February</w:t>
              </w:r>
            </w:hyperlink>
          </w:p>
        </w:tc>
        <w:tc>
          <w:tcPr>
            <w:tcW w:w="140" w:type="dxa"/>
            <w:vAlign w:val="bottom"/>
            <w:gridSpan w:val="7"/>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r:id="rId167">
              <w:r>
                <w:rPr>
                  <w:rFonts w:ascii="Arial" w:cs="Arial" w:eastAsia="Arial" w:hAnsi="Arial"/>
                  <w:sz w:val="12"/>
                  <w:szCs w:val="12"/>
                  <w:color w:val="0000EE"/>
                  <w:w w:val="91"/>
                </w:rPr>
                <w:t>28, 2017 (File No. 001-36708))</w:t>
              </w:r>
            </w:hyperlink>
          </w:p>
        </w:tc>
        <w:tc>
          <w:tcPr>
            <w:tcW w:w="8200" w:type="dxa"/>
            <w:vAlign w:val="bottom"/>
            <w:gridSpan w:val="20"/>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3.3</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5"/>
          </w:tcPr>
          <w:p>
            <w:pPr>
              <w:spacing w:after="0"/>
              <w:rPr>
                <w:rFonts w:ascii="Arial" w:cs="Arial" w:eastAsia="Arial" w:hAnsi="Arial"/>
                <w:sz w:val="12"/>
                <w:szCs w:val="12"/>
                <w:color w:val="0000EE"/>
                <w:w w:val="94"/>
              </w:rPr>
            </w:pPr>
            <w:hyperlink r:id="rId168">
              <w:r>
                <w:rPr>
                  <w:rFonts w:ascii="Arial" w:cs="Arial" w:eastAsia="Arial" w:hAnsi="Arial"/>
                  <w:sz w:val="12"/>
                  <w:szCs w:val="12"/>
                  <w:color w:val="0000EE"/>
                  <w:w w:val="94"/>
                </w:rPr>
                <w:t>Articles of Amendment of Uniti Group Inc. (incorporated by reference to Exhibit 3.1 to the Company’s Current Report on Form 8-K dated and filed with the SEC as of May 18, 2018 (File No. 001-</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6"/>
              </w:rPr>
            </w:pPr>
            <w:hyperlink r:id="rId168">
              <w:r>
                <w:rPr>
                  <w:rFonts w:ascii="Arial" w:cs="Arial" w:eastAsia="Arial" w:hAnsi="Arial"/>
                  <w:sz w:val="12"/>
                  <w:szCs w:val="12"/>
                  <w:color w:val="0000EE"/>
                  <w:w w:val="86"/>
                </w:rPr>
                <w:t>36708)</w:t>
              </w:r>
              <w:r>
                <w:rPr>
                  <w:rFonts w:ascii="Arial" w:cs="Arial" w:eastAsia="Arial" w:hAnsi="Arial"/>
                  <w:sz w:val="12"/>
                  <w:szCs w:val="12"/>
                  <w:u w:val="single" w:color="auto"/>
                  <w:color w:val="0000EE"/>
                  <w:w w:val="86"/>
                </w:rPr>
                <w:t>)</w:t>
              </w:r>
            </w:hyperlink>
          </w:p>
        </w:tc>
        <w:tc>
          <w:tcPr>
            <w:tcW w:w="9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59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5"/>
          </w:tcPr>
          <w:p>
            <w:pPr>
              <w:spacing w:after="0"/>
              <w:rPr>
                <w:rFonts w:ascii="Arial" w:cs="Arial" w:eastAsia="Arial" w:hAnsi="Arial"/>
                <w:sz w:val="12"/>
                <w:szCs w:val="12"/>
                <w:color w:val="0000EE"/>
                <w:w w:val="91"/>
              </w:rPr>
            </w:pPr>
            <w:hyperlink r:id="rId169">
              <w:r>
                <w:rPr>
                  <w:rFonts w:ascii="Arial" w:cs="Arial" w:eastAsia="Arial" w:hAnsi="Arial"/>
                  <w:sz w:val="12"/>
                  <w:szCs w:val="12"/>
                  <w:color w:val="0000EE"/>
                  <w:w w:val="91"/>
                </w:rPr>
                <w:t>Amended and Restated Bylaws of Uniti Group Inc. (incorporated by reference to Exhibit 3.1 to the Company’s Current Report on Form 8-K dated as of May 1, 2017 and filed with the SEC as of May 2,</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60" w:type="dxa"/>
            <w:vAlign w:val="bottom"/>
            <w:tcBorders>
              <w:top w:val="single" w:sz="8" w:color="0000EE"/>
            </w:tcBorders>
            <w:gridSpan w:val="22"/>
          </w:tcPr>
          <w:p>
            <w:pPr>
              <w:spacing w:after="0" w:line="124" w:lineRule="exact"/>
              <w:rPr>
                <w:rFonts w:ascii="Arial" w:cs="Arial" w:eastAsia="Arial" w:hAnsi="Arial"/>
                <w:sz w:val="12"/>
                <w:szCs w:val="12"/>
                <w:color w:val="0000EE"/>
              </w:rPr>
            </w:pPr>
            <w:hyperlink r:id="rId169">
              <w:r>
                <w:rPr>
                  <w:rFonts w:ascii="Arial" w:cs="Arial" w:eastAsia="Arial" w:hAnsi="Arial"/>
                  <w:sz w:val="12"/>
                  <w:szCs w:val="12"/>
                  <w:color w:val="0000EE"/>
                </w:rPr>
                <w:t>2017 (File No. 001-36708))</w:t>
              </w:r>
            </w:hyperlink>
          </w:p>
        </w:tc>
        <w:tc>
          <w:tcPr>
            <w:tcW w:w="60" w:type="dxa"/>
            <w:vAlign w:val="bottom"/>
            <w:gridSpan w:val="3"/>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5"/>
          </w:tcPr>
          <w:p>
            <w:pPr>
              <w:spacing w:after="0"/>
              <w:rPr>
                <w:rFonts w:ascii="Arial" w:cs="Arial" w:eastAsia="Arial" w:hAnsi="Arial"/>
                <w:sz w:val="12"/>
                <w:szCs w:val="12"/>
                <w:color w:val="0000EE"/>
                <w:w w:val="91"/>
              </w:rPr>
            </w:pPr>
            <w:hyperlink r:id="rId170">
              <w:r>
                <w:rPr>
                  <w:rFonts w:ascii="Arial" w:cs="Arial" w:eastAsia="Arial" w:hAnsi="Arial"/>
                  <w:sz w:val="12"/>
                  <w:szCs w:val="12"/>
                  <w:color w:val="0000EE"/>
                  <w:w w:val="91"/>
                </w:rPr>
                <w:t>Description of the Registrant’s Securities Registered Pursuant to Section 12 of the Securities Exchange Act of 1934 (incorporated by reference to Exhibit 4.22 to the Company’s Annual Report on Form</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40" w:type="dxa"/>
            <w:vAlign w:val="bottom"/>
            <w:tcBorders>
              <w:top w:val="single" w:sz="8" w:color="0000EE"/>
            </w:tcBorders>
            <w:gridSpan w:val="21"/>
          </w:tcPr>
          <w:p>
            <w:pPr>
              <w:spacing w:after="0" w:line="124" w:lineRule="exact"/>
              <w:rPr>
                <w:rFonts w:ascii="Arial" w:cs="Arial" w:eastAsia="Arial" w:hAnsi="Arial"/>
                <w:sz w:val="12"/>
                <w:szCs w:val="12"/>
                <w:color w:val="0000EE"/>
              </w:rPr>
            </w:pPr>
            <w:hyperlink r:id="rId170">
              <w:r>
                <w:rPr>
                  <w:rFonts w:ascii="Arial" w:cs="Arial" w:eastAsia="Arial" w:hAnsi="Arial"/>
                  <w:sz w:val="12"/>
                  <w:szCs w:val="12"/>
                  <w:color w:val="0000EE"/>
                </w:rPr>
                <w:t>10-K filed with the SEC as of March 12, 2020 (File No. 001-36708))</w:t>
              </w:r>
            </w:hyperlink>
          </w:p>
        </w:tc>
        <w:tc>
          <w:tcPr>
            <w:tcW w:w="80" w:type="dxa"/>
            <w:vAlign w:val="bottom"/>
            <w:gridSpan w:val="4"/>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5"/>
          </w:tcPr>
          <w:p>
            <w:pPr>
              <w:spacing w:after="0"/>
              <w:rPr>
                <w:rFonts w:ascii="Arial" w:cs="Arial" w:eastAsia="Arial" w:hAnsi="Arial"/>
                <w:sz w:val="12"/>
                <w:szCs w:val="12"/>
                <w:color w:val="0000EE"/>
                <w:w w:val="90"/>
              </w:rPr>
            </w:pPr>
            <w:hyperlink r:id="rId171">
              <w:r>
                <w:rPr>
                  <w:rFonts w:ascii="Arial" w:cs="Arial" w:eastAsia="Arial" w:hAnsi="Arial"/>
                  <w:sz w:val="12"/>
                  <w:szCs w:val="12"/>
                  <w:color w:val="0000EE"/>
                  <w:w w:val="90"/>
                </w:rPr>
                <w:t>Indenture, dated as of June 28, 2019, among Uniti Fiber Holdings, Inc., as issuer, Uniti Group Inc. and the other guarantors named therein, as guarantors, and Deutsche Bank Trust Company Americas,</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80" w:type="dxa"/>
            <w:vAlign w:val="bottom"/>
            <w:tcBorders>
              <w:top w:val="single" w:sz="8" w:color="0000EE"/>
              <w:bottom w:val="single" w:sz="8" w:color="0000EE"/>
            </w:tcBorders>
            <w:gridSpan w:val="16"/>
          </w:tcPr>
          <w:p>
            <w:pPr>
              <w:spacing w:after="0" w:line="124" w:lineRule="exact"/>
              <w:rPr>
                <w:rFonts w:ascii="Arial" w:cs="Arial" w:eastAsia="Arial" w:hAnsi="Arial"/>
                <w:sz w:val="12"/>
                <w:szCs w:val="12"/>
                <w:color w:val="0000EE"/>
                <w:w w:val="90"/>
              </w:rPr>
            </w:pPr>
            <w:hyperlink r:id="rId171">
              <w:r>
                <w:rPr>
                  <w:rFonts w:ascii="Arial" w:cs="Arial" w:eastAsia="Arial" w:hAnsi="Arial"/>
                  <w:sz w:val="12"/>
                  <w:szCs w:val="12"/>
                  <w:color w:val="0000EE"/>
                  <w:w w:val="90"/>
                </w:rPr>
                <w:t>as trustee, governing the 4.00% Exchangeable Senior Notes due 2024 (incorporated by reference to Exhibit 4.1 to the Company’s Current Report on Form 8-K dated June 25, 2019 and filed with the</w:t>
              </w:r>
            </w:hyperlink>
          </w:p>
        </w:tc>
        <w:tc>
          <w:tcPr>
            <w:tcW w:w="120" w:type="dxa"/>
            <w:vAlign w:val="bottom"/>
            <w:tcBorders>
              <w:top w:val="single" w:sz="8" w:color="0000EE"/>
            </w:tcBorders>
            <w:gridSpan w:val="3"/>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5"/>
          </w:tcPr>
          <w:p>
            <w:pPr>
              <w:spacing w:after="0" w:line="124" w:lineRule="exact"/>
              <w:rPr>
                <w:rFonts w:ascii="Arial" w:cs="Arial" w:eastAsia="Arial" w:hAnsi="Arial"/>
                <w:sz w:val="12"/>
                <w:szCs w:val="12"/>
                <w:color w:val="0000EE"/>
              </w:rPr>
            </w:pPr>
            <w:hyperlink r:id="rId171">
              <w:r>
                <w:rPr>
                  <w:rFonts w:ascii="Arial" w:cs="Arial" w:eastAsia="Arial" w:hAnsi="Arial"/>
                  <w:sz w:val="12"/>
                  <w:szCs w:val="12"/>
                  <w:color w:val="0000EE"/>
                </w:rPr>
                <w:t>SEC as of June 28, 2019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4.3</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80" w:type="dxa"/>
            <w:vAlign w:val="bottom"/>
            <w:tcBorders>
              <w:bottom w:val="single" w:sz="8" w:color="0000EE"/>
            </w:tcBorders>
            <w:gridSpan w:val="18"/>
          </w:tcPr>
          <w:p>
            <w:pPr>
              <w:spacing w:after="0"/>
              <w:rPr>
                <w:rFonts w:ascii="Arial" w:cs="Arial" w:eastAsia="Arial" w:hAnsi="Arial"/>
                <w:sz w:val="12"/>
                <w:szCs w:val="12"/>
                <w:color w:val="0000EE"/>
                <w:w w:val="90"/>
              </w:rPr>
            </w:pPr>
            <w:hyperlink r:id="rId171">
              <w:r>
                <w:rPr>
                  <w:rFonts w:ascii="Arial" w:cs="Arial" w:eastAsia="Arial" w:hAnsi="Arial"/>
                  <w:sz w:val="12"/>
                  <w:szCs w:val="12"/>
                  <w:color w:val="0000EE"/>
                  <w:w w:val="90"/>
                </w:rPr>
                <w:t>Form of 4.00% Exchangeable Senior Notes due 2024 (included in Exhibit 4.7 above) (incorporated by reference to Exhibit 4.2 to the Company’s Current Report on Form 8-K dated June 25, 2019 and</w:t>
              </w:r>
            </w:hyperlink>
          </w:p>
        </w:tc>
        <w:tc>
          <w:tcPr>
            <w:tcW w:w="140" w:type="dxa"/>
            <w:vAlign w:val="bottom"/>
            <w:gridSpan w:val="7"/>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94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r:id="rId171">
              <w:r>
                <w:rPr>
                  <w:rFonts w:ascii="Arial" w:cs="Arial" w:eastAsia="Arial" w:hAnsi="Arial"/>
                  <w:sz w:val="12"/>
                  <w:szCs w:val="12"/>
                  <w:color w:val="0000EE"/>
                  <w:w w:val="91"/>
                </w:rPr>
                <w:t>filed with the SEC as of June 28, 2019 (File No. 001-36708))</w:t>
              </w:r>
            </w:hyperlink>
          </w:p>
        </w:tc>
        <w:tc>
          <w:tcPr>
            <w:tcW w:w="6780" w:type="dxa"/>
            <w:vAlign w:val="bottom"/>
            <w:gridSpan w:val="14"/>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5"/>
          </w:tcPr>
          <w:p>
            <w:pPr>
              <w:spacing w:after="0"/>
              <w:rPr>
                <w:rFonts w:ascii="Arial" w:cs="Arial" w:eastAsia="Arial" w:hAnsi="Arial"/>
                <w:sz w:val="12"/>
                <w:szCs w:val="12"/>
                <w:color w:val="0000EE"/>
                <w:w w:val="92"/>
              </w:rPr>
            </w:pPr>
            <w:hyperlink r:id="rId172">
              <w:r>
                <w:rPr>
                  <w:rFonts w:ascii="Arial" w:cs="Arial" w:eastAsia="Arial" w:hAnsi="Arial"/>
                  <w:sz w:val="12"/>
                  <w:szCs w:val="12"/>
                  <w:color w:val="0000EE"/>
                  <w:w w:val="92"/>
                </w:rPr>
                <w:t>Indenture, dated as of February 10, 2020, among Uniti Group LP, Uniti Fiber Holdings Inc., Uniti Group Finance 2019 Inc., CSL Capital, LLC, the guarantors named therein, and Deutsche Bank Trust</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20" w:type="dxa"/>
            <w:vAlign w:val="bottom"/>
            <w:tcBorders>
              <w:bottom w:val="single" w:sz="8" w:color="0000EE"/>
            </w:tcBorders>
            <w:gridSpan w:val="20"/>
          </w:tcPr>
          <w:p>
            <w:pPr>
              <w:spacing w:after="0" w:line="124" w:lineRule="exact"/>
              <w:rPr>
                <w:rFonts w:ascii="Arial" w:cs="Arial" w:eastAsia="Arial" w:hAnsi="Arial"/>
                <w:sz w:val="12"/>
                <w:szCs w:val="12"/>
                <w:color w:val="0000EE"/>
                <w:w w:val="90"/>
              </w:rPr>
            </w:pPr>
            <w:hyperlink r:id="rId172">
              <w:r>
                <w:rPr>
                  <w:rFonts w:ascii="Arial" w:cs="Arial" w:eastAsia="Arial" w:hAnsi="Arial"/>
                  <w:sz w:val="12"/>
                  <w:szCs w:val="12"/>
                  <w:color w:val="0000EE"/>
                  <w:w w:val="90"/>
                </w:rPr>
                <w:t>Company Americas, as trustee and collateral agent, governing the 7.875% Senior Secured Notes due 2025 (incorporated by reference to Exhibit 4.1 to the Company’s Current Report on Form 8-K filed</w:t>
              </w:r>
            </w:hyperlink>
          </w:p>
        </w:tc>
        <w:tc>
          <w:tcPr>
            <w:tcW w:w="100" w:type="dxa"/>
            <w:vAlign w:val="bottom"/>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5"/>
          </w:tcPr>
          <w:p>
            <w:pPr>
              <w:spacing w:after="0" w:line="124" w:lineRule="exact"/>
              <w:rPr>
                <w:rFonts w:ascii="Arial" w:cs="Arial" w:eastAsia="Arial" w:hAnsi="Arial"/>
                <w:sz w:val="12"/>
                <w:szCs w:val="12"/>
                <w:color w:val="0000EE"/>
              </w:rPr>
            </w:pPr>
            <w:hyperlink r:id="rId172">
              <w:r>
                <w:rPr>
                  <w:rFonts w:ascii="Arial" w:cs="Arial" w:eastAsia="Arial" w:hAnsi="Arial"/>
                  <w:sz w:val="12"/>
                  <w:szCs w:val="12"/>
                  <w:color w:val="0000EE"/>
                </w:rPr>
                <w:t>with the SEC on February 10, 2020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4.5</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60" w:type="dxa"/>
            <w:vAlign w:val="bottom"/>
            <w:tcBorders>
              <w:bottom w:val="single" w:sz="8" w:color="0000EE"/>
            </w:tcBorders>
            <w:gridSpan w:val="13"/>
          </w:tcPr>
          <w:p>
            <w:pPr>
              <w:spacing w:after="0"/>
              <w:rPr>
                <w:rFonts w:ascii="Arial" w:cs="Arial" w:eastAsia="Arial" w:hAnsi="Arial"/>
                <w:sz w:val="12"/>
                <w:szCs w:val="12"/>
                <w:color w:val="0000EE"/>
                <w:w w:val="91"/>
              </w:rPr>
            </w:pPr>
            <w:hyperlink r:id="rId172">
              <w:r>
                <w:rPr>
                  <w:rFonts w:ascii="Arial" w:cs="Arial" w:eastAsia="Arial" w:hAnsi="Arial"/>
                  <w:sz w:val="12"/>
                  <w:szCs w:val="12"/>
                  <w:color w:val="0000EE"/>
                  <w:w w:val="91"/>
                </w:rPr>
                <w:t>Form of 7.875% Senior Secured Notes due 2025 (included in Exhibit 4.10 above) (incorporated by reference to Exhibit 4.2 to the Company’s Current Report on Form 8-K filed with the SEC on</w:t>
              </w:r>
            </w:hyperlink>
          </w:p>
        </w:tc>
        <w:tc>
          <w:tcPr>
            <w:tcW w:w="460" w:type="dxa"/>
            <w:vAlign w:val="bottom"/>
            <w:gridSpan w:val="12"/>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5"/>
          </w:tcPr>
          <w:p>
            <w:pPr>
              <w:spacing w:after="0" w:line="124" w:lineRule="exact"/>
              <w:rPr>
                <w:rFonts w:ascii="Arial" w:cs="Arial" w:eastAsia="Arial" w:hAnsi="Arial"/>
                <w:sz w:val="12"/>
                <w:szCs w:val="12"/>
                <w:color w:val="0000EE"/>
              </w:rPr>
            </w:pPr>
            <w:hyperlink r:id="rId172">
              <w:r>
                <w:rPr>
                  <w:rFonts w:ascii="Arial" w:cs="Arial" w:eastAsia="Arial" w:hAnsi="Arial"/>
                  <w:sz w:val="12"/>
                  <w:szCs w:val="12"/>
                  <w:color w:val="0000EE"/>
                </w:rPr>
                <w:t>February 10, 2020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4.6</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40" w:type="dxa"/>
            <w:vAlign w:val="bottom"/>
            <w:tcBorders>
              <w:bottom w:val="single" w:sz="8" w:color="0000EE"/>
            </w:tcBorders>
            <w:gridSpan w:val="14"/>
          </w:tcPr>
          <w:p>
            <w:pPr>
              <w:spacing w:after="0"/>
              <w:rPr>
                <w:rFonts w:ascii="Arial" w:cs="Arial" w:eastAsia="Arial" w:hAnsi="Arial"/>
                <w:sz w:val="12"/>
                <w:szCs w:val="12"/>
                <w:color w:val="0000EE"/>
                <w:w w:val="90"/>
              </w:rPr>
            </w:pPr>
            <w:hyperlink r:id="rId173">
              <w:r>
                <w:rPr>
                  <w:rFonts w:ascii="Arial" w:cs="Arial" w:eastAsia="Arial" w:hAnsi="Arial"/>
                  <w:sz w:val="12"/>
                  <w:szCs w:val="12"/>
                  <w:color w:val="0000EE"/>
                  <w:w w:val="90"/>
                </w:rPr>
                <w:t>Indenture, dated February 2, 2021, by and among Uniti Group LP, Uniti Group Finance 2019 Inc. and CSL Capital, LLC, as Issuers, the guarantors party thereto and Deutsche Bank Trust Company</w:t>
              </w:r>
            </w:hyperlink>
          </w:p>
        </w:tc>
        <w:tc>
          <w:tcPr>
            <w:tcW w:w="280" w:type="dxa"/>
            <w:vAlign w:val="bottom"/>
            <w:gridSpan w:val="11"/>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5"/>
          </w:tcPr>
          <w:p>
            <w:pPr>
              <w:spacing w:after="0" w:line="124" w:lineRule="exact"/>
              <w:rPr>
                <w:rFonts w:ascii="Arial" w:cs="Arial" w:eastAsia="Arial" w:hAnsi="Arial"/>
                <w:sz w:val="12"/>
                <w:szCs w:val="12"/>
                <w:color w:val="0000EE"/>
                <w:w w:val="91"/>
              </w:rPr>
            </w:pPr>
            <w:hyperlink r:id="rId173">
              <w:r>
                <w:rPr>
                  <w:rFonts w:ascii="Arial" w:cs="Arial" w:eastAsia="Arial" w:hAnsi="Arial"/>
                  <w:sz w:val="12"/>
                  <w:szCs w:val="12"/>
                  <w:color w:val="0000EE"/>
                  <w:w w:val="91"/>
                </w:rPr>
                <w:t>Americas, as trustee, governing the 6.500% Senior Notes due 2029 (incorporated by reference to Exhibit 4.1 to the Company’s Current Report on Form 8-K dated and filed with the SEC as of February</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2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r:id="rId173">
              <w:r>
                <w:rPr>
                  <w:rFonts w:ascii="Arial" w:cs="Arial" w:eastAsia="Arial" w:hAnsi="Arial"/>
                  <w:sz w:val="12"/>
                  <w:szCs w:val="12"/>
                  <w:color w:val="0000EE"/>
                </w:rPr>
                <w:t>2, 2021 (File No. 001-36708))</w:t>
              </w:r>
            </w:hyperlink>
          </w:p>
        </w:tc>
        <w:tc>
          <w:tcPr>
            <w:tcW w:w="100" w:type="dxa"/>
            <w:vAlign w:val="bottom"/>
            <w:gridSpan w:val="5"/>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4.7</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5"/>
          </w:tcPr>
          <w:p>
            <w:pPr>
              <w:spacing w:after="0"/>
              <w:rPr>
                <w:rFonts w:ascii="Arial" w:cs="Arial" w:eastAsia="Arial" w:hAnsi="Arial"/>
                <w:sz w:val="12"/>
                <w:szCs w:val="12"/>
                <w:color w:val="0000EE"/>
                <w:w w:val="91"/>
              </w:rPr>
            </w:pPr>
            <w:hyperlink r:id="rId173">
              <w:r>
                <w:rPr>
                  <w:rFonts w:ascii="Arial" w:cs="Arial" w:eastAsia="Arial" w:hAnsi="Arial"/>
                  <w:sz w:val="12"/>
                  <w:szCs w:val="12"/>
                  <w:color w:val="0000EE"/>
                  <w:w w:val="91"/>
                </w:rPr>
                <w:t>Form of 6.500% Senior Notes due 2029 (included in Exhibit 4.12) (incorporated by reference to Exhibit 4.2 to the Company’s Current Report on Form 8-K dated and filed with the SEC as of February 2,</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top w:val="single" w:sz="8" w:color="0000EE"/>
            </w:tcBorders>
            <w:gridSpan w:val="24"/>
          </w:tcPr>
          <w:p>
            <w:pPr>
              <w:spacing w:after="0" w:line="124" w:lineRule="exact"/>
              <w:rPr>
                <w:rFonts w:ascii="Arial" w:cs="Arial" w:eastAsia="Arial" w:hAnsi="Arial"/>
                <w:sz w:val="12"/>
                <w:szCs w:val="12"/>
                <w:color w:val="0000EE"/>
              </w:rPr>
            </w:pPr>
            <w:hyperlink r:id="rId173">
              <w:r>
                <w:rPr>
                  <w:rFonts w:ascii="Arial" w:cs="Arial" w:eastAsia="Arial" w:hAnsi="Arial"/>
                  <w:sz w:val="12"/>
                  <w:szCs w:val="12"/>
                  <w:color w:val="0000EE"/>
                </w:rPr>
                <w:t>2021 (File No. 001-36708))</w:t>
              </w:r>
            </w:hyperlink>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4.8</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5"/>
          </w:tcPr>
          <w:p>
            <w:pPr>
              <w:spacing w:after="0"/>
              <w:rPr>
                <w:rFonts w:ascii="Arial" w:cs="Arial" w:eastAsia="Arial" w:hAnsi="Arial"/>
                <w:sz w:val="12"/>
                <w:szCs w:val="12"/>
                <w:color w:val="0000EE"/>
                <w:w w:val="92"/>
              </w:rPr>
            </w:pPr>
            <w:hyperlink r:id="rId174">
              <w:r>
                <w:rPr>
                  <w:rFonts w:ascii="Arial" w:cs="Arial" w:eastAsia="Arial" w:hAnsi="Arial"/>
                  <w:sz w:val="12"/>
                  <w:szCs w:val="12"/>
                  <w:color w:val="0000EE"/>
                  <w:w w:val="92"/>
                </w:rPr>
                <w:t>Indenture, dated as April 20, 2021, by and among Uniti Group LP, Uniti Group Finance 2019 Inc. and CSL Capital, LLC, as issuers, the guarantors party thereto, and Deutsche Bank Trust Company</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280" w:type="dxa"/>
            <w:vAlign w:val="bottom"/>
            <w:gridSpan w:val="7"/>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8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r:id="rId174">
              <w:r>
                <w:rPr>
                  <w:rFonts w:ascii="Arial" w:cs="Arial" w:eastAsia="Arial" w:hAnsi="Arial"/>
                  <w:sz w:val="12"/>
                  <w:szCs w:val="12"/>
                  <w:color w:val="0000EE"/>
                  <w:w w:val="90"/>
                </w:rPr>
                <w:t>Americas, as trustee and collateral agent, governing the 4.750% Senior Secured Notes due 2028 (incorporated by reference to Exhibit 4.1 to the Company’s Current Report on Form 8-K filed with the</w:t>
              </w:r>
            </w:hyperlink>
          </w:p>
        </w:tc>
        <w:tc>
          <w:tcPr>
            <w:tcW w:w="140" w:type="dxa"/>
            <w:vAlign w:val="bottom"/>
            <w:gridSpan w:val="7"/>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5"/>
          </w:tcPr>
          <w:p>
            <w:pPr>
              <w:spacing w:after="0" w:line="124" w:lineRule="exact"/>
              <w:rPr>
                <w:rFonts w:ascii="Arial" w:cs="Arial" w:eastAsia="Arial" w:hAnsi="Arial"/>
                <w:sz w:val="12"/>
                <w:szCs w:val="12"/>
                <w:color w:val="0000EE"/>
              </w:rPr>
            </w:pPr>
            <w:hyperlink r:id="rId174">
              <w:r>
                <w:rPr>
                  <w:rFonts w:ascii="Arial" w:cs="Arial" w:eastAsia="Arial" w:hAnsi="Arial"/>
                  <w:sz w:val="12"/>
                  <w:szCs w:val="12"/>
                  <w:color w:val="0000EE"/>
                </w:rPr>
                <w:t>SEC on April 20, 2021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4.9</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40" w:type="dxa"/>
            <w:vAlign w:val="bottom"/>
            <w:tcBorders>
              <w:bottom w:val="single" w:sz="8" w:color="0000EE"/>
            </w:tcBorders>
            <w:gridSpan w:val="17"/>
          </w:tcPr>
          <w:p>
            <w:pPr>
              <w:spacing w:after="0"/>
              <w:rPr>
                <w:rFonts w:ascii="Arial" w:cs="Arial" w:eastAsia="Arial" w:hAnsi="Arial"/>
                <w:sz w:val="12"/>
                <w:szCs w:val="12"/>
                <w:color w:val="0000EE"/>
                <w:w w:val="91"/>
              </w:rPr>
            </w:pPr>
            <w:hyperlink r:id="rId174">
              <w:r>
                <w:rPr>
                  <w:rFonts w:ascii="Arial" w:cs="Arial" w:eastAsia="Arial" w:hAnsi="Arial"/>
                  <w:sz w:val="12"/>
                  <w:szCs w:val="12"/>
                  <w:color w:val="0000EE"/>
                  <w:w w:val="91"/>
                </w:rPr>
                <w:t>Form of 4.750% Senior Secured Notes due 2028 (included in Exhibit 4.14 above) (incorporated by reference to Exhibit 4.2 to the Company’s Current Report on Form 8-K filed with the SEC on April</w:t>
              </w:r>
            </w:hyperlink>
          </w:p>
        </w:tc>
        <w:tc>
          <w:tcPr>
            <w:tcW w:w="180" w:type="dxa"/>
            <w:vAlign w:val="bottom"/>
            <w:gridSpan w:val="8"/>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5"/>
          </w:tcPr>
          <w:p>
            <w:pPr>
              <w:spacing w:after="0" w:line="124" w:lineRule="exact"/>
              <w:rPr>
                <w:rFonts w:ascii="Arial" w:cs="Arial" w:eastAsia="Arial" w:hAnsi="Arial"/>
                <w:sz w:val="12"/>
                <w:szCs w:val="12"/>
                <w:color w:val="0000EE"/>
              </w:rPr>
            </w:pPr>
            <w:hyperlink r:id="rId174">
              <w:r>
                <w:rPr>
                  <w:rFonts w:ascii="Arial" w:cs="Arial" w:eastAsia="Arial" w:hAnsi="Arial"/>
                  <w:sz w:val="12"/>
                  <w:szCs w:val="12"/>
                  <w:color w:val="0000EE"/>
                </w:rPr>
                <w:t>20, 2021 (File No. 001-36708))</w:t>
              </w:r>
            </w:hyperlink>
          </w:p>
        </w:tc>
      </w:tr>
      <w:tr>
        <w:trPr>
          <w:trHeight w:val="304"/>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Borders>
              <w:top w:val="single" w:sz="8" w:color="0000EE"/>
            </w:tcBorders>
            <w:gridSpan w:val="4"/>
          </w:tcPr>
          <w:p>
            <w:pPr>
              <w:spacing w:after="0"/>
              <w:rPr>
                <w:sz w:val="24"/>
                <w:szCs w:val="24"/>
                <w:color w:val="auto"/>
              </w:rPr>
            </w:pPr>
          </w:p>
        </w:tc>
        <w:tc>
          <w:tcPr>
            <w:tcW w:w="7760" w:type="dxa"/>
            <w:vAlign w:val="bottom"/>
            <w:gridSpan w:val="9"/>
          </w:tcPr>
          <w:p>
            <w:pPr>
              <w:jc w:val="right"/>
              <w:ind w:right="5060"/>
              <w:spacing w:after="0"/>
              <w:rPr>
                <w:sz w:val="20"/>
                <w:szCs w:val="20"/>
                <w:color w:val="auto"/>
              </w:rPr>
            </w:pPr>
            <w:r>
              <w:rPr>
                <w:rFonts w:ascii="Arial" w:cs="Arial" w:eastAsia="Arial" w:hAnsi="Arial"/>
                <w:sz w:val="12"/>
                <w:szCs w:val="12"/>
                <w:color w:val="auto"/>
              </w:rPr>
              <w:t>123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59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38"/>
        </w:trPr>
        <w:tc>
          <w:tcPr>
            <w:tcW w:w="160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1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1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gridSpan w:val="17"/>
          </w:tcPr>
          <w:p>
            <w:pPr>
              <w:ind w:left="88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4.10</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680" w:type="dxa"/>
            <w:vAlign w:val="bottom"/>
            <w:tcBorders>
              <w:top w:val="single" w:sz="8" w:color="auto"/>
              <w:bottom w:val="single" w:sz="8" w:color="0000EE"/>
            </w:tcBorders>
            <w:gridSpan w:val="21"/>
          </w:tcPr>
          <w:p>
            <w:pPr>
              <w:spacing w:after="0" w:line="120" w:lineRule="exact"/>
              <w:rPr>
                <w:rFonts w:ascii="Arial" w:cs="Arial" w:eastAsia="Arial" w:hAnsi="Arial"/>
                <w:sz w:val="12"/>
                <w:szCs w:val="12"/>
                <w:color w:val="0000EE"/>
                <w:w w:val="91"/>
              </w:rPr>
            </w:pPr>
            <w:hyperlink r:id="rId177">
              <w:r>
                <w:rPr>
                  <w:rFonts w:ascii="Arial" w:cs="Arial" w:eastAsia="Arial" w:hAnsi="Arial"/>
                  <w:sz w:val="12"/>
                  <w:szCs w:val="12"/>
                  <w:color w:val="0000EE"/>
                  <w:w w:val="91"/>
                </w:rPr>
                <w:t>Indenture, dated October 13, 2021, by and among Uniti Group LP, Uniti Fiber Holdings Inc., Uniti Group Finance 2019 Inc. and CSL Capital, LLC, as Issuers, the guarantors party thereto and Deutsche</w:t>
              </w:r>
            </w:hyperlink>
          </w:p>
        </w:tc>
        <w:tc>
          <w:tcPr>
            <w:tcW w:w="40" w:type="dxa"/>
            <w:vAlign w:val="bottom"/>
            <w:tcBorders>
              <w:top w:val="single" w:sz="8" w:color="auto"/>
            </w:tcBorders>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tcBorders>
              <w:bottom w:val="single" w:sz="8" w:color="0000EE"/>
            </w:tcBorders>
            <w:gridSpan w:val="23"/>
          </w:tcPr>
          <w:p>
            <w:pPr>
              <w:spacing w:after="0" w:line="124" w:lineRule="exact"/>
              <w:rPr>
                <w:rFonts w:ascii="Arial" w:cs="Arial" w:eastAsia="Arial" w:hAnsi="Arial"/>
                <w:sz w:val="12"/>
                <w:szCs w:val="12"/>
                <w:color w:val="0000EE"/>
                <w:w w:val="90"/>
              </w:rPr>
            </w:pPr>
            <w:hyperlink r:id="rId177">
              <w:r>
                <w:rPr>
                  <w:rFonts w:ascii="Arial" w:cs="Arial" w:eastAsia="Arial" w:hAnsi="Arial"/>
                  <w:sz w:val="12"/>
                  <w:szCs w:val="12"/>
                  <w:color w:val="0000EE"/>
                  <w:w w:val="90"/>
                </w:rPr>
                <w:t>Bank Trust Company Americas, as trustee, governing the 6.000% Senior Notes due 2030 (incorporated by reference to Exhibit 4.1 to the Company’s Current Report on Form 8-K dated and filed with the</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40" w:type="dxa"/>
            <w:vAlign w:val="bottom"/>
            <w:tcBorders>
              <w:bottom w:val="single" w:sz="8" w:color="0000EE"/>
            </w:tcBorders>
            <w:gridSpan w:val="2"/>
          </w:tcPr>
          <w:p>
            <w:pPr>
              <w:spacing w:after="0" w:line="124" w:lineRule="exact"/>
              <w:rPr>
                <w:rFonts w:ascii="Arial" w:cs="Arial" w:eastAsia="Arial" w:hAnsi="Arial"/>
                <w:sz w:val="12"/>
                <w:szCs w:val="12"/>
                <w:color w:val="0000EE"/>
                <w:w w:val="90"/>
              </w:rPr>
            </w:pPr>
            <w:hyperlink r:id="rId177">
              <w:r>
                <w:rPr>
                  <w:rFonts w:ascii="Arial" w:cs="Arial" w:eastAsia="Arial" w:hAnsi="Arial"/>
                  <w:sz w:val="12"/>
                  <w:szCs w:val="12"/>
                  <w:color w:val="0000EE"/>
                  <w:w w:val="90"/>
                </w:rPr>
                <w:t>SEC as of October 13, 2021 (File No. 001-36708))</w:t>
              </w:r>
            </w:hyperlink>
          </w:p>
        </w:tc>
        <w:tc>
          <w:tcPr>
            <w:tcW w:w="7280" w:type="dxa"/>
            <w:vAlign w:val="bottom"/>
            <w:gridSpan w:val="21"/>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3"/>
              </w:rPr>
            </w:pPr>
            <w:hyperlink r:id="rId177">
              <w:r>
                <w:rPr>
                  <w:rFonts w:ascii="Arial" w:cs="Arial" w:eastAsia="Arial" w:hAnsi="Arial"/>
                  <w:sz w:val="12"/>
                  <w:szCs w:val="12"/>
                  <w:color w:val="0000EE"/>
                  <w:w w:val="93"/>
                </w:rPr>
                <w:t>Form of 6.000% Senior Notes due 2030 (included in Exhibit 4.16 above) (incorporated by reference to Exhibit 4.2 to the Company’s Current Report on Form 8-K dated and filed with the SEC as of</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40" w:type="dxa"/>
            <w:vAlign w:val="bottom"/>
            <w:tcBorders>
              <w:top w:val="single" w:sz="8" w:color="0000EE"/>
            </w:tcBorders>
            <w:gridSpan w:val="13"/>
          </w:tcPr>
          <w:p>
            <w:pPr>
              <w:spacing w:after="0" w:line="124" w:lineRule="exact"/>
              <w:rPr>
                <w:rFonts w:ascii="Arial" w:cs="Arial" w:eastAsia="Arial" w:hAnsi="Arial"/>
                <w:sz w:val="12"/>
                <w:szCs w:val="12"/>
                <w:color w:val="0000EE"/>
              </w:rPr>
            </w:pPr>
            <w:hyperlink r:id="rId177">
              <w:r>
                <w:rPr>
                  <w:rFonts w:ascii="Arial" w:cs="Arial" w:eastAsia="Arial" w:hAnsi="Arial"/>
                  <w:sz w:val="12"/>
                  <w:szCs w:val="12"/>
                  <w:color w:val="0000EE"/>
                </w:rPr>
                <w:t>October 13, 2021 (File No. 001-36708))</w:t>
              </w:r>
            </w:hyperlink>
          </w:p>
        </w:tc>
        <w:tc>
          <w:tcPr>
            <w:tcW w:w="280" w:type="dxa"/>
            <w:vAlign w:val="bottom"/>
            <w:gridSpan w:val="10"/>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180" w:type="dxa"/>
            <w:vAlign w:val="bottom"/>
            <w:tcBorders>
              <w:bottom w:val="single" w:sz="8" w:color="0000EE"/>
            </w:tcBorders>
            <w:gridSpan w:val="11"/>
          </w:tcPr>
          <w:p>
            <w:pPr>
              <w:spacing w:after="0"/>
              <w:rPr>
                <w:rFonts w:ascii="Arial" w:cs="Arial" w:eastAsia="Arial" w:hAnsi="Arial"/>
                <w:sz w:val="12"/>
                <w:szCs w:val="12"/>
                <w:color w:val="0000EE"/>
                <w:w w:val="90"/>
              </w:rPr>
            </w:pPr>
            <w:hyperlink r:id="rId178">
              <w:r>
                <w:rPr>
                  <w:rFonts w:ascii="Arial" w:cs="Arial" w:eastAsia="Arial" w:hAnsi="Arial"/>
                  <w:sz w:val="12"/>
                  <w:szCs w:val="12"/>
                  <w:color w:val="0000EE"/>
                  <w:w w:val="90"/>
                </w:rPr>
                <w:t>Settlement Agreement, dated as of May 12, 2020 by and among Windstream Holdings, Inc., Windstream Services, LLC and certain of their subsidiaries, and Uniti Group Inc. and certain of its</w:t>
              </w:r>
            </w:hyperlink>
          </w:p>
        </w:tc>
        <w:tc>
          <w:tcPr>
            <w:tcW w:w="540" w:type="dxa"/>
            <w:vAlign w:val="bottom"/>
            <w:gridSpan w:val="12"/>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760" w:type="dxa"/>
            <w:vAlign w:val="bottom"/>
            <w:tcBorders>
              <w:bottom w:val="single" w:sz="8" w:color="0000EE"/>
            </w:tcBorders>
            <w:gridSpan w:val="10"/>
          </w:tcPr>
          <w:p>
            <w:pPr>
              <w:spacing w:after="0" w:line="124" w:lineRule="exact"/>
              <w:rPr>
                <w:rFonts w:ascii="Arial" w:cs="Arial" w:eastAsia="Arial" w:hAnsi="Arial"/>
                <w:sz w:val="12"/>
                <w:szCs w:val="12"/>
                <w:color w:val="0000EE"/>
                <w:w w:val="91"/>
              </w:rPr>
            </w:pPr>
            <w:hyperlink r:id="rId178">
              <w:r>
                <w:rPr>
                  <w:rFonts w:ascii="Arial" w:cs="Arial" w:eastAsia="Arial" w:hAnsi="Arial"/>
                  <w:sz w:val="12"/>
                  <w:szCs w:val="12"/>
                  <w:color w:val="0000EE"/>
                  <w:w w:val="91"/>
                </w:rPr>
                <w:t>subsidiaries (incorporated by reference to Exhibit 10.1 to the Company’s Current Report on Form 8-K filed with the SEC on May 15, 2020 (File No. 001-36708))</w:t>
              </w:r>
            </w:hyperlink>
          </w:p>
        </w:tc>
        <w:tc>
          <w:tcPr>
            <w:tcW w:w="1960" w:type="dxa"/>
            <w:vAlign w:val="bottom"/>
            <w:gridSpan w:val="13"/>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00" w:type="dxa"/>
            <w:vAlign w:val="bottom"/>
            <w:tcBorders>
              <w:bottom w:val="single" w:sz="8" w:color="0000EE"/>
            </w:tcBorders>
            <w:gridSpan w:val="22"/>
          </w:tcPr>
          <w:p>
            <w:pPr>
              <w:spacing w:after="0"/>
              <w:rPr>
                <w:rFonts w:ascii="Arial" w:cs="Arial" w:eastAsia="Arial" w:hAnsi="Arial"/>
                <w:sz w:val="12"/>
                <w:szCs w:val="12"/>
                <w:color w:val="0000EE"/>
                <w:w w:val="90"/>
              </w:rPr>
            </w:pPr>
            <w:hyperlink r:id="rId179">
              <w:r>
                <w:rPr>
                  <w:rFonts w:ascii="Arial" w:cs="Arial" w:eastAsia="Arial" w:hAnsi="Arial"/>
                  <w:sz w:val="12"/>
                  <w:szCs w:val="12"/>
                  <w:color w:val="0000EE"/>
                  <w:w w:val="90"/>
                </w:rPr>
                <w:t>Amended and Restated ILEC Master Lease, entered into as of September 18, 2020, by and between CSL National, LP and the other entities listed therein, as Landlord, and Windstream Holdings II, LLC</w:t>
              </w:r>
            </w:hyperlink>
          </w:p>
        </w:tc>
        <w:tc>
          <w:tcPr>
            <w:tcW w:w="20" w:type="dxa"/>
            <w:vAlign w:val="bottom"/>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60" w:type="dxa"/>
            <w:vAlign w:val="bottom"/>
            <w:tcBorders>
              <w:bottom w:val="single" w:sz="8" w:color="0000EE"/>
            </w:tcBorders>
            <w:gridSpan w:val="20"/>
          </w:tcPr>
          <w:p>
            <w:pPr>
              <w:spacing w:after="0" w:line="124" w:lineRule="exact"/>
              <w:rPr>
                <w:rFonts w:ascii="Arial" w:cs="Arial" w:eastAsia="Arial" w:hAnsi="Arial"/>
                <w:sz w:val="12"/>
                <w:szCs w:val="12"/>
                <w:color w:val="0000EE"/>
                <w:w w:val="90"/>
              </w:rPr>
            </w:pPr>
            <w:hyperlink r:id="rId179">
              <w:r>
                <w:rPr>
                  <w:rFonts w:ascii="Arial" w:cs="Arial" w:eastAsia="Arial" w:hAnsi="Arial"/>
                  <w:sz w:val="12"/>
                  <w:szCs w:val="12"/>
                  <w:color w:val="0000EE"/>
                  <w:w w:val="90"/>
                </w:rPr>
                <w:t>(as successor in interest to Windstream Holdings, Inc.), Windstream Services II, LLC (as successor in interest to Windstream Services, LLC) and the other entities listed therein, as Tenant (incorporated</w:t>
              </w:r>
            </w:hyperlink>
          </w:p>
        </w:tc>
        <w:tc>
          <w:tcPr>
            <w:tcW w:w="60" w:type="dxa"/>
            <w:vAlign w:val="bottom"/>
            <w:gridSpan w:val="3"/>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rPr>
            </w:pPr>
            <w:hyperlink r:id="rId179">
              <w:r>
                <w:rPr>
                  <w:rFonts w:ascii="Arial" w:cs="Arial" w:eastAsia="Arial" w:hAnsi="Arial"/>
                  <w:sz w:val="12"/>
                  <w:szCs w:val="12"/>
                  <w:color w:val="0000EE"/>
                </w:rPr>
                <w:t>by reference to Exhibit 10.1 to the Company’s Quarterly Report on Form 10-Q filed with the SEC on November 9, 2020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10.3</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80" w:type="dxa"/>
            <w:vAlign w:val="bottom"/>
            <w:tcBorders>
              <w:bottom w:val="single" w:sz="8" w:color="0000EE"/>
            </w:tcBorders>
            <w:gridSpan w:val="14"/>
          </w:tcPr>
          <w:p>
            <w:pPr>
              <w:spacing w:after="0"/>
              <w:rPr>
                <w:rFonts w:ascii="Arial" w:cs="Arial" w:eastAsia="Arial" w:hAnsi="Arial"/>
                <w:sz w:val="12"/>
                <w:szCs w:val="12"/>
                <w:color w:val="0000EE"/>
                <w:w w:val="90"/>
              </w:rPr>
            </w:pPr>
            <w:hyperlink r:id="rId179">
              <w:r>
                <w:rPr>
                  <w:rFonts w:ascii="Arial" w:cs="Arial" w:eastAsia="Arial" w:hAnsi="Arial"/>
                  <w:sz w:val="12"/>
                  <w:szCs w:val="12"/>
                  <w:color w:val="0000EE"/>
                  <w:w w:val="90"/>
                </w:rPr>
                <w:t>Amended and Restated CLEC Master Lease, entered into as of September 18, 2020, by and between CSL National, LP and the other entities listed therein, as Landlord, and Windstream Holdings II,</w:t>
              </w:r>
            </w:hyperlink>
          </w:p>
        </w:tc>
        <w:tc>
          <w:tcPr>
            <w:tcW w:w="240" w:type="dxa"/>
            <w:vAlign w:val="bottom"/>
            <w:gridSpan w:val="9"/>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20" w:type="dxa"/>
            <w:vAlign w:val="bottom"/>
            <w:tcBorders>
              <w:bottom w:val="single" w:sz="8" w:color="0000EE"/>
            </w:tcBorders>
            <w:gridSpan w:val="12"/>
          </w:tcPr>
          <w:p>
            <w:pPr>
              <w:spacing w:after="0" w:line="124" w:lineRule="exact"/>
              <w:rPr>
                <w:rFonts w:ascii="Arial" w:cs="Arial" w:eastAsia="Arial" w:hAnsi="Arial"/>
                <w:sz w:val="12"/>
                <w:szCs w:val="12"/>
                <w:color w:val="0000EE"/>
                <w:w w:val="90"/>
              </w:rPr>
            </w:pPr>
            <w:hyperlink r:id="rId179">
              <w:r>
                <w:rPr>
                  <w:rFonts w:ascii="Arial" w:cs="Arial" w:eastAsia="Arial" w:hAnsi="Arial"/>
                  <w:sz w:val="12"/>
                  <w:szCs w:val="12"/>
                  <w:color w:val="0000EE"/>
                  <w:w w:val="90"/>
                </w:rPr>
                <w:t>LLC (as successor in interest to Windstream Holdings, Inc.), Windstream Services II, LLC (as successor in interest to Windstream Services, LLC) and the other entities listed therein, as Tenant</w:t>
              </w:r>
            </w:hyperlink>
          </w:p>
        </w:tc>
        <w:tc>
          <w:tcPr>
            <w:tcW w:w="500" w:type="dxa"/>
            <w:vAlign w:val="bottom"/>
            <w:gridSpan w:val="11"/>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540" w:type="dxa"/>
            <w:vAlign w:val="bottom"/>
            <w:tcBorders>
              <w:bottom w:val="single" w:sz="8" w:color="0000EE"/>
            </w:tcBorders>
            <w:gridSpan w:val="9"/>
          </w:tcPr>
          <w:p>
            <w:pPr>
              <w:spacing w:after="0" w:line="124" w:lineRule="exact"/>
              <w:rPr>
                <w:rFonts w:ascii="Arial" w:cs="Arial" w:eastAsia="Arial" w:hAnsi="Arial"/>
                <w:sz w:val="12"/>
                <w:szCs w:val="12"/>
                <w:color w:val="0000EE"/>
                <w:w w:val="91"/>
              </w:rPr>
            </w:pPr>
            <w:hyperlink r:id="rId179">
              <w:r>
                <w:rPr>
                  <w:rFonts w:ascii="Arial" w:cs="Arial" w:eastAsia="Arial" w:hAnsi="Arial"/>
                  <w:sz w:val="12"/>
                  <w:szCs w:val="12"/>
                  <w:color w:val="0000EE"/>
                  <w:w w:val="91"/>
                </w:rPr>
                <w:t>(incorporated by reference to Exhibit 10.2 to the Company’s Quarterly Report on Form 10-Q filed with the SEC on November 9, 2020 (File No. 001-36708))</w:t>
              </w:r>
            </w:hyperlink>
          </w:p>
        </w:tc>
        <w:tc>
          <w:tcPr>
            <w:tcW w:w="2180" w:type="dxa"/>
            <w:vAlign w:val="bottom"/>
            <w:gridSpan w:val="14"/>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0" w:type="dxa"/>
            <w:vAlign w:val="bottom"/>
            <w:tcBorders>
              <w:bottom w:val="single" w:sz="8" w:color="0000EE"/>
            </w:tcBorders>
            <w:gridSpan w:val="17"/>
          </w:tcPr>
          <w:p>
            <w:pPr>
              <w:spacing w:after="0"/>
              <w:rPr>
                <w:rFonts w:ascii="Arial" w:cs="Arial" w:eastAsia="Arial" w:hAnsi="Arial"/>
                <w:sz w:val="12"/>
                <w:szCs w:val="12"/>
                <w:color w:val="0000EE"/>
                <w:w w:val="90"/>
              </w:rPr>
            </w:pPr>
            <w:hyperlink r:id="rId180">
              <w:r>
                <w:rPr>
                  <w:rFonts w:ascii="Arial" w:cs="Arial" w:eastAsia="Arial" w:hAnsi="Arial"/>
                  <w:sz w:val="12"/>
                  <w:szCs w:val="12"/>
                  <w:color w:val="0000EE"/>
                  <w:w w:val="90"/>
                </w:rPr>
                <w:t>Tax Matters Agreement, entered into as of April 24, 2015, by and among Windstream Holdings, Inc., Windstream Services, LLC and Communications Sales &amp; Leasing, Inc. (incorporated by reference</w:t>
              </w:r>
            </w:hyperlink>
          </w:p>
        </w:tc>
        <w:tc>
          <w:tcPr>
            <w:tcW w:w="120" w:type="dxa"/>
            <w:vAlign w:val="bottom"/>
            <w:gridSpan w:val="6"/>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50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180">
              <w:r>
                <w:rPr>
                  <w:rFonts w:ascii="Arial" w:cs="Arial" w:eastAsia="Arial" w:hAnsi="Arial"/>
                  <w:sz w:val="12"/>
                  <w:szCs w:val="12"/>
                  <w:color w:val="0000EE"/>
                  <w:w w:val="91"/>
                </w:rPr>
                <w:t>to Exhibit 10.2 to the Company’s Current Report on Form 8-K dated and filed with the SEC as of April 27, 2015 (File No. 001-36708))</w:t>
              </w:r>
            </w:hyperlink>
          </w:p>
        </w:tc>
        <w:tc>
          <w:tcPr>
            <w:tcW w:w="3220" w:type="dxa"/>
            <w:vAlign w:val="bottom"/>
            <w:gridSpan w:val="16"/>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10.5</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00" w:type="dxa"/>
            <w:vAlign w:val="bottom"/>
            <w:tcBorders>
              <w:bottom w:val="single" w:sz="8" w:color="0000EE"/>
            </w:tcBorders>
            <w:gridSpan w:val="15"/>
          </w:tcPr>
          <w:p>
            <w:pPr>
              <w:spacing w:after="0"/>
              <w:rPr>
                <w:rFonts w:ascii="Arial" w:cs="Arial" w:eastAsia="Arial" w:hAnsi="Arial"/>
                <w:sz w:val="12"/>
                <w:szCs w:val="12"/>
                <w:color w:val="0000EE"/>
                <w:w w:val="90"/>
              </w:rPr>
            </w:pPr>
            <w:hyperlink r:id="rId181">
              <w:r>
                <w:rPr>
                  <w:rFonts w:ascii="Arial" w:cs="Arial" w:eastAsia="Arial" w:hAnsi="Arial"/>
                  <w:sz w:val="12"/>
                  <w:szCs w:val="12"/>
                  <w:color w:val="0000EE"/>
                  <w:w w:val="90"/>
                </w:rPr>
                <w:t>Credit Agreement, dated as of April 24, 2015, by and among Communications Sales &amp; Leasing, Inc. and CSL Capital, LLC, as Borrowers, the guarantors party thereto, the lenders party thereto from</w:t>
              </w:r>
            </w:hyperlink>
          </w:p>
        </w:tc>
        <w:tc>
          <w:tcPr>
            <w:tcW w:w="220" w:type="dxa"/>
            <w:vAlign w:val="bottom"/>
            <w:gridSpan w:val="8"/>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1"/>
              </w:rPr>
            </w:pPr>
            <w:hyperlink r:id="rId181">
              <w:r>
                <w:rPr>
                  <w:rFonts w:ascii="Arial" w:cs="Arial" w:eastAsia="Arial" w:hAnsi="Arial"/>
                  <w:sz w:val="12"/>
                  <w:szCs w:val="12"/>
                  <w:color w:val="0000EE"/>
                  <w:w w:val="91"/>
                </w:rPr>
                <w:t>time to time and Bank of America, N.A., as administrative agent, collateral agent, swing line lender and L/C issuer (incorporated by reference to Exhibit 10.10 to the Company’s Current Report on Form</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8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2"/>
              </w:rPr>
            </w:pPr>
            <w:hyperlink r:id="rId181">
              <w:r>
                <w:rPr>
                  <w:rFonts w:ascii="Arial" w:cs="Arial" w:eastAsia="Arial" w:hAnsi="Arial"/>
                  <w:sz w:val="12"/>
                  <w:szCs w:val="12"/>
                  <w:color w:val="0000EE"/>
                  <w:w w:val="92"/>
                </w:rPr>
                <w:t>8-K dated and filed with the SEC as of April 27, 2015 (File No. 001-36708))</w:t>
              </w:r>
            </w:hyperlink>
          </w:p>
        </w:tc>
        <w:tc>
          <w:tcPr>
            <w:tcW w:w="6000" w:type="dxa"/>
            <w:vAlign w:val="bottom"/>
            <w:tcBorders>
              <w:top w:val="single" w:sz="8" w:color="0000EE"/>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10.6</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2"/>
              </w:rPr>
            </w:pPr>
            <w:hyperlink r:id="rId182">
              <w:r>
                <w:rPr>
                  <w:rFonts w:ascii="Arial" w:cs="Arial" w:eastAsia="Arial" w:hAnsi="Arial"/>
                  <w:sz w:val="12"/>
                  <w:szCs w:val="12"/>
                  <w:color w:val="0000EE"/>
                  <w:w w:val="92"/>
                </w:rPr>
                <w:t>Amendment No. 1 to the Credit Agreement, dated as of October 21, 2016 by and among Communications Sales &amp; Leasing, Inc. and CSL Capital, LLC, as borrowers, the guarantors party thereto, the</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40" w:type="dxa"/>
            <w:vAlign w:val="bottom"/>
            <w:gridSpan w:val="10"/>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8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182">
              <w:r>
                <w:rPr>
                  <w:rFonts w:ascii="Arial" w:cs="Arial" w:eastAsia="Arial" w:hAnsi="Arial"/>
                  <w:sz w:val="12"/>
                  <w:szCs w:val="12"/>
                  <w:color w:val="0000EE"/>
                  <w:w w:val="90"/>
                </w:rPr>
                <w:t>lenders party thereto, and Bank of America, N.A., as administrative agent and collateral agent (incorporated by reference to Exhibit 10.1 to the Company’s Current Report on Form 8-K dated and filed</w:t>
              </w:r>
            </w:hyperlink>
          </w:p>
        </w:tc>
        <w:tc>
          <w:tcPr>
            <w:tcW w:w="140" w:type="dxa"/>
            <w:vAlign w:val="bottom"/>
            <w:gridSpan w:val="7"/>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60" w:type="dxa"/>
            <w:vAlign w:val="bottom"/>
            <w:tcBorders>
              <w:bottom w:val="single" w:sz="8" w:color="0000EE"/>
            </w:tcBorders>
            <w:gridSpan w:val="4"/>
          </w:tcPr>
          <w:p>
            <w:pPr>
              <w:spacing w:after="0" w:line="124" w:lineRule="exact"/>
              <w:rPr>
                <w:rFonts w:ascii="Arial" w:cs="Arial" w:eastAsia="Arial" w:hAnsi="Arial"/>
                <w:sz w:val="12"/>
                <w:szCs w:val="12"/>
                <w:color w:val="0000EE"/>
                <w:w w:val="90"/>
              </w:rPr>
            </w:pPr>
            <w:hyperlink r:id="rId182">
              <w:r>
                <w:rPr>
                  <w:rFonts w:ascii="Arial" w:cs="Arial" w:eastAsia="Arial" w:hAnsi="Arial"/>
                  <w:sz w:val="12"/>
                  <w:szCs w:val="12"/>
                  <w:color w:val="0000EE"/>
                  <w:w w:val="90"/>
                </w:rPr>
                <w:t>with the SEC as of October 21, 2016 (File No. 001-36708))</w:t>
              </w:r>
            </w:hyperlink>
          </w:p>
        </w:tc>
        <w:tc>
          <w:tcPr>
            <w:tcW w:w="6860" w:type="dxa"/>
            <w:vAlign w:val="bottom"/>
            <w:gridSpan w:val="1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10.7</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2"/>
              </w:rPr>
            </w:pPr>
            <w:hyperlink r:id="rId183">
              <w:r>
                <w:rPr>
                  <w:rFonts w:ascii="Arial" w:cs="Arial" w:eastAsia="Arial" w:hAnsi="Arial"/>
                  <w:sz w:val="12"/>
                  <w:szCs w:val="12"/>
                  <w:color w:val="0000EE"/>
                  <w:w w:val="92"/>
                </w:rPr>
                <w:t>Amendment No. 2 to the Credit Agreement, dated as of February 9, 2017 by and among Communications Sales &amp; Leasing, Inc. and CSL Capital, LLC, as borrowers, the guarantors party thereto, the</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40" w:type="dxa"/>
            <w:vAlign w:val="bottom"/>
            <w:gridSpan w:val="10"/>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8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183">
              <w:r>
                <w:rPr>
                  <w:rFonts w:ascii="Arial" w:cs="Arial" w:eastAsia="Arial" w:hAnsi="Arial"/>
                  <w:sz w:val="12"/>
                  <w:szCs w:val="12"/>
                  <w:color w:val="0000EE"/>
                  <w:w w:val="90"/>
                </w:rPr>
                <w:t>lenders party thereto, and Bank of America, N.A., as administrative agent and collateral agent (incorporated by reference to Exhibit 10.1 to the Company’s Current Report on Form 8-K dated and filed</w:t>
              </w:r>
            </w:hyperlink>
          </w:p>
        </w:tc>
        <w:tc>
          <w:tcPr>
            <w:tcW w:w="140" w:type="dxa"/>
            <w:vAlign w:val="bottom"/>
            <w:gridSpan w:val="7"/>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40" w:type="dxa"/>
            <w:vAlign w:val="bottom"/>
            <w:tcBorders>
              <w:bottom w:val="single" w:sz="8" w:color="0000EE"/>
            </w:tcBorders>
            <w:gridSpan w:val="3"/>
          </w:tcPr>
          <w:p>
            <w:pPr>
              <w:spacing w:after="0" w:line="124" w:lineRule="exact"/>
              <w:rPr>
                <w:rFonts w:ascii="Arial" w:cs="Arial" w:eastAsia="Arial" w:hAnsi="Arial"/>
                <w:sz w:val="12"/>
                <w:szCs w:val="12"/>
                <w:color w:val="0000EE"/>
                <w:w w:val="90"/>
              </w:rPr>
            </w:pPr>
            <w:hyperlink r:id="rId183">
              <w:r>
                <w:rPr>
                  <w:rFonts w:ascii="Arial" w:cs="Arial" w:eastAsia="Arial" w:hAnsi="Arial"/>
                  <w:sz w:val="12"/>
                  <w:szCs w:val="12"/>
                  <w:color w:val="0000EE"/>
                  <w:w w:val="90"/>
                </w:rPr>
                <w:t>with the SEC as of February 9, 2017 (File No. 001-36708))</w:t>
              </w:r>
            </w:hyperlink>
          </w:p>
        </w:tc>
        <w:tc>
          <w:tcPr>
            <w:tcW w:w="6880" w:type="dxa"/>
            <w:vAlign w:val="bottom"/>
            <w:gridSpan w:val="20"/>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10.8</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tcBorders>
              <w:bottom w:val="single" w:sz="8" w:color="0000EE"/>
            </w:tcBorders>
            <w:gridSpan w:val="18"/>
          </w:tcPr>
          <w:p>
            <w:pPr>
              <w:spacing w:after="0"/>
              <w:rPr>
                <w:rFonts w:ascii="Arial" w:cs="Arial" w:eastAsia="Arial" w:hAnsi="Arial"/>
                <w:sz w:val="12"/>
                <w:szCs w:val="12"/>
                <w:color w:val="0000EE"/>
                <w:w w:val="91"/>
              </w:rPr>
            </w:pPr>
            <w:hyperlink r:id="rId184">
              <w:r>
                <w:rPr>
                  <w:rFonts w:ascii="Arial" w:cs="Arial" w:eastAsia="Arial" w:hAnsi="Arial"/>
                  <w:sz w:val="12"/>
                  <w:szCs w:val="12"/>
                  <w:color w:val="0000EE"/>
                  <w:w w:val="91"/>
                </w:rPr>
                <w:t>Amendment No. 3 (Incremental Amendment) to the Credit Agreement, dated as of April 28, 2017 by and among Uniti Group Inc. and CSL Capital, LLC, as borrowers, the guarantors party thereto, the</w:t>
              </w:r>
            </w:hyperlink>
          </w:p>
        </w:tc>
        <w:tc>
          <w:tcPr>
            <w:tcW w:w="10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4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r:id="rId184">
              <w:r>
                <w:rPr>
                  <w:rFonts w:ascii="Arial" w:cs="Arial" w:eastAsia="Arial" w:hAnsi="Arial"/>
                  <w:sz w:val="12"/>
                  <w:szCs w:val="12"/>
                  <w:color w:val="0000EE"/>
                  <w:w w:val="90"/>
                </w:rPr>
                <w:t>lenders party thereto, and Bank of America, N.A., as administrative agent and collateral agent (incorporated by reference to Exhibit 10.1 to the Company’s Current Report on Form 8-K dated as of May</w:t>
              </w:r>
            </w:hyperlink>
          </w:p>
        </w:tc>
        <w:tc>
          <w:tcPr>
            <w:tcW w:w="80" w:type="dxa"/>
            <w:vAlign w:val="bottom"/>
            <w:gridSpan w:val="4"/>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rPr>
            </w:pPr>
            <w:hyperlink r:id="rId184">
              <w:r>
                <w:rPr>
                  <w:rFonts w:ascii="Arial" w:cs="Arial" w:eastAsia="Arial" w:hAnsi="Arial"/>
                  <w:sz w:val="12"/>
                  <w:szCs w:val="12"/>
                  <w:color w:val="0000EE"/>
                </w:rPr>
                <w:t>1, 2017 and filed with the SEC as of May 2, 2017 (File No. 001-36708))</w:t>
              </w:r>
            </w:hyperlink>
          </w:p>
        </w:tc>
      </w:tr>
      <w:tr>
        <w:trPr>
          <w:trHeight w:val="304"/>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Borders>
              <w:top w:val="single" w:sz="8" w:color="0000EE"/>
            </w:tcBorders>
            <w:gridSpan w:val="5"/>
          </w:tcPr>
          <w:p>
            <w:pPr>
              <w:spacing w:after="0"/>
              <w:rPr>
                <w:sz w:val="24"/>
                <w:szCs w:val="24"/>
                <w:color w:val="auto"/>
              </w:rPr>
            </w:pPr>
          </w:p>
        </w:tc>
        <w:tc>
          <w:tcPr>
            <w:tcW w:w="3040" w:type="dxa"/>
            <w:vAlign w:val="bottom"/>
            <w:gridSpan w:val="2"/>
          </w:tcPr>
          <w:p>
            <w:pPr>
              <w:jc w:val="right"/>
              <w:ind w:right="2300"/>
              <w:spacing w:after="0"/>
              <w:rPr>
                <w:sz w:val="20"/>
                <w:szCs w:val="20"/>
                <w:color w:val="auto"/>
              </w:rPr>
            </w:pPr>
            <w:r>
              <w:rPr>
                <w:rFonts w:ascii="Arial" w:cs="Arial" w:eastAsia="Arial" w:hAnsi="Arial"/>
                <w:sz w:val="12"/>
                <w:szCs w:val="12"/>
                <w:color w:val="auto"/>
              </w:rPr>
              <w:t>124</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38"/>
        </w:trPr>
        <w:tc>
          <w:tcPr>
            <w:tcW w:w="160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6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80" w:type="dxa"/>
            <w:vAlign w:val="bottom"/>
            <w:gridSpan w:val="17"/>
          </w:tcPr>
          <w:p>
            <w:pPr>
              <w:ind w:left="62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10.9</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560" w:type="dxa"/>
            <w:vAlign w:val="bottom"/>
            <w:tcBorders>
              <w:top w:val="single" w:sz="8" w:color="auto"/>
              <w:bottom w:val="single" w:sz="8" w:color="0000EE"/>
            </w:tcBorders>
            <w:gridSpan w:val="16"/>
          </w:tcPr>
          <w:p>
            <w:pPr>
              <w:spacing w:after="0" w:line="120" w:lineRule="exact"/>
              <w:rPr>
                <w:rFonts w:ascii="Arial" w:cs="Arial" w:eastAsia="Arial" w:hAnsi="Arial"/>
                <w:sz w:val="12"/>
                <w:szCs w:val="12"/>
                <w:color w:val="0000EE"/>
                <w:w w:val="91"/>
              </w:rPr>
            </w:pPr>
            <w:hyperlink r:id="rId187">
              <w:r>
                <w:rPr>
                  <w:rFonts w:ascii="Arial" w:cs="Arial" w:eastAsia="Arial" w:hAnsi="Arial"/>
                  <w:sz w:val="12"/>
                  <w:szCs w:val="12"/>
                  <w:color w:val="0000EE"/>
                  <w:w w:val="91"/>
                </w:rPr>
                <w:t>Amendment No. 4 and Limited Waiver to the Credit Agreement, dated as of March 18, 2019, among Uniti Group Inc., as parent guarantor, Uniti Group LP, Uniti Group Finance Inc. and CSL Capital,</w:t>
              </w:r>
            </w:hyperlink>
          </w:p>
        </w:tc>
        <w:tc>
          <w:tcPr>
            <w:tcW w:w="160" w:type="dxa"/>
            <w:vAlign w:val="bottom"/>
            <w:tcBorders>
              <w:top w:val="single" w:sz="8" w:color="auto"/>
            </w:tcBorders>
            <w:gridSpan w:val="7"/>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3"/>
              </w:rPr>
            </w:pPr>
            <w:hyperlink r:id="rId187">
              <w:r>
                <w:rPr>
                  <w:rFonts w:ascii="Arial" w:cs="Arial" w:eastAsia="Arial" w:hAnsi="Arial"/>
                  <w:sz w:val="12"/>
                  <w:szCs w:val="12"/>
                  <w:color w:val="0000EE"/>
                  <w:w w:val="93"/>
                </w:rPr>
                <w:t>LLC, as borrowers, the guarantors party thereto, the lenders party thereto, and Bank of America, N.A., as administrative agent and collateral agent (incorporated by reference to Exhibit 10.11 to the</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2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r:id="rId187">
              <w:r>
                <w:rPr>
                  <w:rFonts w:ascii="Arial" w:cs="Arial" w:eastAsia="Arial" w:hAnsi="Arial"/>
                  <w:sz w:val="12"/>
                  <w:szCs w:val="12"/>
                  <w:color w:val="0000EE"/>
                </w:rPr>
                <w:t>Company’s Annual Report on Form 10-K dated and filed with the SEC as of March 18, 2019 (File No. 001-36708</w:t>
              </w:r>
              <w:r>
                <w:rPr>
                  <w:rFonts w:ascii="Arial" w:cs="Arial" w:eastAsia="Arial" w:hAnsi="Arial"/>
                  <w:sz w:val="12"/>
                  <w:szCs w:val="12"/>
                  <w:color w:val="000000"/>
                </w:rPr>
                <w:t>))</w:t>
              </w:r>
            </w:hyperlink>
          </w:p>
        </w:tc>
        <w:tc>
          <w:tcPr>
            <w:tcW w:w="300" w:type="dxa"/>
            <w:vAlign w:val="bottom"/>
            <w:gridSpan w:val="11"/>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10.10</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40" w:type="dxa"/>
            <w:vAlign w:val="bottom"/>
            <w:tcBorders>
              <w:bottom w:val="single" w:sz="8" w:color="0000EE"/>
            </w:tcBorders>
            <w:gridSpan w:val="19"/>
          </w:tcPr>
          <w:p>
            <w:pPr>
              <w:spacing w:after="0"/>
              <w:rPr>
                <w:rFonts w:ascii="Arial" w:cs="Arial" w:eastAsia="Arial" w:hAnsi="Arial"/>
                <w:sz w:val="12"/>
                <w:szCs w:val="12"/>
                <w:color w:val="0000EE"/>
                <w:w w:val="90"/>
              </w:rPr>
            </w:pPr>
            <w:hyperlink r:id="rId188">
              <w:r>
                <w:rPr>
                  <w:rFonts w:ascii="Arial" w:cs="Arial" w:eastAsia="Arial" w:hAnsi="Arial"/>
                  <w:sz w:val="12"/>
                  <w:szCs w:val="12"/>
                  <w:color w:val="0000EE"/>
                  <w:w w:val="90"/>
                </w:rPr>
                <w:t>Amendment No. 5 to the Credit Agreement, dated as of June 24, 2019, among Uniti Group Inc., as parent guarantor, Uniti Group LP, Uniti Group Finance Inc., and CSL Capital, LLC, as borrowers, the</w:t>
              </w:r>
            </w:hyperlink>
          </w:p>
        </w:tc>
        <w:tc>
          <w:tcPr>
            <w:tcW w:w="80" w:type="dxa"/>
            <w:vAlign w:val="bottom"/>
            <w:gridSpan w:val="4"/>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0"/>
              </w:rPr>
            </w:pPr>
            <w:hyperlink r:id="rId188">
              <w:r>
                <w:rPr>
                  <w:rFonts w:ascii="Arial" w:cs="Arial" w:eastAsia="Arial" w:hAnsi="Arial"/>
                  <w:sz w:val="12"/>
                  <w:szCs w:val="12"/>
                  <w:color w:val="0000EE"/>
                  <w:w w:val="90"/>
                </w:rPr>
                <w:t>guarantors party thereto, the lenders party thereto, and Bank of America, N.A., as administrative agent and collateral agent (incorporated by reference to Exhibit 10.1 to the Company’s Current Report on</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94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0"/>
              </w:rPr>
            </w:pPr>
            <w:hyperlink r:id="rId188">
              <w:r>
                <w:rPr>
                  <w:rFonts w:ascii="Arial" w:cs="Arial" w:eastAsia="Arial" w:hAnsi="Arial"/>
                  <w:sz w:val="12"/>
                  <w:szCs w:val="12"/>
                  <w:color w:val="0000EE"/>
                  <w:w w:val="90"/>
                </w:rPr>
                <w:t>Form 8-K dated and filed with the SEC as of June 24, 2019 (File No. 001-36708))</w:t>
              </w:r>
            </w:hyperlink>
          </w:p>
        </w:tc>
        <w:tc>
          <w:tcPr>
            <w:tcW w:w="5760" w:type="dxa"/>
            <w:vAlign w:val="bottom"/>
            <w:tcBorders>
              <w:top w:val="single" w:sz="8" w:color="0000EE"/>
            </w:tcBorders>
            <w:gridSpan w:val="16"/>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5"/>
              </w:rPr>
            </w:pPr>
            <w:hyperlink r:id="rId189">
              <w:r>
                <w:rPr>
                  <w:rFonts w:ascii="Arial" w:cs="Arial" w:eastAsia="Arial" w:hAnsi="Arial"/>
                  <w:sz w:val="12"/>
                  <w:szCs w:val="12"/>
                  <w:color w:val="0000EE"/>
                  <w:w w:val="95"/>
                </w:rPr>
                <w:t>Amendment No. 6 and Limited Waiver to the Credit Agreement, dated as of February 10, 2020, among Uniti Group LP, Uniti Group Finance 2019 Inc. and CSL Capital, LLC, as borrowers, the</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1"/>
              </w:rPr>
            </w:pPr>
            <w:hyperlink r:id="rId189">
              <w:r>
                <w:rPr>
                  <w:rFonts w:ascii="Arial" w:cs="Arial" w:eastAsia="Arial" w:hAnsi="Arial"/>
                  <w:sz w:val="12"/>
                  <w:szCs w:val="12"/>
                  <w:color w:val="0000EE"/>
                  <w:w w:val="91"/>
                </w:rPr>
                <w:t>guarantor party thereto, the lenders party thereto, and Bank of America, N.A., as administrative agent and collateral agent (incorporated by reference to Exhibit 10.1 to the Company’s Current Report on</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6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r:id="rId189">
              <w:r>
                <w:rPr>
                  <w:rFonts w:ascii="Arial" w:cs="Arial" w:eastAsia="Arial" w:hAnsi="Arial"/>
                  <w:sz w:val="12"/>
                  <w:szCs w:val="12"/>
                  <w:color w:val="0000EE"/>
                </w:rPr>
                <w:t>Form 8-K filed with the SEC on February 10, 2020 (File No. 001-36708))</w:t>
              </w:r>
            </w:hyperlink>
          </w:p>
        </w:tc>
        <w:tc>
          <w:tcPr>
            <w:tcW w:w="60" w:type="dxa"/>
            <w:vAlign w:val="bottom"/>
            <w:gridSpan w:val="3"/>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40" w:type="dxa"/>
            <w:vAlign w:val="bottom"/>
            <w:tcBorders>
              <w:bottom w:val="single" w:sz="8" w:color="0000EE"/>
            </w:tcBorders>
            <w:gridSpan w:val="15"/>
          </w:tcPr>
          <w:p>
            <w:pPr>
              <w:spacing w:after="0"/>
              <w:rPr>
                <w:rFonts w:ascii="Arial" w:cs="Arial" w:eastAsia="Arial" w:hAnsi="Arial"/>
                <w:sz w:val="12"/>
                <w:szCs w:val="12"/>
                <w:color w:val="0000EE"/>
                <w:w w:val="90"/>
              </w:rPr>
            </w:pPr>
            <w:hyperlink r:id="rId190">
              <w:r>
                <w:rPr>
                  <w:rFonts w:ascii="Arial" w:cs="Arial" w:eastAsia="Arial" w:hAnsi="Arial"/>
                  <w:sz w:val="12"/>
                  <w:szCs w:val="12"/>
                  <w:color w:val="0000EE"/>
                  <w:w w:val="90"/>
                </w:rPr>
                <w:t>Amendment No. 7 to the Credit Agreement, dated as of December 10, 2020, by and among Uniti Group Inc., as parent guarantor, Uniti Group LP, Uniti Group Finance Inc., and CSL Capital, LLC, as</w:t>
              </w:r>
            </w:hyperlink>
          </w:p>
        </w:tc>
        <w:tc>
          <w:tcPr>
            <w:tcW w:w="180" w:type="dxa"/>
            <w:vAlign w:val="bottom"/>
            <w:gridSpan w:val="8"/>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2"/>
              </w:rPr>
            </w:pPr>
            <w:hyperlink r:id="rId190">
              <w:r>
                <w:rPr>
                  <w:rFonts w:ascii="Arial" w:cs="Arial" w:eastAsia="Arial" w:hAnsi="Arial"/>
                  <w:sz w:val="12"/>
                  <w:szCs w:val="12"/>
                  <w:color w:val="0000EE"/>
                  <w:w w:val="92"/>
                </w:rPr>
                <w:t>borrowers, the guarantors party thereto, the lenders party thereto, and Bank of America, N.A., as administrative agent and collateral agent (incorporated by reference to Exhibit 10.1 to the Company’s</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12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91"/>
              </w:rPr>
            </w:pPr>
            <w:hyperlink r:id="rId190">
              <w:r>
                <w:rPr>
                  <w:rFonts w:ascii="Arial" w:cs="Arial" w:eastAsia="Arial" w:hAnsi="Arial"/>
                  <w:sz w:val="12"/>
                  <w:szCs w:val="12"/>
                  <w:color w:val="0000EE"/>
                  <w:w w:val="91"/>
                </w:rPr>
                <w:t>Current Report on Form 8-K dated and filed with the SEC as of December 10, 2020 (File No. 001-36708))</w:t>
              </w:r>
            </w:hyperlink>
          </w:p>
        </w:tc>
        <w:tc>
          <w:tcPr>
            <w:tcW w:w="4400" w:type="dxa"/>
            <w:vAlign w:val="bottom"/>
            <w:tcBorders>
              <w:top w:val="single" w:sz="8" w:color="0000EE"/>
            </w:tcBorders>
            <w:gridSpan w:val="6"/>
          </w:tcPr>
          <w:p>
            <w:pPr>
              <w:spacing w:after="0"/>
              <w:rPr>
                <w:sz w:val="10"/>
                <w:szCs w:val="10"/>
                <w:color w:val="auto"/>
              </w:rPr>
            </w:pPr>
          </w:p>
        </w:tc>
        <w:tc>
          <w:tcPr>
            <w:tcW w:w="200" w:type="dxa"/>
            <w:vAlign w:val="bottom"/>
            <w:gridSpan w:val="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10.13</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40" w:type="dxa"/>
            <w:vAlign w:val="bottom"/>
            <w:tcBorders>
              <w:bottom w:val="single" w:sz="8" w:color="0000EE"/>
            </w:tcBorders>
            <w:gridSpan w:val="13"/>
          </w:tcPr>
          <w:p>
            <w:pPr>
              <w:spacing w:after="0"/>
              <w:rPr>
                <w:rFonts w:ascii="Arial" w:cs="Arial" w:eastAsia="Arial" w:hAnsi="Arial"/>
                <w:sz w:val="12"/>
                <w:szCs w:val="12"/>
                <w:color w:val="0000EE"/>
                <w:w w:val="91"/>
              </w:rPr>
            </w:pPr>
            <w:hyperlink r:id="rId191">
              <w:r>
                <w:rPr>
                  <w:rFonts w:ascii="Arial" w:cs="Arial" w:eastAsia="Arial" w:hAnsi="Arial"/>
                  <w:sz w:val="12"/>
                  <w:szCs w:val="12"/>
                  <w:color w:val="0000EE"/>
                  <w:w w:val="91"/>
                </w:rPr>
                <w:t>Agreement of Resignation, Appointment and Acceptance, dated as of June 26, 2019, by and among Uniti Group LP, CSL Capital, LLC, Uniti Group Finance, Inc., and Uniti Fiber Holdings, Inc., as</w:t>
              </w:r>
            </w:hyperlink>
          </w:p>
        </w:tc>
        <w:tc>
          <w:tcPr>
            <w:tcW w:w="280" w:type="dxa"/>
            <w:vAlign w:val="bottom"/>
            <w:gridSpan w:val="10"/>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2"/>
              </w:rPr>
            </w:pPr>
            <w:hyperlink r:id="rId191">
              <w:r>
                <w:rPr>
                  <w:rFonts w:ascii="Arial" w:cs="Arial" w:eastAsia="Arial" w:hAnsi="Arial"/>
                  <w:sz w:val="12"/>
                  <w:szCs w:val="12"/>
                  <w:color w:val="0000EE"/>
                  <w:w w:val="92"/>
                </w:rPr>
                <w:t>Issuers, and Deutsche Bank Trust Company Americas, as successor trustee, and Wells Fargo Bank, N.A., as resigning trustee (incorporated by reference to Exhibit 10.4 to the Company’s Quarterly</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0" w:type="dxa"/>
            <w:vAlign w:val="bottom"/>
            <w:tcBorders>
              <w:top w:val="single" w:sz="8" w:color="0000EE"/>
            </w:tcBorders>
            <w:gridSpan w:val="11"/>
          </w:tcPr>
          <w:p>
            <w:pPr>
              <w:spacing w:after="0" w:line="124" w:lineRule="exact"/>
              <w:rPr>
                <w:rFonts w:ascii="Arial" w:cs="Arial" w:eastAsia="Arial" w:hAnsi="Arial"/>
                <w:sz w:val="12"/>
                <w:szCs w:val="12"/>
                <w:color w:val="0000EE"/>
              </w:rPr>
            </w:pPr>
            <w:hyperlink r:id="rId191">
              <w:r>
                <w:rPr>
                  <w:rFonts w:ascii="Arial" w:cs="Arial" w:eastAsia="Arial" w:hAnsi="Arial"/>
                  <w:sz w:val="12"/>
                  <w:szCs w:val="12"/>
                  <w:color w:val="0000EE"/>
                </w:rPr>
                <w:t>Report on Form 10-Q dated and filed with the SEC as of August 8, 2019 (File No. 001-36708))</w:t>
              </w:r>
            </w:hyperlink>
          </w:p>
        </w:tc>
        <w:tc>
          <w:tcPr>
            <w:tcW w:w="320" w:type="dxa"/>
            <w:vAlign w:val="bottom"/>
            <w:gridSpan w:val="1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2"/>
              </w:rPr>
            </w:pPr>
            <w:hyperlink r:id="rId192">
              <w:r>
                <w:rPr>
                  <w:rFonts w:ascii="Arial" w:cs="Arial" w:eastAsia="Arial" w:hAnsi="Arial"/>
                  <w:sz w:val="12"/>
                  <w:szCs w:val="12"/>
                  <w:color w:val="0000EE"/>
                  <w:w w:val="92"/>
                </w:rPr>
                <w:t>Borrower Assumption Agreement and Joinder, dated as of May 9, 2017 by and among Uniti Group Inc., as initial borrower, Uniti Group LP and Uniti Group Finance Inc., as borrowers, the guarantors</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60" w:type="dxa"/>
            <w:vAlign w:val="bottom"/>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1"/>
              </w:rPr>
            </w:pPr>
            <w:hyperlink r:id="rId192">
              <w:r>
                <w:rPr>
                  <w:rFonts w:ascii="Arial" w:cs="Arial" w:eastAsia="Arial" w:hAnsi="Arial"/>
                  <w:sz w:val="12"/>
                  <w:szCs w:val="12"/>
                  <w:color w:val="0000EE"/>
                  <w:w w:val="91"/>
                </w:rPr>
                <w:t>party thereto, the lenders party thereto, and Bank of America, N.A., as administrative agent and collateral agent (incorporated by reference to Exhibit 10.1 to the Company’s Current Report on Form 8-K</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top w:val="single" w:sz="8" w:color="0000EE"/>
            </w:tcBorders>
            <w:gridSpan w:val="22"/>
          </w:tcPr>
          <w:p>
            <w:pPr>
              <w:spacing w:after="0" w:line="124" w:lineRule="exact"/>
              <w:rPr>
                <w:rFonts w:ascii="Arial" w:cs="Arial" w:eastAsia="Arial" w:hAnsi="Arial"/>
                <w:sz w:val="12"/>
                <w:szCs w:val="12"/>
                <w:color w:val="0000EE"/>
              </w:rPr>
            </w:pPr>
            <w:hyperlink r:id="rId192">
              <w:r>
                <w:rPr>
                  <w:rFonts w:ascii="Arial" w:cs="Arial" w:eastAsia="Arial" w:hAnsi="Arial"/>
                  <w:sz w:val="12"/>
                  <w:szCs w:val="12"/>
                  <w:color w:val="0000EE"/>
                </w:rPr>
                <w:t>dated and filed with the SEC as of May 9, 2017 (File No. 001-36708))</w:t>
              </w:r>
            </w:hyperlink>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10.15</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1"/>
              </w:rPr>
            </w:pPr>
            <w:hyperlink r:id="rId193">
              <w:r>
                <w:rPr>
                  <w:rFonts w:ascii="Arial" w:cs="Arial" w:eastAsia="Arial" w:hAnsi="Arial"/>
                  <w:sz w:val="12"/>
                  <w:szCs w:val="12"/>
                  <w:color w:val="0000EE"/>
                  <w:w w:val="91"/>
                </w:rPr>
                <w:t>Recognition Agreement, dated April 24, 2015, by and among CSL National, LP and the other entities listed therein, as Landlord, and Windstream Holdings, Inc., as Tenant, and JPMorgan Chase Bank,</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900" w:type="dxa"/>
            <w:vAlign w:val="bottom"/>
            <w:tcBorders>
              <w:right w:val="single" w:sz="8" w:color="0000EE"/>
            </w:tcBorders>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2"/>
              </w:rPr>
            </w:pPr>
            <w:hyperlink r:id="rId193">
              <w:r>
                <w:rPr>
                  <w:rFonts w:ascii="Arial" w:cs="Arial" w:eastAsia="Arial" w:hAnsi="Arial"/>
                  <w:sz w:val="12"/>
                  <w:szCs w:val="12"/>
                  <w:color w:val="0000EE"/>
                  <w:w w:val="92"/>
                </w:rPr>
                <w:t>N.A., as administrative agent and collateral agent (incorporated by reference to Exhibit 10.11 to the Company’s Current Report on Form 8-K dated and filed with the SEC as of April 27, 2015 (File No.</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8"/>
              </w:rPr>
            </w:pPr>
            <w:hyperlink r:id="rId193">
              <w:r>
                <w:rPr>
                  <w:rFonts w:ascii="Arial" w:cs="Arial" w:eastAsia="Arial" w:hAnsi="Arial"/>
                  <w:sz w:val="12"/>
                  <w:szCs w:val="12"/>
                  <w:color w:val="0000EE"/>
                  <w:w w:val="88"/>
                </w:rPr>
                <w:t>001-36708))</w:t>
              </w:r>
            </w:hyperlink>
          </w:p>
        </w:tc>
        <w:tc>
          <w:tcPr>
            <w:tcW w:w="218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37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10.16+</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tcBorders>
              <w:bottom w:val="single" w:sz="8" w:color="0000EE"/>
            </w:tcBorders>
            <w:gridSpan w:val="23"/>
          </w:tcPr>
          <w:p>
            <w:pPr>
              <w:spacing w:after="0"/>
              <w:rPr>
                <w:rFonts w:ascii="Arial" w:cs="Arial" w:eastAsia="Arial" w:hAnsi="Arial"/>
                <w:sz w:val="12"/>
                <w:szCs w:val="12"/>
                <w:color w:val="0000EE"/>
                <w:w w:val="91"/>
              </w:rPr>
            </w:pPr>
            <w:hyperlink r:id="rId194">
              <w:r>
                <w:rPr>
                  <w:rFonts w:ascii="Arial" w:cs="Arial" w:eastAsia="Arial" w:hAnsi="Arial"/>
                  <w:sz w:val="12"/>
                  <w:szCs w:val="12"/>
                  <w:color w:val="0000EE"/>
                  <w:w w:val="91"/>
                </w:rPr>
                <w:t>Employment Agreement between Uniti Group Inc. and Kenneth Gunderman, effective as of December 14, 2018 (incorporated by reference to Exhibit 10.1 to the Company’s Current Report on Form 8-K</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rPr>
            </w:pPr>
            <w:hyperlink r:id="rId194">
              <w:r>
                <w:rPr>
                  <w:rFonts w:ascii="Arial" w:cs="Arial" w:eastAsia="Arial" w:hAnsi="Arial"/>
                  <w:sz w:val="12"/>
                  <w:szCs w:val="12"/>
                  <w:color w:val="0000EE"/>
                </w:rPr>
                <w:t>dated and filed with the SEC as of December 14, 2018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10.17+</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1"/>
              </w:rPr>
            </w:pPr>
            <w:hyperlink r:id="rId195">
              <w:r>
                <w:rPr>
                  <w:rFonts w:ascii="Arial" w:cs="Arial" w:eastAsia="Arial" w:hAnsi="Arial"/>
                  <w:sz w:val="12"/>
                  <w:szCs w:val="12"/>
                  <w:color w:val="0000EE"/>
                  <w:w w:val="91"/>
                </w:rPr>
                <w:t>Severance Agreement, dated as of December 30, 2020, by and between Uniti Group Inc. and Daniel L. Heard (incorporated by reference to Exhibit 10.2 to the Company’s Current Report on Form 8-K</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r:id="rId195">
              <w:r>
                <w:rPr>
                  <w:rFonts w:ascii="Arial" w:cs="Arial" w:eastAsia="Arial" w:hAnsi="Arial"/>
                  <w:sz w:val="12"/>
                  <w:szCs w:val="12"/>
                  <w:color w:val="0000EE"/>
                </w:rPr>
                <w:t>dated and filed with the SEC as of December 30, 2020 (File No. 001-36708))</w:t>
              </w:r>
            </w:hyperlink>
          </w:p>
        </w:tc>
        <w:tc>
          <w:tcPr>
            <w:tcW w:w="120" w:type="dxa"/>
            <w:vAlign w:val="bottom"/>
            <w:gridSpan w:val="6"/>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94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10.18+</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80" w:type="dxa"/>
            <w:vAlign w:val="bottom"/>
            <w:tcBorders>
              <w:bottom w:val="single" w:sz="8" w:color="0000EE"/>
            </w:tcBorders>
            <w:gridSpan w:val="21"/>
          </w:tcPr>
          <w:p>
            <w:pPr>
              <w:spacing w:after="0"/>
              <w:rPr>
                <w:rFonts w:ascii="Arial" w:cs="Arial" w:eastAsia="Arial" w:hAnsi="Arial"/>
                <w:sz w:val="12"/>
                <w:szCs w:val="12"/>
                <w:color w:val="0000EE"/>
                <w:w w:val="91"/>
              </w:rPr>
            </w:pPr>
            <w:hyperlink r:id="rId196">
              <w:r>
                <w:rPr>
                  <w:rFonts w:ascii="Arial" w:cs="Arial" w:eastAsia="Arial" w:hAnsi="Arial"/>
                  <w:sz w:val="12"/>
                  <w:szCs w:val="12"/>
                  <w:color w:val="0000EE"/>
                  <w:w w:val="91"/>
                </w:rPr>
                <w:t>Uniti Group Inc. 2015 Equity Incentive Plan, as amended and restated effective March 28, 2018 (incorporated by reference to Exhibit 10.1 to the Company’s Current Report on Form 8-K dated and filed</w:t>
              </w:r>
            </w:hyperlink>
          </w:p>
        </w:tc>
        <w:tc>
          <w:tcPr>
            <w:tcW w:w="40" w:type="dxa"/>
            <w:vAlign w:val="bottom"/>
            <w:gridSpan w:val="2"/>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80" w:type="dxa"/>
            <w:vAlign w:val="bottom"/>
            <w:tcBorders>
              <w:bottom w:val="single" w:sz="8" w:color="0000EE"/>
            </w:tcBorders>
            <w:gridSpan w:val="2"/>
          </w:tcPr>
          <w:p>
            <w:pPr>
              <w:spacing w:after="0" w:line="124" w:lineRule="exact"/>
              <w:rPr>
                <w:rFonts w:ascii="Arial" w:cs="Arial" w:eastAsia="Arial" w:hAnsi="Arial"/>
                <w:sz w:val="12"/>
                <w:szCs w:val="12"/>
                <w:color w:val="0000EE"/>
                <w:w w:val="91"/>
              </w:rPr>
            </w:pPr>
            <w:hyperlink r:id="rId196">
              <w:r>
                <w:rPr>
                  <w:rFonts w:ascii="Arial" w:cs="Arial" w:eastAsia="Arial" w:hAnsi="Arial"/>
                  <w:sz w:val="12"/>
                  <w:szCs w:val="12"/>
                  <w:color w:val="0000EE"/>
                  <w:w w:val="91"/>
                </w:rPr>
                <w:t>with the SEC as of March 29, 2018 (File No. 001-36708))</w:t>
              </w:r>
            </w:hyperlink>
          </w:p>
        </w:tc>
        <w:tc>
          <w:tcPr>
            <w:tcW w:w="6940" w:type="dxa"/>
            <w:vAlign w:val="bottom"/>
            <w:gridSpan w:val="21"/>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10.19+</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1"/>
              </w:rPr>
            </w:pPr>
            <w:hyperlink r:id="rId197">
              <w:r>
                <w:rPr>
                  <w:rFonts w:ascii="Arial" w:cs="Arial" w:eastAsia="Arial" w:hAnsi="Arial"/>
                  <w:sz w:val="12"/>
                  <w:szCs w:val="12"/>
                  <w:color w:val="0000EE"/>
                  <w:w w:val="91"/>
                </w:rPr>
                <w:t>Form of Restricted Shares Agreement for employees (incorporated by reference to Exhibit 10.3 to the Company’s Current Report on Form 8-K dated and filed with the SEC as of June 3, 2015 (File No.</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8"/>
              </w:rPr>
            </w:pPr>
            <w:hyperlink r:id="rId197">
              <w:r>
                <w:rPr>
                  <w:rFonts w:ascii="Arial" w:cs="Arial" w:eastAsia="Arial" w:hAnsi="Arial"/>
                  <w:sz w:val="12"/>
                  <w:szCs w:val="12"/>
                  <w:color w:val="0000EE"/>
                  <w:w w:val="88"/>
                </w:rPr>
                <w:t>001-36708))</w:t>
              </w:r>
            </w:hyperlink>
          </w:p>
        </w:tc>
        <w:tc>
          <w:tcPr>
            <w:tcW w:w="218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37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76"/>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gridSpan w:val="7"/>
          </w:tcPr>
          <w:p>
            <w:pPr>
              <w:ind w:left="3960"/>
              <w:spacing w:after="0"/>
              <w:rPr>
                <w:sz w:val="20"/>
                <w:szCs w:val="20"/>
                <w:color w:val="auto"/>
              </w:rPr>
            </w:pPr>
            <w:r>
              <w:rPr>
                <w:rFonts w:ascii="Arial" w:cs="Arial" w:eastAsia="Arial" w:hAnsi="Arial"/>
                <w:sz w:val="12"/>
                <w:szCs w:val="12"/>
                <w:color w:val="auto"/>
              </w:rPr>
              <w:t>125</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7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38"/>
        </w:trPr>
        <w:tc>
          <w:tcPr>
            <w:tcW w:w="160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80" w:type="dxa"/>
            <w:vAlign w:val="bottom"/>
            <w:gridSpan w:val="11"/>
          </w:tcPr>
          <w:p>
            <w:pPr>
              <w:ind w:left="32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19"/>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10.20+</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tcBorders>
              <w:top w:val="single" w:sz="8" w:color="auto"/>
            </w:tcBorders>
            <w:gridSpan w:val="20"/>
          </w:tcPr>
          <w:p>
            <w:pPr>
              <w:spacing w:after="0" w:line="120" w:lineRule="exact"/>
              <w:rPr>
                <w:rFonts w:ascii="Arial" w:cs="Arial" w:eastAsia="Arial" w:hAnsi="Arial"/>
                <w:sz w:val="12"/>
                <w:szCs w:val="12"/>
                <w:color w:val="0000EE"/>
                <w:w w:val="91"/>
              </w:rPr>
            </w:pPr>
            <w:hyperlink r:id="rId200">
              <w:r>
                <w:rPr>
                  <w:rFonts w:ascii="Arial" w:cs="Arial" w:eastAsia="Arial" w:hAnsi="Arial"/>
                  <w:sz w:val="12"/>
                  <w:szCs w:val="12"/>
                  <w:color w:val="0000EE"/>
                  <w:w w:val="91"/>
                </w:rPr>
                <w:t>Form of Restricted Shares Agreement for employees (incorporated by reference to Exhibit 10.19 to the Company’s Annual Report on Form 10-K dated and filed with the SEC as of March 18, 2019 (File</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8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r:id="rId200">
              <w:r>
                <w:rPr>
                  <w:rFonts w:ascii="Arial" w:cs="Arial" w:eastAsia="Arial" w:hAnsi="Arial"/>
                  <w:sz w:val="12"/>
                  <w:szCs w:val="12"/>
                  <w:color w:val="0000EE"/>
                </w:rPr>
                <w:t>No. 001-36708))</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40" w:type="dxa"/>
            <w:vAlign w:val="bottom"/>
            <w:tcBorders>
              <w:bottom w:val="single" w:sz="8" w:color="0000EE"/>
            </w:tcBorders>
            <w:gridSpan w:val="16"/>
          </w:tcPr>
          <w:p>
            <w:pPr>
              <w:spacing w:after="0"/>
              <w:rPr>
                <w:rFonts w:ascii="Arial" w:cs="Arial" w:eastAsia="Arial" w:hAnsi="Arial"/>
                <w:sz w:val="12"/>
                <w:szCs w:val="12"/>
                <w:color w:val="0000EE"/>
                <w:w w:val="90"/>
              </w:rPr>
            </w:pPr>
            <w:hyperlink r:id="rId201">
              <w:r>
                <w:rPr>
                  <w:rFonts w:ascii="Arial" w:cs="Arial" w:eastAsia="Arial" w:hAnsi="Arial"/>
                  <w:sz w:val="12"/>
                  <w:szCs w:val="12"/>
                  <w:color w:val="0000EE"/>
                  <w:w w:val="90"/>
                </w:rPr>
                <w:t>Form of Performance-Based Restricted Stock Unit Agreement (incorporated by reference to Exhibit 10.4 to the Company’s Current Report on Form 8-K dated and filed with the SEC as of June 3, 2015</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201">
              <w:r>
                <w:rPr>
                  <w:rFonts w:ascii="Arial" w:cs="Arial" w:eastAsia="Arial" w:hAnsi="Arial"/>
                  <w:sz w:val="12"/>
                  <w:szCs w:val="12"/>
                  <w:color w:val="0000EE"/>
                  <w:w w:val="91"/>
                </w:rPr>
                <w:t>(File No. 001-36708))</w:t>
              </w:r>
            </w:hyperlink>
          </w:p>
        </w:tc>
        <w:tc>
          <w:tcPr>
            <w:tcW w:w="866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0"/>
          </w:tcPr>
          <w:p>
            <w:pPr>
              <w:spacing w:after="0"/>
              <w:rPr>
                <w:rFonts w:ascii="Arial" w:cs="Arial" w:eastAsia="Arial" w:hAnsi="Arial"/>
                <w:sz w:val="12"/>
                <w:szCs w:val="12"/>
                <w:color w:val="0000EE"/>
                <w:w w:val="92"/>
              </w:rPr>
            </w:pPr>
            <w:hyperlink r:id="rId202">
              <w:r>
                <w:rPr>
                  <w:rFonts w:ascii="Arial" w:cs="Arial" w:eastAsia="Arial" w:hAnsi="Arial"/>
                  <w:sz w:val="12"/>
                  <w:szCs w:val="12"/>
                  <w:color w:val="0000EE"/>
                  <w:w w:val="92"/>
                </w:rPr>
                <w:t>Form of Performance-Based Restricted Stock Unit Agreement (incorporated by reference to Exhibit 10.21 to the Company’s Annual Report on Form 10-K dated and filed with the SEC as of March 18,</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20" w:type="dxa"/>
            <w:vAlign w:val="bottom"/>
            <w:tcBorders>
              <w:top w:val="single" w:sz="8" w:color="0000EE"/>
            </w:tcBorders>
            <w:gridSpan w:val="15"/>
          </w:tcPr>
          <w:p>
            <w:pPr>
              <w:spacing w:after="0" w:line="124" w:lineRule="exact"/>
              <w:rPr>
                <w:rFonts w:ascii="Arial" w:cs="Arial" w:eastAsia="Arial" w:hAnsi="Arial"/>
                <w:sz w:val="12"/>
                <w:szCs w:val="12"/>
                <w:color w:val="0000EE"/>
              </w:rPr>
            </w:pPr>
            <w:hyperlink r:id="rId202">
              <w:r>
                <w:rPr>
                  <w:rFonts w:ascii="Arial" w:cs="Arial" w:eastAsia="Arial" w:hAnsi="Arial"/>
                  <w:sz w:val="12"/>
                  <w:szCs w:val="12"/>
                  <w:color w:val="0000EE"/>
                </w:rPr>
                <w:t>2019 (File No. 001-36708))</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0"/>
          </w:tcPr>
          <w:p>
            <w:pPr>
              <w:spacing w:after="0"/>
              <w:rPr>
                <w:rFonts w:ascii="Arial" w:cs="Arial" w:eastAsia="Arial" w:hAnsi="Arial"/>
                <w:sz w:val="12"/>
                <w:szCs w:val="12"/>
                <w:color w:val="0000EE"/>
                <w:w w:val="92"/>
              </w:rPr>
            </w:pPr>
            <w:hyperlink r:id="rId203">
              <w:r>
                <w:rPr>
                  <w:rFonts w:ascii="Arial" w:cs="Arial" w:eastAsia="Arial" w:hAnsi="Arial"/>
                  <w:sz w:val="12"/>
                  <w:szCs w:val="12"/>
                  <w:color w:val="0000EE"/>
                  <w:w w:val="92"/>
                </w:rPr>
                <w:t>Form of Restricted Shares Agreement for non-employee directors (incorporated by reference to Exhibit 10.5 to the Company’s Current Report on Form 8-K dated and filed with the SEC as of June 3,</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20" w:type="dxa"/>
            <w:vAlign w:val="bottom"/>
            <w:tcBorders>
              <w:top w:val="single" w:sz="8" w:color="0000EE"/>
            </w:tcBorders>
            <w:gridSpan w:val="13"/>
          </w:tcPr>
          <w:p>
            <w:pPr>
              <w:spacing w:after="0" w:line="124" w:lineRule="exact"/>
              <w:rPr>
                <w:rFonts w:ascii="Arial" w:cs="Arial" w:eastAsia="Arial" w:hAnsi="Arial"/>
                <w:sz w:val="12"/>
                <w:szCs w:val="12"/>
                <w:color w:val="0000EE"/>
              </w:rPr>
            </w:pPr>
            <w:hyperlink r:id="rId203">
              <w:r>
                <w:rPr>
                  <w:rFonts w:ascii="Arial" w:cs="Arial" w:eastAsia="Arial" w:hAnsi="Arial"/>
                  <w:sz w:val="12"/>
                  <w:szCs w:val="12"/>
                  <w:color w:val="0000EE"/>
                </w:rPr>
                <w:t>2015 (File No. 001-36708))</w:t>
              </w:r>
            </w:hyperlink>
          </w:p>
        </w:tc>
        <w:tc>
          <w:tcPr>
            <w:tcW w:w="20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0"/>
          </w:tcPr>
          <w:p>
            <w:pPr>
              <w:spacing w:after="0"/>
              <w:rPr>
                <w:rFonts w:ascii="Arial" w:cs="Arial" w:eastAsia="Arial" w:hAnsi="Arial"/>
                <w:sz w:val="12"/>
                <w:szCs w:val="12"/>
                <w:color w:val="0000EE"/>
                <w:w w:val="91"/>
              </w:rPr>
            </w:pPr>
            <w:hyperlink r:id="rId204">
              <w:r>
                <w:rPr>
                  <w:rFonts w:ascii="Arial" w:cs="Arial" w:eastAsia="Arial" w:hAnsi="Arial"/>
                  <w:sz w:val="12"/>
                  <w:szCs w:val="12"/>
                  <w:color w:val="0000EE"/>
                  <w:w w:val="91"/>
                </w:rPr>
                <w:t>Form of Indemnity Agreement (incorporated by reference to Exhibit 10.20 to the Company’s Registration Statement on Form S-4 dated and filed with the SEC as of July 2, 2015 (File No. 333-205450))</w:t>
              </w:r>
            </w:hyperlink>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40" w:type="dxa"/>
            <w:vAlign w:val="bottom"/>
            <w:tcBorders>
              <w:top w:val="single" w:sz="8" w:color="0000EE"/>
              <w:bottom w:val="single" w:sz="8" w:color="0000EE"/>
            </w:tcBorders>
            <w:gridSpan w:val="16"/>
          </w:tcPr>
          <w:p>
            <w:pPr>
              <w:spacing w:after="0"/>
              <w:rPr>
                <w:rFonts w:ascii="Arial" w:cs="Arial" w:eastAsia="Arial" w:hAnsi="Arial"/>
                <w:sz w:val="12"/>
                <w:szCs w:val="12"/>
                <w:color w:val="0000EE"/>
                <w:w w:val="90"/>
              </w:rPr>
            </w:pPr>
            <w:hyperlink r:id="rId205">
              <w:r>
                <w:rPr>
                  <w:rFonts w:ascii="Arial" w:cs="Arial" w:eastAsia="Arial" w:hAnsi="Arial"/>
                  <w:sz w:val="12"/>
                  <w:szCs w:val="12"/>
                  <w:color w:val="0000EE"/>
                  <w:w w:val="90"/>
                </w:rPr>
                <w:t>Communications Sales &amp; Leasing, Inc. Deferred Compensation Plan, effective August 10, 2015 (incorporated by reference to Exhibit 10.20 to the Company’s Quarterly Report on Form 10-Q dated and</w:t>
              </w:r>
            </w:hyperlink>
          </w:p>
        </w:tc>
        <w:tc>
          <w:tcPr>
            <w:tcW w:w="20" w:type="dxa"/>
            <w:vAlign w:val="bottom"/>
            <w:tcBorders>
              <w:top w:val="single" w:sz="8" w:color="0000EE"/>
            </w:tcBorders>
          </w:tcPr>
          <w:p>
            <w:pPr>
              <w:spacing w:after="0"/>
              <w:rPr>
                <w:sz w:val="18"/>
                <w:szCs w:val="18"/>
                <w:color w:val="auto"/>
              </w:rPr>
            </w:pPr>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0"/>
          </w:tcPr>
          <w:p>
            <w:pPr>
              <w:spacing w:after="0" w:line="124" w:lineRule="exact"/>
              <w:rPr>
                <w:rFonts w:ascii="Arial" w:cs="Arial" w:eastAsia="Arial" w:hAnsi="Arial"/>
                <w:sz w:val="12"/>
                <w:szCs w:val="12"/>
                <w:color w:val="0000EE"/>
              </w:rPr>
            </w:pPr>
            <w:hyperlink r:id="rId205">
              <w:r>
                <w:rPr>
                  <w:rFonts w:ascii="Arial" w:cs="Arial" w:eastAsia="Arial" w:hAnsi="Arial"/>
                  <w:sz w:val="12"/>
                  <w:szCs w:val="12"/>
                  <w:color w:val="0000EE"/>
                </w:rPr>
                <w:t>filed with the SEC as of August 13, 2015 (File No. 001-36708))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0"/>
          </w:tcPr>
          <w:p>
            <w:pPr>
              <w:spacing w:after="0"/>
              <w:rPr>
                <w:rFonts w:ascii="Arial" w:cs="Arial" w:eastAsia="Arial" w:hAnsi="Arial"/>
                <w:sz w:val="12"/>
                <w:szCs w:val="12"/>
                <w:color w:val="0000EE"/>
                <w:w w:val="90"/>
              </w:rPr>
            </w:pPr>
            <w:hyperlink r:id="rId206">
              <w:r>
                <w:rPr>
                  <w:rFonts w:ascii="Arial" w:cs="Arial" w:eastAsia="Arial" w:hAnsi="Arial"/>
                  <w:sz w:val="12"/>
                  <w:szCs w:val="12"/>
                  <w:color w:val="0000EE"/>
                  <w:w w:val="90"/>
                </w:rPr>
                <w:t>Uniti Group Inc. Amended and Restated Employee Stock Purchase Plan (incorporated by reference to Exhibit 99.1 to the Company’s Registration Statement on Form S-8 dated and filed with the SEC as</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0"/>
              </w:rPr>
            </w:pPr>
            <w:hyperlink r:id="rId206">
              <w:r>
                <w:rPr>
                  <w:rFonts w:ascii="Arial" w:cs="Arial" w:eastAsia="Arial" w:hAnsi="Arial"/>
                  <w:sz w:val="12"/>
                  <w:szCs w:val="12"/>
                  <w:color w:val="0000EE"/>
                  <w:w w:val="90"/>
                </w:rPr>
                <w:t>of June 7, 2018 (File No. 333-225501))</w:t>
              </w:r>
            </w:hyperlink>
          </w:p>
        </w:tc>
        <w:tc>
          <w:tcPr>
            <w:tcW w:w="7780" w:type="dxa"/>
            <w:vAlign w:val="bottom"/>
            <w:tcBorders>
              <w:top w:val="single" w:sz="8" w:color="0000EE"/>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0"/>
          </w:tcPr>
          <w:p>
            <w:pPr>
              <w:spacing w:after="0"/>
              <w:rPr>
                <w:rFonts w:ascii="Arial" w:cs="Arial" w:eastAsia="Arial" w:hAnsi="Arial"/>
                <w:sz w:val="12"/>
                <w:szCs w:val="12"/>
                <w:color w:val="0000EE"/>
                <w:w w:val="92"/>
              </w:rPr>
            </w:pPr>
            <w:hyperlink r:id="rId207">
              <w:r>
                <w:rPr>
                  <w:rFonts w:ascii="Arial" w:cs="Arial" w:eastAsia="Arial" w:hAnsi="Arial"/>
                  <w:sz w:val="12"/>
                  <w:szCs w:val="12"/>
                  <w:color w:val="0000EE"/>
                  <w:w w:val="92"/>
                </w:rPr>
                <w:t>Uniti Group Inc. Annual Short-Term Incentive Plan (incorporated by reference to Exhibit 10.2 to the Company’s Quarterly Report on Form 10-Q dated and filed with the SEC as of May 11, 2020 (File</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80" w:type="dxa"/>
            <w:vAlign w:val="bottom"/>
            <w:tcBorders>
              <w:top w:val="single" w:sz="8" w:color="0000EE"/>
            </w:tcBorders>
            <w:gridSpan w:val="14"/>
          </w:tcPr>
          <w:p>
            <w:pPr>
              <w:spacing w:after="0" w:line="124" w:lineRule="exact"/>
              <w:rPr>
                <w:rFonts w:ascii="Arial" w:cs="Arial" w:eastAsia="Arial" w:hAnsi="Arial"/>
                <w:sz w:val="12"/>
                <w:szCs w:val="12"/>
                <w:color w:val="0000EE"/>
              </w:rPr>
            </w:pPr>
            <w:hyperlink r:id="rId207">
              <w:r>
                <w:rPr>
                  <w:rFonts w:ascii="Arial" w:cs="Arial" w:eastAsia="Arial" w:hAnsi="Arial"/>
                  <w:sz w:val="12"/>
                  <w:szCs w:val="12"/>
                  <w:color w:val="0000EE"/>
                </w:rPr>
                <w:t>No. 001-36708))</w:t>
              </w:r>
            </w:hyperlink>
          </w:p>
        </w:tc>
        <w:tc>
          <w:tcPr>
            <w:tcW w:w="1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21.1*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0"/>
          </w:tcPr>
          <w:p>
            <w:pPr>
              <w:spacing w:after="0"/>
              <w:rPr>
                <w:rFonts w:ascii="Arial" w:cs="Arial" w:eastAsia="Arial" w:hAnsi="Arial"/>
                <w:sz w:val="12"/>
                <w:szCs w:val="12"/>
                <w:color w:val="0000EE"/>
              </w:rPr>
            </w:pPr>
            <w:hyperlink w:anchor="page136">
              <w:r>
                <w:rPr>
                  <w:rFonts w:ascii="Arial" w:cs="Arial" w:eastAsia="Arial" w:hAnsi="Arial"/>
                  <w:sz w:val="12"/>
                  <w:szCs w:val="12"/>
                  <w:color w:val="0000EE"/>
                </w:rPr>
                <w:t>List of Subsidiaries of Uniti Group Inc.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23.1*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Borders>
              <w:bottom w:val="single" w:sz="8" w:color="0000EE"/>
            </w:tcBorders>
            <w:gridSpan w:val="8"/>
          </w:tcPr>
          <w:p>
            <w:pPr>
              <w:spacing w:after="0"/>
              <w:rPr>
                <w:rFonts w:ascii="Arial" w:cs="Arial" w:eastAsia="Arial" w:hAnsi="Arial"/>
                <w:sz w:val="12"/>
                <w:szCs w:val="12"/>
                <w:color w:val="0000EE"/>
                <w:w w:val="91"/>
              </w:rPr>
            </w:pPr>
            <w:hyperlink w:anchor="page138">
              <w:r>
                <w:rPr>
                  <w:rFonts w:ascii="Arial" w:cs="Arial" w:eastAsia="Arial" w:hAnsi="Arial"/>
                  <w:sz w:val="12"/>
                  <w:szCs w:val="12"/>
                  <w:color w:val="0000EE"/>
                  <w:w w:val="91"/>
                </w:rPr>
                <w:t>Consent of KPMG LLP, independent registered public accounting firm</w:t>
              </w:r>
            </w:hyperlink>
          </w:p>
        </w:tc>
        <w:tc>
          <w:tcPr>
            <w:tcW w:w="632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23.2*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0"/>
          </w:tcPr>
          <w:p>
            <w:pPr>
              <w:spacing w:after="0"/>
              <w:rPr>
                <w:rFonts w:ascii="Arial" w:cs="Arial" w:eastAsia="Arial" w:hAnsi="Arial"/>
                <w:sz w:val="12"/>
                <w:szCs w:val="12"/>
                <w:color w:val="0000EE"/>
              </w:rPr>
            </w:pPr>
            <w:hyperlink w:anchor="page138">
              <w:r>
                <w:rPr>
                  <w:rFonts w:ascii="Arial" w:cs="Arial" w:eastAsia="Arial" w:hAnsi="Arial"/>
                  <w:sz w:val="12"/>
                  <w:szCs w:val="12"/>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80" w:type="dxa"/>
            <w:vAlign w:val="bottom"/>
            <w:gridSpan w:val="8"/>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31.1*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0"/>
          </w:tcPr>
          <w:p>
            <w:pPr>
              <w:spacing w:after="0"/>
              <w:rPr>
                <w:rFonts w:ascii="Arial" w:cs="Arial" w:eastAsia="Arial" w:hAnsi="Arial"/>
                <w:sz w:val="12"/>
                <w:szCs w:val="12"/>
                <w:color w:val="0000EE"/>
                <w:w w:val="93"/>
              </w:rPr>
            </w:pPr>
            <w:hyperlink w:anchor="page140">
              <w:r>
                <w:rPr>
                  <w:rFonts w:ascii="Arial" w:cs="Arial" w:eastAsia="Arial" w:hAnsi="Arial"/>
                  <w:sz w:val="12"/>
                  <w:szCs w:val="12"/>
                  <w:color w:val="0000EE"/>
                  <w:w w:val="93"/>
                </w:rPr>
                <w:t>Certification of Principal Executive Officer Pursuant to Rules 13a-14(a) and 15d-14(a) under the Securities Exchange Act of 1934, as Adopted Pursuant to Section 302 of the Sarbanes-Oxley Act of</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79"/>
              </w:rPr>
            </w:pPr>
            <w:hyperlink w:anchor="page140">
              <w:r>
                <w:rPr>
                  <w:rFonts w:ascii="Arial" w:cs="Arial" w:eastAsia="Arial" w:hAnsi="Arial"/>
                  <w:sz w:val="12"/>
                  <w:szCs w:val="12"/>
                  <w:color w:val="0000EE"/>
                  <w:w w:val="79"/>
                </w:rPr>
                <w:t>2002.</w:t>
              </w:r>
            </w:hyperlink>
          </w:p>
        </w:tc>
        <w:tc>
          <w:tcPr>
            <w:tcW w:w="54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16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840" w:type="dxa"/>
            <w:vAlign w:val="bottom"/>
            <w:tcBorders>
              <w:top w:val="single" w:sz="8" w:color="0000EE"/>
            </w:tcBorders>
          </w:tcPr>
          <w:p>
            <w:pPr>
              <w:spacing w:after="0"/>
              <w:rPr>
                <w:sz w:val="10"/>
                <w:szCs w:val="10"/>
                <w:color w:val="auto"/>
              </w:rPr>
            </w:pPr>
          </w:p>
        </w:tc>
        <w:tc>
          <w:tcPr>
            <w:tcW w:w="30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16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840" w:type="dxa"/>
            <w:vAlign w:val="bottom"/>
          </w:tcPr>
          <w:p>
            <w:pPr>
              <w:ind w:left="100"/>
              <w:spacing w:after="0"/>
              <w:rPr>
                <w:sz w:val="20"/>
                <w:szCs w:val="20"/>
                <w:color w:val="auto"/>
              </w:rPr>
            </w:pPr>
            <w:r>
              <w:rPr>
                <w:rFonts w:ascii="Arial" w:cs="Arial" w:eastAsia="Arial" w:hAnsi="Arial"/>
                <w:sz w:val="12"/>
                <w:szCs w:val="12"/>
                <w:color w:val="auto"/>
              </w:rPr>
              <w:t>31.2*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00" w:type="dxa"/>
            <w:vAlign w:val="bottom"/>
            <w:gridSpan w:val="19"/>
            <w:vMerge w:val="restart"/>
          </w:tcPr>
          <w:p>
            <w:pPr>
              <w:spacing w:after="0"/>
              <w:rPr>
                <w:rFonts w:ascii="Arial" w:cs="Arial" w:eastAsia="Arial" w:hAnsi="Arial"/>
                <w:sz w:val="12"/>
                <w:szCs w:val="12"/>
                <w:color w:val="0000EE"/>
                <w:w w:val="90"/>
              </w:rPr>
            </w:pPr>
            <w:hyperlink w:anchor="page141">
              <w:r>
                <w:rPr>
                  <w:rFonts w:ascii="Arial" w:cs="Arial" w:eastAsia="Arial" w:hAnsi="Arial"/>
                  <w:sz w:val="12"/>
                  <w:szCs w:val="12"/>
                  <w:color w:val="0000EE"/>
                  <w:w w:val="90"/>
                </w:rPr>
                <w:t>Certification of Principal Financial Officer Pursuant to Rules 13a-14(a) and 15d-14(a) under the Securities Exchange Act of 1934, as Adopted Pursuant to Section 302 of the Sarbanes-Oxley Act of 2002</w:t>
              </w:r>
            </w:hyperlink>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bottom w:val="single" w:sz="8" w:color="0000EE"/>
            </w:tcBorders>
            <w:gridSpan w:val="19"/>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32.1*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00" w:type="dxa"/>
            <w:vAlign w:val="bottom"/>
            <w:tcBorders>
              <w:bottom w:val="single" w:sz="8" w:color="0000EE"/>
            </w:tcBorders>
            <w:gridSpan w:val="11"/>
          </w:tcPr>
          <w:p>
            <w:pPr>
              <w:spacing w:after="0"/>
              <w:rPr>
                <w:rFonts w:ascii="Arial" w:cs="Arial" w:eastAsia="Arial" w:hAnsi="Arial"/>
                <w:sz w:val="12"/>
                <w:szCs w:val="12"/>
                <w:color w:val="0000EE"/>
                <w:w w:val="91"/>
              </w:rPr>
            </w:pPr>
            <w:hyperlink w:anchor="page142">
              <w:r>
                <w:rPr>
                  <w:rFonts w:ascii="Arial" w:cs="Arial" w:eastAsia="Arial" w:hAnsi="Arial"/>
                  <w:sz w:val="12"/>
                  <w:szCs w:val="12"/>
                  <w:color w:val="0000EE"/>
                  <w:w w:val="91"/>
                </w:rPr>
                <w:t>Certification of Principal Executive Officer Pursuant to 18 U.S.C. Section 1350, as Adopted Pursuant to Section 906 of the Sarbanes-Oxley Act of 2002</w:t>
              </w:r>
            </w:hyperlink>
          </w:p>
        </w:tc>
        <w:tc>
          <w:tcPr>
            <w:tcW w:w="24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32.2*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0"/>
          </w:tcPr>
          <w:p>
            <w:pPr>
              <w:spacing w:after="0"/>
              <w:rPr>
                <w:rFonts w:ascii="Arial" w:cs="Arial" w:eastAsia="Arial" w:hAnsi="Arial"/>
                <w:sz w:val="12"/>
                <w:szCs w:val="12"/>
                <w:color w:val="0000EE"/>
              </w:rPr>
            </w:pPr>
            <w:hyperlink w:anchor="page143">
              <w:r>
                <w:rPr>
                  <w:rFonts w:ascii="Arial" w:cs="Arial" w:eastAsia="Arial" w:hAnsi="Arial"/>
                  <w:sz w:val="12"/>
                  <w:szCs w:val="12"/>
                  <w:color w:val="0000EE"/>
                </w:rPr>
                <w:t>Certification of Principal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600" w:type="dxa"/>
            <w:vAlign w:val="bottom"/>
            <w:gridSpan w:val="3"/>
          </w:tcPr>
          <w:p>
            <w:pPr>
              <w:spacing w:after="0" w:line="20" w:lineRule="exact"/>
              <w:rPr>
                <w:sz w:val="1"/>
                <w:szCs w:val="1"/>
                <w:color w:val="auto"/>
              </w:rPr>
            </w:pPr>
          </w:p>
        </w:tc>
        <w:tc>
          <w:tcPr>
            <w:tcW w:w="7260" w:type="dxa"/>
            <w:vAlign w:val="bottom"/>
            <w:gridSpan w:val="10"/>
            <w:shd w:val="clear" w:color="auto" w:fill="0000EE"/>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600" w:type="dxa"/>
            <w:vAlign w:val="bottom"/>
            <w:gridSpan w:val="3"/>
          </w:tcPr>
          <w:p>
            <w:pPr>
              <w:spacing w:after="0"/>
              <w:rPr>
                <w:sz w:val="20"/>
                <w:szCs w:val="20"/>
                <w:color w:val="auto"/>
              </w:rPr>
            </w:pPr>
            <w:r>
              <w:rPr>
                <w:rFonts w:ascii="Arial" w:cs="Arial" w:eastAsia="Arial" w:hAnsi="Arial"/>
                <w:sz w:val="12"/>
                <w:szCs w:val="12"/>
                <w:color w:val="auto"/>
              </w:rPr>
              <w:t>101.INS</w:t>
            </w:r>
          </w:p>
        </w:tc>
        <w:tc>
          <w:tcPr>
            <w:tcW w:w="9720" w:type="dxa"/>
            <w:vAlign w:val="bottom"/>
            <w:gridSpan w:val="20"/>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Instance Document – the instance document does not appear in the Interactive Data File because XBRL tags are embedded within the Inline XBRL document.</w:t>
            </w:r>
          </w:p>
        </w:tc>
        <w:tc>
          <w:tcPr>
            <w:tcW w:w="0" w:type="dxa"/>
            <w:vAlign w:val="bottom"/>
          </w:tcPr>
          <w:p>
            <w:pPr>
              <w:spacing w:after="0"/>
              <w:rPr>
                <w:sz w:val="1"/>
                <w:szCs w:val="1"/>
                <w:color w:val="auto"/>
              </w:rPr>
            </w:pPr>
          </w:p>
        </w:tc>
      </w:tr>
      <w:tr>
        <w:trPr>
          <w:trHeight w:val="234"/>
        </w:trPr>
        <w:tc>
          <w:tcPr>
            <w:tcW w:w="1600" w:type="dxa"/>
            <w:vAlign w:val="bottom"/>
            <w:gridSpan w:val="3"/>
          </w:tcPr>
          <w:p>
            <w:pPr>
              <w:spacing w:after="0"/>
              <w:rPr>
                <w:sz w:val="20"/>
                <w:szCs w:val="20"/>
                <w:color w:val="auto"/>
              </w:rPr>
            </w:pPr>
            <w:r>
              <w:rPr>
                <w:rFonts w:ascii="Arial" w:cs="Arial" w:eastAsia="Arial" w:hAnsi="Arial"/>
                <w:sz w:val="12"/>
                <w:szCs w:val="12"/>
                <w:color w:val="auto"/>
              </w:rPr>
              <w:t>101.SCH</w:t>
            </w:r>
          </w:p>
        </w:tc>
        <w:tc>
          <w:tcPr>
            <w:tcW w:w="9720" w:type="dxa"/>
            <w:vAlign w:val="bottom"/>
            <w:gridSpan w:val="20"/>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Schema Document</w:t>
            </w:r>
          </w:p>
        </w:tc>
        <w:tc>
          <w:tcPr>
            <w:tcW w:w="0" w:type="dxa"/>
            <w:vAlign w:val="bottom"/>
          </w:tcPr>
          <w:p>
            <w:pPr>
              <w:spacing w:after="0"/>
              <w:rPr>
                <w:sz w:val="1"/>
                <w:szCs w:val="1"/>
                <w:color w:val="auto"/>
              </w:rPr>
            </w:pPr>
          </w:p>
        </w:tc>
      </w:tr>
      <w:tr>
        <w:trPr>
          <w:trHeight w:val="234"/>
        </w:trPr>
        <w:tc>
          <w:tcPr>
            <w:tcW w:w="1600" w:type="dxa"/>
            <w:vAlign w:val="bottom"/>
            <w:gridSpan w:val="3"/>
          </w:tcPr>
          <w:p>
            <w:pPr>
              <w:spacing w:after="0"/>
              <w:rPr>
                <w:sz w:val="20"/>
                <w:szCs w:val="20"/>
                <w:color w:val="auto"/>
              </w:rPr>
            </w:pPr>
            <w:r>
              <w:rPr>
                <w:rFonts w:ascii="Arial" w:cs="Arial" w:eastAsia="Arial" w:hAnsi="Arial"/>
                <w:sz w:val="12"/>
                <w:szCs w:val="12"/>
                <w:color w:val="auto"/>
              </w:rPr>
              <w:t>101.CAL</w:t>
            </w:r>
          </w:p>
        </w:tc>
        <w:tc>
          <w:tcPr>
            <w:tcW w:w="9720" w:type="dxa"/>
            <w:vAlign w:val="bottom"/>
            <w:gridSpan w:val="20"/>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Calculation Linkbase Document</w:t>
            </w: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9"/>
          </w:tcPr>
          <w:p>
            <w:pPr>
              <w:ind w:left="3960"/>
              <w:spacing w:after="0"/>
              <w:rPr>
                <w:sz w:val="20"/>
                <w:szCs w:val="20"/>
                <w:color w:val="auto"/>
              </w:rPr>
            </w:pPr>
            <w:r>
              <w:rPr>
                <w:rFonts w:ascii="Arial" w:cs="Arial" w:eastAsia="Arial" w:hAnsi="Arial"/>
                <w:sz w:val="12"/>
                <w:szCs w:val="12"/>
                <w:color w:val="auto"/>
              </w:rPr>
              <w:t>126</w:t>
            </w: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0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26" w:name="page127"/>
    <w:bookmarkEnd w:id="126"/>
    <w:tbl>
      <w:tblPr>
        <w:tblLayout w:type="fixed"/>
        <w:tblInd w:w="8" w:type="dxa"/>
        <w:tblCellMar>
          <w:top w:w="0" w:type="dxa"/>
          <w:left w:w="0" w:type="dxa"/>
          <w:bottom w:w="0" w:type="dxa"/>
          <w:right w:w="0" w:type="dxa"/>
        </w:tblCellMar>
      </w:tblPr>
      <w:tr>
        <w:trPr>
          <w:trHeight w:val="138"/>
        </w:trPr>
        <w:tc>
          <w:tcPr>
            <w:tcW w:w="160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97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236"/>
        </w:trPr>
        <w:tc>
          <w:tcPr>
            <w:tcW w:w="124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b w:val="1"/>
                <w:bCs w:val="1"/>
                <w:color w:val="auto"/>
              </w:rPr>
              <w:t>Exhibit No.</w:t>
            </w:r>
          </w:p>
        </w:tc>
        <w:tc>
          <w:tcPr>
            <w:tcW w:w="360" w:type="dxa"/>
            <w:vAlign w:val="bottom"/>
          </w:tcPr>
          <w:p>
            <w:pPr>
              <w:spacing w:after="0"/>
              <w:rPr>
                <w:sz w:val="20"/>
                <w:szCs w:val="20"/>
                <w:color w:val="auto"/>
              </w:rPr>
            </w:pPr>
          </w:p>
        </w:tc>
        <w:tc>
          <w:tcPr>
            <w:tcW w:w="9720" w:type="dxa"/>
            <w:vAlign w:val="bottom"/>
            <w:tcBorders>
              <w:bottom w:val="single" w:sz="8" w:color="auto"/>
            </w:tcBorders>
          </w:tcPr>
          <w:p>
            <w:pPr>
              <w:ind w:left="4560"/>
              <w:spacing w:after="0"/>
              <w:rPr>
                <w:sz w:val="20"/>
                <w:szCs w:val="20"/>
                <w:color w:val="auto"/>
              </w:rPr>
            </w:pPr>
            <w:r>
              <w:rPr>
                <w:rFonts w:ascii="Arial" w:cs="Arial" w:eastAsia="Arial" w:hAnsi="Arial"/>
                <w:sz w:val="12"/>
                <w:szCs w:val="12"/>
                <w:b w:val="1"/>
                <w:bCs w:val="1"/>
                <w:color w:val="auto"/>
              </w:rPr>
              <w:t>Description</w:t>
            </w:r>
          </w:p>
        </w:tc>
      </w:tr>
      <w:tr>
        <w:trPr>
          <w:trHeight w:val="147"/>
        </w:trPr>
        <w:tc>
          <w:tcPr>
            <w:tcW w:w="1600" w:type="dxa"/>
            <w:vAlign w:val="bottom"/>
            <w:gridSpan w:val="3"/>
          </w:tcPr>
          <w:p>
            <w:pPr>
              <w:spacing w:after="0"/>
              <w:rPr>
                <w:sz w:val="20"/>
                <w:szCs w:val="20"/>
                <w:color w:val="auto"/>
              </w:rPr>
            </w:pPr>
            <w:r>
              <w:rPr>
                <w:rFonts w:ascii="Arial" w:cs="Arial" w:eastAsia="Arial" w:hAnsi="Arial"/>
                <w:sz w:val="12"/>
                <w:szCs w:val="12"/>
                <w:color w:val="auto"/>
              </w:rPr>
              <w:t>101.DEF</w:t>
            </w:r>
          </w:p>
        </w:tc>
        <w:tc>
          <w:tcPr>
            <w:tcW w:w="9720" w:type="dxa"/>
            <w:vAlign w:val="bottom"/>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Definition Linkbase Document</w:t>
            </w:r>
          </w:p>
        </w:tc>
      </w:tr>
      <w:tr>
        <w:trPr>
          <w:trHeight w:val="234"/>
        </w:trPr>
        <w:tc>
          <w:tcPr>
            <w:tcW w:w="1600" w:type="dxa"/>
            <w:vAlign w:val="bottom"/>
            <w:gridSpan w:val="3"/>
          </w:tcPr>
          <w:p>
            <w:pPr>
              <w:spacing w:after="0"/>
              <w:rPr>
                <w:sz w:val="20"/>
                <w:szCs w:val="20"/>
                <w:color w:val="auto"/>
              </w:rPr>
            </w:pPr>
            <w:r>
              <w:rPr>
                <w:rFonts w:ascii="Arial" w:cs="Arial" w:eastAsia="Arial" w:hAnsi="Arial"/>
                <w:sz w:val="12"/>
                <w:szCs w:val="12"/>
                <w:color w:val="auto"/>
              </w:rPr>
              <w:t>101.LAB</w:t>
            </w:r>
          </w:p>
        </w:tc>
        <w:tc>
          <w:tcPr>
            <w:tcW w:w="9720" w:type="dxa"/>
            <w:vAlign w:val="bottom"/>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Label Linkbase Document</w:t>
            </w:r>
          </w:p>
        </w:tc>
      </w:tr>
      <w:tr>
        <w:trPr>
          <w:trHeight w:val="234"/>
        </w:trPr>
        <w:tc>
          <w:tcPr>
            <w:tcW w:w="1600" w:type="dxa"/>
            <w:vAlign w:val="bottom"/>
            <w:gridSpan w:val="3"/>
          </w:tcPr>
          <w:p>
            <w:pPr>
              <w:spacing w:after="0"/>
              <w:rPr>
                <w:sz w:val="20"/>
                <w:szCs w:val="20"/>
                <w:color w:val="auto"/>
              </w:rPr>
            </w:pPr>
            <w:r>
              <w:rPr>
                <w:rFonts w:ascii="Arial" w:cs="Arial" w:eastAsia="Arial" w:hAnsi="Arial"/>
                <w:sz w:val="12"/>
                <w:szCs w:val="12"/>
                <w:color w:val="auto"/>
              </w:rPr>
              <w:t>101.PRE</w:t>
            </w:r>
          </w:p>
        </w:tc>
        <w:tc>
          <w:tcPr>
            <w:tcW w:w="9720" w:type="dxa"/>
            <w:vAlign w:val="bottom"/>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Presentation Linkbase Document</w:t>
            </w:r>
          </w:p>
        </w:tc>
      </w:tr>
      <w:tr>
        <w:trPr>
          <w:trHeight w:val="234"/>
        </w:trPr>
        <w:tc>
          <w:tcPr>
            <w:tcW w:w="840" w:type="dxa"/>
            <w:vAlign w:val="bottom"/>
          </w:tcPr>
          <w:p>
            <w:pPr>
              <w:spacing w:after="0"/>
              <w:rPr>
                <w:sz w:val="20"/>
                <w:szCs w:val="20"/>
                <w:color w:val="auto"/>
              </w:rPr>
            </w:pPr>
            <w:r>
              <w:rPr>
                <w:rFonts w:ascii="Arial" w:cs="Arial" w:eastAsia="Arial" w:hAnsi="Arial"/>
                <w:sz w:val="12"/>
                <w:szCs w:val="12"/>
                <w:color w:val="auto"/>
              </w:rPr>
              <w:t>104</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3487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151" w:lineRule="exact"/>
        <w:rPr>
          <w:sz w:val="20"/>
          <w:szCs w:val="20"/>
          <w:color w:val="auto"/>
        </w:rPr>
      </w:pPr>
    </w:p>
    <w:p>
      <w:pPr>
        <w:ind w:left="588" w:hanging="588"/>
        <w:spacing w:after="0"/>
        <w:tabs>
          <w:tab w:leader="none" w:pos="588" w:val="left"/>
        </w:tabs>
        <w:numPr>
          <w:ilvl w:val="0"/>
          <w:numId w:val="29"/>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33" w:lineRule="exact"/>
        <w:rPr>
          <w:sz w:val="20"/>
          <w:szCs w:val="20"/>
          <w:color w:val="auto"/>
        </w:rPr>
      </w:pPr>
    </w:p>
    <w:p>
      <w:pPr>
        <w:jc w:val="both"/>
        <w:ind w:left="588" w:right="440" w:hanging="588"/>
        <w:spacing w:after="0" w:line="263" w:lineRule="auto"/>
        <w:tabs>
          <w:tab w:leader="none" w:pos="5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Certain portions of this exhibit have been omitted pursuant to a request for confidential treatment granted by, and have been filed separately with, the Securities and Exchange Commission. Also, certain exhibits and schedules to this exhibit have been omitted pursuant to Item 601(b)(2) of Regulation S-K. The Company agrees to furnish a supplemental copy of any such omitted exhibit or schedule to the Securities and Exchange Commission upon request but may request confidential treatment for any exhibit or schedule so furnished.</w:t>
      </w:r>
    </w:p>
    <w:p>
      <w:pPr>
        <w:spacing w:after="0" w:line="5" w:lineRule="exact"/>
        <w:rPr>
          <w:sz w:val="20"/>
          <w:szCs w:val="20"/>
          <w:color w:val="auto"/>
        </w:rPr>
      </w:pPr>
    </w:p>
    <w:p>
      <w:pPr>
        <w:ind w:left="588" w:hanging="588"/>
        <w:spacing w:after="0"/>
        <w:tabs>
          <w:tab w:leader="none" w:pos="588"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Constitutes a management contract or compensation plan or arrangement.</w:t>
      </w:r>
    </w:p>
    <w:p>
      <w:pPr>
        <w:spacing w:after="0" w:line="25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8"/>
          </w:cols>
          <w:pgMar w:left="292" w:top="119" w:right="279" w:bottom="1440" w:gutter="0" w:footer="0" w:header="0"/>
        </w:sectPr>
      </w:pPr>
    </w:p>
    <w:bookmarkStart w:id="127" w:name="page128"/>
    <w:bookmarkEnd w:id="127"/>
    <w:p>
      <w:pPr>
        <w:spacing w:after="0"/>
        <w:rPr>
          <w:sz w:val="20"/>
          <w:szCs w:val="20"/>
          <w:color w:val="auto"/>
        </w:rPr>
      </w:pPr>
      <w:r>
        <w:rPr>
          <w:rFonts w:ascii="Arial" w:cs="Arial" w:eastAsia="Arial" w:hAnsi="Arial"/>
          <w:sz w:val="12"/>
          <w:szCs w:val="12"/>
          <w:u w:val="single" w:color="auto"/>
          <w:color w:val="0000EE"/>
        </w:rPr>
        <w:t>Table of Contents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1"/>
          <w:szCs w:val="11"/>
          <w:b w:val="1"/>
          <w:bCs w:val="1"/>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220" w:type="dxa"/>
            <w:vAlign w:val="bottom"/>
          </w:tcPr>
          <w:p>
            <w:pPr>
              <w:ind w:left="1920"/>
              <w:spacing w:after="0"/>
              <w:rPr>
                <w:sz w:val="20"/>
                <w:szCs w:val="20"/>
                <w:color w:val="auto"/>
              </w:rPr>
            </w:pPr>
            <w:r>
              <w:rPr>
                <w:rFonts w:ascii="Arial" w:cs="Arial" w:eastAsia="Arial" w:hAnsi="Arial"/>
                <w:sz w:val="12"/>
                <w:szCs w:val="12"/>
                <w:color w:val="auto"/>
              </w:rPr>
              <w:t>UNITI GROUP INC.</w:t>
            </w:r>
          </w:p>
        </w:tc>
      </w:tr>
      <w:tr>
        <w:trPr>
          <w:trHeight w:val="306"/>
        </w:trPr>
        <w:tc>
          <w:tcPr>
            <w:tcW w:w="3460" w:type="dxa"/>
            <w:vAlign w:val="bottom"/>
          </w:tcPr>
          <w:p>
            <w:pPr>
              <w:spacing w:after="0"/>
              <w:rPr>
                <w:sz w:val="20"/>
                <w:szCs w:val="20"/>
                <w:color w:val="auto"/>
              </w:rPr>
            </w:pPr>
            <w:r>
              <w:rPr>
                <w:rFonts w:ascii="Arial" w:cs="Arial" w:eastAsia="Arial" w:hAnsi="Arial"/>
                <w:sz w:val="12"/>
                <w:szCs w:val="12"/>
                <w:color w:val="auto"/>
              </w:rPr>
              <w:t>Date: February 25, 2022</w:t>
            </w:r>
          </w:p>
        </w:tc>
        <w:tc>
          <w:tcPr>
            <w:tcW w:w="2620" w:type="dxa"/>
            <w:vAlign w:val="bottom"/>
          </w:tcPr>
          <w:p>
            <w:pPr>
              <w:ind w:left="2300"/>
              <w:spacing w:after="0"/>
              <w:rPr>
                <w:sz w:val="20"/>
                <w:szCs w:val="20"/>
                <w:color w:val="auto"/>
              </w:rPr>
            </w:pPr>
            <w:r>
              <w:rPr>
                <w:rFonts w:ascii="Arial" w:cs="Arial" w:eastAsia="Arial" w:hAnsi="Arial"/>
                <w:sz w:val="12"/>
                <w:szCs w:val="12"/>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Kenneth A. Gunderman</w:t>
            </w:r>
          </w:p>
        </w:tc>
      </w:tr>
      <w:tr>
        <w:trPr>
          <w:trHeight w:val="138"/>
        </w:trPr>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220" w:type="dxa"/>
            <w:vAlign w:val="bottom"/>
          </w:tcPr>
          <w:p>
            <w:pPr>
              <w:jc w:val="center"/>
              <w:spacing w:after="0"/>
              <w:rPr>
                <w:sz w:val="20"/>
                <w:szCs w:val="20"/>
                <w:color w:val="auto"/>
              </w:rPr>
            </w:pPr>
            <w:r>
              <w:rPr>
                <w:rFonts w:ascii="Arial" w:cs="Arial" w:eastAsia="Arial" w:hAnsi="Arial"/>
                <w:sz w:val="12"/>
                <w:szCs w:val="12"/>
                <w:b w:val="1"/>
                <w:bCs w:val="1"/>
                <w:color w:val="auto"/>
                <w:w w:val="92"/>
              </w:rPr>
              <w:t>Kenneth A. Gunderman</w:t>
            </w:r>
          </w:p>
        </w:tc>
      </w:tr>
      <w:tr>
        <w:trPr>
          <w:trHeight w:val="157"/>
        </w:trPr>
        <w:tc>
          <w:tcPr>
            <w:tcW w:w="3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220" w:type="dxa"/>
            <w:vAlign w:val="bottom"/>
          </w:tcPr>
          <w:p>
            <w:pPr>
              <w:jc w:val="center"/>
              <w:spacing w:after="0"/>
              <w:rPr>
                <w:sz w:val="20"/>
                <w:szCs w:val="20"/>
                <w:color w:val="auto"/>
              </w:rPr>
            </w:pPr>
            <w:r>
              <w:rPr>
                <w:rFonts w:ascii="Arial" w:cs="Arial" w:eastAsia="Arial" w:hAnsi="Arial"/>
                <w:sz w:val="12"/>
                <w:szCs w:val="12"/>
                <w:b w:val="1"/>
                <w:bCs w:val="1"/>
                <w:color w:val="auto"/>
                <w:w w:val="90"/>
              </w:rPr>
              <w:t>President and Chief Executive Officer</w:t>
            </w:r>
          </w:p>
        </w:tc>
      </w:tr>
    </w:tbl>
    <w:p>
      <w:pPr>
        <w:spacing w:after="0" w:line="13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920" w:type="dxa"/>
            <w:vAlign w:val="bottom"/>
          </w:tcPr>
          <w:p>
            <w:pPr>
              <w:ind w:left="1340"/>
              <w:spacing w:after="0"/>
              <w:rPr>
                <w:sz w:val="20"/>
                <w:szCs w:val="20"/>
                <w:color w:val="auto"/>
              </w:rPr>
            </w:pPr>
            <w:r>
              <w:rPr>
                <w:rFonts w:ascii="Arial" w:cs="Arial" w:eastAsia="Arial" w:hAnsi="Arial"/>
                <w:sz w:val="10"/>
                <w:szCs w:val="10"/>
                <w:b w:val="1"/>
                <w:bCs w:val="1"/>
                <w:color w:val="auto"/>
              </w:rPr>
              <w:t>Name</w:t>
            </w:r>
          </w:p>
        </w:tc>
        <w:tc>
          <w:tcPr>
            <w:tcW w:w="4880" w:type="dxa"/>
            <w:vAlign w:val="bottom"/>
          </w:tcPr>
          <w:p>
            <w:pPr>
              <w:ind w:left="2860"/>
              <w:spacing w:after="0"/>
              <w:rPr>
                <w:sz w:val="20"/>
                <w:szCs w:val="20"/>
                <w:color w:val="auto"/>
              </w:rPr>
            </w:pPr>
            <w:r>
              <w:rPr>
                <w:rFonts w:ascii="Arial" w:cs="Arial" w:eastAsia="Arial" w:hAnsi="Arial"/>
                <w:sz w:val="10"/>
                <w:szCs w:val="10"/>
                <w:b w:val="1"/>
                <w:bCs w:val="1"/>
                <w:color w:val="auto"/>
              </w:rPr>
              <w:t>Title</w:t>
            </w:r>
          </w:p>
        </w:tc>
        <w:tc>
          <w:tcPr>
            <w:tcW w:w="3500" w:type="dxa"/>
            <w:vAlign w:val="bottom"/>
          </w:tcPr>
          <w:p>
            <w:pPr>
              <w:jc w:val="center"/>
              <w:ind w:left="981"/>
              <w:spacing w:after="0"/>
              <w:rPr>
                <w:sz w:val="20"/>
                <w:szCs w:val="20"/>
                <w:color w:val="auto"/>
              </w:rPr>
            </w:pPr>
            <w:r>
              <w:rPr>
                <w:rFonts w:ascii="Arial" w:cs="Arial" w:eastAsia="Arial" w:hAnsi="Arial"/>
                <w:sz w:val="10"/>
                <w:szCs w:val="10"/>
                <w:b w:val="1"/>
                <w:bCs w:val="1"/>
                <w:color w:val="auto"/>
                <w:w w:val="82"/>
              </w:rPr>
              <w:t>Date</w:t>
            </w:r>
          </w:p>
        </w:tc>
      </w:tr>
      <w:tr>
        <w:trPr>
          <w:trHeight w:val="395"/>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Kenneth A. Gunderman</w:t>
            </w:r>
          </w:p>
        </w:tc>
        <w:tc>
          <w:tcPr>
            <w:tcW w:w="4880" w:type="dxa"/>
            <w:vAlign w:val="bottom"/>
          </w:tcPr>
          <w:p>
            <w:pPr>
              <w:ind w:left="100"/>
              <w:spacing w:after="0"/>
              <w:rPr>
                <w:sz w:val="20"/>
                <w:szCs w:val="20"/>
                <w:color w:val="auto"/>
              </w:rPr>
            </w:pPr>
            <w:r>
              <w:rPr>
                <w:rFonts w:ascii="Arial" w:cs="Arial" w:eastAsia="Arial" w:hAnsi="Arial"/>
                <w:sz w:val="12"/>
                <w:szCs w:val="12"/>
                <w:color w:val="auto"/>
              </w:rPr>
              <w:t>President and Chief Executive Officer</w:t>
            </w:r>
          </w:p>
        </w:tc>
        <w:tc>
          <w:tcPr>
            <w:tcW w:w="3500" w:type="dxa"/>
            <w:vAlign w:val="bottom"/>
          </w:tcPr>
          <w:p>
            <w:pPr>
              <w:jc w:val="center"/>
              <w:ind w:left="1001"/>
              <w:spacing w:after="0"/>
              <w:rPr>
                <w:sz w:val="20"/>
                <w:szCs w:val="20"/>
                <w:color w:val="auto"/>
              </w:rPr>
            </w:pPr>
            <w:r>
              <w:rPr>
                <w:rFonts w:ascii="Arial" w:cs="Arial" w:eastAsia="Arial" w:hAnsi="Arial"/>
                <w:sz w:val="12"/>
                <w:szCs w:val="12"/>
                <w:color w:val="auto"/>
                <w:w w:val="89"/>
              </w:rPr>
              <w:t>February 25, 2022</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Kenneth A. Gunderman</w:t>
            </w:r>
          </w:p>
        </w:tc>
        <w:tc>
          <w:tcPr>
            <w:tcW w:w="4880" w:type="dxa"/>
            <w:vAlign w:val="bottom"/>
          </w:tcPr>
          <w:p>
            <w:pPr>
              <w:ind w:left="100"/>
              <w:spacing w:after="0"/>
              <w:rPr>
                <w:sz w:val="20"/>
                <w:szCs w:val="20"/>
                <w:color w:val="auto"/>
              </w:rPr>
            </w:pPr>
            <w:r>
              <w:rPr>
                <w:rFonts w:ascii="Arial" w:cs="Arial" w:eastAsia="Arial" w:hAnsi="Arial"/>
                <w:sz w:val="12"/>
                <w:szCs w:val="12"/>
                <w:i w:val="1"/>
                <w:iCs w:val="1"/>
                <w:color w:val="auto"/>
              </w:rPr>
              <w:t>(Principal Executive Officer)</w:t>
            </w:r>
          </w:p>
        </w:tc>
        <w:tc>
          <w:tcPr>
            <w:tcW w:w="3500" w:type="dxa"/>
            <w:vAlign w:val="bottom"/>
          </w:tcPr>
          <w:p>
            <w:pPr>
              <w:spacing w:after="0"/>
              <w:rPr>
                <w:sz w:val="13"/>
                <w:szCs w:val="13"/>
                <w:color w:val="auto"/>
              </w:rPr>
            </w:pPr>
          </w:p>
        </w:tc>
      </w:tr>
      <w:tr>
        <w:trPr>
          <w:trHeight w:val="422"/>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E. Bullington</w:t>
            </w:r>
          </w:p>
        </w:tc>
        <w:tc>
          <w:tcPr>
            <w:tcW w:w="4880" w:type="dxa"/>
            <w:vAlign w:val="bottom"/>
          </w:tcPr>
          <w:p>
            <w:pPr>
              <w:ind w:left="100"/>
              <w:spacing w:after="0"/>
              <w:rPr>
                <w:sz w:val="20"/>
                <w:szCs w:val="20"/>
                <w:color w:val="auto"/>
              </w:rPr>
            </w:pPr>
            <w:r>
              <w:rPr>
                <w:rFonts w:ascii="Arial" w:cs="Arial" w:eastAsia="Arial" w:hAnsi="Arial"/>
                <w:sz w:val="12"/>
                <w:szCs w:val="12"/>
                <w:color w:val="auto"/>
              </w:rPr>
              <w:t>Senior Vice President – Chief Financial Officer and Treasurer</w:t>
            </w:r>
          </w:p>
        </w:tc>
        <w:tc>
          <w:tcPr>
            <w:tcW w:w="3500" w:type="dxa"/>
            <w:vAlign w:val="bottom"/>
          </w:tcPr>
          <w:p>
            <w:pPr>
              <w:jc w:val="center"/>
              <w:ind w:left="1001"/>
              <w:spacing w:after="0"/>
              <w:rPr>
                <w:sz w:val="20"/>
                <w:szCs w:val="20"/>
                <w:color w:val="auto"/>
              </w:rPr>
            </w:pPr>
            <w:r>
              <w:rPr>
                <w:rFonts w:ascii="Arial" w:cs="Arial" w:eastAsia="Arial" w:hAnsi="Arial"/>
                <w:sz w:val="12"/>
                <w:szCs w:val="12"/>
                <w:color w:val="auto"/>
                <w:w w:val="89"/>
              </w:rPr>
              <w:t>February 25, 2022</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Paul E. Bullington</w:t>
            </w:r>
          </w:p>
        </w:tc>
        <w:tc>
          <w:tcPr>
            <w:tcW w:w="4880" w:type="dxa"/>
            <w:vAlign w:val="bottom"/>
          </w:tcPr>
          <w:p>
            <w:pPr>
              <w:ind w:left="100"/>
              <w:spacing w:after="0"/>
              <w:rPr>
                <w:sz w:val="20"/>
                <w:szCs w:val="20"/>
                <w:color w:val="auto"/>
              </w:rPr>
            </w:pPr>
            <w:r>
              <w:rPr>
                <w:rFonts w:ascii="Arial" w:cs="Arial" w:eastAsia="Arial" w:hAnsi="Arial"/>
                <w:sz w:val="12"/>
                <w:szCs w:val="12"/>
                <w:i w:val="1"/>
                <w:iCs w:val="1"/>
                <w:color w:val="auto"/>
              </w:rPr>
              <w:t>(Principal Financial Officer)</w:t>
            </w:r>
          </w:p>
        </w:tc>
        <w:tc>
          <w:tcPr>
            <w:tcW w:w="3500" w:type="dxa"/>
            <w:vAlign w:val="bottom"/>
          </w:tcPr>
          <w:p>
            <w:pPr>
              <w:spacing w:after="0"/>
              <w:rPr>
                <w:sz w:val="13"/>
                <w:szCs w:val="13"/>
                <w:color w:val="auto"/>
              </w:rPr>
            </w:pPr>
          </w:p>
        </w:tc>
      </w:tr>
      <w:tr>
        <w:trPr>
          <w:trHeight w:val="314"/>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Travis T. Black</w:t>
            </w:r>
          </w:p>
        </w:tc>
        <w:tc>
          <w:tcPr>
            <w:tcW w:w="4880" w:type="dxa"/>
            <w:vAlign w:val="bottom"/>
          </w:tcPr>
          <w:p>
            <w:pPr>
              <w:ind w:left="100"/>
              <w:spacing w:after="0"/>
              <w:rPr>
                <w:sz w:val="20"/>
                <w:szCs w:val="20"/>
                <w:color w:val="auto"/>
              </w:rPr>
            </w:pPr>
            <w:r>
              <w:rPr>
                <w:rFonts w:ascii="Arial" w:cs="Arial" w:eastAsia="Arial" w:hAnsi="Arial"/>
                <w:sz w:val="12"/>
                <w:szCs w:val="12"/>
                <w:color w:val="auto"/>
              </w:rPr>
              <w:t>Vice President – Chief Accounting Officer</w:t>
            </w:r>
          </w:p>
        </w:tc>
        <w:tc>
          <w:tcPr>
            <w:tcW w:w="3500" w:type="dxa"/>
            <w:vAlign w:val="bottom"/>
          </w:tcPr>
          <w:p>
            <w:pPr>
              <w:jc w:val="center"/>
              <w:ind w:left="1001"/>
              <w:spacing w:after="0"/>
              <w:rPr>
                <w:sz w:val="20"/>
                <w:szCs w:val="20"/>
                <w:color w:val="auto"/>
              </w:rPr>
            </w:pPr>
            <w:r>
              <w:rPr>
                <w:rFonts w:ascii="Arial" w:cs="Arial" w:eastAsia="Arial" w:hAnsi="Arial"/>
                <w:sz w:val="12"/>
                <w:szCs w:val="12"/>
                <w:color w:val="auto"/>
                <w:w w:val="89"/>
              </w:rPr>
              <w:t>February 25, 2022</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Travis T. Black</w:t>
            </w:r>
          </w:p>
        </w:tc>
        <w:tc>
          <w:tcPr>
            <w:tcW w:w="4880" w:type="dxa"/>
            <w:vAlign w:val="bottom"/>
          </w:tcPr>
          <w:p>
            <w:pPr>
              <w:ind w:left="100"/>
              <w:spacing w:after="0"/>
              <w:rPr>
                <w:sz w:val="20"/>
                <w:szCs w:val="20"/>
                <w:color w:val="auto"/>
              </w:rPr>
            </w:pPr>
            <w:r>
              <w:rPr>
                <w:rFonts w:ascii="Arial" w:cs="Arial" w:eastAsia="Arial" w:hAnsi="Arial"/>
                <w:sz w:val="12"/>
                <w:szCs w:val="12"/>
                <w:i w:val="1"/>
                <w:iCs w:val="1"/>
                <w:color w:val="auto"/>
              </w:rPr>
              <w:t>(Principal Accounting Officer)</w:t>
            </w:r>
          </w:p>
        </w:tc>
        <w:tc>
          <w:tcPr>
            <w:tcW w:w="3500" w:type="dxa"/>
            <w:vAlign w:val="bottom"/>
          </w:tcPr>
          <w:p>
            <w:pPr>
              <w:spacing w:after="0"/>
              <w:rPr>
                <w:sz w:val="13"/>
                <w:szCs w:val="13"/>
                <w:color w:val="auto"/>
              </w:rPr>
            </w:pPr>
          </w:p>
        </w:tc>
      </w:tr>
      <w:tr>
        <w:trPr>
          <w:trHeight w:val="314"/>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Francis X. Frantz</w:t>
            </w:r>
          </w:p>
        </w:tc>
        <w:tc>
          <w:tcPr>
            <w:tcW w:w="4880" w:type="dxa"/>
            <w:vAlign w:val="bottom"/>
          </w:tcPr>
          <w:p>
            <w:pPr>
              <w:ind w:left="100"/>
              <w:spacing w:after="0"/>
              <w:rPr>
                <w:sz w:val="20"/>
                <w:szCs w:val="20"/>
                <w:color w:val="auto"/>
              </w:rPr>
            </w:pPr>
            <w:r>
              <w:rPr>
                <w:rFonts w:ascii="Arial" w:cs="Arial" w:eastAsia="Arial" w:hAnsi="Arial"/>
                <w:sz w:val="12"/>
                <w:szCs w:val="12"/>
                <w:color w:val="auto"/>
              </w:rPr>
              <w:t>Chairman and Director</w:t>
            </w:r>
          </w:p>
        </w:tc>
        <w:tc>
          <w:tcPr>
            <w:tcW w:w="3500" w:type="dxa"/>
            <w:vAlign w:val="bottom"/>
          </w:tcPr>
          <w:p>
            <w:pPr>
              <w:jc w:val="center"/>
              <w:ind w:left="1001"/>
              <w:spacing w:after="0"/>
              <w:rPr>
                <w:sz w:val="20"/>
                <w:szCs w:val="20"/>
                <w:color w:val="auto"/>
              </w:rPr>
            </w:pPr>
            <w:r>
              <w:rPr>
                <w:rFonts w:ascii="Arial" w:cs="Arial" w:eastAsia="Arial" w:hAnsi="Arial"/>
                <w:sz w:val="12"/>
                <w:szCs w:val="12"/>
                <w:color w:val="auto"/>
                <w:w w:val="89"/>
              </w:rPr>
              <w:t>February 25, 2022</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Francis X. Frantz</w:t>
            </w:r>
          </w:p>
        </w:tc>
        <w:tc>
          <w:tcPr>
            <w:tcW w:w="488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368"/>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Jennifer S. Banner</w:t>
            </w:r>
          </w:p>
        </w:tc>
        <w:tc>
          <w:tcPr>
            <w:tcW w:w="48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500" w:type="dxa"/>
            <w:vAlign w:val="bottom"/>
          </w:tcPr>
          <w:p>
            <w:pPr>
              <w:jc w:val="center"/>
              <w:ind w:left="1001"/>
              <w:spacing w:after="0"/>
              <w:rPr>
                <w:sz w:val="20"/>
                <w:szCs w:val="20"/>
                <w:color w:val="auto"/>
              </w:rPr>
            </w:pPr>
            <w:r>
              <w:rPr>
                <w:rFonts w:ascii="Arial" w:cs="Arial" w:eastAsia="Arial" w:hAnsi="Arial"/>
                <w:sz w:val="12"/>
                <w:szCs w:val="12"/>
                <w:color w:val="auto"/>
                <w:w w:val="89"/>
              </w:rPr>
              <w:t>February 25, 2022</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Jennifer S. Banner</w:t>
            </w:r>
          </w:p>
        </w:tc>
        <w:tc>
          <w:tcPr>
            <w:tcW w:w="488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377"/>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Scott G. Bruce</w:t>
            </w:r>
          </w:p>
        </w:tc>
        <w:tc>
          <w:tcPr>
            <w:tcW w:w="48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500" w:type="dxa"/>
            <w:vAlign w:val="bottom"/>
          </w:tcPr>
          <w:p>
            <w:pPr>
              <w:jc w:val="center"/>
              <w:ind w:left="1001"/>
              <w:spacing w:after="0"/>
              <w:rPr>
                <w:sz w:val="20"/>
                <w:szCs w:val="20"/>
                <w:color w:val="auto"/>
              </w:rPr>
            </w:pPr>
            <w:r>
              <w:rPr>
                <w:rFonts w:ascii="Arial" w:cs="Arial" w:eastAsia="Arial" w:hAnsi="Arial"/>
                <w:sz w:val="12"/>
                <w:szCs w:val="12"/>
                <w:color w:val="auto"/>
                <w:w w:val="89"/>
              </w:rPr>
              <w:t>February 25, 2022</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Scott G. Bruce</w:t>
            </w:r>
          </w:p>
        </w:tc>
        <w:tc>
          <w:tcPr>
            <w:tcW w:w="488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368"/>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Carmen Perez-Carlton</w:t>
            </w:r>
          </w:p>
        </w:tc>
        <w:tc>
          <w:tcPr>
            <w:tcW w:w="48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500" w:type="dxa"/>
            <w:vAlign w:val="bottom"/>
          </w:tcPr>
          <w:p>
            <w:pPr>
              <w:jc w:val="center"/>
              <w:ind w:left="1001"/>
              <w:spacing w:after="0"/>
              <w:rPr>
                <w:sz w:val="20"/>
                <w:szCs w:val="20"/>
                <w:color w:val="auto"/>
              </w:rPr>
            </w:pPr>
            <w:r>
              <w:rPr>
                <w:rFonts w:ascii="Arial" w:cs="Arial" w:eastAsia="Arial" w:hAnsi="Arial"/>
                <w:sz w:val="12"/>
                <w:szCs w:val="12"/>
                <w:color w:val="auto"/>
                <w:w w:val="89"/>
              </w:rPr>
              <w:t>February 25, 2022</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Carmen Perez-Carlton</w:t>
            </w:r>
          </w:p>
        </w:tc>
        <w:tc>
          <w:tcPr>
            <w:tcW w:w="488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368"/>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L. Solomon</w:t>
            </w:r>
          </w:p>
        </w:tc>
        <w:tc>
          <w:tcPr>
            <w:tcW w:w="48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500" w:type="dxa"/>
            <w:vAlign w:val="bottom"/>
          </w:tcPr>
          <w:p>
            <w:pPr>
              <w:jc w:val="center"/>
              <w:ind w:left="1001"/>
              <w:spacing w:after="0"/>
              <w:rPr>
                <w:sz w:val="20"/>
                <w:szCs w:val="20"/>
                <w:color w:val="auto"/>
              </w:rPr>
            </w:pPr>
            <w:r>
              <w:rPr>
                <w:rFonts w:ascii="Arial" w:cs="Arial" w:eastAsia="Arial" w:hAnsi="Arial"/>
                <w:sz w:val="12"/>
                <w:szCs w:val="12"/>
                <w:color w:val="auto"/>
                <w:w w:val="89"/>
              </w:rPr>
              <w:t>February 25, 2022</w:t>
            </w:r>
          </w:p>
        </w:tc>
      </w:tr>
      <w:tr>
        <w:trPr>
          <w:trHeight w:val="143"/>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David L. Solomon</w:t>
            </w:r>
          </w:p>
        </w:tc>
        <w:tc>
          <w:tcPr>
            <w:tcW w:w="4880" w:type="dxa"/>
            <w:vAlign w:val="bottom"/>
          </w:tcPr>
          <w:p>
            <w:pPr>
              <w:spacing w:after="0"/>
              <w:rPr>
                <w:sz w:val="12"/>
                <w:szCs w:val="12"/>
                <w:color w:val="auto"/>
              </w:rPr>
            </w:pPr>
          </w:p>
        </w:tc>
        <w:tc>
          <w:tcPr>
            <w:tcW w:w="3500" w:type="dxa"/>
            <w:vAlign w:val="bottom"/>
          </w:tcPr>
          <w:p>
            <w:pPr>
              <w:spacing w:after="0"/>
              <w:rPr>
                <w:sz w:val="12"/>
                <w:szCs w:val="12"/>
                <w:color w:val="auto"/>
              </w:rPr>
            </w:pPr>
          </w:p>
        </w:tc>
      </w:tr>
      <w:tr>
        <w:trPr>
          <w:trHeight w:val="773"/>
        </w:trPr>
        <w:tc>
          <w:tcPr>
            <w:tcW w:w="292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Arial" w:cs="Arial" w:eastAsia="Arial" w:hAnsi="Arial"/>
                <w:sz w:val="12"/>
                <w:szCs w:val="12"/>
                <w:color w:val="auto"/>
              </w:rPr>
              <w:t>128</w:t>
            </w:r>
          </w:p>
        </w:tc>
        <w:tc>
          <w:tcPr>
            <w:tcW w:w="3500" w:type="dxa"/>
            <w:vAlign w:val="bottom"/>
          </w:tcPr>
          <w:p>
            <w:pPr>
              <w:spacing w:after="0"/>
              <w:rPr>
                <w:sz w:val="24"/>
                <w:szCs w:val="24"/>
                <w:color w:val="auto"/>
              </w:rPr>
            </w:pPr>
          </w:p>
        </w:tc>
      </w:tr>
      <w:tr>
        <w:trPr>
          <w:trHeight w:val="72"/>
        </w:trPr>
        <w:tc>
          <w:tcPr>
            <w:tcW w:w="2920" w:type="dxa"/>
            <w:vAlign w:val="bottom"/>
            <w:tcBorders>
              <w:bottom w:val="single" w:sz="8" w:color="9A9A9A"/>
            </w:tcBorders>
          </w:tcPr>
          <w:p>
            <w:pPr>
              <w:spacing w:after="0"/>
              <w:rPr>
                <w:sz w:val="6"/>
                <w:szCs w:val="6"/>
                <w:color w:val="auto"/>
              </w:rPr>
            </w:pPr>
          </w:p>
        </w:tc>
        <w:tc>
          <w:tcPr>
            <w:tcW w:w="4880" w:type="dxa"/>
            <w:vAlign w:val="bottom"/>
            <w:tcBorders>
              <w:bottom w:val="single" w:sz="8" w:color="9A9A9A"/>
            </w:tcBorders>
          </w:tcPr>
          <w:p>
            <w:pPr>
              <w:spacing w:after="0"/>
              <w:rPr>
                <w:sz w:val="6"/>
                <w:szCs w:val="6"/>
                <w:color w:val="auto"/>
              </w:rPr>
            </w:pPr>
          </w:p>
        </w:tc>
        <w:tc>
          <w:tcPr>
            <w:tcW w:w="35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8" w:name="page129"/>
    <w:bookmarkEnd w:id="128"/>
    <w:p>
      <w:pPr>
        <w:spacing w:after="0"/>
        <w:rPr>
          <w:sz w:val="20"/>
          <w:szCs w:val="20"/>
          <w:color w:val="auto"/>
        </w:rPr>
      </w:pPr>
      <w:r>
        <w:rPr>
          <w:rFonts w:ascii="Arial" w:cs="Arial" w:eastAsia="Arial" w:hAnsi="Arial"/>
          <w:sz w:val="12"/>
          <w:szCs w:val="12"/>
          <w:u w:val="single" w:color="auto"/>
          <w:color w:val="0000EE"/>
        </w:rPr>
        <w:t>Table of Contents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60" w:type="dxa"/>
            <w:vAlign w:val="bottom"/>
            <w:gridSpan w:val="2"/>
          </w:tcPr>
          <w:p>
            <w:pPr>
              <w:spacing w:after="0"/>
              <w:rPr>
                <w:sz w:val="20"/>
                <w:szCs w:val="20"/>
                <w:color w:val="auto"/>
              </w:rPr>
            </w:pPr>
            <w:r>
              <w:rPr>
                <w:rFonts w:ascii="Arial" w:cs="Arial" w:eastAsia="Arial" w:hAnsi="Arial"/>
                <w:sz w:val="10"/>
                <w:szCs w:val="10"/>
                <w:color w:val="auto"/>
              </w:rPr>
              <w:t>(Thousands, except par value)</w:t>
            </w:r>
          </w:p>
        </w:tc>
        <w:tc>
          <w:tcPr>
            <w:tcW w:w="360" w:type="dxa"/>
            <w:vAlign w:val="bottom"/>
          </w:tcPr>
          <w:p>
            <w:pPr>
              <w:spacing w:after="0"/>
              <w:rPr>
                <w:sz w:val="10"/>
                <w:szCs w:val="10"/>
                <w:color w:val="auto"/>
              </w:rPr>
            </w:pPr>
          </w:p>
        </w:tc>
        <w:tc>
          <w:tcPr>
            <w:tcW w:w="194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December 31, 2021</w:t>
            </w:r>
          </w:p>
        </w:tc>
        <w:tc>
          <w:tcPr>
            <w:tcW w:w="340" w:type="dxa"/>
            <w:vAlign w:val="bottom"/>
          </w:tcPr>
          <w:p>
            <w:pPr>
              <w:spacing w:after="0"/>
              <w:rPr>
                <w:sz w:val="10"/>
                <w:szCs w:val="10"/>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142"/>
        </w:trPr>
        <w:tc>
          <w:tcPr>
            <w:tcW w:w="6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ind w:left="160"/>
              <w:spacing w:after="0"/>
              <w:rPr>
                <w:sz w:val="20"/>
                <w:szCs w:val="20"/>
                <w:color w:val="auto"/>
              </w:rPr>
            </w:pPr>
            <w:r>
              <w:rPr>
                <w:rFonts w:ascii="Arial" w:cs="Arial" w:eastAsia="Arial" w:hAnsi="Arial"/>
                <w:sz w:val="12"/>
                <w:szCs w:val="12"/>
                <w:color w:val="auto"/>
              </w:rPr>
              <w:t>Cash and cash equivalents</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3,112</w:t>
            </w:r>
          </w:p>
        </w:tc>
        <w:tc>
          <w:tcPr>
            <w:tcW w:w="26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2,284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36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1,541</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37,894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Assets</w:t>
            </w: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4,653</w:t>
            </w:r>
          </w:p>
        </w:tc>
        <w:tc>
          <w:tcPr>
            <w:tcW w:w="26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40,178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Accrued other liabilities</w:t>
            </w: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2,462</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ind w:left="160"/>
              <w:spacing w:after="0"/>
              <w:rPr>
                <w:sz w:val="20"/>
                <w:szCs w:val="20"/>
                <w:color w:val="auto"/>
              </w:rPr>
            </w:pPr>
            <w:r>
              <w:rPr>
                <w:rFonts w:ascii="Arial" w:cs="Arial" w:eastAsia="Arial" w:hAnsi="Arial"/>
                <w:sz w:val="12"/>
                <w:szCs w:val="12"/>
                <w:color w:val="auto"/>
              </w:rPr>
              <w:t>Dividends payable</w:t>
            </w:r>
          </w:p>
        </w:tc>
        <w:tc>
          <w:tcPr>
            <w:tcW w:w="36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1,159</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36,205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Cash distributions and losses in excess of investments in consolidated subsidiaries</w:t>
            </w:r>
          </w:p>
        </w:tc>
        <w:tc>
          <w:tcPr>
            <w:tcW w:w="36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2,128,824</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2,144,486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60" w:type="dxa"/>
            <w:vAlign w:val="bottom"/>
            <w:tcBorders>
              <w:bottom w:val="single" w:sz="8" w:color="CFF0FC"/>
            </w:tcBorders>
            <w:gridSpan w:val="2"/>
          </w:tcPr>
          <w:p>
            <w:pPr>
              <w:ind w:left="320"/>
              <w:spacing w:after="0"/>
              <w:rPr>
                <w:sz w:val="20"/>
                <w:szCs w:val="20"/>
                <w:color w:val="auto"/>
              </w:rPr>
            </w:pPr>
            <w:r>
              <w:rPr>
                <w:rFonts w:ascii="Arial" w:cs="Arial" w:eastAsia="Arial" w:hAnsi="Arial"/>
                <w:sz w:val="12"/>
                <w:szCs w:val="12"/>
                <w:color w:val="auto"/>
              </w:rPr>
              <w:t>Total liabilities</w:t>
            </w:r>
          </w:p>
        </w:tc>
        <w:tc>
          <w:tcPr>
            <w:tcW w:w="3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2,132,445</w:t>
            </w:r>
          </w:p>
        </w:tc>
        <w:tc>
          <w:tcPr>
            <w:tcW w:w="26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2,181,836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spacing w:after="0"/>
              <w:rPr>
                <w:sz w:val="20"/>
                <w:szCs w:val="20"/>
                <w:color w:val="auto"/>
              </w:rPr>
            </w:pPr>
            <w:r>
              <w:rPr>
                <w:rFonts w:ascii="Arial" w:cs="Arial" w:eastAsia="Arial" w:hAnsi="Arial"/>
                <w:sz w:val="12"/>
                <w:szCs w:val="12"/>
                <w:b w:val="1"/>
                <w:bCs w:val="1"/>
                <w:color w:val="auto"/>
              </w:rPr>
              <w:t>Shareholders' Deficit:</w:t>
            </w: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Preferred stock, $0.0001 par value, 50,000 shares authorized, no shares issued and outstanding</w:t>
            </w:r>
          </w:p>
        </w:tc>
        <w:tc>
          <w:tcPr>
            <w:tcW w:w="36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60" w:type="dxa"/>
            <w:vAlign w:val="bottom"/>
            <w:gridSpan w:val="2"/>
          </w:tcPr>
          <w:p>
            <w:pPr>
              <w:ind w:left="160"/>
              <w:spacing w:after="0"/>
              <w:rPr>
                <w:sz w:val="20"/>
                <w:szCs w:val="20"/>
                <w:color w:val="auto"/>
              </w:rPr>
            </w:pPr>
            <w:r>
              <w:rPr>
                <w:rFonts w:ascii="Arial" w:cs="Arial" w:eastAsia="Arial" w:hAnsi="Arial"/>
                <w:sz w:val="12"/>
                <w:szCs w:val="12"/>
                <w:color w:val="auto"/>
                <w:w w:val="95"/>
              </w:rPr>
              <w:t>Common stock, $0.0001 par value, 500,000 shares authorized, issued and outstanding: 234,779 shares at December 31, 2021 and</w:t>
            </w: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ind w:left="160"/>
              <w:spacing w:after="0"/>
              <w:rPr>
                <w:sz w:val="20"/>
                <w:szCs w:val="20"/>
                <w:color w:val="auto"/>
              </w:rPr>
            </w:pPr>
            <w:r>
              <w:rPr>
                <w:rFonts w:ascii="Arial" w:cs="Arial" w:eastAsia="Arial" w:hAnsi="Arial"/>
                <w:sz w:val="12"/>
                <w:szCs w:val="12"/>
                <w:color w:val="auto"/>
              </w:rPr>
              <w:t>231,262 at December 31, 2020</w:t>
            </w:r>
          </w:p>
        </w:tc>
        <w:tc>
          <w:tcPr>
            <w:tcW w:w="36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23</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Additional paid-in capital</w:t>
            </w:r>
          </w:p>
        </w:tc>
        <w:tc>
          <w:tcPr>
            <w:tcW w:w="36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1,214,830</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1,209,141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ind w:left="160"/>
              <w:spacing w:after="0"/>
              <w:rPr>
                <w:sz w:val="20"/>
                <w:szCs w:val="20"/>
                <w:color w:val="auto"/>
              </w:rPr>
            </w:pPr>
            <w:r>
              <w:rPr>
                <w:rFonts w:ascii="Arial" w:cs="Arial" w:eastAsia="Arial" w:hAnsi="Arial"/>
                <w:sz w:val="12"/>
                <w:szCs w:val="12"/>
                <w:color w:val="auto"/>
              </w:rPr>
              <w:t>Accumulated other comprehensive loss</w:t>
            </w:r>
          </w:p>
        </w:tc>
        <w:tc>
          <w:tcPr>
            <w:tcW w:w="360" w:type="dxa"/>
            <w:vAlign w:val="bottom"/>
          </w:tcPr>
          <w:p>
            <w:pPr>
              <w:spacing w:after="0"/>
              <w:rPr>
                <w:sz w:val="13"/>
                <w:szCs w:val="13"/>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(9,164)</w:t>
            </w:r>
          </w:p>
        </w:tc>
        <w:tc>
          <w:tcPr>
            <w:tcW w:w="340" w:type="dxa"/>
            <w:vAlign w:val="bottom"/>
          </w:tcPr>
          <w:p>
            <w:pPr>
              <w:spacing w:after="0"/>
              <w:rPr>
                <w:sz w:val="13"/>
                <w:szCs w:val="13"/>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2"/>
                <w:szCs w:val="12"/>
                <w:color w:val="auto"/>
              </w:rPr>
              <w:t>(20,367)</w:t>
            </w: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Distributions in excess of accumulated earnings</w:t>
            </w:r>
          </w:p>
        </w:tc>
        <w:tc>
          <w:tcPr>
            <w:tcW w:w="36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(3,333,481)</w:t>
            </w:r>
          </w:p>
        </w:tc>
        <w:tc>
          <w:tcPr>
            <w:tcW w:w="34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(3,330,455)</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320"/>
              <w:spacing w:after="0"/>
              <w:rPr>
                <w:sz w:val="20"/>
                <w:szCs w:val="20"/>
                <w:color w:val="auto"/>
              </w:rPr>
            </w:pPr>
            <w:r>
              <w:rPr>
                <w:rFonts w:ascii="Arial" w:cs="Arial" w:eastAsia="Arial" w:hAnsi="Arial"/>
                <w:sz w:val="12"/>
                <w:szCs w:val="12"/>
                <w:color w:val="auto"/>
              </w:rPr>
              <w:t>Total Uniti shareholders' deficit</w:t>
            </w:r>
          </w:p>
        </w:tc>
        <w:tc>
          <w:tcPr>
            <w:tcW w:w="3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(2,127,792)</w:t>
            </w:r>
          </w:p>
        </w:tc>
        <w:tc>
          <w:tcPr>
            <w:tcW w:w="340" w:type="dxa"/>
            <w:vAlign w:val="bottom"/>
          </w:tcPr>
          <w:p>
            <w:pPr>
              <w:spacing w:after="0"/>
              <w:rPr>
                <w:sz w:val="12"/>
                <w:szCs w:val="12"/>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2"/>
                <w:szCs w:val="12"/>
                <w:color w:val="auto"/>
              </w:rPr>
              <w:t>(2,141,658)</w:t>
            </w:r>
          </w:p>
        </w:tc>
        <w:tc>
          <w:tcPr>
            <w:tcW w:w="0" w:type="dxa"/>
            <w:vAlign w:val="bottom"/>
          </w:tcPr>
          <w:p>
            <w:pPr>
              <w:spacing w:after="0"/>
              <w:rPr>
                <w:sz w:val="1"/>
                <w:szCs w:val="1"/>
                <w:color w:val="auto"/>
              </w:rPr>
            </w:pPr>
          </w:p>
        </w:tc>
      </w:tr>
      <w:tr>
        <w:trPr>
          <w:trHeight w:val="149"/>
        </w:trPr>
        <w:tc>
          <w:tcPr>
            <w:tcW w:w="6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Total Liabilities, Convertible Preferred Stock, and Shareholders' Deficit</w:t>
            </w:r>
          </w:p>
        </w:tc>
        <w:tc>
          <w:tcPr>
            <w:tcW w:w="360" w:type="dxa"/>
            <w:vAlign w:val="bottom"/>
            <w:tcBorders>
              <w:top w:val="single" w:sz="8" w:color="auto"/>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4,653</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40,178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9" w:name="page130"/>
    <w:bookmarkEnd w:id="129"/>
    <w:p>
      <w:pPr>
        <w:spacing w:after="0"/>
        <w:rPr>
          <w:sz w:val="20"/>
          <w:szCs w:val="20"/>
          <w:color w:val="auto"/>
        </w:rPr>
      </w:pPr>
      <w:r>
        <w:rPr>
          <w:rFonts w:ascii="Arial" w:cs="Arial" w:eastAsia="Arial" w:hAnsi="Arial"/>
          <w:sz w:val="12"/>
          <w:szCs w:val="12"/>
          <w:u w:val="single" w:color="auto"/>
          <w:color w:val="0000EE"/>
        </w:rPr>
        <w:t>Table of Contents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Statements of Comprehensive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0"/>
                <w:szCs w:val="10"/>
                <w:b w:val="1"/>
                <w:bCs w:val="1"/>
                <w:color w:val="auto"/>
                <w:w w:val="97"/>
              </w:rPr>
              <w:t>Year Ended December 31,</w:t>
            </w: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68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00" w:type="dxa"/>
            <w:vAlign w:val="bottom"/>
          </w:tcPr>
          <w:p>
            <w:pPr>
              <w:spacing w:after="0"/>
              <w:rPr>
                <w:sz w:val="13"/>
                <w:szCs w:val="13"/>
                <w:color w:val="auto"/>
              </w:rPr>
            </w:pPr>
          </w:p>
        </w:tc>
        <w:tc>
          <w:tcPr>
            <w:tcW w:w="1280" w:type="dxa"/>
            <w:vAlign w:val="bottom"/>
          </w:tcPr>
          <w:p>
            <w:pPr>
              <w:jc w:val="right"/>
              <w:ind w:right="681"/>
              <w:spacing w:after="0"/>
              <w:rPr>
                <w:sz w:val="20"/>
                <w:szCs w:val="20"/>
                <w:color w:val="auto"/>
              </w:rPr>
            </w:pPr>
            <w:r>
              <w:rPr>
                <w:rFonts w:ascii="Arial" w:cs="Arial" w:eastAsia="Arial" w:hAnsi="Arial"/>
                <w:sz w:val="10"/>
                <w:szCs w:val="10"/>
                <w:b w:val="1"/>
                <w:bCs w:val="1"/>
                <w:color w:val="auto"/>
              </w:rPr>
              <w:t>2021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682"/>
              <w:spacing w:after="0"/>
              <w:rPr>
                <w:sz w:val="20"/>
                <w:szCs w:val="20"/>
                <w:color w:val="auto"/>
              </w:rPr>
            </w:pPr>
            <w:r>
              <w:rPr>
                <w:rFonts w:ascii="Arial" w:cs="Arial" w:eastAsia="Arial" w:hAnsi="Arial"/>
                <w:sz w:val="10"/>
                <w:szCs w:val="10"/>
                <w:b w:val="1"/>
                <w:bCs w:val="1"/>
                <w:color w:val="auto"/>
              </w:rPr>
              <w:t>2020</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621"/>
              <w:spacing w:after="0"/>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0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80" w:type="dxa"/>
            <w:vAlign w:val="bottom"/>
            <w:gridSpan w:val="2"/>
          </w:tcPr>
          <w:p>
            <w:pPr>
              <w:ind w:left="160"/>
              <w:spacing w:after="0"/>
              <w:rPr>
                <w:sz w:val="20"/>
                <w:szCs w:val="20"/>
                <w:color w:val="auto"/>
              </w:rPr>
            </w:pPr>
            <w:r>
              <w:rPr>
                <w:rFonts w:ascii="Arial" w:cs="Arial" w:eastAsia="Arial" w:hAnsi="Arial"/>
                <w:sz w:val="12"/>
                <w:szCs w:val="12"/>
                <w:color w:val="auto"/>
              </w:rPr>
              <w:t>General and administrative expense</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(58)</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42</w:t>
            </w:r>
          </w:p>
        </w:tc>
        <w:tc>
          <w:tcPr>
            <w:tcW w:w="44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Transaction related costs</w:t>
            </w:r>
          </w:p>
        </w:tc>
        <w:tc>
          <w:tcPr>
            <w:tcW w:w="40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2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w:t>
            </w:r>
          </w:p>
        </w:tc>
        <w:tc>
          <w:tcPr>
            <w:tcW w:w="44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2,138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80" w:type="dxa"/>
            <w:vAlign w:val="bottom"/>
            <w:gridSpan w:val="2"/>
          </w:tcPr>
          <w:p>
            <w:pPr>
              <w:spacing w:after="0"/>
              <w:rPr>
                <w:sz w:val="20"/>
                <w:szCs w:val="20"/>
                <w:color w:val="auto"/>
              </w:rPr>
            </w:pPr>
            <w:r>
              <w:rPr>
                <w:rFonts w:ascii="Arial" w:cs="Arial" w:eastAsia="Arial" w:hAnsi="Arial"/>
                <w:sz w:val="12"/>
                <w:szCs w:val="12"/>
                <w:color w:val="auto"/>
              </w:rPr>
              <w:t>Total costs and expenses</w:t>
            </w:r>
          </w:p>
        </w:tc>
        <w:tc>
          <w:tcPr>
            <w:tcW w:w="40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(40)</w:t>
            </w:r>
          </w:p>
        </w:tc>
        <w:tc>
          <w:tcPr>
            <w:tcW w:w="2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143</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2,174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Operating income (loss)</w:t>
            </w: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(143)</w:t>
            </w:r>
          </w:p>
        </w:tc>
        <w:tc>
          <w:tcPr>
            <w:tcW w:w="3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(2,174)</w:t>
            </w:r>
          </w:p>
        </w:tc>
        <w:tc>
          <w:tcPr>
            <w:tcW w:w="0" w:type="dxa"/>
            <w:vAlign w:val="bottom"/>
          </w:tcPr>
          <w:p>
            <w:pPr>
              <w:spacing w:after="0"/>
              <w:rPr>
                <w:sz w:val="1"/>
                <w:szCs w:val="1"/>
                <w:color w:val="auto"/>
              </w:rPr>
            </w:pPr>
          </w:p>
        </w:tc>
      </w:tr>
      <w:tr>
        <w:trPr>
          <w:trHeight w:val="153"/>
        </w:trPr>
        <w:tc>
          <w:tcPr>
            <w:tcW w:w="5680" w:type="dxa"/>
            <w:vAlign w:val="bottom"/>
            <w:gridSpan w:val="2"/>
          </w:tcPr>
          <w:p>
            <w:pPr>
              <w:spacing w:after="0"/>
              <w:rPr>
                <w:sz w:val="20"/>
                <w:szCs w:val="20"/>
                <w:color w:val="auto"/>
              </w:rPr>
            </w:pPr>
            <w:r>
              <w:rPr>
                <w:rFonts w:ascii="Arial" w:cs="Arial" w:eastAsia="Arial" w:hAnsi="Arial"/>
                <w:sz w:val="12"/>
                <w:szCs w:val="12"/>
                <w:color w:val="auto"/>
              </w:rPr>
              <w:t>Earnings (loss) from consolidated subsidiaries</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124,810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(708,139)</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24,730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Income (Loss) before income taxes</w:t>
            </w: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124,850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(708,282)</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22,556</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80" w:type="dxa"/>
            <w:vAlign w:val="bottom"/>
            <w:gridSpan w:val="2"/>
          </w:tcPr>
          <w:p>
            <w:pPr>
              <w:spacing w:after="0"/>
              <w:rPr>
                <w:sz w:val="20"/>
                <w:szCs w:val="20"/>
                <w:color w:val="auto"/>
              </w:rPr>
            </w:pPr>
            <w:r>
              <w:rPr>
                <w:rFonts w:ascii="Arial" w:cs="Arial" w:eastAsia="Arial" w:hAnsi="Arial"/>
                <w:sz w:val="12"/>
                <w:szCs w:val="12"/>
                <w:color w:val="auto"/>
              </w:rPr>
              <w:t>Income tax expense (benefit)</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1,190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(1,981)</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11,974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Net income (loss) attributable to shareholders</w:t>
            </w: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123,660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(706,301)</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Comprehensive income (loss) attributable to shareholders</w:t>
            </w: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134,863</w:t>
            </w:r>
          </w:p>
        </w:tc>
        <w:tc>
          <w:tcPr>
            <w:tcW w:w="22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(703,226)</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(42,639)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0" w:name="page131"/>
    <w:bookmarkEnd w:id="130"/>
    <w:p>
      <w:pPr>
        <w:spacing w:after="0"/>
        <w:rPr>
          <w:sz w:val="20"/>
          <w:szCs w:val="20"/>
          <w:color w:val="auto"/>
        </w:rPr>
      </w:pPr>
      <w:r>
        <w:rPr>
          <w:rFonts w:ascii="Arial" w:cs="Arial" w:eastAsia="Arial" w:hAnsi="Arial"/>
          <w:sz w:val="12"/>
          <w:szCs w:val="12"/>
          <w:u w:val="single" w:color="auto"/>
          <w:color w:val="0000EE"/>
        </w:rPr>
        <w:t>Table of Contents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94"/>
              </w:rPr>
              <w:t>Year Ended December 31,</w:t>
            </w: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00" w:type="dxa"/>
            <w:vAlign w:val="bottom"/>
          </w:tcPr>
          <w:p>
            <w:pPr>
              <w:spacing w:after="0"/>
              <w:rPr>
                <w:sz w:val="13"/>
                <w:szCs w:val="13"/>
                <w:color w:val="auto"/>
              </w:rPr>
            </w:pPr>
          </w:p>
        </w:tc>
        <w:tc>
          <w:tcPr>
            <w:tcW w:w="1260" w:type="dxa"/>
            <w:vAlign w:val="bottom"/>
          </w:tcPr>
          <w:p>
            <w:pPr>
              <w:jc w:val="right"/>
              <w:ind w:right="681"/>
              <w:spacing w:after="0"/>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682"/>
              <w:spacing w:after="0"/>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681"/>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Net cash provided by operating activities</w:t>
            </w:r>
          </w:p>
        </w:tc>
        <w:tc>
          <w:tcPr>
            <w:tcW w:w="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141,527</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94,533</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199,572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20" w:type="dxa"/>
            <w:vAlign w:val="bottom"/>
            <w:gridSpan w:val="2"/>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Proceeds from sale of real estate, net of cash</w:t>
            </w: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20" w:type="dxa"/>
            <w:vAlign w:val="bottom"/>
            <w:gridSpan w:val="2"/>
          </w:tcPr>
          <w:p>
            <w:pPr>
              <w:spacing w:after="0"/>
              <w:rPr>
                <w:sz w:val="20"/>
                <w:szCs w:val="20"/>
                <w:color w:val="auto"/>
              </w:rPr>
            </w:pPr>
            <w:r>
              <w:rPr>
                <w:rFonts w:ascii="Arial" w:cs="Arial" w:eastAsia="Arial" w:hAnsi="Arial"/>
                <w:sz w:val="12"/>
                <w:szCs w:val="12"/>
                <w:color w:val="auto"/>
              </w:rPr>
              <w:t>Net cash provided by investing activities</w:t>
            </w: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2,488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Settlement Common Stock issuance (Note 17)</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244,550</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Dividends paid</w:t>
            </w:r>
          </w:p>
        </w:tc>
        <w:tc>
          <w:tcPr>
            <w:tcW w:w="40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(141,371)</w:t>
            </w:r>
          </w:p>
        </w:tc>
        <w:tc>
          <w:tcPr>
            <w:tcW w:w="180" w:type="dxa"/>
            <w:vAlign w:val="bottom"/>
          </w:tcPr>
          <w:p>
            <w:pPr>
              <w:spacing w:after="0"/>
              <w:rPr>
                <w:sz w:val="13"/>
                <w:szCs w:val="13"/>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2"/>
                <w:szCs w:val="12"/>
                <w:color w:val="auto"/>
              </w:rPr>
              <w:t>(135,676)</w:t>
            </w:r>
          </w:p>
        </w:tc>
        <w:tc>
          <w:tcPr>
            <w:tcW w:w="40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(138,731)</w:t>
            </w:r>
          </w:p>
        </w:tc>
        <w:tc>
          <w:tcPr>
            <w:tcW w:w="0" w:type="dxa"/>
            <w:vAlign w:val="bottom"/>
          </w:tcPr>
          <w:p>
            <w:pPr>
              <w:spacing w:after="0"/>
              <w:rPr>
                <w:sz w:val="1"/>
                <w:szCs w:val="1"/>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Proceeds from issuance of Notes</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83,665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Payments for financing costs</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(2,895)</w:t>
            </w:r>
          </w:p>
        </w:tc>
        <w:tc>
          <w:tcPr>
            <w:tcW w:w="0" w:type="dxa"/>
            <w:vAlign w:val="bottom"/>
          </w:tcPr>
          <w:p>
            <w:pPr>
              <w:spacing w:after="0"/>
              <w:rPr>
                <w:sz w:val="1"/>
                <w:szCs w:val="1"/>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Common stock issuance, net of costs</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Net share settlement</w:t>
            </w:r>
          </w:p>
        </w:tc>
        <w:tc>
          <w:tcPr>
            <w:tcW w:w="40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(4,100)</w:t>
            </w:r>
          </w:p>
        </w:tc>
        <w:tc>
          <w:tcPr>
            <w:tcW w:w="180" w:type="dxa"/>
            <w:vAlign w:val="bottom"/>
          </w:tcPr>
          <w:p>
            <w:pPr>
              <w:spacing w:after="0"/>
              <w:rPr>
                <w:sz w:val="13"/>
                <w:szCs w:val="13"/>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2"/>
                <w:szCs w:val="12"/>
                <w:color w:val="auto"/>
              </w:rPr>
              <w:t>(1,097)</w:t>
            </w:r>
          </w:p>
        </w:tc>
        <w:tc>
          <w:tcPr>
            <w:tcW w:w="40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(1,834)</w:t>
            </w:r>
          </w:p>
        </w:tc>
        <w:tc>
          <w:tcPr>
            <w:tcW w:w="0" w:type="dxa"/>
            <w:vAlign w:val="bottom"/>
          </w:tcPr>
          <w:p>
            <w:pPr>
              <w:spacing w:after="0"/>
              <w:rPr>
                <w:sz w:val="1"/>
                <w:szCs w:val="1"/>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Proceeds from sale of warrants</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50,819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Payment for bond hedge option</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(70,035)</w:t>
            </w:r>
          </w:p>
        </w:tc>
        <w:tc>
          <w:tcPr>
            <w:tcW w:w="0" w:type="dxa"/>
            <w:vAlign w:val="bottom"/>
          </w:tcPr>
          <w:p>
            <w:pPr>
              <w:spacing w:after="0"/>
              <w:rPr>
                <w:sz w:val="1"/>
                <w:szCs w:val="1"/>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Intercompany transactions, net</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(244,125)</w:t>
            </w:r>
          </w:p>
        </w:tc>
        <w:tc>
          <w:tcPr>
            <w:tcW w:w="4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(102,411)</w:t>
            </w:r>
          </w:p>
        </w:tc>
        <w:tc>
          <w:tcPr>
            <w:tcW w:w="0" w:type="dxa"/>
            <w:vAlign w:val="bottom"/>
          </w:tcPr>
          <w:p>
            <w:pPr>
              <w:spacing w:after="0"/>
              <w:rPr>
                <w:sz w:val="1"/>
                <w:szCs w:val="1"/>
                <w:color w:val="auto"/>
              </w:rPr>
            </w:pPr>
          </w:p>
        </w:tc>
      </w:tr>
      <w:tr>
        <w:trPr>
          <w:trHeight w:val="153"/>
        </w:trPr>
        <w:tc>
          <w:tcPr>
            <w:tcW w:w="572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Employee stock purchase plan</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676</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cash used in financing activities</w:t>
            </w:r>
          </w:p>
        </w:tc>
        <w:tc>
          <w:tcPr>
            <w:tcW w:w="4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(140,699)</w:t>
            </w:r>
          </w:p>
        </w:tc>
        <w:tc>
          <w:tcPr>
            <w:tcW w:w="1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(135,672)</w:t>
            </w:r>
          </w:p>
        </w:tc>
        <w:tc>
          <w:tcPr>
            <w:tcW w:w="4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(158,898)</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2"/>
                <w:szCs w:val="12"/>
                <w:color w:val="auto"/>
              </w:rPr>
              <w:t>Net increase (decrease) in cash and cash equivalents</w:t>
            </w: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828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2"/>
                <w:szCs w:val="12"/>
                <w:color w:val="auto"/>
              </w:rPr>
              <w:t>(41,139)</w:t>
            </w: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43,162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and cash equivalents at beginning of period</w:t>
            </w: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2,284</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43,423</w:t>
            </w:r>
          </w:p>
        </w:tc>
        <w:tc>
          <w:tcPr>
            <w:tcW w:w="24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Cash and cash equivalents at end of period</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3,112</w:t>
            </w: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2,284</w:t>
            </w:r>
          </w:p>
        </w:tc>
        <w:tc>
          <w:tcPr>
            <w:tcW w:w="24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43,423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2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Non-cash investing and financing activities:</w:t>
            </w: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720" w:type="dxa"/>
            <w:vAlign w:val="bottom"/>
            <w:gridSpan w:val="2"/>
          </w:tcPr>
          <w:p>
            <w:pPr>
              <w:ind w:left="160"/>
              <w:spacing w:after="0"/>
              <w:rPr>
                <w:sz w:val="20"/>
                <w:szCs w:val="20"/>
                <w:color w:val="auto"/>
              </w:rPr>
            </w:pPr>
            <w:r>
              <w:rPr>
                <w:rFonts w:ascii="Arial" w:cs="Arial" w:eastAsia="Arial" w:hAnsi="Arial"/>
                <w:sz w:val="11"/>
                <w:szCs w:val="11"/>
                <w:color w:val="auto"/>
              </w:rPr>
              <w:t>Settlement of contingent consideration through non-cash consideration</w:t>
            </w:r>
          </w:p>
        </w:tc>
        <w:tc>
          <w:tcPr>
            <w:tcW w:w="400" w:type="dxa"/>
            <w:vAlign w:val="bottom"/>
          </w:tcPr>
          <w:p>
            <w:pPr>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11,178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1" w:name="page132"/>
    <w:bookmarkEnd w:id="131"/>
    <w:p>
      <w:pPr>
        <w:spacing w:after="0"/>
        <w:rPr>
          <w:sz w:val="20"/>
          <w:szCs w:val="20"/>
          <w:color w:val="auto"/>
        </w:rPr>
      </w:pPr>
      <w:r>
        <w:rPr>
          <w:rFonts w:ascii="Arial" w:cs="Arial" w:eastAsia="Arial" w:hAnsi="Arial"/>
          <w:sz w:val="12"/>
          <w:szCs w:val="12"/>
          <w:u w:val="single" w:color="auto"/>
          <w:color w:val="0000EE"/>
        </w:rPr>
        <w:t>Table of Contents</w:t>
      </w:r>
    </w:p>
    <w:p>
      <w:pPr>
        <w:spacing w:after="0" w:line="164" w:lineRule="exact"/>
        <w:rPr>
          <w:sz w:val="20"/>
          <w:szCs w:val="20"/>
          <w:color w:val="auto"/>
        </w:rPr>
      </w:pPr>
    </w:p>
    <w:p>
      <w:pPr>
        <w:ind w:left="3900"/>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Background and Basis of Presentation</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Uniti Group Inc.’s parent company financial information has been derived from its consolidated financial statements and should be read in conjunction with the consolidated financial statements and notes of Uniti and its subsidiaries included in Item 8 Financial Statements and Supplementary Data in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Subsidiary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 Subsidiaries</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During 2017, the parent company completed its reorganization (the “up-REIT Reorganization”) to operate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which we substantially completed the wind down of the business as of the end of the second quarter of 2020. The up-REIT structure is intended to facilitate future acquisition opportunities by providing the Company with the ability to use common units of the Operating Partnership as a tax-efficient acquisition currency. As of December 31, 2021, we are the sole general partner of the Operating Partnership and own approximately 99.7% of the partnership interests in the Operating Partnership.</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Dividends</w:t>
      </w:r>
    </w:p>
    <w:p>
      <w:pPr>
        <w:spacing w:after="0" w:line="78"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Cash dividends received from subsidiaries and recorded in Cash Flow from Operating Activities in the Condensed Statement of Cash Flows were $139.9 million, $134.7 million and $136.2 million for the year ended December 31, 2021, 2020 and 2019,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38"/>
        </w:trPr>
        <w:tc>
          <w:tcPr>
            <w:tcW w:w="4240" w:type="dxa"/>
            <w:vAlign w:val="bottom"/>
            <w:gridSpan w:val="3"/>
          </w:tcPr>
          <w:p>
            <w:pPr>
              <w:spacing w:after="0"/>
              <w:rPr>
                <w:sz w:val="20"/>
                <w:szCs w:val="20"/>
                <w:color w:val="auto"/>
              </w:rPr>
            </w:pPr>
            <w:r>
              <w:rPr>
                <w:rFonts w:ascii="Arial" w:cs="Arial" w:eastAsia="Arial" w:hAnsi="Arial"/>
                <w:sz w:val="12"/>
                <w:szCs w:val="12"/>
                <w:color w:val="0000EE"/>
              </w:rPr>
              <w:t>Table of Contents</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44"/>
        </w:trPr>
        <w:tc>
          <w:tcPr>
            <w:tcW w:w="84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tcPr>
          <w:p>
            <w:pPr>
              <w:jc w:val="center"/>
              <w:ind w:left="841"/>
              <w:spacing w:after="0"/>
              <w:rPr>
                <w:sz w:val="20"/>
                <w:szCs w:val="20"/>
                <w:color w:val="auto"/>
              </w:rPr>
            </w:pPr>
            <w:r>
              <w:rPr>
                <w:rFonts w:ascii="Arial" w:cs="Arial" w:eastAsia="Arial" w:hAnsi="Arial"/>
                <w:sz w:val="12"/>
                <w:szCs w:val="12"/>
                <w:b w:val="1"/>
                <w:bCs w:val="1"/>
                <w:color w:val="auto"/>
                <w:w w:val="95"/>
              </w:rPr>
              <w:t>Uniti Group Inc.</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0"/>
              </w:rPr>
              <w:t>Schedule II – Valuation and Qualifying Accounts</w:t>
            </w: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9"/>
              </w:rPr>
              <w:t>(dollars in thousands)</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840" w:type="dxa"/>
            <w:vAlign w:val="bottom"/>
          </w:tcPr>
          <w:p>
            <w:pPr>
              <w:spacing w:after="0"/>
              <w:rPr>
                <w:sz w:val="24"/>
                <w:szCs w:val="24"/>
                <w:color w:val="auto"/>
              </w:rPr>
            </w:pPr>
          </w:p>
        </w:tc>
        <w:tc>
          <w:tcPr>
            <w:tcW w:w="3400" w:type="dxa"/>
            <w:vAlign w:val="bottom"/>
            <w:gridSpan w:val="2"/>
          </w:tcPr>
          <w:p>
            <w:pPr>
              <w:jc w:val="center"/>
              <w:ind w:right="1000"/>
              <w:spacing w:after="0"/>
              <w:rPr>
                <w:sz w:val="20"/>
                <w:szCs w:val="20"/>
                <w:color w:val="auto"/>
              </w:rPr>
            </w:pPr>
            <w:r>
              <w:rPr>
                <w:rFonts w:ascii="Arial" w:cs="Arial" w:eastAsia="Arial" w:hAnsi="Arial"/>
                <w:sz w:val="12"/>
                <w:szCs w:val="12"/>
                <w:color w:val="auto"/>
                <w:w w:val="98"/>
              </w:rPr>
              <w:t>Column A</w:t>
            </w:r>
          </w:p>
        </w:tc>
        <w:tc>
          <w:tcPr>
            <w:tcW w:w="8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Arial" w:cs="Arial" w:eastAsia="Arial" w:hAnsi="Arial"/>
                <w:sz w:val="12"/>
                <w:szCs w:val="12"/>
                <w:color w:val="auto"/>
              </w:rPr>
              <w:t>Column B</w:t>
            </w:r>
          </w:p>
        </w:tc>
        <w:tc>
          <w:tcPr>
            <w:tcW w:w="200" w:type="dxa"/>
            <w:vAlign w:val="bottom"/>
          </w:tcPr>
          <w:p>
            <w:pPr>
              <w:spacing w:after="0"/>
              <w:rPr>
                <w:sz w:val="24"/>
                <w:szCs w:val="24"/>
                <w:color w:val="auto"/>
              </w:rPr>
            </w:pPr>
          </w:p>
        </w:tc>
        <w:tc>
          <w:tcPr>
            <w:tcW w:w="1640" w:type="dxa"/>
            <w:vAlign w:val="bottom"/>
            <w:gridSpan w:val="3"/>
          </w:tcPr>
          <w:p>
            <w:pPr>
              <w:jc w:val="center"/>
              <w:ind w:left="306"/>
              <w:spacing w:after="0"/>
              <w:rPr>
                <w:sz w:val="20"/>
                <w:szCs w:val="20"/>
                <w:color w:val="auto"/>
              </w:rPr>
            </w:pPr>
            <w:r>
              <w:rPr>
                <w:rFonts w:ascii="Arial" w:cs="Arial" w:eastAsia="Arial" w:hAnsi="Arial"/>
                <w:sz w:val="12"/>
                <w:szCs w:val="12"/>
                <w:color w:val="auto"/>
                <w:w w:val="89"/>
              </w:rPr>
              <w:t>Column C</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2"/>
                <w:szCs w:val="12"/>
                <w:color w:val="auto"/>
                <w:w w:val="93"/>
              </w:rPr>
              <w:t>Column D</w:t>
            </w: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2"/>
                <w:szCs w:val="12"/>
                <w:color w:val="auto"/>
                <w:w w:val="94"/>
              </w:rPr>
              <w:t>Column E</w:t>
            </w:r>
          </w:p>
        </w:tc>
      </w:tr>
      <w:tr>
        <w:trPr>
          <w:trHeight w:val="151"/>
        </w:trPr>
        <w:tc>
          <w:tcPr>
            <w:tcW w:w="84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center"/>
              <w:ind w:left="306"/>
              <w:spacing w:after="0"/>
              <w:rPr>
                <w:sz w:val="20"/>
                <w:szCs w:val="20"/>
                <w:color w:val="auto"/>
              </w:rPr>
            </w:pPr>
            <w:r>
              <w:rPr>
                <w:rFonts w:ascii="Arial" w:cs="Arial" w:eastAsia="Arial" w:hAnsi="Arial"/>
                <w:sz w:val="10"/>
                <w:szCs w:val="10"/>
                <w:color w:val="auto"/>
                <w:w w:val="87"/>
              </w:rPr>
              <w:t>Additions</w:t>
            </w:r>
          </w:p>
        </w:tc>
        <w:tc>
          <w:tcPr>
            <w:tcW w:w="56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5"/>
        </w:trPr>
        <w:tc>
          <w:tcPr>
            <w:tcW w:w="8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20"/>
              <w:spacing w:after="0" w:line="85" w:lineRule="exact"/>
              <w:rPr>
                <w:sz w:val="20"/>
                <w:szCs w:val="20"/>
                <w:color w:val="auto"/>
              </w:rPr>
            </w:pPr>
            <w:r>
              <w:rPr>
                <w:rFonts w:ascii="Arial" w:cs="Arial" w:eastAsia="Arial" w:hAnsi="Arial"/>
                <w:sz w:val="8"/>
                <w:szCs w:val="8"/>
                <w:color w:val="auto"/>
              </w:rPr>
              <w:t>Charged to Cost</w:t>
            </w: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1"/>
        </w:trPr>
        <w:tc>
          <w:tcPr>
            <w:tcW w:w="8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jc w:val="center"/>
              <w:ind w:right="806"/>
              <w:spacing w:after="0" w:line="112" w:lineRule="exact"/>
              <w:rPr>
                <w:sz w:val="20"/>
                <w:szCs w:val="20"/>
                <w:color w:val="auto"/>
              </w:rPr>
            </w:pPr>
            <w:r>
              <w:rPr>
                <w:rFonts w:ascii="Arial" w:cs="Arial" w:eastAsia="Arial" w:hAnsi="Arial"/>
                <w:sz w:val="10"/>
                <w:szCs w:val="10"/>
                <w:color w:val="auto"/>
                <w:w w:val="87"/>
              </w:rPr>
              <w:t>Description</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ind w:right="21"/>
              <w:spacing w:after="0" w:line="112" w:lineRule="exact"/>
              <w:rPr>
                <w:sz w:val="20"/>
                <w:szCs w:val="20"/>
                <w:color w:val="auto"/>
              </w:rPr>
            </w:pPr>
            <w:r>
              <w:rPr>
                <w:rFonts w:ascii="Arial" w:cs="Arial" w:eastAsia="Arial" w:hAnsi="Arial"/>
                <w:sz w:val="10"/>
                <w:szCs w:val="10"/>
                <w:color w:val="auto"/>
                <w:w w:val="87"/>
              </w:rPr>
              <w:t>Balance at Beginning of Period</w:t>
            </w:r>
          </w:p>
        </w:tc>
        <w:tc>
          <w:tcPr>
            <w:tcW w:w="2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226"/>
              <w:spacing w:after="0" w:line="112" w:lineRule="exact"/>
              <w:rPr>
                <w:sz w:val="20"/>
                <w:szCs w:val="20"/>
                <w:color w:val="auto"/>
              </w:rPr>
            </w:pPr>
            <w:r>
              <w:rPr>
                <w:rFonts w:ascii="Arial" w:cs="Arial" w:eastAsia="Arial" w:hAnsi="Arial"/>
                <w:sz w:val="10"/>
                <w:szCs w:val="10"/>
                <w:color w:val="auto"/>
                <w:w w:val="91"/>
              </w:rPr>
              <w:t>and Expenses</w:t>
            </w:r>
          </w:p>
        </w:tc>
        <w:tc>
          <w:tcPr>
            <w:tcW w:w="26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gridSpan w:val="2"/>
          </w:tcPr>
          <w:p>
            <w:pPr>
              <w:spacing w:after="0" w:line="112" w:lineRule="exact"/>
              <w:rPr>
                <w:sz w:val="20"/>
                <w:szCs w:val="20"/>
                <w:color w:val="auto"/>
              </w:rPr>
            </w:pPr>
            <w:r>
              <w:rPr>
                <w:rFonts w:ascii="Arial" w:cs="Arial" w:eastAsia="Arial" w:hAnsi="Arial"/>
                <w:sz w:val="10"/>
                <w:szCs w:val="10"/>
                <w:color w:val="auto"/>
                <w:w w:val="85"/>
              </w:rPr>
              <w:t>Charged to Other Accounts</w:t>
            </w:r>
          </w:p>
        </w:tc>
        <w:tc>
          <w:tcPr>
            <w:tcW w:w="26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center"/>
              <w:ind w:right="202"/>
              <w:spacing w:after="0" w:line="112" w:lineRule="exact"/>
              <w:rPr>
                <w:sz w:val="20"/>
                <w:szCs w:val="20"/>
                <w:color w:val="auto"/>
              </w:rPr>
            </w:pPr>
            <w:r>
              <w:rPr>
                <w:rFonts w:ascii="Arial" w:cs="Arial" w:eastAsia="Arial" w:hAnsi="Arial"/>
                <w:sz w:val="10"/>
                <w:szCs w:val="10"/>
                <w:color w:val="auto"/>
                <w:w w:val="87"/>
              </w:rPr>
              <w:t>Deductions</w:t>
            </w:r>
          </w:p>
        </w:tc>
        <w:tc>
          <w:tcPr>
            <w:tcW w:w="26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gridSpan w:val="2"/>
          </w:tcPr>
          <w:p>
            <w:pPr>
              <w:jc w:val="center"/>
              <w:spacing w:after="0" w:line="112" w:lineRule="exact"/>
              <w:rPr>
                <w:sz w:val="20"/>
                <w:szCs w:val="20"/>
                <w:color w:val="auto"/>
              </w:rPr>
            </w:pPr>
            <w:r>
              <w:rPr>
                <w:rFonts w:ascii="Arial" w:cs="Arial" w:eastAsia="Arial" w:hAnsi="Arial"/>
                <w:sz w:val="10"/>
                <w:szCs w:val="10"/>
                <w:color w:val="auto"/>
                <w:w w:val="86"/>
              </w:rPr>
              <w:t>Balance at End of Period</w:t>
            </w:r>
          </w:p>
        </w:tc>
        <w:tc>
          <w:tcPr>
            <w:tcW w:w="120" w:type="dxa"/>
            <w:vAlign w:val="bottom"/>
            <w:tcBorders>
              <w:bottom w:val="single" w:sz="8" w:color="CFF0FC"/>
            </w:tcBorders>
          </w:tcPr>
          <w:p>
            <w:pPr>
              <w:spacing w:after="0"/>
              <w:rPr>
                <w:sz w:val="9"/>
                <w:szCs w:val="9"/>
                <w:color w:val="auto"/>
              </w:rPr>
            </w:pPr>
          </w:p>
        </w:tc>
      </w:tr>
      <w:tr>
        <w:trPr>
          <w:trHeight w:val="151"/>
        </w:trPr>
        <w:tc>
          <w:tcPr>
            <w:tcW w:w="42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Allowance for Doubtful Accounts</w:t>
            </w:r>
          </w:p>
        </w:tc>
        <w:tc>
          <w:tcPr>
            <w:tcW w:w="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424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2,940</w:t>
            </w:r>
          </w:p>
        </w:tc>
        <w:tc>
          <w:tcPr>
            <w:tcW w:w="26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1,522</w:t>
            </w:r>
          </w:p>
        </w:tc>
        <w:tc>
          <w:tcPr>
            <w:tcW w:w="2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(1,745)</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2,717</w:t>
            </w:r>
          </w:p>
        </w:tc>
        <w:tc>
          <w:tcPr>
            <w:tcW w:w="120" w:type="dxa"/>
            <w:vAlign w:val="bottom"/>
          </w:tcPr>
          <w:p>
            <w:pPr>
              <w:spacing w:after="0"/>
              <w:rPr>
                <w:sz w:val="14"/>
                <w:szCs w:val="14"/>
                <w:color w:val="auto"/>
              </w:rPr>
            </w:pPr>
          </w:p>
        </w:tc>
      </w:tr>
      <w:tr>
        <w:trPr>
          <w:trHeight w:val="162"/>
        </w:trPr>
        <w:tc>
          <w:tcPr>
            <w:tcW w:w="424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Year Ended December 31, 2020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2,743</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1,783</w:t>
            </w: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472</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(2,058)</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2,940</w:t>
            </w:r>
          </w:p>
        </w:tc>
        <w:tc>
          <w:tcPr>
            <w:tcW w:w="120" w:type="dxa"/>
            <w:vAlign w:val="bottom"/>
            <w:shd w:val="clear" w:color="auto" w:fill="CFF0FC"/>
          </w:tcPr>
          <w:p>
            <w:pPr>
              <w:spacing w:after="0"/>
              <w:rPr>
                <w:sz w:val="14"/>
                <w:szCs w:val="14"/>
                <w:color w:val="auto"/>
              </w:rPr>
            </w:pPr>
          </w:p>
        </w:tc>
      </w:tr>
      <w:tr>
        <w:trPr>
          <w:trHeight w:val="162"/>
        </w:trPr>
        <w:tc>
          <w:tcPr>
            <w:tcW w:w="424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2,288</w:t>
            </w:r>
          </w:p>
        </w:tc>
        <w:tc>
          <w:tcPr>
            <w:tcW w:w="26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1,140</w:t>
            </w:r>
          </w:p>
        </w:tc>
        <w:tc>
          <w:tcPr>
            <w:tcW w:w="2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(685)</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2,743</w:t>
            </w:r>
          </w:p>
        </w:tc>
        <w:tc>
          <w:tcPr>
            <w:tcW w:w="120" w:type="dxa"/>
            <w:vAlign w:val="bottom"/>
          </w:tcPr>
          <w:p>
            <w:pPr>
              <w:spacing w:after="0"/>
              <w:rPr>
                <w:sz w:val="14"/>
                <w:szCs w:val="14"/>
                <w:color w:val="auto"/>
              </w:rPr>
            </w:pPr>
          </w:p>
        </w:tc>
      </w:tr>
      <w:tr>
        <w:trPr>
          <w:trHeight w:val="720"/>
        </w:trPr>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center"/>
              <w:ind w:left="1021"/>
              <w:spacing w:after="0"/>
              <w:rPr>
                <w:sz w:val="20"/>
                <w:szCs w:val="20"/>
                <w:color w:val="auto"/>
              </w:rPr>
            </w:pPr>
            <w:r>
              <w:rPr>
                <w:rFonts w:ascii="Arial" w:cs="Arial" w:eastAsia="Arial" w:hAnsi="Arial"/>
                <w:sz w:val="12"/>
                <w:szCs w:val="12"/>
                <w:color w:val="auto"/>
                <w:w w:val="85"/>
              </w:rPr>
              <w:t>S-5</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3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133" w:name="page134"/>
    <w:bookmarkEnd w:id="133"/>
    <w:p>
      <w:pPr>
        <w:ind w:left="4"/>
        <w:spacing w:after="0"/>
        <w:rPr>
          <w:sz w:val="20"/>
          <w:szCs w:val="20"/>
          <w:color w:val="auto"/>
        </w:rPr>
      </w:pPr>
      <w:r>
        <w:rPr>
          <w:rFonts w:ascii="Arial" w:cs="Arial" w:eastAsia="Arial" w:hAnsi="Arial"/>
          <w:sz w:val="12"/>
          <w:szCs w:val="12"/>
          <w:u w:val="single" w:color="auto"/>
          <w:color w:val="0000EE"/>
        </w:rPr>
        <w:t>Table of Contents</w:t>
      </w:r>
    </w:p>
    <w:p>
      <w:pPr>
        <w:spacing w:after="0" w:line="74"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Schedule III – Real Estate Investments and Accumulated Depreciation</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As of December 31, 2021</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(dollars in thousands)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1680" w:type="dxa"/>
            <w:vAlign w:val="bottom"/>
            <w:gridSpan w:val="2"/>
          </w:tcPr>
          <w:p>
            <w:pPr>
              <w:ind w:left="260"/>
              <w:spacing w:after="0"/>
              <w:rPr>
                <w:sz w:val="20"/>
                <w:szCs w:val="20"/>
                <w:color w:val="auto"/>
              </w:rPr>
            </w:pPr>
            <w:r>
              <w:rPr>
                <w:rFonts w:ascii="Arial" w:cs="Arial" w:eastAsia="Arial" w:hAnsi="Arial"/>
                <w:sz w:val="12"/>
                <w:szCs w:val="12"/>
                <w:color w:val="auto"/>
              </w:rPr>
              <w:t>Col. A</w:t>
            </w:r>
          </w:p>
        </w:tc>
        <w:tc>
          <w:tcPr>
            <w:tcW w:w="10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2"/>
                <w:szCs w:val="12"/>
                <w:color w:val="auto"/>
              </w:rPr>
              <w:t>Col. B</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Col. C</w:t>
            </w:r>
          </w:p>
        </w:tc>
        <w:tc>
          <w:tcPr>
            <w:tcW w:w="1100" w:type="dxa"/>
            <w:vAlign w:val="bottom"/>
            <w:gridSpan w:val="2"/>
          </w:tcPr>
          <w:p>
            <w:pPr>
              <w:jc w:val="center"/>
              <w:ind w:left="643"/>
              <w:spacing w:after="0"/>
              <w:rPr>
                <w:sz w:val="20"/>
                <w:szCs w:val="20"/>
                <w:color w:val="auto"/>
              </w:rPr>
            </w:pPr>
            <w:r>
              <w:rPr>
                <w:rFonts w:ascii="Arial" w:cs="Arial" w:eastAsia="Arial" w:hAnsi="Arial"/>
                <w:sz w:val="12"/>
                <w:szCs w:val="12"/>
                <w:color w:val="auto"/>
                <w:w w:val="95"/>
              </w:rPr>
              <w:t>Col. 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Col. E</w:t>
            </w:r>
          </w:p>
        </w:tc>
        <w:tc>
          <w:tcPr>
            <w:tcW w:w="12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color w:val="auto"/>
                <w:w w:val="93"/>
              </w:rPr>
              <w:t>Col. F</w:t>
            </w:r>
          </w:p>
        </w:tc>
        <w:tc>
          <w:tcPr>
            <w:tcW w:w="1180" w:type="dxa"/>
            <w:vAlign w:val="bottom"/>
            <w:gridSpan w:val="2"/>
          </w:tcPr>
          <w:p>
            <w:pPr>
              <w:ind w:left="360"/>
              <w:spacing w:after="0"/>
              <w:rPr>
                <w:sz w:val="20"/>
                <w:szCs w:val="20"/>
                <w:color w:val="auto"/>
              </w:rPr>
            </w:pPr>
            <w:r>
              <w:rPr>
                <w:rFonts w:ascii="Arial" w:cs="Arial" w:eastAsia="Arial" w:hAnsi="Arial"/>
                <w:sz w:val="12"/>
                <w:szCs w:val="12"/>
                <w:color w:val="auto"/>
              </w:rPr>
              <w:t>Col. G</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Col. H</w:t>
            </w:r>
          </w:p>
        </w:tc>
        <w:tc>
          <w:tcPr>
            <w:tcW w:w="1060" w:type="dxa"/>
            <w:vAlign w:val="bottom"/>
          </w:tcPr>
          <w:p>
            <w:pPr>
              <w:jc w:val="center"/>
              <w:spacing w:after="0"/>
              <w:rPr>
                <w:sz w:val="20"/>
                <w:szCs w:val="20"/>
                <w:color w:val="auto"/>
              </w:rPr>
            </w:pPr>
            <w:r>
              <w:rPr>
                <w:rFonts w:ascii="Arial" w:cs="Arial" w:eastAsia="Arial" w:hAnsi="Arial"/>
                <w:sz w:val="12"/>
                <w:szCs w:val="12"/>
                <w:color w:val="auto"/>
                <w:w w:val="99"/>
              </w:rPr>
              <w:t>Col. I</w:t>
            </w:r>
          </w:p>
        </w:tc>
        <w:tc>
          <w:tcPr>
            <w:tcW w:w="0" w:type="dxa"/>
            <w:vAlign w:val="bottom"/>
          </w:tcPr>
          <w:p>
            <w:pPr>
              <w:spacing w:after="0"/>
              <w:rPr>
                <w:sz w:val="1"/>
                <w:szCs w:val="1"/>
                <w:color w:val="auto"/>
              </w:rPr>
            </w:pPr>
          </w:p>
        </w:tc>
      </w:tr>
      <w:tr>
        <w:trPr>
          <w:trHeight w:val="238"/>
        </w:trPr>
        <w:tc>
          <w:tcPr>
            <w:tcW w:w="84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9"/>
              </w:rPr>
              <w:t>Life on which</w:t>
            </w:r>
          </w:p>
        </w:tc>
        <w:tc>
          <w:tcPr>
            <w:tcW w:w="0" w:type="dxa"/>
            <w:vAlign w:val="bottom"/>
          </w:tcPr>
          <w:p>
            <w:pPr>
              <w:spacing w:after="0"/>
              <w:rPr>
                <w:sz w:val="1"/>
                <w:szCs w:val="1"/>
                <w:color w:val="auto"/>
              </w:rPr>
            </w:pPr>
          </w:p>
        </w:tc>
      </w:tr>
      <w:tr>
        <w:trPr>
          <w:trHeight w:val="102"/>
        </w:trPr>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40" w:type="dxa"/>
            <w:vAlign w:val="bottom"/>
            <w:gridSpan w:val="4"/>
          </w:tcPr>
          <w:p>
            <w:pPr>
              <w:jc w:val="center"/>
              <w:ind w:right="140"/>
              <w:spacing w:after="0" w:line="103" w:lineRule="exact"/>
              <w:rPr>
                <w:sz w:val="20"/>
                <w:szCs w:val="20"/>
                <w:color w:val="auto"/>
              </w:rPr>
            </w:pPr>
            <w:r>
              <w:rPr>
                <w:rFonts w:ascii="Arial" w:cs="Arial" w:eastAsia="Arial" w:hAnsi="Arial"/>
                <w:sz w:val="10"/>
                <w:szCs w:val="10"/>
                <w:color w:val="auto"/>
                <w:w w:val="87"/>
              </w:rPr>
              <w:t>Cost capitalized subsequent to acquisition</w:t>
            </w:r>
            <w:r>
              <w:rPr>
                <w:rFonts w:ascii="Arial" w:cs="Arial" w:eastAsia="Arial" w:hAnsi="Arial"/>
                <w:sz w:val="8"/>
                <w:szCs w:val="8"/>
                <w:color w:val="auto"/>
                <w:w w:val="87"/>
              </w:rPr>
              <w:t>(1)</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jc w:val="center"/>
              <w:spacing w:after="0" w:line="103" w:lineRule="exact"/>
              <w:rPr>
                <w:sz w:val="20"/>
                <w:szCs w:val="20"/>
                <w:color w:val="auto"/>
              </w:rPr>
            </w:pPr>
            <w:r>
              <w:rPr>
                <w:rFonts w:ascii="Arial" w:cs="Arial" w:eastAsia="Arial" w:hAnsi="Arial"/>
                <w:sz w:val="10"/>
                <w:szCs w:val="10"/>
                <w:color w:val="auto"/>
                <w:w w:val="86"/>
              </w:rPr>
              <w:t>Depreciation in Latest</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0"/>
                <w:szCs w:val="10"/>
                <w:color w:val="auto"/>
                <w:w w:val="89"/>
              </w:rPr>
              <w:t>Initial cost to</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w:t>
            </w: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0"/>
                <w:szCs w:val="10"/>
                <w:color w:val="auto"/>
                <w:w w:val="86"/>
              </w:rPr>
              <w:t>Gross Amount Carried at</w:t>
            </w:r>
          </w:p>
        </w:tc>
        <w:tc>
          <w:tcPr>
            <w:tcW w:w="120" w:type="dxa"/>
            <w:vAlign w:val="bottom"/>
          </w:tcPr>
          <w:p>
            <w:pPr>
              <w:spacing w:after="0"/>
              <w:rPr>
                <w:sz w:val="9"/>
                <w:szCs w:val="9"/>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6"/>
              </w:rPr>
              <w:t>Accumulated</w:t>
            </w: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Arial" w:cs="Arial" w:eastAsia="Arial" w:hAnsi="Arial"/>
                <w:sz w:val="10"/>
                <w:szCs w:val="10"/>
                <w:color w:val="auto"/>
                <w:w w:val="85"/>
              </w:rPr>
              <w:t>Income</w:t>
            </w:r>
          </w:p>
        </w:tc>
        <w:tc>
          <w:tcPr>
            <w:tcW w:w="0" w:type="dxa"/>
            <w:vAlign w:val="bottom"/>
          </w:tcPr>
          <w:p>
            <w:pPr>
              <w:spacing w:after="0"/>
              <w:rPr>
                <w:sz w:val="1"/>
                <w:szCs w:val="1"/>
                <w:color w:val="auto"/>
              </w:rPr>
            </w:pPr>
          </w:p>
        </w:tc>
      </w:tr>
      <w:tr>
        <w:trPr>
          <w:trHeight w:val="85"/>
        </w:trPr>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40" w:type="dxa"/>
            <w:vAlign w:val="bottom"/>
            <w:tcBorders>
              <w:bottom w:val="single" w:sz="8" w:color="auto"/>
            </w:tcBorders>
          </w:tcPr>
          <w:p>
            <w:pPr>
              <w:ind w:left="200"/>
              <w:spacing w:after="0" w:line="112" w:lineRule="exact"/>
              <w:rPr>
                <w:sz w:val="20"/>
                <w:szCs w:val="20"/>
                <w:color w:val="auto"/>
              </w:rPr>
            </w:pPr>
            <w:r>
              <w:rPr>
                <w:rFonts w:ascii="Arial" w:cs="Arial" w:eastAsia="Arial" w:hAnsi="Arial"/>
                <w:sz w:val="10"/>
                <w:szCs w:val="10"/>
                <w:color w:val="auto"/>
              </w:rPr>
              <w:t>Description</w:t>
            </w:r>
          </w:p>
        </w:tc>
        <w:tc>
          <w:tcPr>
            <w:tcW w:w="84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ind w:left="40"/>
              <w:spacing w:after="0" w:line="112" w:lineRule="exact"/>
              <w:rPr>
                <w:sz w:val="20"/>
                <w:szCs w:val="20"/>
                <w:color w:val="auto"/>
              </w:rPr>
            </w:pPr>
            <w:r>
              <w:rPr>
                <w:rFonts w:ascii="Arial" w:cs="Arial" w:eastAsia="Arial" w:hAnsi="Arial"/>
                <w:sz w:val="10"/>
                <w:szCs w:val="10"/>
                <w:color w:val="auto"/>
              </w:rPr>
              <w:t>Encumbrances</w:t>
            </w:r>
          </w:p>
        </w:tc>
        <w:tc>
          <w:tcPr>
            <w:tcW w:w="26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91"/>
              </w:rPr>
              <w:t>company</w:t>
            </w:r>
            <w:r>
              <w:rPr>
                <w:rFonts w:ascii="Arial" w:cs="Arial" w:eastAsia="Arial" w:hAnsi="Arial"/>
                <w:sz w:val="8"/>
                <w:szCs w:val="8"/>
                <w:color w:val="auto"/>
                <w:w w:val="91"/>
              </w:rPr>
              <w:t>(1)</w:t>
            </w:r>
          </w:p>
        </w:tc>
        <w:tc>
          <w:tcPr>
            <w:tcW w:w="14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ind w:right="143"/>
              <w:spacing w:after="0" w:line="112" w:lineRule="exact"/>
              <w:rPr>
                <w:sz w:val="20"/>
                <w:szCs w:val="20"/>
                <w:color w:val="auto"/>
              </w:rPr>
            </w:pPr>
            <w:r>
              <w:rPr>
                <w:rFonts w:ascii="Arial" w:cs="Arial" w:eastAsia="Arial" w:hAnsi="Arial"/>
                <w:sz w:val="10"/>
                <w:szCs w:val="10"/>
                <w:color w:val="auto"/>
              </w:rPr>
              <w:t>Improvements</w:t>
            </w:r>
          </w:p>
        </w:tc>
        <w:tc>
          <w:tcPr>
            <w:tcW w:w="140" w:type="dxa"/>
            <w:vAlign w:val="bottom"/>
            <w:tcBorders>
              <w:bottom w:val="single" w:sz="8" w:color="CFF0FC"/>
            </w:tcBorders>
          </w:tcPr>
          <w:p>
            <w:pPr>
              <w:spacing w:after="0"/>
              <w:rPr>
                <w:sz w:val="9"/>
                <w:szCs w:val="9"/>
                <w:color w:val="auto"/>
              </w:rPr>
            </w:pPr>
          </w:p>
        </w:tc>
        <w:tc>
          <w:tcPr>
            <w:tcW w:w="700" w:type="dxa"/>
            <w:vAlign w:val="bottom"/>
            <w:tcBorders>
              <w:bottom w:val="single" w:sz="8" w:color="auto"/>
            </w:tcBorders>
          </w:tcPr>
          <w:p>
            <w:pPr>
              <w:jc w:val="right"/>
              <w:ind w:right="61"/>
              <w:spacing w:after="0" w:line="112" w:lineRule="exact"/>
              <w:rPr>
                <w:sz w:val="20"/>
                <w:szCs w:val="20"/>
                <w:color w:val="auto"/>
              </w:rPr>
            </w:pPr>
            <w:r>
              <w:rPr>
                <w:rFonts w:ascii="Arial" w:cs="Arial" w:eastAsia="Arial" w:hAnsi="Arial"/>
                <w:sz w:val="10"/>
                <w:szCs w:val="10"/>
                <w:color w:val="auto"/>
              </w:rPr>
              <w:t>Carry Costs</w:t>
            </w: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center"/>
              <w:ind w:right="81"/>
              <w:spacing w:after="0" w:line="112" w:lineRule="exact"/>
              <w:rPr>
                <w:sz w:val="20"/>
                <w:szCs w:val="20"/>
                <w:color w:val="auto"/>
              </w:rPr>
            </w:pPr>
            <w:r>
              <w:rPr>
                <w:rFonts w:ascii="Arial" w:cs="Arial" w:eastAsia="Arial" w:hAnsi="Arial"/>
                <w:sz w:val="10"/>
                <w:szCs w:val="10"/>
                <w:color w:val="auto"/>
                <w:w w:val="89"/>
              </w:rPr>
              <w:t>Close of Period</w:t>
            </w:r>
            <w:r>
              <w:rPr>
                <w:rFonts w:ascii="Arial" w:cs="Arial" w:eastAsia="Arial" w:hAnsi="Arial"/>
                <w:sz w:val="8"/>
                <w:szCs w:val="8"/>
                <w:color w:val="auto"/>
                <w:w w:val="89"/>
              </w:rPr>
              <w:t>(5)</w:t>
            </w:r>
          </w:p>
        </w:tc>
        <w:tc>
          <w:tcPr>
            <w:tcW w:w="2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62"/>
              <w:spacing w:after="0" w:line="112" w:lineRule="exact"/>
              <w:rPr>
                <w:sz w:val="20"/>
                <w:szCs w:val="20"/>
                <w:color w:val="auto"/>
              </w:rPr>
            </w:pPr>
            <w:r>
              <w:rPr>
                <w:rFonts w:ascii="Arial" w:cs="Arial" w:eastAsia="Arial" w:hAnsi="Arial"/>
                <w:sz w:val="10"/>
                <w:szCs w:val="10"/>
                <w:color w:val="auto"/>
                <w:w w:val="88"/>
              </w:rPr>
              <w:t>Depreciation</w:t>
            </w:r>
          </w:p>
        </w:tc>
        <w:tc>
          <w:tcPr>
            <w:tcW w:w="26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21"/>
              <w:spacing w:after="0" w:line="112" w:lineRule="exact"/>
              <w:rPr>
                <w:sz w:val="20"/>
                <w:szCs w:val="20"/>
                <w:color w:val="auto"/>
              </w:rPr>
            </w:pPr>
            <w:r>
              <w:rPr>
                <w:rFonts w:ascii="Arial" w:cs="Arial" w:eastAsia="Arial" w:hAnsi="Arial"/>
                <w:sz w:val="10"/>
                <w:szCs w:val="10"/>
                <w:color w:val="auto"/>
                <w:w w:val="93"/>
              </w:rPr>
              <w:t>Date of Construction</w:t>
            </w:r>
            <w:r>
              <w:rPr>
                <w:rFonts w:ascii="Arial" w:cs="Arial" w:eastAsia="Arial" w:hAnsi="Arial"/>
                <w:sz w:val="8"/>
                <w:szCs w:val="8"/>
                <w:color w:val="auto"/>
                <w:w w:val="93"/>
              </w:rPr>
              <w:t>(2)</w:t>
            </w:r>
          </w:p>
        </w:tc>
        <w:tc>
          <w:tcPr>
            <w:tcW w:w="140" w:type="dxa"/>
            <w:vAlign w:val="bottom"/>
            <w:tcBorders>
              <w:bottom w:val="single" w:sz="8" w:color="CFF0FC"/>
            </w:tcBorders>
          </w:tcPr>
          <w:p>
            <w:pPr>
              <w:spacing w:after="0"/>
              <w:rPr>
                <w:sz w:val="9"/>
                <w:szCs w:val="9"/>
                <w:color w:val="auto"/>
              </w:rPr>
            </w:pPr>
          </w:p>
        </w:tc>
        <w:tc>
          <w:tcPr>
            <w:tcW w:w="780" w:type="dxa"/>
            <w:vAlign w:val="bottom"/>
            <w:tcBorders>
              <w:bottom w:val="single" w:sz="8" w:color="auto"/>
            </w:tcBorders>
          </w:tcPr>
          <w:p>
            <w:pPr>
              <w:jc w:val="right"/>
              <w:ind w:right="1"/>
              <w:spacing w:after="0" w:line="112" w:lineRule="exact"/>
              <w:rPr>
                <w:sz w:val="20"/>
                <w:szCs w:val="20"/>
                <w:color w:val="auto"/>
              </w:rPr>
            </w:pPr>
            <w:r>
              <w:rPr>
                <w:rFonts w:ascii="Arial" w:cs="Arial" w:eastAsia="Arial" w:hAnsi="Arial"/>
                <w:sz w:val="10"/>
                <w:szCs w:val="10"/>
                <w:color w:val="auto"/>
                <w:w w:val="95"/>
              </w:rPr>
              <w:t>Date Acquired</w:t>
            </w:r>
            <w:r>
              <w:rPr>
                <w:rFonts w:ascii="Arial" w:cs="Arial" w:eastAsia="Arial" w:hAnsi="Arial"/>
                <w:sz w:val="8"/>
                <w:szCs w:val="8"/>
                <w:color w:val="auto"/>
                <w:w w:val="95"/>
              </w:rPr>
              <w:t>(2)</w:t>
            </w:r>
          </w:p>
        </w:tc>
        <w:tc>
          <w:tcPr>
            <w:tcW w:w="16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83"/>
              </w:rPr>
              <w:t>Statements is Computed</w:t>
            </w:r>
          </w:p>
        </w:tc>
        <w:tc>
          <w:tcPr>
            <w:tcW w:w="0" w:type="dxa"/>
            <w:vAlign w:val="bottom"/>
          </w:tcPr>
          <w:p>
            <w:pPr>
              <w:spacing w:after="0"/>
              <w:rPr>
                <w:sz w:val="1"/>
                <w:szCs w:val="1"/>
                <w:color w:val="auto"/>
              </w:rPr>
            </w:pPr>
          </w:p>
        </w:tc>
      </w:tr>
      <w:tr>
        <w:trPr>
          <w:trHeight w:val="142"/>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26,593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Indefinite</w:t>
            </w: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rPr>
                <w:sz w:val="20"/>
                <w:szCs w:val="20"/>
                <w:color w:val="auto"/>
              </w:rPr>
            </w:pPr>
            <w:r>
              <w:rPr>
                <w:rFonts w:ascii="Arial" w:cs="Arial" w:eastAsia="Arial" w:hAnsi="Arial"/>
                <w:sz w:val="12"/>
                <w:szCs w:val="12"/>
                <w:color w:val="auto"/>
              </w:rPr>
              <w:t>Building and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improvements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343,624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193,080</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3 - 40 years</w:t>
            </w:r>
          </w:p>
        </w:tc>
        <w:tc>
          <w:tcPr>
            <w:tcW w:w="0" w:type="dxa"/>
            <w:vAlign w:val="bottom"/>
          </w:tcPr>
          <w:p>
            <w:pPr>
              <w:spacing w:after="0"/>
              <w:rPr>
                <w:sz w:val="1"/>
                <w:szCs w:val="1"/>
                <w:color w:val="auto"/>
              </w:rPr>
            </w:pPr>
          </w:p>
        </w:tc>
      </w:tr>
      <w:tr>
        <w:trPr>
          <w:trHeight w:val="153"/>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Poles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281,130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193,494</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Fiber</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3,041,546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1,452,498</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Copper</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3,918,281</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3,451,376</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 years</w:t>
            </w: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Conduit</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89,859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67,983</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Towers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881</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 years</w:t>
            </w: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rPr>
                <w:sz w:val="20"/>
                <w:szCs w:val="20"/>
                <w:color w:val="auto"/>
              </w:rPr>
            </w:pPr>
            <w:r>
              <w:rPr>
                <w:rFonts w:ascii="Arial" w:cs="Arial" w:eastAsia="Arial" w:hAnsi="Arial"/>
                <w:sz w:val="12"/>
                <w:szCs w:val="12"/>
                <w:color w:val="auto"/>
              </w:rPr>
              <w:t>Finance lease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assets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25,511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3,818</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See Note 3</w:t>
            </w:r>
          </w:p>
        </w:tc>
        <w:tc>
          <w:tcPr>
            <w:tcW w:w="0" w:type="dxa"/>
            <w:vAlign w:val="bottom"/>
          </w:tcPr>
          <w:p>
            <w:pPr>
              <w:spacing w:after="0"/>
              <w:rPr>
                <w:sz w:val="1"/>
                <w:szCs w:val="1"/>
                <w:color w:val="auto"/>
              </w:rPr>
            </w:pPr>
          </w:p>
        </w:tc>
      </w:tr>
      <w:tr>
        <w:trPr>
          <w:trHeight w:val="153"/>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assets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10,649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3,788</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15 - 20 years</w:t>
            </w: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rPr>
                <w:sz w:val="20"/>
                <w:szCs w:val="20"/>
                <w:color w:val="auto"/>
              </w:rPr>
            </w:pPr>
            <w:r>
              <w:rPr>
                <w:rFonts w:ascii="Arial" w:cs="Arial" w:eastAsia="Arial" w:hAnsi="Arial"/>
                <w:sz w:val="12"/>
                <w:szCs w:val="12"/>
                <w:color w:val="auto"/>
              </w:rPr>
              <w:t>Construction in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progress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3,479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See Note 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4" w:hanging="144"/>
        <w:spacing w:after="0"/>
        <w:tabs>
          <w:tab w:leader="none" w:pos="144" w:val="left"/>
        </w:tabs>
        <w:numPr>
          <w:ilvl w:val="0"/>
          <w:numId w:val="32"/>
        </w:numPr>
        <w:rPr>
          <w:rFonts w:ascii="Arial" w:cs="Arial" w:eastAsia="Arial" w:hAnsi="Arial"/>
          <w:sz w:val="10"/>
          <w:szCs w:val="10"/>
          <w:color w:val="auto"/>
        </w:rPr>
      </w:pPr>
      <w:r>
        <w:rPr>
          <w:rFonts w:ascii="Arial" w:cs="Arial" w:eastAsia="Arial" w:hAnsi="Arial"/>
          <w:sz w:val="12"/>
          <w:szCs w:val="12"/>
          <w:color w:val="auto"/>
        </w:rPr>
        <w:t>Given the voluminous nature and variety of our real estate investment assets, this schedule omits columns C and D from the schedule III presentation.</w:t>
      </w:r>
    </w:p>
    <w:p>
      <w:pPr>
        <w:spacing w:after="0" w:line="14" w:lineRule="exact"/>
        <w:rPr>
          <w:rFonts w:ascii="Arial" w:cs="Arial" w:eastAsia="Arial" w:hAnsi="Arial"/>
          <w:sz w:val="10"/>
          <w:szCs w:val="10"/>
          <w:color w:val="auto"/>
        </w:rPr>
      </w:pPr>
    </w:p>
    <w:p>
      <w:pPr>
        <w:ind w:left="144" w:hanging="144"/>
        <w:spacing w:after="0"/>
        <w:tabs>
          <w:tab w:leader="none" w:pos="144" w:val="left"/>
        </w:tabs>
        <w:numPr>
          <w:ilvl w:val="0"/>
          <w:numId w:val="32"/>
        </w:numPr>
        <w:rPr>
          <w:rFonts w:ascii="Arial" w:cs="Arial" w:eastAsia="Arial" w:hAnsi="Arial"/>
          <w:sz w:val="10"/>
          <w:szCs w:val="10"/>
          <w:color w:val="auto"/>
        </w:rPr>
      </w:pPr>
      <w:r>
        <w:rPr>
          <w:rFonts w:ascii="Arial" w:cs="Arial" w:eastAsia="Arial" w:hAnsi="Arial"/>
          <w:sz w:val="12"/>
          <w:szCs w:val="12"/>
          <w:color w:val="auto"/>
        </w:rPr>
        <w:t>Because additions and improvements to our real estate investment assets are ongoing, construction and acquisition dates are not applicable.</w:t>
      </w:r>
    </w:p>
    <w:p>
      <w:pPr>
        <w:spacing w:after="0" w:line="6" w:lineRule="exact"/>
        <w:rPr>
          <w:rFonts w:ascii="Arial" w:cs="Arial" w:eastAsia="Arial" w:hAnsi="Arial"/>
          <w:sz w:val="10"/>
          <w:szCs w:val="10"/>
          <w:color w:val="auto"/>
        </w:rPr>
      </w:pPr>
    </w:p>
    <w:p>
      <w:pPr>
        <w:ind w:left="144" w:hanging="144"/>
        <w:spacing w:after="0"/>
        <w:tabs>
          <w:tab w:leader="none" w:pos="144" w:val="left"/>
        </w:tabs>
        <w:numPr>
          <w:ilvl w:val="0"/>
          <w:numId w:val="32"/>
        </w:numPr>
        <w:rPr>
          <w:rFonts w:ascii="Arial" w:cs="Arial" w:eastAsia="Arial" w:hAnsi="Arial"/>
          <w:sz w:val="10"/>
          <w:szCs w:val="10"/>
          <w:color w:val="auto"/>
        </w:rPr>
      </w:pPr>
      <w:r>
        <w:rPr>
          <w:rFonts w:ascii="Arial" w:cs="Arial" w:eastAsia="Arial" w:hAnsi="Arial"/>
          <w:sz w:val="12"/>
          <w:szCs w:val="12"/>
          <w:color w:val="auto"/>
        </w:rPr>
        <w:t>For the year ended December 31, 2021, the amount of capitalized costs related to the Distribution Systems is as follows (millions):</w:t>
      </w:r>
    </w:p>
    <w:p>
      <w:pPr>
        <w:spacing w:after="0" w:line="141" w:lineRule="exact"/>
        <w:rPr>
          <w:sz w:val="20"/>
          <w:szCs w:val="20"/>
          <w:color w:val="auto"/>
        </w:rPr>
      </w:pPr>
    </w:p>
    <w:tbl>
      <w:tblPr>
        <w:tblLayout w:type="fixed"/>
        <w:tblInd w:w="784" w:type="dxa"/>
        <w:tblCellMar>
          <w:top w:w="0" w:type="dxa"/>
          <w:left w:w="0" w:type="dxa"/>
          <w:bottom w:w="0" w:type="dxa"/>
          <w:right w:w="0" w:type="dxa"/>
        </w:tblCellMar>
      </w:tblPr>
      <w:tr>
        <w:trPr>
          <w:trHeight w:val="144"/>
        </w:trPr>
        <w:tc>
          <w:tcPr>
            <w:tcW w:w="2480" w:type="dxa"/>
            <w:vAlign w:val="bottom"/>
          </w:tcPr>
          <w:p>
            <w:pPr>
              <w:spacing w:after="0"/>
              <w:rPr>
                <w:sz w:val="20"/>
                <w:szCs w:val="20"/>
                <w:color w:val="auto"/>
              </w:rPr>
            </w:pPr>
            <w:r>
              <w:rPr>
                <w:rFonts w:ascii="Arial" w:cs="Arial" w:eastAsia="Arial" w:hAnsi="Arial"/>
                <w:sz w:val="12"/>
                <w:szCs w:val="12"/>
                <w:color w:val="auto"/>
              </w:rPr>
              <w:t>Tenant capital improvements</w:t>
            </w:r>
            <w:r>
              <w:rPr>
                <w:rFonts w:ascii="Arial" w:cs="Arial" w:eastAsia="Arial" w:hAnsi="Arial"/>
                <w:sz w:val="10"/>
                <w:szCs w:val="10"/>
                <w:color w:val="auto"/>
              </w:rPr>
              <w:t>(4)</w:t>
            </w:r>
          </w:p>
        </w:tc>
        <w:tc>
          <w:tcPr>
            <w:tcW w:w="12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139.0</w:t>
            </w:r>
          </w:p>
        </w:tc>
      </w:tr>
      <w:tr>
        <w:trPr>
          <w:trHeight w:val="153"/>
        </w:trPr>
        <w:tc>
          <w:tcPr>
            <w:tcW w:w="2480" w:type="dxa"/>
            <w:vAlign w:val="bottom"/>
          </w:tcPr>
          <w:p>
            <w:pPr>
              <w:spacing w:after="0"/>
              <w:rPr>
                <w:sz w:val="20"/>
                <w:szCs w:val="20"/>
                <w:color w:val="auto"/>
              </w:rPr>
            </w:pPr>
            <w:r>
              <w:rPr>
                <w:rFonts w:ascii="Arial" w:cs="Arial" w:eastAsia="Arial" w:hAnsi="Arial"/>
                <w:sz w:val="12"/>
                <w:szCs w:val="12"/>
                <w:color w:val="auto"/>
              </w:rPr>
              <w:t>Growth capital improvements</w:t>
            </w:r>
            <w:r>
              <w:rPr>
                <w:rFonts w:ascii="Arial" w:cs="Arial" w:eastAsia="Arial" w:hAnsi="Arial"/>
                <w:sz w:val="10"/>
                <w:szCs w:val="10"/>
                <w:color w:val="auto"/>
              </w:rPr>
              <w:t>(5)</w:t>
            </w:r>
          </w:p>
        </w:tc>
        <w:tc>
          <w:tcPr>
            <w:tcW w:w="12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221.5</w:t>
            </w:r>
          </w:p>
        </w:tc>
      </w:tr>
    </w:tbl>
    <w:p>
      <w:pPr>
        <w:spacing w:after="0" w:line="63" w:lineRule="exact"/>
        <w:rPr>
          <w:sz w:val="20"/>
          <w:szCs w:val="20"/>
          <w:color w:val="auto"/>
        </w:rPr>
      </w:pPr>
    </w:p>
    <w:p>
      <w:pPr>
        <w:ind w:left="224" w:right="200" w:hanging="224"/>
        <w:spacing w:after="0" w:line="276" w:lineRule="auto"/>
        <w:tabs>
          <w:tab w:leader="none" w:pos="151" w:val="left"/>
        </w:tabs>
        <w:numPr>
          <w:ilvl w:val="0"/>
          <w:numId w:val="33"/>
        </w:numPr>
        <w:rPr>
          <w:rFonts w:ascii="Arial" w:cs="Arial" w:eastAsia="Arial" w:hAnsi="Arial"/>
          <w:sz w:val="10"/>
          <w:szCs w:val="10"/>
          <w:color w:val="auto"/>
        </w:rPr>
      </w:pPr>
      <w:r>
        <w:rPr>
          <w:rFonts w:ascii="Arial" w:cs="Arial" w:eastAsia="Arial" w:hAnsi="Arial"/>
          <w:sz w:val="12"/>
          <w:szCs w:val="12"/>
          <w:color w:val="auto"/>
        </w:rPr>
        <w:t>Tenant capital improvements (“TCIs”) represent, maintenance, repair, overbuild, upgrade or replacements to the leased network, including, without limitation, the replacement of copper distribution systems with fiber distribution systems. We receive non-monetary consideration related to the TCIs as they automatically become our property, and we recognize the cost basis of TCIs that are capital in nature.</w:t>
      </w:r>
    </w:p>
    <w:p>
      <w:pPr>
        <w:spacing w:after="0" w:line="42" w:lineRule="exact"/>
        <w:rPr>
          <w:rFonts w:ascii="Arial" w:cs="Arial" w:eastAsia="Arial" w:hAnsi="Arial"/>
          <w:sz w:val="10"/>
          <w:szCs w:val="10"/>
          <w:color w:val="auto"/>
        </w:rPr>
      </w:pPr>
    </w:p>
    <w:p>
      <w:pPr>
        <w:ind w:left="224" w:right="200" w:hanging="224"/>
        <w:spacing w:after="0" w:line="323" w:lineRule="auto"/>
        <w:tabs>
          <w:tab w:leader="none" w:pos="151" w:val="left"/>
        </w:tabs>
        <w:numPr>
          <w:ilvl w:val="0"/>
          <w:numId w:val="33"/>
        </w:numPr>
        <w:rPr>
          <w:rFonts w:ascii="Arial" w:cs="Arial" w:eastAsia="Arial" w:hAnsi="Arial"/>
          <w:sz w:val="9"/>
          <w:szCs w:val="9"/>
          <w:color w:val="auto"/>
        </w:rPr>
      </w:pPr>
      <w:r>
        <w:rPr>
          <w:rFonts w:ascii="Arial" w:cs="Arial" w:eastAsia="Arial" w:hAnsi="Arial"/>
          <w:sz w:val="11"/>
          <w:szCs w:val="11"/>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w:t>
      </w:r>
    </w:p>
    <w:p>
      <w:pPr>
        <w:spacing w:after="0" w:line="92"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4"/>
          </w:cols>
          <w:pgMar w:left="296" w:top="131" w:right="299" w:bottom="1440" w:gutter="0" w:footer="0" w:header="0"/>
        </w:sectPr>
      </w:pPr>
    </w:p>
    <w:bookmarkStart w:id="134" w:name="page135"/>
    <w:bookmarkEnd w:id="134"/>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78" w:lineRule="exact"/>
        <w:rPr>
          <w:sz w:val="20"/>
          <w:szCs w:val="20"/>
          <w:color w:val="auto"/>
        </w:rPr>
      </w:pPr>
    </w:p>
    <w:p>
      <w:pPr>
        <w:ind w:left="148" w:hanging="144"/>
        <w:spacing w:after="0"/>
        <w:tabs>
          <w:tab w:leader="none" w:pos="148" w:val="left"/>
        </w:tabs>
        <w:numPr>
          <w:ilvl w:val="0"/>
          <w:numId w:val="34"/>
        </w:numPr>
        <w:rPr>
          <w:rFonts w:ascii="Arial" w:cs="Arial" w:eastAsia="Arial" w:hAnsi="Arial"/>
          <w:sz w:val="10"/>
          <w:szCs w:val="10"/>
          <w:color w:val="auto"/>
        </w:rPr>
      </w:pPr>
      <w:r>
        <w:rPr>
          <w:rFonts w:ascii="Arial" w:cs="Arial" w:eastAsia="Arial" w:hAnsi="Arial"/>
          <w:sz w:val="12"/>
          <w:szCs w:val="12"/>
          <w:color w:val="auto"/>
        </w:rPr>
        <w:t>Aggregate cost for Federal income tax purposes related to our real estate investment assets is $7.1 billion.</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Schedule III – Real Estate Investments and Accumulated Depreciation</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of December 31, 2021</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thousands)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3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2021</w:t>
            </w: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rPr>
              <w:t>2020</w:t>
            </w:r>
          </w:p>
        </w:tc>
        <w:tc>
          <w:tcPr>
            <w:tcW w:w="100" w:type="dxa"/>
            <w:vAlign w:val="bottom"/>
            <w:tcBorders>
              <w:bottom w:val="single" w:sz="8" w:color="CFF0FC"/>
            </w:tcBorders>
          </w:tcPr>
          <w:p>
            <w:pPr>
              <w:spacing w:after="0"/>
              <w:rPr>
                <w:sz w:val="13"/>
                <w:szCs w:val="13"/>
                <w:color w:val="auto"/>
              </w:rPr>
            </w:pPr>
          </w:p>
        </w:tc>
      </w:tr>
      <w:tr>
        <w:trPr>
          <w:trHeight w:val="142"/>
        </w:trPr>
        <w:tc>
          <w:tcPr>
            <w:tcW w:w="8380" w:type="dxa"/>
            <w:vAlign w:val="bottom"/>
            <w:shd w:val="clear" w:color="auto" w:fill="CFF0FC"/>
          </w:tcPr>
          <w:p>
            <w:pPr>
              <w:spacing w:after="0"/>
              <w:rPr>
                <w:sz w:val="20"/>
                <w:szCs w:val="20"/>
                <w:color w:val="auto"/>
              </w:rPr>
            </w:pPr>
            <w:r>
              <w:rPr>
                <w:rFonts w:ascii="Arial" w:cs="Arial" w:eastAsia="Arial" w:hAnsi="Arial"/>
                <w:sz w:val="12"/>
                <w:szCs w:val="12"/>
                <w:color w:val="auto"/>
              </w:rPr>
              <w:t>Gross amount at beginning</w:t>
            </w:r>
          </w:p>
        </w:tc>
        <w:tc>
          <w:tcPr>
            <w:tcW w:w="740" w:type="dxa"/>
            <w:vAlign w:val="bottom"/>
            <w:shd w:val="clear" w:color="auto" w:fill="CFF0FC"/>
          </w:tcPr>
          <w:p>
            <w:pPr>
              <w:jc w:val="right"/>
              <w:ind w:right="62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7,387,915</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7,394,951</w:t>
            </w:r>
          </w:p>
        </w:tc>
        <w:tc>
          <w:tcPr>
            <w:tcW w:w="100" w:type="dxa"/>
            <w:vAlign w:val="bottom"/>
            <w:shd w:val="clear" w:color="auto" w:fill="CFF0FC"/>
          </w:tcPr>
          <w:p>
            <w:pPr>
              <w:spacing w:after="0"/>
              <w:rPr>
                <w:sz w:val="12"/>
                <w:szCs w:val="12"/>
                <w:color w:val="auto"/>
              </w:rPr>
            </w:pPr>
          </w:p>
        </w:tc>
      </w:tr>
      <w:tr>
        <w:trPr>
          <w:trHeight w:val="153"/>
        </w:trPr>
        <w:tc>
          <w:tcPr>
            <w:tcW w:w="8380" w:type="dxa"/>
            <w:vAlign w:val="bottom"/>
          </w:tcPr>
          <w:p>
            <w:pPr>
              <w:spacing w:after="0"/>
              <w:rPr>
                <w:sz w:val="20"/>
                <w:szCs w:val="20"/>
                <w:color w:val="auto"/>
              </w:rPr>
            </w:pPr>
            <w:r>
              <w:rPr>
                <w:rFonts w:ascii="Arial" w:cs="Arial" w:eastAsia="Arial" w:hAnsi="Arial"/>
                <w:sz w:val="12"/>
                <w:szCs w:val="12"/>
                <w:color w:val="auto"/>
              </w:rPr>
              <w:t>Additions during period:</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83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Tenant capital improvements</w:t>
            </w:r>
            <w:r>
              <w:rPr>
                <w:rFonts w:ascii="Arial" w:cs="Arial" w:eastAsia="Arial" w:hAnsi="Arial"/>
                <w:sz w:val="10"/>
                <w:szCs w:val="10"/>
                <w:color w:val="auto"/>
              </w:rPr>
              <w:t>(1)</w:t>
            </w: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110,506</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102,396</w:t>
            </w:r>
          </w:p>
        </w:tc>
        <w:tc>
          <w:tcPr>
            <w:tcW w:w="100" w:type="dxa"/>
            <w:vAlign w:val="bottom"/>
            <w:shd w:val="clear" w:color="auto" w:fill="CFF0FC"/>
          </w:tcPr>
          <w:p>
            <w:pPr>
              <w:spacing w:after="0"/>
              <w:rPr>
                <w:sz w:val="13"/>
                <w:szCs w:val="13"/>
                <w:color w:val="auto"/>
              </w:rPr>
            </w:pPr>
          </w:p>
        </w:tc>
      </w:tr>
      <w:tr>
        <w:trPr>
          <w:trHeight w:val="153"/>
        </w:trPr>
        <w:tc>
          <w:tcPr>
            <w:tcW w:w="8380" w:type="dxa"/>
            <w:vAlign w:val="bottom"/>
          </w:tcPr>
          <w:p>
            <w:pPr>
              <w:ind w:left="160"/>
              <w:spacing w:after="0"/>
              <w:rPr>
                <w:sz w:val="20"/>
                <w:szCs w:val="20"/>
                <w:color w:val="auto"/>
              </w:rPr>
            </w:pPr>
            <w:r>
              <w:rPr>
                <w:rFonts w:ascii="Arial" w:cs="Arial" w:eastAsia="Arial" w:hAnsi="Arial"/>
                <w:sz w:val="12"/>
                <w:szCs w:val="12"/>
                <w:color w:val="auto"/>
              </w:rPr>
              <w:t>Growth capital improvements</w:t>
            </w:r>
            <w:r>
              <w:rPr>
                <w:rFonts w:ascii="Arial" w:cs="Arial" w:eastAsia="Arial" w:hAnsi="Arial"/>
                <w:sz w:val="10"/>
                <w:szCs w:val="10"/>
                <w:color w:val="auto"/>
              </w:rPr>
              <w:t>(1)</w:t>
            </w:r>
          </w:p>
        </w:tc>
        <w:tc>
          <w:tcPr>
            <w:tcW w:w="7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221,498</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84,700</w:t>
            </w:r>
          </w:p>
        </w:tc>
        <w:tc>
          <w:tcPr>
            <w:tcW w:w="100" w:type="dxa"/>
            <w:vAlign w:val="bottom"/>
          </w:tcPr>
          <w:p>
            <w:pPr>
              <w:spacing w:after="0"/>
              <w:rPr>
                <w:sz w:val="13"/>
                <w:szCs w:val="13"/>
                <w:color w:val="auto"/>
              </w:rPr>
            </w:pPr>
          </w:p>
        </w:tc>
      </w:tr>
      <w:tr>
        <w:trPr>
          <w:trHeight w:val="153"/>
        </w:trPr>
        <w:tc>
          <w:tcPr>
            <w:tcW w:w="83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Acquisitions</w:t>
            </w: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3,975</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220,674</w:t>
            </w:r>
          </w:p>
        </w:tc>
        <w:tc>
          <w:tcPr>
            <w:tcW w:w="100" w:type="dxa"/>
            <w:vAlign w:val="bottom"/>
            <w:shd w:val="clear" w:color="auto" w:fill="CFF0FC"/>
          </w:tcPr>
          <w:p>
            <w:pPr>
              <w:spacing w:after="0"/>
              <w:rPr>
                <w:sz w:val="13"/>
                <w:szCs w:val="13"/>
                <w:color w:val="auto"/>
              </w:rPr>
            </w:pPr>
          </w:p>
        </w:tc>
      </w:tr>
      <w:tr>
        <w:trPr>
          <w:trHeight w:val="153"/>
        </w:trPr>
        <w:tc>
          <w:tcPr>
            <w:tcW w:w="83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w:t>
            </w: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38,165</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w:t>
            </w:r>
          </w:p>
        </w:tc>
        <w:tc>
          <w:tcPr>
            <w:tcW w:w="100" w:type="dxa"/>
            <w:vAlign w:val="bottom"/>
            <w:tcBorders>
              <w:bottom w:val="single" w:sz="8" w:color="CFF0FC"/>
            </w:tcBorders>
          </w:tcPr>
          <w:p>
            <w:pPr>
              <w:spacing w:after="0"/>
              <w:rPr>
                <w:sz w:val="13"/>
                <w:szCs w:val="13"/>
                <w:color w:val="auto"/>
              </w:rPr>
            </w:pPr>
          </w:p>
        </w:tc>
      </w:tr>
      <w:tr>
        <w:trPr>
          <w:trHeight w:val="142"/>
        </w:trPr>
        <w:tc>
          <w:tcPr>
            <w:tcW w:w="8380" w:type="dxa"/>
            <w:vAlign w:val="bottom"/>
            <w:shd w:val="clear" w:color="auto" w:fill="CFF0FC"/>
          </w:tcPr>
          <w:p>
            <w:pPr>
              <w:spacing w:after="0"/>
              <w:rPr>
                <w:sz w:val="20"/>
                <w:szCs w:val="20"/>
                <w:color w:val="auto"/>
              </w:rPr>
            </w:pPr>
            <w:r>
              <w:rPr>
                <w:rFonts w:ascii="Arial" w:cs="Arial" w:eastAsia="Arial" w:hAnsi="Arial"/>
                <w:sz w:val="12"/>
                <w:szCs w:val="12"/>
                <w:color w:val="auto"/>
              </w:rPr>
              <w:t>Total additions</w:t>
            </w:r>
          </w:p>
        </w:tc>
        <w:tc>
          <w:tcPr>
            <w:tcW w:w="7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374,144</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407,940</w:t>
            </w:r>
          </w:p>
        </w:tc>
        <w:tc>
          <w:tcPr>
            <w:tcW w:w="100" w:type="dxa"/>
            <w:vAlign w:val="bottom"/>
            <w:shd w:val="clear" w:color="auto" w:fill="CFF0FC"/>
          </w:tcPr>
          <w:p>
            <w:pPr>
              <w:spacing w:after="0"/>
              <w:rPr>
                <w:sz w:val="12"/>
                <w:szCs w:val="12"/>
                <w:color w:val="auto"/>
              </w:rPr>
            </w:pPr>
          </w:p>
        </w:tc>
      </w:tr>
      <w:tr>
        <w:trPr>
          <w:trHeight w:val="153"/>
        </w:trPr>
        <w:tc>
          <w:tcPr>
            <w:tcW w:w="8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8380" w:type="dxa"/>
            <w:vAlign w:val="bottom"/>
            <w:shd w:val="clear" w:color="auto" w:fill="CFF0FC"/>
          </w:tcPr>
          <w:p>
            <w:pPr>
              <w:spacing w:after="0"/>
              <w:rPr>
                <w:sz w:val="20"/>
                <w:szCs w:val="20"/>
                <w:color w:val="auto"/>
              </w:rPr>
            </w:pPr>
            <w:r>
              <w:rPr>
                <w:rFonts w:ascii="Arial" w:cs="Arial" w:eastAsia="Arial" w:hAnsi="Arial"/>
                <w:sz w:val="12"/>
                <w:szCs w:val="12"/>
                <w:color w:val="auto"/>
              </w:rPr>
              <w:t>Deductions during period:</w:t>
            </w: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8380" w:type="dxa"/>
            <w:vAlign w:val="bottom"/>
          </w:tcPr>
          <w:p>
            <w:pPr>
              <w:ind w:left="160"/>
              <w:spacing w:after="0"/>
              <w:rPr>
                <w:sz w:val="20"/>
                <w:szCs w:val="20"/>
                <w:color w:val="auto"/>
              </w:rPr>
            </w:pPr>
            <w:r>
              <w:rPr>
                <w:rFonts w:ascii="Arial" w:cs="Arial" w:eastAsia="Arial" w:hAnsi="Arial"/>
                <w:sz w:val="12"/>
                <w:szCs w:val="12"/>
                <w:color w:val="auto"/>
              </w:rPr>
              <w:t>Cost of real estate sold or disposed</w:t>
            </w:r>
          </w:p>
        </w:tc>
        <w:tc>
          <w:tcPr>
            <w:tcW w:w="7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19,990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414,976</w:t>
            </w:r>
          </w:p>
        </w:tc>
        <w:tc>
          <w:tcPr>
            <w:tcW w:w="100" w:type="dxa"/>
            <w:vAlign w:val="bottom"/>
          </w:tcPr>
          <w:p>
            <w:pPr>
              <w:spacing w:after="0"/>
              <w:rPr>
                <w:sz w:val="13"/>
                <w:szCs w:val="13"/>
                <w:color w:val="auto"/>
              </w:rPr>
            </w:pPr>
          </w:p>
        </w:tc>
      </w:tr>
      <w:tr>
        <w:trPr>
          <w:trHeight w:val="153"/>
        </w:trPr>
        <w:tc>
          <w:tcPr>
            <w:tcW w:w="83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74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r>
      <w:tr>
        <w:trPr>
          <w:trHeight w:val="142"/>
        </w:trPr>
        <w:tc>
          <w:tcPr>
            <w:tcW w:w="8380" w:type="dxa"/>
            <w:vAlign w:val="bottom"/>
          </w:tcPr>
          <w:p>
            <w:pPr>
              <w:spacing w:after="0"/>
              <w:rPr>
                <w:sz w:val="20"/>
                <w:szCs w:val="20"/>
                <w:color w:val="auto"/>
              </w:rPr>
            </w:pPr>
            <w:r>
              <w:rPr>
                <w:rFonts w:ascii="Arial" w:cs="Arial" w:eastAsia="Arial" w:hAnsi="Arial"/>
                <w:sz w:val="12"/>
                <w:szCs w:val="12"/>
                <w:color w:val="auto"/>
              </w:rPr>
              <w:t>Total deductions</w:t>
            </w:r>
          </w:p>
        </w:tc>
        <w:tc>
          <w:tcPr>
            <w:tcW w:w="7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19,990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414,976</w:t>
            </w:r>
          </w:p>
        </w:tc>
        <w:tc>
          <w:tcPr>
            <w:tcW w:w="100" w:type="dxa"/>
            <w:vAlign w:val="bottom"/>
          </w:tcPr>
          <w:p>
            <w:pPr>
              <w:spacing w:after="0"/>
              <w:rPr>
                <w:sz w:val="12"/>
                <w:szCs w:val="12"/>
                <w:color w:val="auto"/>
              </w:rPr>
            </w:pPr>
          </w:p>
        </w:tc>
      </w:tr>
      <w:tr>
        <w:trPr>
          <w:trHeight w:val="153"/>
        </w:trPr>
        <w:tc>
          <w:tcPr>
            <w:tcW w:w="83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8380" w:type="dxa"/>
            <w:vAlign w:val="bottom"/>
          </w:tcPr>
          <w:p>
            <w:pPr>
              <w:spacing w:after="0"/>
              <w:rPr>
                <w:sz w:val="20"/>
                <w:szCs w:val="20"/>
                <w:color w:val="auto"/>
              </w:rPr>
            </w:pPr>
            <w:r>
              <w:rPr>
                <w:rFonts w:ascii="Arial" w:cs="Arial" w:eastAsia="Arial" w:hAnsi="Arial"/>
                <w:sz w:val="12"/>
                <w:szCs w:val="12"/>
                <w:color w:val="auto"/>
              </w:rPr>
              <w:t>Balance at end</w:t>
            </w: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7,742,069</w:t>
            </w:r>
          </w:p>
        </w:tc>
        <w:tc>
          <w:tcPr>
            <w:tcW w:w="280" w:type="dxa"/>
            <w:vAlign w:val="bottom"/>
          </w:tcPr>
          <w:p>
            <w:pPr>
              <w:spacing w:after="0"/>
              <w:rPr>
                <w:sz w:val="13"/>
                <w:szCs w:val="13"/>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7,387,915</w:t>
            </w:r>
          </w:p>
        </w:tc>
        <w:tc>
          <w:tcPr>
            <w:tcW w:w="100" w:type="dxa"/>
            <w:vAlign w:val="bottom"/>
          </w:tcPr>
          <w:p>
            <w:pPr>
              <w:spacing w:after="0"/>
              <w:rPr>
                <w:sz w:val="13"/>
                <w:szCs w:val="13"/>
                <w:color w:val="auto"/>
              </w:rPr>
            </w:pPr>
          </w:p>
        </w:tc>
      </w:tr>
    </w:tbl>
    <w:p>
      <w:pPr>
        <w:ind w:left="8" w:right="300" w:hanging="8"/>
        <w:spacing w:after="0" w:line="276" w:lineRule="auto"/>
        <w:tabs>
          <w:tab w:leader="none" w:pos="152" w:val="left"/>
        </w:tabs>
        <w:numPr>
          <w:ilvl w:val="0"/>
          <w:numId w:val="35"/>
        </w:numPr>
        <w:rPr>
          <w:rFonts w:ascii="Arial" w:cs="Arial" w:eastAsia="Arial" w:hAnsi="Arial"/>
          <w:sz w:val="10"/>
          <w:szCs w:val="10"/>
          <w:color w:val="auto"/>
        </w:rPr>
      </w:pPr>
      <w:r>
        <w:rPr>
          <w:rFonts w:ascii="Arial" w:cs="Arial" w:eastAsia="Arial" w:hAnsi="Arial"/>
          <w:sz w:val="12"/>
          <w:szCs w:val="12"/>
          <w:color w:val="auto"/>
        </w:rPr>
        <w:t>During the year ended December 31, 2021, TCIs totaled $139.0 million, offset by $28.5 million which represented the reimbursement of Growth Capital Improvements completed in 2020 that were previously classified as TCIs and are included within the Growth Capital Improvement additions of $221.5 million.</w:t>
      </w:r>
    </w:p>
    <w:p>
      <w:pPr>
        <w:spacing w:after="0" w:line="277"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400" w:type="dxa"/>
            <w:vAlign w:val="bottom"/>
            <w:tcBorders>
              <w:bottom w:val="single" w:sz="8" w:color="CFF0FC"/>
            </w:tcBorders>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2021</w:t>
            </w: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2020</w:t>
            </w:r>
          </w:p>
        </w:tc>
        <w:tc>
          <w:tcPr>
            <w:tcW w:w="120" w:type="dxa"/>
            <w:vAlign w:val="bottom"/>
            <w:tcBorders>
              <w:bottom w:val="single" w:sz="8" w:color="CFF0FC"/>
            </w:tcBorders>
          </w:tcPr>
          <w:p>
            <w:pPr>
              <w:spacing w:after="0"/>
              <w:rPr>
                <w:sz w:val="13"/>
                <w:szCs w:val="13"/>
                <w:color w:val="auto"/>
              </w:rPr>
            </w:pPr>
          </w:p>
        </w:tc>
      </w:tr>
      <w:tr>
        <w:trPr>
          <w:trHeight w:val="142"/>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Gross amount of accumulated depreciation at beginning</w:t>
            </w:r>
          </w:p>
        </w:tc>
        <w:tc>
          <w:tcPr>
            <w:tcW w:w="4760" w:type="dxa"/>
            <w:vAlign w:val="bottom"/>
            <w:gridSpan w:val="2"/>
            <w:shd w:val="clear" w:color="auto" w:fill="CFF0FC"/>
          </w:tcPr>
          <w:p>
            <w:pPr>
              <w:jc w:val="right"/>
              <w:ind w:right="6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6"/>
              </w:rPr>
              <w:t>5,205,395</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5,022,929</w:t>
            </w:r>
          </w:p>
        </w:tc>
        <w:tc>
          <w:tcPr>
            <w:tcW w:w="120" w:type="dxa"/>
            <w:vAlign w:val="bottom"/>
            <w:shd w:val="clear" w:color="auto" w:fill="CFF0FC"/>
          </w:tcPr>
          <w:p>
            <w:pPr>
              <w:spacing w:after="0"/>
              <w:rPr>
                <w:sz w:val="12"/>
                <w:szCs w:val="12"/>
                <w:color w:val="auto"/>
              </w:rPr>
            </w:pPr>
          </w:p>
        </w:tc>
      </w:tr>
      <w:tr>
        <w:trPr>
          <w:trHeight w:val="153"/>
        </w:trPr>
        <w:tc>
          <w:tcPr>
            <w:tcW w:w="4400" w:type="dxa"/>
            <w:vAlign w:val="bottom"/>
          </w:tcPr>
          <w:p>
            <w:pPr>
              <w:spacing w:after="0"/>
              <w:rPr>
                <w:sz w:val="20"/>
                <w:szCs w:val="20"/>
                <w:color w:val="auto"/>
              </w:rPr>
            </w:pPr>
            <w:r>
              <w:rPr>
                <w:rFonts w:ascii="Arial" w:cs="Arial" w:eastAsia="Arial" w:hAnsi="Arial"/>
                <w:sz w:val="12"/>
                <w:szCs w:val="12"/>
                <w:color w:val="auto"/>
              </w:rPr>
              <w:t>Additions during period:</w:t>
            </w:r>
          </w:p>
        </w:tc>
        <w:tc>
          <w:tcPr>
            <w:tcW w:w="4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w:t>
            </w:r>
          </w:p>
        </w:tc>
        <w:tc>
          <w:tcPr>
            <w:tcW w:w="40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170,977</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202,877</w:t>
            </w:r>
          </w:p>
        </w:tc>
        <w:tc>
          <w:tcPr>
            <w:tcW w:w="120" w:type="dxa"/>
            <w:vAlign w:val="bottom"/>
            <w:shd w:val="clear" w:color="auto" w:fill="CFF0FC"/>
          </w:tcPr>
          <w:p>
            <w:pPr>
              <w:spacing w:after="0"/>
              <w:rPr>
                <w:sz w:val="13"/>
                <w:szCs w:val="13"/>
                <w:color w:val="auto"/>
              </w:rPr>
            </w:pPr>
          </w:p>
        </w:tc>
      </w:tr>
      <w:tr>
        <w:trPr>
          <w:trHeight w:val="153"/>
        </w:trPr>
        <w:tc>
          <w:tcPr>
            <w:tcW w:w="44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w:t>
            </w: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7,345</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2"/>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Total additions</w:t>
            </w:r>
          </w:p>
        </w:tc>
        <w:tc>
          <w:tcPr>
            <w:tcW w:w="40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178,322</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202,877</w:t>
            </w:r>
          </w:p>
        </w:tc>
        <w:tc>
          <w:tcPr>
            <w:tcW w:w="120" w:type="dxa"/>
            <w:vAlign w:val="bottom"/>
            <w:shd w:val="clear" w:color="auto" w:fill="CFF0FC"/>
          </w:tcPr>
          <w:p>
            <w:pPr>
              <w:spacing w:after="0"/>
              <w:rPr>
                <w:sz w:val="12"/>
                <w:szCs w:val="12"/>
                <w:color w:val="auto"/>
              </w:rPr>
            </w:pPr>
          </w:p>
        </w:tc>
      </w:tr>
      <w:tr>
        <w:trPr>
          <w:trHeight w:val="153"/>
        </w:trPr>
        <w:tc>
          <w:tcPr>
            <w:tcW w:w="44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Deductions during period:</w:t>
            </w:r>
          </w:p>
        </w:tc>
        <w:tc>
          <w:tcPr>
            <w:tcW w:w="40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Amount of accumulated depreciation for assets sold or disposed</w:t>
            </w:r>
          </w:p>
        </w:tc>
        <w:tc>
          <w:tcPr>
            <w:tcW w:w="4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16,799</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20,411</w:t>
            </w: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404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4400" w:type="dxa"/>
            <w:vAlign w:val="bottom"/>
          </w:tcPr>
          <w:p>
            <w:pPr>
              <w:spacing w:after="0"/>
              <w:rPr>
                <w:sz w:val="20"/>
                <w:szCs w:val="20"/>
                <w:color w:val="auto"/>
              </w:rPr>
            </w:pPr>
            <w:r>
              <w:rPr>
                <w:rFonts w:ascii="Arial" w:cs="Arial" w:eastAsia="Arial" w:hAnsi="Arial"/>
                <w:sz w:val="12"/>
                <w:szCs w:val="12"/>
                <w:color w:val="auto"/>
              </w:rPr>
              <w:t>Total deductions</w:t>
            </w:r>
          </w:p>
        </w:tc>
        <w:tc>
          <w:tcPr>
            <w:tcW w:w="4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16,799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20,411</w:t>
            </w:r>
          </w:p>
        </w:tc>
        <w:tc>
          <w:tcPr>
            <w:tcW w:w="120" w:type="dxa"/>
            <w:vAlign w:val="bottom"/>
          </w:tcPr>
          <w:p>
            <w:pPr>
              <w:spacing w:after="0"/>
              <w:rPr>
                <w:sz w:val="12"/>
                <w:szCs w:val="12"/>
                <w:color w:val="auto"/>
              </w:rPr>
            </w:pPr>
          </w:p>
        </w:tc>
      </w:tr>
      <w:tr>
        <w:trPr>
          <w:trHeight w:val="153"/>
        </w:trPr>
        <w:tc>
          <w:tcPr>
            <w:tcW w:w="4400" w:type="dxa"/>
            <w:vAlign w:val="bottom"/>
            <w:shd w:val="clear" w:color="auto" w:fill="CFF0FC"/>
          </w:tcPr>
          <w:p>
            <w:pPr>
              <w:spacing w:after="0"/>
              <w:rPr>
                <w:sz w:val="13"/>
                <w:szCs w:val="13"/>
                <w:color w:val="auto"/>
              </w:rPr>
            </w:pPr>
          </w:p>
        </w:tc>
        <w:tc>
          <w:tcPr>
            <w:tcW w:w="40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00" w:type="dxa"/>
            <w:vAlign w:val="bottom"/>
          </w:tcPr>
          <w:p>
            <w:pPr>
              <w:spacing w:after="0"/>
              <w:rPr>
                <w:sz w:val="20"/>
                <w:szCs w:val="20"/>
                <w:color w:val="auto"/>
              </w:rPr>
            </w:pPr>
            <w:r>
              <w:rPr>
                <w:rFonts w:ascii="Arial" w:cs="Arial" w:eastAsia="Arial" w:hAnsi="Arial"/>
                <w:sz w:val="12"/>
                <w:szCs w:val="12"/>
                <w:color w:val="auto"/>
              </w:rPr>
              <w:t>Balance at end</w:t>
            </w:r>
          </w:p>
        </w:tc>
        <w:tc>
          <w:tcPr>
            <w:tcW w:w="476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5,366,918</w:t>
            </w:r>
          </w:p>
        </w:tc>
        <w:tc>
          <w:tcPr>
            <w:tcW w:w="32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5,205,395</w:t>
            </w:r>
          </w:p>
        </w:tc>
        <w:tc>
          <w:tcPr>
            <w:tcW w:w="120" w:type="dxa"/>
            <w:vAlign w:val="bottom"/>
          </w:tcPr>
          <w:p>
            <w:pPr>
              <w:spacing w:after="0"/>
              <w:rPr>
                <w:sz w:val="13"/>
                <w:szCs w:val="13"/>
                <w:color w:val="auto"/>
              </w:rPr>
            </w:pPr>
          </w:p>
        </w:tc>
      </w:tr>
      <w:tr>
        <w:trPr>
          <w:trHeight w:val="576"/>
        </w:trPr>
        <w:tc>
          <w:tcPr>
            <w:tcW w:w="4400" w:type="dxa"/>
            <w:vAlign w:val="bottom"/>
          </w:tcPr>
          <w:p>
            <w:pPr>
              <w:spacing w:after="0"/>
              <w:rPr>
                <w:sz w:val="24"/>
                <w:szCs w:val="24"/>
                <w:color w:val="auto"/>
              </w:rPr>
            </w:pPr>
          </w:p>
        </w:tc>
        <w:tc>
          <w:tcPr>
            <w:tcW w:w="4760" w:type="dxa"/>
            <w:vAlign w:val="bottom"/>
            <w:gridSpan w:val="2"/>
          </w:tcPr>
          <w:p>
            <w:pPr>
              <w:jc w:val="right"/>
              <w:ind w:right="3380"/>
              <w:spacing w:after="0"/>
              <w:rPr>
                <w:sz w:val="20"/>
                <w:szCs w:val="20"/>
                <w:color w:val="auto"/>
              </w:rPr>
            </w:pPr>
            <w:r>
              <w:rPr>
                <w:rFonts w:ascii="Arial" w:cs="Arial" w:eastAsia="Arial" w:hAnsi="Arial"/>
                <w:sz w:val="12"/>
                <w:szCs w:val="12"/>
                <w:color w:val="auto"/>
              </w:rPr>
              <w:t>S-7</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8"/>
          </w:cols>
          <w:pgMar w:left="292" w:top="131" w:right="29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20" w:type="dxa"/>
            <w:vAlign w:val="bottom"/>
            <w:gridSpan w:val="2"/>
          </w:tcPr>
          <w:p>
            <w:pPr>
              <w:ind w:left="2980"/>
              <w:spacing w:after="0"/>
              <w:rPr>
                <w:sz w:val="20"/>
                <w:szCs w:val="20"/>
                <w:color w:val="auto"/>
              </w:rPr>
            </w:pPr>
            <w:r>
              <w:rPr>
                <w:rFonts w:ascii="Arial" w:cs="Arial" w:eastAsia="Arial" w:hAnsi="Arial"/>
                <w:sz w:val="12"/>
                <w:szCs w:val="12"/>
                <w:b w:val="1"/>
                <w:bCs w:val="1"/>
                <w:color w:val="auto"/>
                <w:w w:val="92"/>
              </w:rPr>
              <w:t>Exhibit 21.1</w:t>
            </w:r>
          </w:p>
        </w:tc>
      </w:tr>
      <w:tr>
        <w:trPr>
          <w:trHeight w:val="157"/>
        </w:trPr>
        <w:tc>
          <w:tcPr>
            <w:tcW w:w="3340" w:type="dxa"/>
            <w:vAlign w:val="bottom"/>
          </w:tcPr>
          <w:p>
            <w:pPr>
              <w:spacing w:after="0"/>
              <w:rPr>
                <w:sz w:val="13"/>
                <w:szCs w:val="13"/>
                <w:color w:val="auto"/>
              </w:rPr>
            </w:pPr>
          </w:p>
        </w:tc>
        <w:tc>
          <w:tcPr>
            <w:tcW w:w="7980" w:type="dxa"/>
            <w:vAlign w:val="bottom"/>
            <w:gridSpan w:val="4"/>
          </w:tcPr>
          <w:p>
            <w:pPr>
              <w:ind w:left="1520"/>
              <w:spacing w:after="0"/>
              <w:rPr>
                <w:sz w:val="20"/>
                <w:szCs w:val="20"/>
                <w:color w:val="auto"/>
              </w:rPr>
            </w:pPr>
            <w:r>
              <w:rPr>
                <w:rFonts w:ascii="Arial" w:cs="Arial" w:eastAsia="Arial" w:hAnsi="Arial"/>
                <w:sz w:val="12"/>
                <w:szCs w:val="12"/>
                <w:b w:val="1"/>
                <w:bCs w:val="1"/>
                <w:color w:val="auto"/>
              </w:rPr>
              <w:t>Subsidiaries of the Registrants</w:t>
            </w:r>
          </w:p>
        </w:tc>
      </w:tr>
      <w:tr>
        <w:trPr>
          <w:trHeight w:val="297"/>
        </w:trPr>
        <w:tc>
          <w:tcPr>
            <w:tcW w:w="3340" w:type="dxa"/>
            <w:vAlign w:val="bottom"/>
          </w:tcPr>
          <w:p>
            <w:pPr>
              <w:spacing w:after="0"/>
              <w:rPr>
                <w:sz w:val="20"/>
                <w:szCs w:val="20"/>
                <w:color w:val="auto"/>
              </w:rPr>
            </w:pPr>
            <w:r>
              <w:rPr>
                <w:rFonts w:ascii="Arial" w:cs="Arial" w:eastAsia="Arial" w:hAnsi="Arial"/>
                <w:sz w:val="10"/>
                <w:szCs w:val="10"/>
                <w:b w:val="1"/>
                <w:bCs w:val="1"/>
                <w:color w:val="auto"/>
              </w:rPr>
              <w:t>Subsidiary</w:t>
            </w: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State or other jurisdiction of incorporation or organization</w:t>
            </w:r>
          </w:p>
        </w:tc>
      </w:tr>
      <w:tr>
        <w:trPr>
          <w:trHeight w:val="142"/>
        </w:trPr>
        <w:tc>
          <w:tcPr>
            <w:tcW w:w="3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ANS Connect LLC</w:t>
            </w:r>
          </w:p>
        </w:tc>
        <w:tc>
          <w:tcPr>
            <w:tcW w:w="398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Georgia</w:t>
            </w:r>
          </w:p>
        </w:tc>
        <w:tc>
          <w:tcPr>
            <w:tcW w:w="20" w:type="dxa"/>
            <w:vAlign w:val="bottom"/>
          </w:tcPr>
          <w:p>
            <w:pPr>
              <w:spacing w:after="0"/>
              <w:rPr>
                <w:sz w:val="12"/>
                <w:szCs w:val="12"/>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Capital,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Contact Network,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Alabama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Alabama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Arkansas System,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Florida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Georgia Realty,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Georgia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Iowa System,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Kentucky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Mississippi System,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Missouri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National, LP</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National GP,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New Mexico System,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North Carolina Realty, LP</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North Carolina Realty GP,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North Carolina System, LP</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Ohio System,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Oklahoma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Realty,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Tennessee Realty,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CSL Tennessee Realty Partner,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Texas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Hunt Brothers of Louisiana,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Louisiana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Hunt Telecommunications,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89"/>
              </w:rPr>
              <w:t>Louisiana</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Information Transport Solutions,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Alabama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InLine Services,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Integrated Data Systems,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Louisiana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Nexus Systems,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89"/>
              </w:rPr>
              <w:t>Louisiana</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Nexus Wireless,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Louisiana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DC,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PEG Bandwidth DE,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LA,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PEG Bandwidth MA,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MD,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PEG Bandwidth MS,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NJ,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PEG Bandwidth NY Telephone Corp.</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New York</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PA,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PEG Bandwidth Services,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TX,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PEG Bandwidth VA,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Southern Light,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88"/>
              </w:rPr>
              <w:t>Alabama</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Talk America Services, LLC*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Uniti Dark Fiber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Uniti Fiber Holdings Inc.</w:t>
            </w:r>
          </w:p>
        </w:tc>
        <w:tc>
          <w:tcPr>
            <w:tcW w:w="39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Uniti Fiber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369"/>
        </w:trPr>
        <w:tc>
          <w:tcPr>
            <w:tcW w:w="33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80" w:right="27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Fiber 2020 LLC</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Group Finance Inc.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Group Finance 2019 Inc.</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Group Holdco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Group LP*</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Group LP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Holdings GP LLC</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Holdings LP</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LATAM GP LLC</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LATAM LP</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Leasing LLC</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Leasing X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Leasing XI LLC</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Leasing XII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National LLC</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QRS Holdings GP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QRS Holdings LP</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Towers NMS Holdings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Uniti Wireless Holdings LLC</w:t>
            </w:r>
          </w:p>
        </w:tc>
        <w:tc>
          <w:tcPr>
            <w:tcW w:w="5840" w:type="dxa"/>
            <w:vAlign w:val="bottom"/>
            <w:shd w:val="clear" w:color="auto" w:fill="CFF0FC"/>
          </w:tcPr>
          <w:p>
            <w:pPr>
              <w:ind w:left="3800"/>
              <w:spacing w:after="0"/>
              <w:rPr>
                <w:sz w:val="20"/>
                <w:szCs w:val="20"/>
                <w:color w:val="auto"/>
              </w:rPr>
            </w:pPr>
            <w:r>
              <w:rPr>
                <w:rFonts w:ascii="Arial" w:cs="Arial" w:eastAsia="Arial" w:hAnsi="Arial"/>
                <w:sz w:val="12"/>
                <w:szCs w:val="12"/>
                <w:color w:val="auto"/>
              </w:rPr>
              <w:t>Delaware</w:t>
            </w:r>
          </w:p>
        </w:tc>
      </w:tr>
      <w:tr>
        <w:trPr>
          <w:trHeight w:val="157"/>
        </w:trPr>
        <w:tc>
          <w:tcPr>
            <w:tcW w:w="5460" w:type="dxa"/>
            <w:vAlign w:val="bottom"/>
          </w:tcPr>
          <w:p>
            <w:pPr>
              <w:spacing w:after="0"/>
              <w:rPr>
                <w:sz w:val="20"/>
                <w:szCs w:val="20"/>
                <w:color w:val="auto"/>
              </w:rPr>
            </w:pPr>
            <w:r>
              <w:rPr>
                <w:rFonts w:ascii="Arial" w:cs="Arial" w:eastAsia="Arial" w:hAnsi="Arial"/>
                <w:sz w:val="12"/>
                <w:szCs w:val="12"/>
                <w:b w:val="1"/>
                <w:bCs w:val="1"/>
                <w:color w:val="auto"/>
              </w:rPr>
              <w:t>____________________________</w:t>
            </w:r>
          </w:p>
        </w:tc>
        <w:tc>
          <w:tcPr>
            <w:tcW w:w="5840" w:type="dxa"/>
            <w:vAlign w:val="bottom"/>
          </w:tcPr>
          <w:p>
            <w:pPr>
              <w:spacing w:after="0"/>
              <w:rPr>
                <w:sz w:val="13"/>
                <w:szCs w:val="13"/>
                <w:color w:val="auto"/>
              </w:rPr>
            </w:pPr>
          </w:p>
        </w:tc>
      </w:tr>
    </w:tbl>
    <w:p>
      <w:pPr>
        <w:spacing w:after="0" w:line="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*Uniti Group LP LLC and Talk America Services, LLC are direct, wholly-owned subsidiaries of Uniti Group Inc. Uniti Group LP is a direct, majority-owned subsidiary of Uniti Group Inc. The remaining subsidiaries are direct or indirect, wholly-owned subsidiaries of Uniti Group LP.</w:t>
      </w:r>
    </w:p>
    <w:p>
      <w:pPr>
        <w:sectPr>
          <w:pgSz w:w="11900" w:h="16838" w:orient="portrait"/>
          <w:cols w:equalWidth="0" w:num="1">
            <w:col w:w="11300"/>
          </w:cols>
          <w:pgMar w:left="300" w:top="292" w:right="2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2"/>
          <w:szCs w:val="12"/>
          <w:b w:val="1"/>
          <w:bCs w:val="1"/>
          <w:color w:val="auto"/>
        </w:rPr>
        <w:t>Exhibit 23.1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294" w:lineRule="exact"/>
        <w:rPr>
          <w:sz w:val="20"/>
          <w:szCs w:val="20"/>
          <w:color w:val="auto"/>
        </w:rPr>
      </w:pPr>
    </w:p>
    <w:p>
      <w:pPr>
        <w:ind w:right="620"/>
        <w:spacing w:after="0" w:line="276" w:lineRule="auto"/>
        <w:rPr>
          <w:sz w:val="20"/>
          <w:szCs w:val="20"/>
          <w:color w:val="auto"/>
        </w:rPr>
      </w:pPr>
      <w:r>
        <w:rPr>
          <w:rFonts w:ascii="Arial" w:cs="Arial" w:eastAsia="Arial" w:hAnsi="Arial"/>
          <w:sz w:val="12"/>
          <w:szCs w:val="12"/>
          <w:color w:val="auto"/>
        </w:rPr>
        <w:t>We consent to the incorporation by reference in the registration statements (No. 333-203591 and No. 333-225501) on Form S-8 and (No. 333-237139) on Form S-3 of our reports dated February 25, 2022, with respect to the consolidated financial statements and financial statement schedules I to III, of Uniti Group Inc. and the effectiveness of internal control over financial reporting.</w:t>
      </w: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Dallas, Texas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2022</w:t>
      </w:r>
    </w:p>
    <w:p>
      <w:pPr>
        <w:sectPr>
          <w:pgSz w:w="11900" w:h="16838" w:orient="portrait"/>
          <w:cols w:equalWidth="0" w:num="1">
            <w:col w:w="11300"/>
          </w:cols>
          <w:pgMar w:left="300" w:top="280" w:right="2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2"/>
          <w:szCs w:val="12"/>
          <w:b w:val="1"/>
          <w:bCs w:val="1"/>
          <w:color w:val="auto"/>
        </w:rPr>
        <w:t>Exhibit 23.2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294" w:lineRule="exact"/>
        <w:rPr>
          <w:sz w:val="20"/>
          <w:szCs w:val="20"/>
          <w:color w:val="auto"/>
        </w:rPr>
      </w:pPr>
    </w:p>
    <w:p>
      <w:pPr>
        <w:ind w:right="120"/>
        <w:spacing w:after="0" w:line="149" w:lineRule="exact"/>
        <w:rPr>
          <w:sz w:val="20"/>
          <w:szCs w:val="20"/>
          <w:color w:val="auto"/>
        </w:rPr>
      </w:pPr>
      <w:r>
        <w:rPr>
          <w:rFonts w:ascii="Arial" w:cs="Arial" w:eastAsia="Arial" w:hAnsi="Arial"/>
          <w:sz w:val="12"/>
          <w:szCs w:val="12"/>
          <w:color w:val="auto"/>
        </w:rPr>
        <w:t>We hereby consent to the incorporation by reference in the Registration Statements on Form S-3 (No. 333-237139) and Form S</w:t>
      </w:r>
      <w:r>
        <w:rPr>
          <w:rFonts w:ascii="MS PGothic" w:cs="MS PGothic" w:eastAsia="MS PGothic" w:hAnsi="MS PGothic"/>
          <w:sz w:val="12"/>
          <w:szCs w:val="12"/>
          <w:color w:val="auto"/>
        </w:rPr>
        <w:t>‑</w:t>
      </w:r>
      <w:r>
        <w:rPr>
          <w:rFonts w:ascii="Arial" w:cs="Arial" w:eastAsia="Arial" w:hAnsi="Arial"/>
          <w:sz w:val="12"/>
          <w:szCs w:val="12"/>
          <w:color w:val="auto"/>
        </w:rPr>
        <w:t>8 (No. 333-203591 and No. 333-225501) of Uniti Group Inc. of our report dated March 12, 2020 relating to the financial statements and financial statement schedules, which appears in this Form 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2022</w:t>
      </w:r>
    </w:p>
    <w:p>
      <w:pPr>
        <w:sectPr>
          <w:pgSz w:w="11900" w:h="16838" w:orient="portrait"/>
          <w:cols w:equalWidth="0" w:num="1">
            <w:col w:w="11300"/>
          </w:cols>
          <w:pgMar w:left="300" w:top="127" w:right="2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Kenneth A. Gunderman, certify that:</w:t>
      </w:r>
    </w:p>
    <w:p>
      <w:pPr>
        <w:spacing w:after="0" w:line="78" w:lineRule="exact"/>
        <w:rPr>
          <w:sz w:val="20"/>
          <w:szCs w:val="20"/>
          <w:color w:val="auto"/>
        </w:rPr>
      </w:pPr>
    </w:p>
    <w:p>
      <w:pPr>
        <w:ind w:left="508" w:hanging="508"/>
        <w:spacing w:after="0"/>
        <w:tabs>
          <w:tab w:leader="none" w:pos="5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Uniti Group Inc.;</w:t>
      </w:r>
    </w:p>
    <w:p>
      <w:pPr>
        <w:spacing w:after="0" w:line="231" w:lineRule="exact"/>
        <w:rPr>
          <w:rFonts w:ascii="Arial" w:cs="Arial" w:eastAsia="Arial" w:hAnsi="Arial"/>
          <w:sz w:val="12"/>
          <w:szCs w:val="12"/>
          <w:color w:val="auto"/>
        </w:rPr>
      </w:pPr>
    </w:p>
    <w:p>
      <w:pPr>
        <w:ind w:left="508" w:right="160" w:hanging="508"/>
        <w:spacing w:after="0" w:line="276" w:lineRule="auto"/>
        <w:tabs>
          <w:tab w:leader="none" w:pos="5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2"/>
          <w:szCs w:val="12"/>
          <w:color w:val="auto"/>
        </w:rPr>
      </w:pPr>
    </w:p>
    <w:p>
      <w:pPr>
        <w:ind w:left="508" w:right="360" w:hanging="508"/>
        <w:spacing w:after="0" w:line="276" w:lineRule="auto"/>
        <w:tabs>
          <w:tab w:leader="none" w:pos="5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2"/>
          <w:szCs w:val="12"/>
          <w:color w:val="auto"/>
        </w:rPr>
      </w:pPr>
    </w:p>
    <w:p>
      <w:pPr>
        <w:ind w:left="1008" w:right="80" w:hanging="495"/>
        <w:spacing w:after="0" w:line="276" w:lineRule="auto"/>
        <w:tabs>
          <w:tab w:leader="none" w:pos="1008" w:val="left"/>
        </w:tabs>
        <w:numPr>
          <w:ilvl w:val="1"/>
          <w:numId w:val="3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2"/>
          <w:szCs w:val="12"/>
          <w:color w:val="auto"/>
        </w:rPr>
      </w:pPr>
    </w:p>
    <w:p>
      <w:pPr>
        <w:ind w:left="1008" w:right="280" w:hanging="495"/>
        <w:spacing w:after="0" w:line="276" w:lineRule="auto"/>
        <w:tabs>
          <w:tab w:leader="none" w:pos="1008" w:val="left"/>
        </w:tabs>
        <w:numPr>
          <w:ilvl w:val="1"/>
          <w:numId w:val="3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08" w:right="200" w:hanging="495"/>
        <w:spacing w:after="0" w:line="276" w:lineRule="auto"/>
        <w:tabs>
          <w:tab w:leader="none" w:pos="1008" w:val="left"/>
        </w:tabs>
        <w:numPr>
          <w:ilvl w:val="1"/>
          <w:numId w:val="3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2"/>
          <w:szCs w:val="12"/>
          <w:color w:val="auto"/>
        </w:rPr>
      </w:pPr>
    </w:p>
    <w:p>
      <w:pPr>
        <w:ind w:left="1008" w:right="260" w:hanging="495"/>
        <w:spacing w:after="0" w:line="276" w:lineRule="auto"/>
        <w:tabs>
          <w:tab w:leader="none" w:pos="1008" w:val="left"/>
        </w:tabs>
        <w:numPr>
          <w:ilvl w:val="1"/>
          <w:numId w:val="3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2"/>
          <w:szCs w:val="12"/>
          <w:color w:val="auto"/>
        </w:rPr>
      </w:pPr>
    </w:p>
    <w:p>
      <w:pPr>
        <w:ind w:left="1028" w:right="200" w:hanging="506"/>
        <w:spacing w:after="0" w:line="276" w:lineRule="auto"/>
        <w:tabs>
          <w:tab w:leader="none" w:pos="1028" w:val="left"/>
        </w:tabs>
        <w:numPr>
          <w:ilvl w:val="1"/>
          <w:numId w:val="3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2"/>
          <w:szCs w:val="12"/>
          <w:color w:val="auto"/>
        </w:rPr>
      </w:pPr>
    </w:p>
    <w:p>
      <w:pPr>
        <w:ind w:left="1028" w:hanging="506"/>
        <w:spacing w:after="0"/>
        <w:tabs>
          <w:tab w:leader="none" w:pos="1028" w:val="left"/>
        </w:tabs>
        <w:numPr>
          <w:ilvl w:val="1"/>
          <w:numId w:val="3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tabs>
          <w:tab w:leader="none" w:pos="4848" w:val="left"/>
          <w:tab w:leader="none" w:pos="7528" w:val="left"/>
        </w:tabs>
        <w:rPr>
          <w:sz w:val="20"/>
          <w:szCs w:val="20"/>
          <w:color w:val="auto"/>
        </w:rPr>
      </w:pPr>
      <w:r>
        <w:rPr>
          <w:rFonts w:ascii="Arial" w:cs="Arial" w:eastAsia="Arial" w:hAnsi="Arial"/>
          <w:sz w:val="12"/>
          <w:szCs w:val="12"/>
          <w:color w:val="auto"/>
        </w:rPr>
        <w:t>Date: February 25,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Kenneth A. Gunderman</w:t>
      </w:r>
    </w:p>
    <w:p>
      <w:pPr>
        <w:spacing w:after="0" w:line="15" w:lineRule="exact"/>
        <w:rPr>
          <w:sz w:val="20"/>
          <w:szCs w:val="20"/>
          <w:color w:val="auto"/>
        </w:rPr>
      </w:pPr>
    </w:p>
    <w:p>
      <w:pPr>
        <w:jc w:val="center"/>
        <w:ind w:left="5080"/>
        <w:spacing w:after="0"/>
        <w:rPr>
          <w:sz w:val="20"/>
          <w:szCs w:val="20"/>
          <w:color w:val="auto"/>
        </w:rPr>
      </w:pPr>
      <w:r>
        <w:rPr>
          <w:rFonts w:ascii="Arial" w:cs="Arial" w:eastAsia="Arial" w:hAnsi="Arial"/>
          <w:sz w:val="12"/>
          <w:szCs w:val="12"/>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-86995</wp:posOffset>
            </wp:positionV>
            <wp:extent cx="394335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jc w:val="center"/>
        <w:ind w:left="508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308"/>
          </w:cols>
          <w:pgMar w:left="292" w:top="280" w:right="2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Paul E. Bullington, certify that:</w:t>
      </w:r>
    </w:p>
    <w:p>
      <w:pPr>
        <w:spacing w:after="0" w:line="96" w:lineRule="exact"/>
        <w:rPr>
          <w:sz w:val="20"/>
          <w:szCs w:val="20"/>
          <w:color w:val="auto"/>
        </w:rPr>
      </w:pPr>
    </w:p>
    <w:p>
      <w:pPr>
        <w:ind w:left="508" w:hanging="508"/>
        <w:spacing w:after="0"/>
        <w:tabs>
          <w:tab w:leader="none" w:pos="5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Uniti Group Inc.;</w:t>
      </w:r>
    </w:p>
    <w:p>
      <w:pPr>
        <w:spacing w:after="0" w:line="231" w:lineRule="exact"/>
        <w:rPr>
          <w:rFonts w:ascii="Arial" w:cs="Arial" w:eastAsia="Arial" w:hAnsi="Arial"/>
          <w:sz w:val="12"/>
          <w:szCs w:val="12"/>
          <w:color w:val="auto"/>
        </w:rPr>
      </w:pPr>
    </w:p>
    <w:p>
      <w:pPr>
        <w:ind w:left="508" w:right="160" w:hanging="508"/>
        <w:spacing w:after="0" w:line="276" w:lineRule="auto"/>
        <w:tabs>
          <w:tab w:leader="none" w:pos="5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2"/>
          <w:szCs w:val="12"/>
          <w:color w:val="auto"/>
        </w:rPr>
      </w:pPr>
    </w:p>
    <w:p>
      <w:pPr>
        <w:ind w:left="508" w:right="360" w:hanging="508"/>
        <w:spacing w:after="0" w:line="276" w:lineRule="auto"/>
        <w:tabs>
          <w:tab w:leader="none" w:pos="5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2"/>
          <w:szCs w:val="12"/>
          <w:color w:val="auto"/>
        </w:rPr>
      </w:pPr>
    </w:p>
    <w:p>
      <w:pPr>
        <w:ind w:left="1008" w:right="80" w:hanging="495"/>
        <w:spacing w:after="0" w:line="276" w:lineRule="auto"/>
        <w:tabs>
          <w:tab w:leader="none" w:pos="1008"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2"/>
          <w:szCs w:val="12"/>
          <w:color w:val="auto"/>
        </w:rPr>
      </w:pPr>
    </w:p>
    <w:p>
      <w:pPr>
        <w:ind w:left="1008" w:right="280" w:hanging="495"/>
        <w:spacing w:after="0" w:line="276" w:lineRule="auto"/>
        <w:tabs>
          <w:tab w:leader="none" w:pos="1008"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08" w:right="200" w:hanging="495"/>
        <w:spacing w:after="0" w:line="276" w:lineRule="auto"/>
        <w:tabs>
          <w:tab w:leader="none" w:pos="1008" w:val="left"/>
        </w:tabs>
        <w:numPr>
          <w:ilvl w:val="1"/>
          <w:numId w:val="3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2"/>
          <w:szCs w:val="12"/>
          <w:color w:val="auto"/>
        </w:rPr>
      </w:pPr>
    </w:p>
    <w:p>
      <w:pPr>
        <w:ind w:left="1008" w:right="260" w:hanging="495"/>
        <w:spacing w:after="0" w:line="276" w:lineRule="auto"/>
        <w:tabs>
          <w:tab w:leader="none" w:pos="1008" w:val="left"/>
        </w:tabs>
        <w:numPr>
          <w:ilvl w:val="1"/>
          <w:numId w:val="3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028" w:right="200" w:hanging="506"/>
        <w:spacing w:after="0" w:line="276" w:lineRule="auto"/>
        <w:tabs>
          <w:tab w:leader="none" w:pos="1028" w:val="left"/>
        </w:tabs>
        <w:numPr>
          <w:ilvl w:val="1"/>
          <w:numId w:val="3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06"/>
        <w:spacing w:after="0"/>
        <w:tabs>
          <w:tab w:leader="none" w:pos="1028" w:val="left"/>
        </w:tabs>
        <w:numPr>
          <w:ilvl w:val="1"/>
          <w:numId w:val="3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8"/>
        <w:spacing w:after="0"/>
        <w:tabs>
          <w:tab w:leader="none" w:pos="4848" w:val="left"/>
          <w:tab w:leader="none" w:pos="7668" w:val="left"/>
        </w:tabs>
        <w:rPr>
          <w:sz w:val="20"/>
          <w:szCs w:val="20"/>
          <w:color w:val="auto"/>
        </w:rPr>
      </w:pPr>
      <w:r>
        <w:rPr>
          <w:rFonts w:ascii="Arial" w:cs="Arial" w:eastAsia="Arial" w:hAnsi="Arial"/>
          <w:sz w:val="12"/>
          <w:szCs w:val="12"/>
          <w:color w:val="auto"/>
        </w:rPr>
        <w:t>Date: February 25,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Paul E. Bullington</w:t>
      </w:r>
    </w:p>
    <w:p>
      <w:pPr>
        <w:spacing w:after="0" w:line="15" w:lineRule="exact"/>
        <w:rPr>
          <w:sz w:val="20"/>
          <w:szCs w:val="20"/>
          <w:color w:val="auto"/>
        </w:rPr>
      </w:pPr>
    </w:p>
    <w:p>
      <w:pPr>
        <w:jc w:val="center"/>
        <w:ind w:left="5080"/>
        <w:spacing w:after="0"/>
        <w:rPr>
          <w:sz w:val="20"/>
          <w:szCs w:val="20"/>
          <w:color w:val="auto"/>
        </w:rPr>
      </w:pPr>
      <w:r>
        <w:rPr>
          <w:rFonts w:ascii="Arial" w:cs="Arial" w:eastAsia="Arial" w:hAnsi="Arial"/>
          <w:sz w:val="12"/>
          <w:szCs w:val="12"/>
          <w:b w:val="1"/>
          <w:bCs w:val="1"/>
          <w:color w:val="auto"/>
        </w:rPr>
        <w:t>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-86995</wp:posOffset>
            </wp:positionV>
            <wp:extent cx="394335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jc w:val="center"/>
        <w:ind w:left="5080"/>
        <w:spacing w:after="0"/>
        <w:rPr>
          <w:sz w:val="20"/>
          <w:szCs w:val="20"/>
          <w:color w:val="auto"/>
        </w:rPr>
      </w:pPr>
      <w:r>
        <w:rPr>
          <w:rFonts w:ascii="Arial" w:cs="Arial" w:eastAsia="Arial" w:hAnsi="Arial"/>
          <w:sz w:val="12"/>
          <w:szCs w:val="12"/>
          <w:b w:val="1"/>
          <w:bCs w:val="1"/>
          <w:color w:val="auto"/>
        </w:rPr>
        <w:t>Senior Vice President – Chief Financial Officer</w:t>
      </w:r>
    </w:p>
    <w:p>
      <w:pPr>
        <w:spacing w:after="0" w:line="6" w:lineRule="exact"/>
        <w:rPr>
          <w:sz w:val="20"/>
          <w:szCs w:val="20"/>
          <w:color w:val="auto"/>
        </w:rPr>
      </w:pPr>
    </w:p>
    <w:p>
      <w:pPr>
        <w:jc w:val="center"/>
        <w:ind w:left="5080"/>
        <w:spacing w:after="0"/>
        <w:rPr>
          <w:sz w:val="20"/>
          <w:szCs w:val="20"/>
          <w:color w:val="auto"/>
        </w:rPr>
      </w:pPr>
      <w:r>
        <w:rPr>
          <w:rFonts w:ascii="Arial" w:cs="Arial" w:eastAsia="Arial" w:hAnsi="Arial"/>
          <w:sz w:val="12"/>
          <w:szCs w:val="12"/>
          <w:b w:val="1"/>
          <w:bCs w:val="1"/>
          <w:color w:val="auto"/>
        </w:rPr>
        <w:t>and Treasurer</w:t>
      </w:r>
    </w:p>
    <w:p>
      <w:pPr>
        <w:sectPr>
          <w:pgSz w:w="11900" w:h="16838" w:orient="portrait"/>
          <w:cols w:equalWidth="0" w:num="1">
            <w:col w:w="11308"/>
          </w:cols>
          <w:pgMar w:left="292" w:top="280" w:right="2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1"/>
          <w:szCs w:val="11"/>
          <w:color w:val="auto"/>
        </w:rPr>
        <w:t>In connection with the Annual Report on Form 10-K of Uniti Group Inc. (the “Company”) for the period ending December 31, 2021 as filed with the Securities and Exchange Commission on the date hereof (the “Report”),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 certify, pursuant to 18 U.S.C. § 1350, as adopted pursuant to § 906 of the Sarbanes-Oxley Act of 2002, to my knowledge, that:</w:t>
      </w:r>
    </w:p>
    <w:p>
      <w:pPr>
        <w:spacing w:after="0" w:line="69" w:lineRule="exact"/>
        <w:rPr>
          <w:sz w:val="20"/>
          <w:szCs w:val="20"/>
          <w:color w:val="auto"/>
        </w:rPr>
      </w:pPr>
    </w:p>
    <w:p>
      <w:pPr>
        <w:ind w:left="1160" w:hanging="583"/>
        <w:spacing w:after="0"/>
        <w:tabs>
          <w:tab w:leader="none" w:pos="11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4840" w:val="left"/>
          <w:tab w:leader="none" w:pos="7520" w:val="left"/>
        </w:tabs>
        <w:rPr>
          <w:sz w:val="20"/>
          <w:szCs w:val="20"/>
          <w:color w:val="auto"/>
        </w:rPr>
      </w:pPr>
      <w:r>
        <w:rPr>
          <w:rFonts w:ascii="Arial" w:cs="Arial" w:eastAsia="Arial" w:hAnsi="Arial"/>
          <w:sz w:val="12"/>
          <w:szCs w:val="12"/>
          <w:color w:val="auto"/>
        </w:rPr>
        <w:t>Date: February 25,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Kenneth A. Gunderman</w:t>
      </w:r>
    </w:p>
    <w:p>
      <w:pPr>
        <w:spacing w:after="0" w:line="15" w:lineRule="exact"/>
        <w:rPr>
          <w:sz w:val="20"/>
          <w:szCs w:val="20"/>
          <w:color w:val="auto"/>
        </w:rPr>
      </w:pPr>
    </w:p>
    <w:p>
      <w:pPr>
        <w:jc w:val="center"/>
        <w:ind w:left="5080"/>
        <w:spacing w:after="0"/>
        <w:rPr>
          <w:sz w:val="20"/>
          <w:szCs w:val="20"/>
          <w:color w:val="auto"/>
        </w:rPr>
      </w:pPr>
      <w:r>
        <w:rPr>
          <w:rFonts w:ascii="Arial" w:cs="Arial" w:eastAsia="Arial" w:hAnsi="Arial"/>
          <w:sz w:val="12"/>
          <w:szCs w:val="12"/>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-86995</wp:posOffset>
            </wp:positionV>
            <wp:extent cx="394335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jc w:val="center"/>
        <w:ind w:left="508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300"/>
          </w:cols>
          <w:pgMar w:left="300" w:top="280" w:right="2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1"/>
          <w:szCs w:val="11"/>
          <w:color w:val="auto"/>
        </w:rPr>
        <w:t>In connection with the Annual Report on Form 10-K of Uniti Group Inc. (the “Company”) for the period ending December 31, 2021 as filed with the Securities and Exchange Commission on the date hereof (the “Report”),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 certify, pursuant to 18 U.S.C. § 1350, as adopted pursuant to § 906 of the Sarbanes-Oxley Act of 2002, to my knowledge, that:</w:t>
      </w:r>
    </w:p>
    <w:p>
      <w:pPr>
        <w:spacing w:after="0" w:line="69" w:lineRule="exact"/>
        <w:rPr>
          <w:sz w:val="20"/>
          <w:szCs w:val="20"/>
          <w:color w:val="auto"/>
        </w:rPr>
      </w:pPr>
    </w:p>
    <w:p>
      <w:pPr>
        <w:ind w:left="1160" w:hanging="583"/>
        <w:spacing w:after="0"/>
        <w:tabs>
          <w:tab w:leader="none" w:pos="11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4840" w:val="left"/>
          <w:tab w:leader="none" w:pos="7660" w:val="left"/>
        </w:tabs>
        <w:rPr>
          <w:sz w:val="20"/>
          <w:szCs w:val="20"/>
          <w:color w:val="auto"/>
        </w:rPr>
      </w:pPr>
      <w:r>
        <w:rPr>
          <w:rFonts w:ascii="Arial" w:cs="Arial" w:eastAsia="Arial" w:hAnsi="Arial"/>
          <w:sz w:val="12"/>
          <w:szCs w:val="12"/>
          <w:color w:val="auto"/>
        </w:rPr>
        <w:t>Date: February 25, 2022</w:t>
      </w:r>
      <w:r>
        <w:rPr>
          <w:sz w:val="20"/>
          <w:szCs w:val="20"/>
          <w:color w:val="auto"/>
        </w:rPr>
        <w:tab/>
      </w:r>
      <w:r>
        <w:rPr>
          <w:rFonts w:ascii="Arial" w:cs="Arial" w:eastAsia="Arial" w:hAnsi="Arial"/>
          <w:sz w:val="12"/>
          <w:szCs w:val="12"/>
          <w:color w:val="auto"/>
        </w:rPr>
        <w:t>By</w:t>
      </w:r>
      <w:r>
        <w:rPr>
          <w:rFonts w:ascii="Arial" w:cs="Arial" w:eastAsia="Arial" w:hAnsi="Arial"/>
          <w:sz w:val="12"/>
          <w:szCs w:val="12"/>
          <w:color w:val="222222"/>
        </w:rPr>
        <w:t>:</w:t>
      </w:r>
      <w:r>
        <w:rPr>
          <w:sz w:val="20"/>
          <w:szCs w:val="20"/>
          <w:color w:val="auto"/>
        </w:rPr>
        <w:tab/>
      </w:r>
      <w:r>
        <w:rPr>
          <w:rFonts w:ascii="Arial" w:cs="Arial" w:eastAsia="Arial" w:hAnsi="Arial"/>
          <w:sz w:val="11"/>
          <w:szCs w:val="11"/>
          <w:color w:val="auto"/>
        </w:rPr>
        <w:t>/s/ Paul E. Bullington</w:t>
      </w:r>
    </w:p>
    <w:p>
      <w:pPr>
        <w:spacing w:after="0" w:line="20"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auto"/>
        </w:rPr>
        <w:t>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-84455</wp:posOffset>
            </wp:positionV>
            <wp:extent cx="394335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2"/>
          <w:szCs w:val="12"/>
          <w:b w:val="1"/>
          <w:bCs w:val="1"/>
          <w:color w:val="auto"/>
        </w:rPr>
        <w:t>Senior Vice President – Chief Financial Officer</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2"/>
          <w:szCs w:val="12"/>
          <w:b w:val="1"/>
          <w:bCs w:val="1"/>
          <w:color w:val="auto"/>
        </w:rPr>
        <w:t>and Treasurer</w:t>
      </w:r>
    </w:p>
    <w:sectPr>
      <w:pgSz w:w="11900" w:h="16838" w:orient="portrait"/>
      <w:cols w:equalWidth="0" w:num="1">
        <w:col w:w="11300"/>
      </w:cols>
      <w:pgMar w:left="30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lowerRoman"/>
      <w:start w:val="2"/>
    </w:lvl>
  </w:abstractNum>
  <w:abstractNum w:abstractNumId="12">
    <w:nsid w:val="B03E0C6"/>
    <w:multiLevelType w:val="hybridMultilevel"/>
    <w:lvl w:ilvl="0">
      <w:lvlJc w:val="left"/>
      <w:lvlText w:val="%1."/>
      <w:numFmt w:val="lowerRoman"/>
      <w:start w:val="1"/>
    </w:lvl>
  </w:abstractNum>
  <w:abstractNum w:abstractNumId="13">
    <w:nsid w:val="189A769B"/>
    <w:multiLevelType w:val="hybridMultilevel"/>
    <w:lvl w:ilvl="0">
      <w:lvlJc w:val="left"/>
      <w:lvlText w:val="%1."/>
      <w:numFmt w:val="lowerRoman"/>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25"/>
    </w:lvl>
  </w:abstractNum>
  <w:abstractNum w:abstractNumId="23">
    <w:nsid w:val="737B8DDC"/>
    <w:multiLevelType w:val="hybridMultilevel"/>
    <w:lvl w:ilvl="0">
      <w:lvlJc w:val="left"/>
      <w:lvlText w:val="%1"/>
      <w:numFmt w:val="decimal"/>
      <w:start w:val="1"/>
    </w:lvl>
    <w:lvl w:ilvl="1">
      <w:lvlJc w:val="left"/>
      <w:lvlText w:val="(%2)"/>
      <w:numFmt w:val="decimal"/>
      <w:start w:val="1"/>
    </w:lvl>
  </w:abstractNum>
  <w:abstractNum w:abstractNumId="24">
    <w:nsid w:val="6CEAF087"/>
    <w:multiLevelType w:val="hybridMultilevel"/>
    <w:lvl w:ilvl="0">
      <w:lvlJc w:val="left"/>
      <w:lvlText w:val="(%1)"/>
      <w:numFmt w:val="decimal"/>
      <w:start w:val="2"/>
    </w:lvl>
    <w:lvl w:ilvl="1">
      <w:lvlJc w:val="left"/>
      <w:lvlText w:val="%2"/>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4"/>
    </w:lvl>
  </w:abstractNum>
  <w:abstractNum w:abstractNumId="33">
    <w:nsid w:val="3804823E"/>
    <w:multiLevelType w:val="hybridMultilevel"/>
    <w:lvl w:ilvl="0">
      <w:lvlJc w:val="left"/>
      <w:lvlText w:val="(%1)"/>
      <w:numFmt w:val="decimal"/>
      <w:start w:val="6"/>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90" Type="http://schemas.openxmlformats.org/officeDocument/2006/relationships/hyperlink" Target="http://www.sec.gov/Archives/edgar/data/1620280/000156459019041870/unit-10q_20190930.htm#FN_10_NotesandOtherDebt" TargetMode="External"/><Relationship Id="rId111" Type="http://schemas.openxmlformats.org/officeDocument/2006/relationships/hyperlink" Target="http://www.sec.gov/Archives/edgar/data/1620280/000156459020052508/unit-10q_20200930.htm#FN_Commitment_Contingencies" TargetMode="External"/><Relationship Id="rId115" Type="http://schemas.openxmlformats.org/officeDocument/2006/relationships/hyperlink" Target="http://www.sec.gov/Archives/edgar/data/1620280/000156459019041870/unit-10q_20190930.htm#FN_Segments" TargetMode="External"/><Relationship Id="rId158" Type="http://schemas.openxmlformats.org/officeDocument/2006/relationships/hyperlink" Target="http://www.sec.gov/Archives/edgar/data/0001620280/000119312515106562/d895819dex21.htm" TargetMode="External"/><Relationship Id="rId159" Type="http://schemas.openxmlformats.org/officeDocument/2006/relationships/hyperlink" Target="http://www.sec.gov/Archives/edgar/data/0001620280/000095010316010194/dp62520_ex0201.htm" TargetMode="External"/><Relationship Id="rId160" Type="http://schemas.openxmlformats.org/officeDocument/2006/relationships/hyperlink" Target="http://www.sec.gov/Archives/edgar/data/0001620280/000156459016024084/csal-ex21_814.htm" TargetMode="External"/><Relationship Id="rId161" Type="http://schemas.openxmlformats.org/officeDocument/2006/relationships/hyperlink" Target="http://www.sec.gov/Archives/edgar/data/0001620280/000156459016024084/csal-ex22_879.htm" TargetMode="External"/><Relationship Id="rId162" Type="http://schemas.openxmlformats.org/officeDocument/2006/relationships/hyperlink" Target="http://www.sec.gov/Archives/edgar/data/0001620280/000095010317003463/dp75010_ex0201.htm" TargetMode="External"/><Relationship Id="rId163" Type="http://schemas.openxmlformats.org/officeDocument/2006/relationships/hyperlink" Target="http://www.sec.gov/Archives/edgar/data/0001620280/000110465917043238/a17-15991_1ex2d1.htm" TargetMode="External"/><Relationship Id="rId166" Type="http://schemas.openxmlformats.org/officeDocument/2006/relationships/hyperlink" Target="http://www.sec.gov/Archives/edgar/data/0001620280/000119312515125997/d906732dex31.htm" TargetMode="External"/><Relationship Id="rId167" Type="http://schemas.openxmlformats.org/officeDocument/2006/relationships/hyperlink" Target="http://www.sec.gov/Archives/edgar/data/0001620280/000156459017002778/csal-ex31_7.htm" TargetMode="External"/><Relationship Id="rId168" Type="http://schemas.openxmlformats.org/officeDocument/2006/relationships/hyperlink" Target="http://www.sec.gov/Archives/edgar/data/1620280/000156459018013946/unit-ex31_80.htm" TargetMode="External"/><Relationship Id="rId169" Type="http://schemas.openxmlformats.org/officeDocument/2006/relationships/hyperlink" Target="http://www.sec.gov/Archives/edgar/data/0001620280/000110465917028526/a17-12174_1ex3d1.htm" TargetMode="External"/><Relationship Id="rId170" Type="http://schemas.openxmlformats.org/officeDocument/2006/relationships/hyperlink" Target="http://www.sec.gov/Archives/edgar/data/0001620280/000156459020010520/unit-ex422_176.htm" TargetMode="External"/><Relationship Id="rId171" Type="http://schemas.openxmlformats.org/officeDocument/2006/relationships/hyperlink" Target="http://www.sec.gov/Archives/edgar/data/1620280/000095010319008752/dp109169_ex0401.htm" TargetMode="External"/><Relationship Id="rId172" Type="http://schemas.openxmlformats.org/officeDocument/2006/relationships/hyperlink" Target="http://www.sec.gov/Archives/edgar/data/1620280/000095010320002586/dp121198_ex0401.htm" TargetMode="External"/><Relationship Id="rId173" Type="http://schemas.openxmlformats.org/officeDocument/2006/relationships/hyperlink" Target="http://www.sec.gov/Archives/edgar/data/0001620280/000095010321001633/dp145509_ex0401.htm" TargetMode="External"/><Relationship Id="rId174" Type="http://schemas.openxmlformats.org/officeDocument/2006/relationships/hyperlink" Target="http://www.sec.gov/Archives/edgar/data/1620280/000095010321005826/dp149654_ex0401.htm" TargetMode="External"/><Relationship Id="rId177" Type="http://schemas.openxmlformats.org/officeDocument/2006/relationships/hyperlink" Target="http://www.sec.gov/Archives/edgar/data/1620280/000095010321015859/dp159744_ex0401.htm" TargetMode="External"/><Relationship Id="rId178" Type="http://schemas.openxmlformats.org/officeDocument/2006/relationships/hyperlink" Target="http://www.sec.gov/Archives/edgar/data/0001620280/000156459020025840/unit-ex101_6.htm" TargetMode="External"/><Relationship Id="rId179" Type="http://schemas.openxmlformats.org/officeDocument/2006/relationships/hyperlink" Target="http://www.sec.gov/Archives/edgar/data/0001620280/000156459020052508/unit-ex101_509.htm" TargetMode="External"/><Relationship Id="rId180" Type="http://schemas.openxmlformats.org/officeDocument/2006/relationships/hyperlink" Target="http://www.sec.gov/Archives/edgar/data/0001620280/000119312515147341/d910956dex102.htm" TargetMode="External"/><Relationship Id="rId181" Type="http://schemas.openxmlformats.org/officeDocument/2006/relationships/hyperlink" Target="http://www.sec.gov/Archives/edgar/data/0001620280/000119312515147341/d910956dex1010.htm" TargetMode="External"/><Relationship Id="rId182" Type="http://schemas.openxmlformats.org/officeDocument/2006/relationships/hyperlink" Target="http://www.sec.gov/Archives/edgar/data/0001620280/000110465916151374/a16-20228_1ex10d1.htm" TargetMode="External"/><Relationship Id="rId183" Type="http://schemas.openxmlformats.org/officeDocument/2006/relationships/hyperlink" Target="http://www.sec.gov/Archives/edgar/data/0001620280/000110465917007816/a17-3824_1ex10d1.htm" TargetMode="External"/><Relationship Id="rId184" Type="http://schemas.openxmlformats.org/officeDocument/2006/relationships/hyperlink" Target="http://www.sec.gov/Archives/edgar/data/1620280/000110465917028526/a17-12174_1ex10d1.htm" TargetMode="External"/><Relationship Id="rId187" Type="http://schemas.openxmlformats.org/officeDocument/2006/relationships/hyperlink" Target="http://www.sec.gov/Archives/edgar/data/1620280/000156459019008290/unit-ex1011_1391.htm" TargetMode="External"/><Relationship Id="rId188" Type="http://schemas.openxmlformats.org/officeDocument/2006/relationships/hyperlink" Target="http://www.sec.gov/Archives/edgar/data/1620280/000095010319008295/dp108693_ex1001.htm" TargetMode="External"/><Relationship Id="rId189" Type="http://schemas.openxmlformats.org/officeDocument/2006/relationships/hyperlink" Target="http://www.sec.gov/Archives/edgar/data/1620280/000095010320002586/dp121198_ex1001.htm" TargetMode="External"/><Relationship Id="rId190" Type="http://schemas.openxmlformats.org/officeDocument/2006/relationships/hyperlink" Target="http://www.sec.gov/Archives/edgar/data/0001620280/000095010320024079/dp142761_ex1001.htm" TargetMode="External"/><Relationship Id="rId191" Type="http://schemas.openxmlformats.org/officeDocument/2006/relationships/hyperlink" Target="http://www.sec.gov/Archives/edgar/data/1620280/000156459019030905/unit-ex104_242.htm" TargetMode="External"/><Relationship Id="rId192" Type="http://schemas.openxmlformats.org/officeDocument/2006/relationships/hyperlink" Target="http://www.sec.gov/Archives/edgar/data/0001620280/000110465917031184/a17-12744_1ex10d1.htm" TargetMode="External"/><Relationship Id="rId193" Type="http://schemas.openxmlformats.org/officeDocument/2006/relationships/hyperlink" Target="http://www.sec.gov/Archives/edgar/data/0001620280/000119312515147341/d910956dex1011.htm" TargetMode="External"/><Relationship Id="rId194" Type="http://schemas.openxmlformats.org/officeDocument/2006/relationships/hyperlink" Target="http://www.sec.gov/Archives/edgar/data/1620280/000110465918073139/a18-41685_1ex10d1.htm" TargetMode="External"/><Relationship Id="rId195" Type="http://schemas.openxmlformats.org/officeDocument/2006/relationships/hyperlink" Target="http://www.sec.gov/Archives/edgar/data/1620280/000156459020058881/unit-ex102_7.htm" TargetMode="External"/><Relationship Id="rId196" Type="http://schemas.openxmlformats.org/officeDocument/2006/relationships/hyperlink" Target="http://www.sec.gov/Archives/edgar/data/1620280/000156459018007159/unit-ex101_6.htm" TargetMode="External"/><Relationship Id="rId197" Type="http://schemas.openxmlformats.org/officeDocument/2006/relationships/hyperlink" Target="http://www.sec.gov/Archives/edgar/data/1620280/000119312515211690/d935720dex103.htm" TargetMode="External"/><Relationship Id="rId200" Type="http://schemas.openxmlformats.org/officeDocument/2006/relationships/hyperlink" Target="http://www.sec.gov/Archives/edgar/data/1620280/000156459019008290/unit-ex1019_1245.htm" TargetMode="External"/><Relationship Id="rId201" Type="http://schemas.openxmlformats.org/officeDocument/2006/relationships/hyperlink" Target="http://www.sec.gov/Archives/edgar/data/0001620280/000119312515211690/d935720dex104.htm" TargetMode="External"/><Relationship Id="rId202" Type="http://schemas.openxmlformats.org/officeDocument/2006/relationships/hyperlink" Target="http://www.sec.gov/Archives/edgar/data/1620280/000156459019008290/unit-ex1021_1244.htm" TargetMode="External"/><Relationship Id="rId203" Type="http://schemas.openxmlformats.org/officeDocument/2006/relationships/hyperlink" Target="http://www.sec.gov/Archives/edgar/data/0001620280/000119312515211690/d935720dex105.htm" TargetMode="External"/><Relationship Id="rId204" Type="http://schemas.openxmlformats.org/officeDocument/2006/relationships/hyperlink" Target="http://www.sec.gov/Archives/edgar/data/1620280/000104746915005944/a2225264zex-10_20.htm" TargetMode="External"/><Relationship Id="rId205" Type="http://schemas.openxmlformats.org/officeDocument/2006/relationships/hyperlink" Target="http://www.sec.gov/Archives/edgar/data/1620280/000156459015007263/csal-ex1020_690.htm" TargetMode="External"/><Relationship Id="rId206" Type="http://schemas.openxmlformats.org/officeDocument/2006/relationships/hyperlink" Target="http://www.sec.gov/Archives/edgar/data/0001620280/000110465918038926/a18-14910_1ex99d1.htm" TargetMode="External"/><Relationship Id="rId207" Type="http://schemas.openxmlformats.org/officeDocument/2006/relationships/hyperlink" Target="http://www.sec.gov/Archives/edgar/data/1620280/000156459020024346/unit-ex102_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2022-02-25T18:26:59Z</dcterms:created>
  <dcterms:modified xsi:type="dcterms:W3CDTF">2022-02-25T18:26:59Z</dcterms:modified>
</cp:coreProperties>
</file>