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10-K/A</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color w:val="auto"/>
        </w:rPr>
        <w:t>(Amendment No. 2)</w:t>
      </w:r>
    </w:p>
    <w:p>
      <w:pPr>
        <w:spacing w:after="0" w:line="8"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48" w:lineRule="exact"/>
        <w:rPr>
          <w:sz w:val="24"/>
          <w:szCs w:val="24"/>
          <w:color w:val="auto"/>
        </w:rPr>
      </w:pPr>
    </w:p>
    <w:p>
      <w:pPr>
        <w:ind w:left="420" w:hanging="401"/>
        <w:spacing w:after="0"/>
        <w:tabs>
          <w:tab w:leader="none" w:pos="420"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ind w:left="420" w:hanging="401"/>
        <w:spacing w:after="0" w:line="219" w:lineRule="auto"/>
        <w:tabs>
          <w:tab w:leader="none" w:pos="420" w:val="left"/>
        </w:tabs>
        <w:numPr>
          <w:ilvl w:val="0"/>
          <w:numId w:val="2"/>
        </w:numPr>
        <w:rPr>
          <w:rFonts w:ascii="Wingdings" w:cs="Wingdings" w:eastAsia="Wingdings" w:hAnsi="Wingdings"/>
          <w:sz w:val="28"/>
          <w:szCs w:val="28"/>
          <w:b w:val="1"/>
          <w:bCs w:val="1"/>
          <w:color w:val="auto"/>
          <w:highlight w:val="black"/>
          <w:vertAlign w:val="super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3"/>
          <w:szCs w:val="13"/>
          <w:b w:val="1"/>
          <w:bCs w:val="1"/>
          <w:color w:val="auto"/>
        </w:rPr>
        <w:t>For the transition period from _____ to _____</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001-36708</w:t>
      </w:r>
    </w:p>
    <w:p>
      <w:pPr>
        <w:spacing w:after="0" w:line="13"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Uniti Group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60" w:type="dxa"/>
            <w:vAlign w:val="bottom"/>
          </w:tcPr>
          <w:p>
            <w:pPr>
              <w:jc w:val="center"/>
              <w:ind w:left="1793"/>
              <w:spacing w:after="0"/>
              <w:rPr>
                <w:sz w:val="20"/>
                <w:szCs w:val="20"/>
                <w:color w:val="auto"/>
              </w:rPr>
            </w:pPr>
            <w:r>
              <w:rPr>
                <w:rFonts w:ascii="Times New Roman" w:cs="Times New Roman" w:eastAsia="Times New Roman" w:hAnsi="Times New Roman"/>
                <w:sz w:val="13"/>
                <w:szCs w:val="13"/>
                <w:b w:val="1"/>
                <w:bCs w:val="1"/>
                <w:color w:val="auto"/>
                <w:w w:val="97"/>
              </w:rPr>
              <w:t>Maryland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80" w:type="dxa"/>
            <w:vAlign w:val="bottom"/>
          </w:tcPr>
          <w:p>
            <w:pPr>
              <w:jc w:val="right"/>
              <w:ind w:right="2437"/>
              <w:spacing w:after="0"/>
              <w:rPr>
                <w:sz w:val="20"/>
                <w:szCs w:val="20"/>
                <w:color w:val="auto"/>
              </w:rPr>
            </w:pPr>
            <w:r>
              <w:rPr>
                <w:rFonts w:ascii="Times New Roman" w:cs="Times New Roman" w:eastAsia="Times New Roman" w:hAnsi="Times New Roman"/>
                <w:sz w:val="13"/>
                <w:szCs w:val="13"/>
                <w:b w:val="1"/>
                <w:bCs w:val="1"/>
                <w:color w:val="auto"/>
              </w:rPr>
              <w:t>46-5230630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tcPr>
          <w:p>
            <w:pPr>
              <w:jc w:val="center"/>
              <w:ind w:left="1793"/>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80" w:type="dxa"/>
            <w:vAlign w:val="bottom"/>
          </w:tcPr>
          <w:p>
            <w:pPr>
              <w:jc w:val="center"/>
              <w:ind w:right="2177"/>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60" w:type="dxa"/>
            <w:vAlign w:val="bottom"/>
          </w:tcPr>
          <w:p>
            <w:pPr>
              <w:jc w:val="center"/>
              <w:ind w:left="179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380" w:type="dxa"/>
            <w:vAlign w:val="bottom"/>
          </w:tcPr>
          <w:p>
            <w:pPr>
              <w:jc w:val="center"/>
              <w:ind w:right="2177"/>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tcPr>
          <w:p>
            <w:pPr>
              <w:jc w:val="center"/>
              <w:ind w:left="1793"/>
              <w:spacing w:after="0" w:line="144" w:lineRule="exact"/>
              <w:rPr>
                <w:sz w:val="20"/>
                <w:szCs w:val="20"/>
                <w:color w:val="auto"/>
              </w:rPr>
            </w:pPr>
            <w:r>
              <w:rPr>
                <w:rFonts w:ascii="Times New Roman" w:cs="Times New Roman" w:eastAsia="Times New Roman" w:hAnsi="Times New Roman"/>
                <w:sz w:val="14"/>
                <w:szCs w:val="14"/>
                <w:b w:val="1"/>
                <w:bCs w:val="1"/>
                <w:color w:val="auto"/>
              </w:rPr>
              <w:t>2101 Riverfront Drive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jc w:val="center"/>
              <w:ind w:left="1773"/>
              <w:spacing w:after="0" w:line="143" w:lineRule="exact"/>
              <w:rPr>
                <w:sz w:val="20"/>
                <w:szCs w:val="20"/>
                <w:color w:val="auto"/>
              </w:rPr>
            </w:pPr>
            <w:r>
              <w:rPr>
                <w:rFonts w:ascii="Times New Roman" w:cs="Times New Roman" w:eastAsia="Times New Roman" w:hAnsi="Times New Roman"/>
                <w:sz w:val="14"/>
                <w:szCs w:val="14"/>
                <w:b w:val="1"/>
                <w:bCs w:val="1"/>
                <w:color w:val="auto"/>
              </w:rPr>
              <w:t>Suite A</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60" w:type="dxa"/>
            <w:vAlign w:val="bottom"/>
          </w:tcPr>
          <w:p>
            <w:pPr>
              <w:jc w:val="center"/>
              <w:ind w:left="1773"/>
              <w:spacing w:after="0"/>
              <w:rPr>
                <w:sz w:val="20"/>
                <w:szCs w:val="20"/>
                <w:color w:val="auto"/>
              </w:rPr>
            </w:pPr>
            <w:r>
              <w:rPr>
                <w:rFonts w:ascii="Times New Roman" w:cs="Times New Roman" w:eastAsia="Times New Roman" w:hAnsi="Times New Roman"/>
                <w:sz w:val="14"/>
                <w:szCs w:val="14"/>
                <w:b w:val="1"/>
                <w:bCs w:val="1"/>
                <w:color w:val="auto"/>
              </w:rPr>
              <w:t>Little Rock, Arkansas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380" w:type="dxa"/>
            <w:vAlign w:val="bottom"/>
          </w:tcPr>
          <w:p>
            <w:pPr>
              <w:jc w:val="right"/>
              <w:ind w:right="2597"/>
              <w:spacing w:after="0"/>
              <w:rPr>
                <w:sz w:val="20"/>
                <w:szCs w:val="20"/>
                <w:color w:val="auto"/>
              </w:rPr>
            </w:pPr>
            <w:r>
              <w:rPr>
                <w:rFonts w:ascii="Times New Roman" w:cs="Times New Roman" w:eastAsia="Times New Roman" w:hAnsi="Times New Roman"/>
                <w:sz w:val="12"/>
                <w:szCs w:val="12"/>
                <w:b w:val="1"/>
                <w:bCs w:val="1"/>
                <w:color w:val="auto"/>
              </w:rPr>
              <w:t>72202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80" w:type="dxa"/>
            <w:vAlign w:val="bottom"/>
            <w:gridSpan w:val="6"/>
          </w:tcPr>
          <w:p>
            <w:pPr>
              <w:jc w:val="center"/>
              <w:ind w:right="2260"/>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3380" w:type="dxa"/>
            <w:vAlign w:val="bottom"/>
          </w:tcPr>
          <w:p>
            <w:pPr>
              <w:jc w:val="center"/>
              <w:ind w:right="2177"/>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412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Registrant’s telephone number, including area code: (501) 850-0820</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7900" w:type="dxa"/>
            <w:vAlign w:val="bottom"/>
            <w:gridSpan w:val="7"/>
          </w:tcPr>
          <w:p>
            <w:pPr>
              <w:jc w:val="center"/>
              <w:ind w:left="3313"/>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60" w:type="dxa"/>
            <w:vAlign w:val="bottom"/>
            <w:vMerge w:val="restart"/>
          </w:tcPr>
          <w:p>
            <w:pPr>
              <w:jc w:val="center"/>
              <w:ind w:left="393"/>
              <w:spacing w:after="0"/>
              <w:rPr>
                <w:sz w:val="20"/>
                <w:szCs w:val="20"/>
                <w:color w:val="auto"/>
              </w:rPr>
            </w:pPr>
            <w:r>
              <w:rPr>
                <w:rFonts w:ascii="Times New Roman" w:cs="Times New Roman" w:eastAsia="Times New Roman" w:hAnsi="Times New Roman"/>
                <w:sz w:val="11"/>
                <w:szCs w:val="11"/>
                <w:color w:val="auto"/>
              </w:rPr>
              <w:t>Title of each class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1"/>
                <w:szCs w:val="11"/>
                <w:color w:val="auto"/>
              </w:rPr>
              <w:t>Trading Symbol</w:t>
            </w:r>
          </w:p>
        </w:tc>
        <w:tc>
          <w:tcPr>
            <w:tcW w:w="3380" w:type="dxa"/>
            <w:vAlign w:val="bottom"/>
          </w:tcPr>
          <w:p>
            <w:pPr>
              <w:jc w:val="center"/>
              <w:ind w:right="817"/>
              <w:spacing w:after="0"/>
              <w:rPr>
                <w:sz w:val="20"/>
                <w:szCs w:val="20"/>
                <w:color w:val="auto"/>
              </w:rPr>
            </w:pPr>
            <w:r>
              <w:rPr>
                <w:rFonts w:ascii="Times New Roman" w:cs="Times New Roman" w:eastAsia="Times New Roman" w:hAnsi="Times New Roman"/>
                <w:sz w:val="11"/>
                <w:szCs w:val="11"/>
                <w:color w:val="auto"/>
              </w:rPr>
              <w:t>Name of each exchange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gridSpan w:val="3"/>
            <w:vMerge w:val="continue"/>
          </w:tcPr>
          <w:p>
            <w:pPr>
              <w:spacing w:after="0"/>
              <w:rPr>
                <w:sz w:val="13"/>
                <w:szCs w:val="13"/>
                <w:color w:val="auto"/>
              </w:rPr>
            </w:pPr>
          </w:p>
        </w:tc>
        <w:tc>
          <w:tcPr>
            <w:tcW w:w="3380" w:type="dxa"/>
            <w:vAlign w:val="bottom"/>
          </w:tcPr>
          <w:p>
            <w:pPr>
              <w:jc w:val="center"/>
              <w:ind w:right="817"/>
              <w:spacing w:after="0"/>
              <w:rPr>
                <w:sz w:val="20"/>
                <w:szCs w:val="20"/>
                <w:color w:val="auto"/>
              </w:rPr>
            </w:pPr>
            <w:r>
              <w:rPr>
                <w:rFonts w:ascii="Times New Roman" w:cs="Times New Roman" w:eastAsia="Times New Roman" w:hAnsi="Times New Roman"/>
                <w:sz w:val="11"/>
                <w:szCs w:val="11"/>
                <w:color w:val="auto"/>
              </w:rPr>
              <w:t>on which registered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60" w:type="dxa"/>
            <w:vAlign w:val="bottom"/>
            <w:tcBorders>
              <w:top w:val="single" w:sz="8" w:color="auto"/>
            </w:tcBorders>
          </w:tcPr>
          <w:p>
            <w:pPr>
              <w:jc w:val="center"/>
              <w:ind w:left="413"/>
              <w:spacing w:after="0"/>
              <w:rPr>
                <w:sz w:val="20"/>
                <w:szCs w:val="20"/>
                <w:color w:val="auto"/>
              </w:rPr>
            </w:pPr>
            <w:r>
              <w:rPr>
                <w:rFonts w:ascii="Times New Roman" w:cs="Times New Roman" w:eastAsia="Times New Roman" w:hAnsi="Times New Roman"/>
                <w:sz w:val="13"/>
                <w:szCs w:val="13"/>
                <w:color w:val="auto"/>
                <w:w w:val="97"/>
              </w:rPr>
              <w:t>Common Stock, $0.0001 Par Value</w:t>
            </w: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w:t>
            </w: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380" w:type="dxa"/>
            <w:vAlign w:val="bottom"/>
            <w:tcBorders>
              <w:top w:val="single" w:sz="8" w:color="auto"/>
            </w:tcBorders>
          </w:tcPr>
          <w:p>
            <w:pPr>
              <w:jc w:val="center"/>
              <w:ind w:right="797"/>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bl>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33" w:lineRule="exact"/>
        <w:rPr>
          <w:sz w:val="24"/>
          <w:szCs w:val="24"/>
          <w:color w:val="auto"/>
        </w:rPr>
      </w:pPr>
    </w:p>
    <w:p>
      <w:pPr>
        <w:ind w:right="4540"/>
        <w:spacing w:after="0" w:line="313" w:lineRule="auto"/>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spacing w:after="0" w:line="1" w:lineRule="exact"/>
        <w:rPr>
          <w:sz w:val="24"/>
          <w:szCs w:val="24"/>
          <w:color w:val="auto"/>
        </w:rPr>
      </w:pPr>
    </w:p>
    <w:p>
      <w:pPr>
        <w:ind w:right="60"/>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ind w:right="100"/>
        <w:spacing w:after="0" w:line="27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2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00" w:type="dxa"/>
            <w:vAlign w:val="bottom"/>
          </w:tcPr>
          <w:p>
            <w:pPr>
              <w:ind w:left="900"/>
              <w:spacing w:after="0"/>
              <w:rPr>
                <w:sz w:val="20"/>
                <w:szCs w:val="20"/>
                <w:color w:val="auto"/>
              </w:rPr>
            </w:pPr>
            <w:r>
              <w:rPr>
                <w:rFonts w:ascii="Wingdings" w:cs="Wingdings" w:eastAsia="Wingdings" w:hAnsi="Wingdings"/>
                <w:sz w:val="13"/>
                <w:szCs w:val="13"/>
                <w:b w:val="1"/>
                <w:bCs w:val="1"/>
                <w:color w:val="auto"/>
              </w:rPr>
              <w:t>x</w:t>
            </w:r>
          </w:p>
        </w:tc>
        <w:tc>
          <w:tcPr>
            <w:tcW w:w="4720" w:type="dxa"/>
            <w:vAlign w:val="bottom"/>
          </w:tcPr>
          <w:p>
            <w:pPr>
              <w:ind w:left="2560"/>
              <w:spacing w:after="0"/>
              <w:rPr>
                <w:sz w:val="20"/>
                <w:szCs w:val="20"/>
                <w:color w:val="auto"/>
              </w:rPr>
            </w:pPr>
            <w:r>
              <w:rPr>
                <w:rFonts w:ascii="Times New Roman" w:cs="Times New Roman" w:eastAsia="Times New Roman" w:hAnsi="Times New Roman"/>
                <w:sz w:val="13"/>
                <w:szCs w:val="13"/>
                <w:color w:val="auto"/>
              </w:rPr>
              <w:t>Accelerated filer</w:t>
            </w:r>
          </w:p>
        </w:tc>
        <w:tc>
          <w:tcPr>
            <w:tcW w:w="880" w:type="dxa"/>
            <w:vAlign w:val="bottom"/>
          </w:tcPr>
          <w:p>
            <w:pPr>
              <w:ind w:left="780"/>
              <w:spacing w:after="0"/>
              <w:rPr>
                <w:sz w:val="20"/>
                <w:szCs w:val="20"/>
                <w:color w:val="auto"/>
              </w:rPr>
            </w:pPr>
            <w:r>
              <w:rPr>
                <w:rFonts w:ascii="Wingdings" w:cs="Wingdings" w:eastAsia="Wingdings" w:hAnsi="Wingdings"/>
                <w:sz w:val="12"/>
                <w:szCs w:val="12"/>
                <w:b w:val="1"/>
                <w:bCs w:val="1"/>
                <w:color w:val="auto"/>
                <w:w w:val="74"/>
              </w:rPr>
              <w:t>o</w:t>
            </w:r>
          </w:p>
        </w:tc>
      </w:tr>
      <w:tr>
        <w:trPr>
          <w:trHeight w:val="191"/>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00" w:type="dxa"/>
            <w:vAlign w:val="bottom"/>
          </w:tcPr>
          <w:p>
            <w:pPr>
              <w:ind w:left="900"/>
              <w:spacing w:after="0"/>
              <w:rPr>
                <w:sz w:val="20"/>
                <w:szCs w:val="20"/>
                <w:color w:val="auto"/>
              </w:rPr>
            </w:pPr>
            <w:r>
              <w:rPr>
                <w:rFonts w:ascii="Wingdings" w:cs="Wingdings" w:eastAsia="Wingdings" w:hAnsi="Wingdings"/>
                <w:sz w:val="13"/>
                <w:szCs w:val="13"/>
                <w:b w:val="1"/>
                <w:bCs w:val="1"/>
                <w:color w:val="auto"/>
              </w:rPr>
              <w:t>o</w:t>
            </w:r>
          </w:p>
        </w:tc>
        <w:tc>
          <w:tcPr>
            <w:tcW w:w="4720" w:type="dxa"/>
            <w:vAlign w:val="bottom"/>
          </w:tcPr>
          <w:p>
            <w:pPr>
              <w:ind w:left="25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80" w:type="dxa"/>
            <w:vAlign w:val="bottom"/>
          </w:tcPr>
          <w:p>
            <w:pPr>
              <w:ind w:left="780"/>
              <w:spacing w:after="0"/>
              <w:rPr>
                <w:sz w:val="20"/>
                <w:szCs w:val="20"/>
                <w:color w:val="auto"/>
              </w:rPr>
            </w:pPr>
            <w:r>
              <w:rPr>
                <w:rFonts w:ascii="Wingdings" w:cs="Wingdings" w:eastAsia="Wingdings" w:hAnsi="Wingdings"/>
                <w:sz w:val="12"/>
                <w:szCs w:val="12"/>
                <w:b w:val="1"/>
                <w:bCs w:val="1"/>
                <w:color w:val="auto"/>
                <w:w w:val="74"/>
              </w:rPr>
              <w:t>o</w:t>
            </w:r>
          </w:p>
        </w:tc>
      </w:tr>
      <w:tr>
        <w:trPr>
          <w:trHeight w:val="191"/>
        </w:trPr>
        <w:tc>
          <w:tcPr>
            <w:tcW w:w="20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720" w:type="dxa"/>
            <w:vAlign w:val="bottom"/>
          </w:tcPr>
          <w:p>
            <w:pPr>
              <w:ind w:left="2560"/>
              <w:spacing w:after="0"/>
              <w:rPr>
                <w:sz w:val="20"/>
                <w:szCs w:val="20"/>
                <w:color w:val="auto"/>
              </w:rPr>
            </w:pPr>
            <w:r>
              <w:rPr>
                <w:rFonts w:ascii="Times New Roman" w:cs="Times New Roman" w:eastAsia="Times New Roman" w:hAnsi="Times New Roman"/>
                <w:sz w:val="13"/>
                <w:szCs w:val="13"/>
                <w:color w:val="auto"/>
              </w:rPr>
              <w:t>Emerging growth company</w:t>
            </w:r>
          </w:p>
        </w:tc>
        <w:tc>
          <w:tcPr>
            <w:tcW w:w="880" w:type="dxa"/>
            <w:vAlign w:val="bottom"/>
          </w:tcPr>
          <w:p>
            <w:pPr>
              <w:ind w:left="780"/>
              <w:spacing w:after="0"/>
              <w:rPr>
                <w:sz w:val="20"/>
                <w:szCs w:val="20"/>
                <w:color w:val="auto"/>
              </w:rPr>
            </w:pPr>
            <w:r>
              <w:rPr>
                <w:rFonts w:ascii="Wingdings" w:cs="Wingdings" w:eastAsia="Wingdings" w:hAnsi="Wingdings"/>
                <w:sz w:val="12"/>
                <w:szCs w:val="12"/>
                <w:b w:val="1"/>
                <w:bCs w:val="1"/>
                <w:color w:val="auto"/>
                <w:w w:val="74"/>
              </w:rPr>
              <w:t>o</w:t>
            </w:r>
          </w:p>
        </w:tc>
      </w:tr>
    </w:tbl>
    <w:p>
      <w:pPr>
        <w:spacing w:after="0" w:line="121" w:lineRule="exact"/>
        <w:rPr>
          <w:sz w:val="24"/>
          <w:szCs w:val="24"/>
          <w:color w:val="auto"/>
        </w:rPr>
      </w:pPr>
    </w:p>
    <w:p>
      <w:pPr>
        <w:ind w:right="240"/>
        <w:spacing w:after="0" w:line="264"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ind w:right="160"/>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Wingdings" w:cs="Wingdings" w:eastAsia="Wingdings" w:hAnsi="Wingdings"/>
          <w:sz w:val="13"/>
          <w:szCs w:val="13"/>
          <w:b w:val="1"/>
          <w:bCs w:val="1"/>
          <w:color w:val="auto"/>
        </w:rPr>
        <w:t>x</w:t>
      </w:r>
    </w:p>
    <w:p>
      <w:pPr>
        <w:ind w:right="40"/>
        <w:spacing w:after="0" w:line="272"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160"/>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31" w:lineRule="exact"/>
        <w:rPr>
          <w:sz w:val="24"/>
          <w:szCs w:val="24"/>
          <w:color w:val="auto"/>
        </w:rPr>
      </w:pPr>
    </w:p>
    <w:p>
      <w:pPr>
        <w:ind w:right="340"/>
        <w:spacing w:after="0" w:line="272"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on The NASDAQ Global Select Market on June 30, 2023 was $1,089,222,999</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the Registrant’s common stock outstanding as of February 22, 2024 was 238,751,855.</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31" w:lineRule="exact"/>
        <w:rPr>
          <w:sz w:val="24"/>
          <w:szCs w:val="24"/>
          <w:color w:val="auto"/>
        </w:rPr>
      </w:pPr>
    </w:p>
    <w:p>
      <w:pPr>
        <w:ind w:right="1780"/>
        <w:spacing w:after="0" w:line="315"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the 2024 annual meeting of stockholders are incorporated by reference into Part III of this Annual Report on Form 10-K. Auditor Firm Id: 185 Auditor Name: KPMG LLP Auditor Location: Dallas, Texas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33655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On March 26, 2024, Uniti Group Inc. filed Amendment No. 1 on Form 10-K/A (the “Original Amended 10-K”) to its Annual Report on Form 10-K for the year ended December 31, 2023 filed with the U.S. Securities and Exchange Commission on February 29, 2024, (the "Original 10-K"). This Form 10-K/A (the “Amended 10-K No. 2”) amends the Original Amended 10-K and is being filed solely to replace Exhibit 99.1. Uniti Group Inc. inadvertently filed the incorrect version of Exhibit 99.1, thereby omitting disclosure in Note 16 included in Exhibit 99.1 regarding events subsequent to the original issuance of the consolidated financial statements of Windstream Holdings II, LLC as of December 31, 2023 and 2022 and for the years ended December 31, 2023, 2022 and 2021 filed as Exhibit 99.1 to the Original Amended 10-K. The updated Exhibit 99.1 includes the previously omitted disclosure from Note 16 thereto. Except for the foregoing, the Amended 10-K No. 2 does not modify or update any disclosure contained in the Original Amended 10-K or its exhibits, but for ease of reference, this Amended 10-K No. 2 restates in its entirety the Original Amended 10-K,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446405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90" w:right="31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Financial Statement Schedules.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Index to Consolidated Financial Statements in “Financial Statements and Supplementary Data” of the Original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 Schedules</w:t>
      </w:r>
    </w:p>
    <w:p>
      <w:pPr>
        <w:spacing w:after="0" w:line="1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Uniti Group Inc. Schedule I – Condensed Financial Information of the Registrant (Parent Company) Condensed Balance Sheets as of December 31, 2023 and 2022, and the related Condensed Statements of Comprehensive Income and Cash Flows for each of the three years in the period ended December 31, 2023, including the related notes, appearing on pages S-1, S-2, S-3, and S-4 of the Original 10-K.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Uniti Group Inc. Schedule II – Valuation and Qualifying Accounts for each of the three years in the period ended December 31, 2023 appearing on page S-5 of the Original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Uniti Group Inc. Schedule III – Schedule of Real Estate Investments and Accumulated Depreciation as of December 31, 2023 appearing on page S-6 of the Original 10-K.</w:t>
      </w:r>
    </w:p>
    <w:p>
      <w:pPr>
        <w:sectPr>
          <w:pgSz w:w="11900" w:h="16838" w:orient="portrait"/>
          <w:cols w:equalWidth="0" w:num="1">
            <w:col w:w="11240"/>
          </w:cols>
          <w:pgMar w:left="300" w:top="929" w:right="359" w:bottom="1440" w:gutter="0" w:footer="0" w:header="0"/>
        </w:sectPr>
      </w:pP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Index to Exhibits</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480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8030" cy="698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2.1</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2.2</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3.3</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3.4</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4.1#</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4.2</w:t>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4.3</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542353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23535" cy="6985"/>
                    </a:xfrm>
                    <a:prstGeom prst="rect">
                      <a:avLst/>
                    </a:prstGeom>
                    <a:noFill/>
                  </pic:spPr>
                </pic:pic>
              </a:graphicData>
            </a:graphic>
          </wp:anchor>
        </w:drawing>
      </w:r>
    </w:p>
    <w:p>
      <w:pPr>
        <w:spacing w:after="0" w:line="54" w:lineRule="exact"/>
        <w:rPr>
          <w:sz w:val="20"/>
          <w:szCs w:val="20"/>
          <w:color w:val="auto"/>
        </w:rPr>
      </w:pPr>
    </w:p>
    <w:p>
      <w:pPr>
        <w:ind w:right="1560"/>
        <w:spacing w:after="0" w:line="262" w:lineRule="auto"/>
        <w:rPr>
          <w:rFonts w:ascii="Times New Roman" w:cs="Times New Roman" w:eastAsia="Times New Roman" w:hAnsi="Times New Roman"/>
          <w:sz w:val="14"/>
          <w:szCs w:val="14"/>
          <w:u w:val="single" w:color="auto"/>
          <w:color w:val="0000EE"/>
        </w:rPr>
      </w:pPr>
      <w:hyperlink r:id="rId15">
        <w:r>
          <w:rPr>
            <w:rFonts w:ascii="Times New Roman" w:cs="Times New Roman" w:eastAsia="Times New Roman" w:hAnsi="Times New Roman"/>
            <w:sz w:val="14"/>
            <w:szCs w:val="14"/>
            <w:u w:val="single" w:color="auto"/>
            <w:color w:val="0000EE"/>
          </w:rPr>
          <w:t>Separation and Distribution Agreement, dated as of March 26, 2015, by and among Windstream Holdings, Inc., Windstream Services, LLC and</w:t>
        </w:r>
      </w:hyperlink>
      <w:r>
        <w:rPr>
          <w:rFonts w:ascii="Times New Roman" w:cs="Times New Roman" w:eastAsia="Times New Roman" w:hAnsi="Times New Roman"/>
          <w:sz w:val="14"/>
          <w:szCs w:val="14"/>
          <w:u w:val="single" w:color="auto"/>
          <w:color w:val="0000EE"/>
        </w:rPr>
        <w:t xml:space="preserve"> </w:t>
      </w:r>
      <w:hyperlink r:id="rId15">
        <w:r>
          <w:rPr>
            <w:rFonts w:ascii="Times New Roman" w:cs="Times New Roman" w:eastAsia="Times New Roman" w:hAnsi="Times New Roman"/>
            <w:sz w:val="14"/>
            <w:szCs w:val="14"/>
            <w:u w:val="single" w:color="auto"/>
            <w:color w:val="0000EE"/>
          </w:rPr>
          <w:t>Communications Sales &amp; Leasing, Inc. (incorporated by reference to Exhibit 2.1 to the Company’s Current Report on Form 8-K dated and filed with</w:t>
        </w:r>
      </w:hyperlink>
      <w:r>
        <w:rPr>
          <w:rFonts w:ascii="Times New Roman" w:cs="Times New Roman" w:eastAsia="Times New Roman" w:hAnsi="Times New Roman"/>
          <w:sz w:val="14"/>
          <w:szCs w:val="14"/>
          <w:u w:val="single" w:color="auto"/>
          <w:color w:val="0000EE"/>
        </w:rPr>
        <w:t xml:space="preserve"> </w:t>
      </w:r>
      <w:hyperlink r:id="rId15">
        <w:r>
          <w:rPr>
            <w:rFonts w:ascii="Times New Roman" w:cs="Times New Roman" w:eastAsia="Times New Roman" w:hAnsi="Times New Roman"/>
            <w:sz w:val="14"/>
            <w:szCs w:val="14"/>
            <w:u w:val="single" w:color="auto"/>
            <w:color w:val="0000EE"/>
          </w:rPr>
          <w:t>the SEC as of March 26, 2015 (File No. 001-36708))</w:t>
        </w:r>
      </w:hyperlink>
    </w:p>
    <w:p>
      <w:pPr>
        <w:spacing w:after="0" w:line="14" w:lineRule="exact"/>
        <w:rPr>
          <w:rFonts w:ascii="Times New Roman" w:cs="Times New Roman" w:eastAsia="Times New Roman" w:hAnsi="Times New Roman"/>
          <w:sz w:val="14"/>
          <w:szCs w:val="14"/>
          <w:u w:val="single" w:color="auto"/>
          <w:color w:val="0000EE"/>
        </w:rPr>
      </w:pPr>
    </w:p>
    <w:p>
      <w:pPr>
        <w:ind w:right="1660"/>
        <w:spacing w:after="0" w:line="239" w:lineRule="auto"/>
        <w:rPr>
          <w:rFonts w:ascii="Times New Roman" w:cs="Times New Roman" w:eastAsia="Times New Roman" w:hAnsi="Times New Roman"/>
          <w:sz w:val="14"/>
          <w:szCs w:val="14"/>
          <w:u w:val="single" w:color="auto"/>
          <w:color w:val="0000EE"/>
        </w:rPr>
      </w:pPr>
      <w:hyperlink r:id="rId16">
        <w:r>
          <w:rPr>
            <w:rFonts w:ascii="Times New Roman" w:cs="Times New Roman" w:eastAsia="Times New Roman" w:hAnsi="Times New Roman"/>
            <w:sz w:val="14"/>
            <w:szCs w:val="14"/>
            <w:u w:val="single" w:color="auto"/>
            <w:color w:val="0000EE"/>
          </w:rPr>
          <w:t>Second Amended and Restated Agreement of Limited Partnership of Uniti Group LP, dated as of December 12, 2022 (incorporated by reference to</w:t>
        </w:r>
      </w:hyperlink>
      <w:r>
        <w:rPr>
          <w:rFonts w:ascii="Times New Roman" w:cs="Times New Roman" w:eastAsia="Times New Roman" w:hAnsi="Times New Roman"/>
          <w:sz w:val="14"/>
          <w:szCs w:val="14"/>
          <w:u w:val="single" w:color="auto"/>
          <w:color w:val="0000EE"/>
        </w:rPr>
        <w:t xml:space="preserve"> </w:t>
      </w:r>
      <w:hyperlink r:id="rId16">
        <w:r>
          <w:rPr>
            <w:rFonts w:ascii="Times New Roman" w:cs="Times New Roman" w:eastAsia="Times New Roman" w:hAnsi="Times New Roman"/>
            <w:sz w:val="14"/>
            <w:szCs w:val="14"/>
            <w:u w:val="single" w:color="auto"/>
            <w:color w:val="0000EE"/>
          </w:rPr>
          <w:t>Exhibit 2.2 to the Company's Annual Report on Form 10-K dated and filed with the SEC as of February 28, 2023 (File No. 001-36708))</w:t>
        </w:r>
      </w:hyperlink>
    </w:p>
    <w:p>
      <w:pPr>
        <w:spacing w:after="0" w:line="40" w:lineRule="exact"/>
        <w:rPr>
          <w:sz w:val="20"/>
          <w:szCs w:val="20"/>
          <w:color w:val="auto"/>
        </w:rPr>
      </w:pPr>
    </w:p>
    <w:p>
      <w:pPr>
        <w:ind w:right="1880"/>
        <w:spacing w:after="0" w:line="271" w:lineRule="auto"/>
        <w:rPr>
          <w:rFonts w:ascii="Times New Roman" w:cs="Times New Roman" w:eastAsia="Times New Roman" w:hAnsi="Times New Roman"/>
          <w:sz w:val="14"/>
          <w:szCs w:val="14"/>
          <w:u w:val="single" w:color="auto"/>
          <w:color w:val="0000EE"/>
        </w:rPr>
      </w:pPr>
      <w:hyperlink r:id="rId17">
        <w:r>
          <w:rPr>
            <w:rFonts w:ascii="Times New Roman" w:cs="Times New Roman" w:eastAsia="Times New Roman" w:hAnsi="Times New Roman"/>
            <w:sz w:val="14"/>
            <w:szCs w:val="14"/>
            <w:u w:val="single" w:color="auto"/>
            <w:color w:val="0000EE"/>
          </w:rPr>
          <w:t>Articles of Amendment and Restatement of Communications Sales &amp; Leasing, Inc. (incorporated by reference to Exhibit 3.1 to the Company’s</w:t>
        </w:r>
      </w:hyperlink>
      <w:r>
        <w:rPr>
          <w:rFonts w:ascii="Times New Roman" w:cs="Times New Roman" w:eastAsia="Times New Roman" w:hAnsi="Times New Roman"/>
          <w:sz w:val="14"/>
          <w:szCs w:val="14"/>
          <w:u w:val="single" w:color="auto"/>
          <w:color w:val="0000EE"/>
        </w:rPr>
        <w:t xml:space="preserve"> </w:t>
      </w:r>
      <w:hyperlink r:id="rId17">
        <w:r>
          <w:rPr>
            <w:rFonts w:ascii="Times New Roman" w:cs="Times New Roman" w:eastAsia="Times New Roman" w:hAnsi="Times New Roman"/>
            <w:sz w:val="14"/>
            <w:szCs w:val="14"/>
            <w:u w:val="single" w:color="auto"/>
            <w:color w:val="0000EE"/>
          </w:rPr>
          <w:t>Current Report on Form 8-K dated and filed with the SEC as of April 10, 2015 (File No. 001-36708))</w:t>
        </w:r>
      </w:hyperlink>
    </w:p>
    <w:p>
      <w:pPr>
        <w:spacing w:after="0" w:line="50" w:lineRule="exact"/>
        <w:rPr>
          <w:sz w:val="20"/>
          <w:szCs w:val="20"/>
          <w:color w:val="auto"/>
        </w:rPr>
      </w:pPr>
    </w:p>
    <w:p>
      <w:pPr>
        <w:ind w:right="1780"/>
        <w:spacing w:after="0" w:line="271" w:lineRule="auto"/>
        <w:rPr>
          <w:rFonts w:ascii="Times New Roman" w:cs="Times New Roman" w:eastAsia="Times New Roman" w:hAnsi="Times New Roman"/>
          <w:sz w:val="14"/>
          <w:szCs w:val="14"/>
          <w:u w:val="single" w:color="auto"/>
          <w:color w:val="0000EE"/>
        </w:rPr>
      </w:pPr>
      <w:hyperlink r:id="rId18">
        <w:r>
          <w:rPr>
            <w:rFonts w:ascii="Times New Roman" w:cs="Times New Roman" w:eastAsia="Times New Roman" w:hAnsi="Times New Roman"/>
            <w:sz w:val="14"/>
            <w:szCs w:val="14"/>
            <w:u w:val="single" w:color="auto"/>
            <w:color w:val="0000EE"/>
          </w:rPr>
          <w:t>Articles of Amendment of Communications Sales &amp; Leasing, Inc. (incorporated by reference to Exhibit 3.1 to the Company’s Current Report on</w:t>
        </w:r>
      </w:hyperlink>
      <w:r>
        <w:rPr>
          <w:rFonts w:ascii="Times New Roman" w:cs="Times New Roman" w:eastAsia="Times New Roman" w:hAnsi="Times New Roman"/>
          <w:sz w:val="14"/>
          <w:szCs w:val="14"/>
          <w:u w:val="single" w:color="auto"/>
          <w:color w:val="0000EE"/>
        </w:rPr>
        <w:t xml:space="preserve"> </w:t>
      </w:r>
      <w:hyperlink r:id="rId18">
        <w:r>
          <w:rPr>
            <w:rFonts w:ascii="Times New Roman" w:cs="Times New Roman" w:eastAsia="Times New Roman" w:hAnsi="Times New Roman"/>
            <w:sz w:val="14"/>
            <w:szCs w:val="14"/>
            <w:u w:val="single" w:color="auto"/>
            <w:color w:val="0000EE"/>
          </w:rPr>
          <w:t>Form 8-K dated and filed with the SEC as of February 28, 2017 (File No. 001-36708))</w:t>
        </w:r>
      </w:hyperlink>
    </w:p>
    <w:p>
      <w:pPr>
        <w:spacing w:after="0" w:line="50" w:lineRule="exact"/>
        <w:rPr>
          <w:sz w:val="20"/>
          <w:szCs w:val="20"/>
          <w:color w:val="auto"/>
        </w:rPr>
      </w:pPr>
    </w:p>
    <w:p>
      <w:pPr>
        <w:ind w:right="1600"/>
        <w:spacing w:after="0" w:line="271" w:lineRule="auto"/>
        <w:rPr>
          <w:rFonts w:ascii="Times New Roman" w:cs="Times New Roman" w:eastAsia="Times New Roman" w:hAnsi="Times New Roman"/>
          <w:sz w:val="14"/>
          <w:szCs w:val="14"/>
          <w:u w:val="single" w:color="auto"/>
          <w:color w:val="0000EE"/>
        </w:rPr>
      </w:pPr>
      <w:hyperlink r:id="rId19">
        <w:r>
          <w:rPr>
            <w:rFonts w:ascii="Times New Roman" w:cs="Times New Roman" w:eastAsia="Times New Roman" w:hAnsi="Times New Roman"/>
            <w:sz w:val="14"/>
            <w:szCs w:val="14"/>
            <w:u w:val="single" w:color="auto"/>
            <w:color w:val="0000EE"/>
          </w:rPr>
          <w:t>Articles of Amendment of Uniti Group Inc. (incorporated by reference to Exhibit 3.1 to the Company’s Current Report on Form 8-K dated and filed</w:t>
        </w:r>
      </w:hyperlink>
      <w:r>
        <w:rPr>
          <w:rFonts w:ascii="Times New Roman" w:cs="Times New Roman" w:eastAsia="Times New Roman" w:hAnsi="Times New Roman"/>
          <w:sz w:val="14"/>
          <w:szCs w:val="14"/>
          <w:u w:val="single" w:color="auto"/>
          <w:color w:val="0000EE"/>
        </w:rPr>
        <w:t xml:space="preserve"> </w:t>
      </w:r>
      <w:hyperlink r:id="rId19">
        <w:r>
          <w:rPr>
            <w:rFonts w:ascii="Times New Roman" w:cs="Times New Roman" w:eastAsia="Times New Roman" w:hAnsi="Times New Roman"/>
            <w:sz w:val="14"/>
            <w:szCs w:val="14"/>
            <w:u w:val="single" w:color="auto"/>
            <w:color w:val="0000EE"/>
          </w:rPr>
          <w:t>with the SEC as of May 18, 2018 (File No. 001-36708))</w:t>
        </w:r>
      </w:hyperlink>
    </w:p>
    <w:p>
      <w:pPr>
        <w:spacing w:after="0" w:line="18" w:lineRule="exact"/>
        <w:rPr>
          <w:sz w:val="20"/>
          <w:szCs w:val="20"/>
          <w:color w:val="auto"/>
        </w:rPr>
      </w:pPr>
    </w:p>
    <w:p>
      <w:pPr>
        <w:ind w:right="1860"/>
        <w:spacing w:after="0" w:line="239" w:lineRule="auto"/>
        <w:rPr>
          <w:rFonts w:ascii="Times New Roman" w:cs="Times New Roman" w:eastAsia="Times New Roman" w:hAnsi="Times New Roman"/>
          <w:sz w:val="14"/>
          <w:szCs w:val="14"/>
          <w:u w:val="single" w:color="auto"/>
          <w:color w:val="0000FF"/>
        </w:rPr>
      </w:pPr>
      <w:hyperlink r:id="rId20">
        <w:r>
          <w:rPr>
            <w:rFonts w:ascii="Times New Roman" w:cs="Times New Roman" w:eastAsia="Times New Roman" w:hAnsi="Times New Roman"/>
            <w:sz w:val="14"/>
            <w:szCs w:val="14"/>
            <w:u w:val="single" w:color="auto"/>
            <w:color w:val="0000FF"/>
          </w:rPr>
          <w:t>Amended and Restated Bylaws of Uniti Group Inc., as amended November 1, 2023 (incorporated by reference to Exhibit 3.1 to the Company’s</w:t>
        </w:r>
      </w:hyperlink>
      <w:r>
        <w:rPr>
          <w:rFonts w:ascii="Times New Roman" w:cs="Times New Roman" w:eastAsia="Times New Roman" w:hAnsi="Times New Roman"/>
          <w:sz w:val="14"/>
          <w:szCs w:val="14"/>
          <w:u w:val="single" w:color="auto"/>
          <w:color w:val="0000FF"/>
        </w:rPr>
        <w:t xml:space="preserve"> </w:t>
      </w:r>
      <w:hyperlink r:id="rId20">
        <w:r>
          <w:rPr>
            <w:rFonts w:ascii="Times New Roman" w:cs="Times New Roman" w:eastAsia="Times New Roman" w:hAnsi="Times New Roman"/>
            <w:sz w:val="14"/>
            <w:szCs w:val="14"/>
            <w:u w:val="single" w:color="auto"/>
            <w:color w:val="0000FF"/>
          </w:rPr>
          <w:t>Quarterly Report on Form 10-Q dated and filed with the SEC as of November 2, 2023 (File No. 001-36708))</w:t>
        </w:r>
      </w:hyperlink>
    </w:p>
    <w:p>
      <w:pPr>
        <w:spacing w:after="0" w:line="40" w:lineRule="exact"/>
        <w:rPr>
          <w:sz w:val="20"/>
          <w:szCs w:val="20"/>
          <w:color w:val="auto"/>
        </w:rPr>
      </w:pPr>
    </w:p>
    <w:p>
      <w:pPr>
        <w:spacing w:after="0"/>
        <w:rPr>
          <w:rFonts w:ascii="Times New Roman" w:cs="Times New Roman" w:eastAsia="Times New Roman" w:hAnsi="Times New Roman"/>
          <w:sz w:val="14"/>
          <w:szCs w:val="14"/>
          <w:u w:val="single" w:color="auto"/>
          <w:color w:val="0000EE"/>
        </w:rPr>
      </w:pPr>
      <w:hyperlink r:id="rId21">
        <w:r>
          <w:rPr>
            <w:rFonts w:ascii="Times New Roman" w:cs="Times New Roman" w:eastAsia="Times New Roman" w:hAnsi="Times New Roman"/>
            <w:sz w:val="14"/>
            <w:szCs w:val="14"/>
            <w:u w:val="single" w:color="auto"/>
            <w:color w:val="0000EE"/>
          </w:rPr>
          <w:t>Description of the Registrant’s Securities Registered Pursuant to Section 12 of the Securities Exchange Act of 1934</w:t>
        </w:r>
      </w:hyperlink>
    </w:p>
    <w:p>
      <w:pPr>
        <w:spacing w:after="0" w:line="83" w:lineRule="exact"/>
        <w:rPr>
          <w:sz w:val="20"/>
          <w:szCs w:val="20"/>
          <w:color w:val="auto"/>
        </w:rPr>
      </w:pPr>
    </w:p>
    <w:p>
      <w:pPr>
        <w:ind w:right="1480"/>
        <w:spacing w:after="0" w:line="253" w:lineRule="auto"/>
        <w:rPr>
          <w:rFonts w:ascii="Times New Roman" w:cs="Times New Roman" w:eastAsia="Times New Roman" w:hAnsi="Times New Roman"/>
          <w:sz w:val="14"/>
          <w:szCs w:val="14"/>
          <w:u w:val="single" w:color="auto"/>
          <w:color w:val="0000EE"/>
        </w:rPr>
      </w:pPr>
      <w:hyperlink r:id="rId22">
        <w:r>
          <w:rPr>
            <w:rFonts w:ascii="Times New Roman" w:cs="Times New Roman" w:eastAsia="Times New Roman" w:hAnsi="Times New Roman"/>
            <w:sz w:val="14"/>
            <w:szCs w:val="14"/>
            <w:u w:val="single" w:color="auto"/>
            <w:color w:val="0000EE"/>
          </w:rPr>
          <w:t>Indenture, dated as of June 28, 2019, among Uniti Fiber Holdings, Inc., as issuer, Uniti Group Inc. and the other guarantors named therein, as</w:t>
        </w:r>
      </w:hyperlink>
      <w:r>
        <w:rPr>
          <w:rFonts w:ascii="Times New Roman" w:cs="Times New Roman" w:eastAsia="Times New Roman" w:hAnsi="Times New Roman"/>
          <w:sz w:val="14"/>
          <w:szCs w:val="14"/>
          <w:u w:val="single" w:color="auto"/>
          <w:color w:val="0000EE"/>
        </w:rPr>
        <w:t xml:space="preserve"> </w:t>
      </w:r>
      <w:hyperlink r:id="rId22">
        <w:r>
          <w:rPr>
            <w:rFonts w:ascii="Times New Roman" w:cs="Times New Roman" w:eastAsia="Times New Roman" w:hAnsi="Times New Roman"/>
            <w:sz w:val="14"/>
            <w:szCs w:val="14"/>
            <w:u w:val="single" w:color="auto"/>
            <w:color w:val="0000EE"/>
          </w:rPr>
          <w:t>guarantors, and Deutsche Bank Trust Company Americas, as trustee, governing the 4.00% Exchangeable Senior Notes due 2024 (incorporated by</w:t>
        </w:r>
      </w:hyperlink>
      <w:r>
        <w:rPr>
          <w:rFonts w:ascii="Times New Roman" w:cs="Times New Roman" w:eastAsia="Times New Roman" w:hAnsi="Times New Roman"/>
          <w:sz w:val="14"/>
          <w:szCs w:val="14"/>
          <w:u w:val="single" w:color="auto"/>
          <w:color w:val="0000EE"/>
        </w:rPr>
        <w:t xml:space="preserve"> </w:t>
      </w:r>
      <w:hyperlink r:id="rId22">
        <w:r>
          <w:rPr>
            <w:rFonts w:ascii="Times New Roman" w:cs="Times New Roman" w:eastAsia="Times New Roman" w:hAnsi="Times New Roman"/>
            <w:sz w:val="14"/>
            <w:szCs w:val="14"/>
            <w:u w:val="single" w:color="auto"/>
            <w:color w:val="0000EE"/>
          </w:rPr>
          <w:t>reference to Exhibit 4.1 to the Company’s Current Report on Form 8-K dated June 25, 2019 and filed with the SEC as of June 28, 2019 (File No. 001-</w:t>
        </w:r>
      </w:hyperlink>
      <w:hyperlink r:id="rId22">
        <w:r>
          <w:rPr>
            <w:rFonts w:ascii="Times New Roman" w:cs="Times New Roman" w:eastAsia="Times New Roman" w:hAnsi="Times New Roman"/>
            <w:sz w:val="14"/>
            <w:szCs w:val="14"/>
            <w:u w:val="single" w:color="auto"/>
            <w:color w:val="0000EE"/>
          </w:rPr>
          <w:t>36708))</w:t>
        </w:r>
      </w:hyperlink>
    </w:p>
    <w:p>
      <w:pPr>
        <w:spacing w:after="0" w:line="53" w:lineRule="exact"/>
        <w:rPr>
          <w:rFonts w:ascii="Times New Roman" w:cs="Times New Roman" w:eastAsia="Times New Roman" w:hAnsi="Times New Roman"/>
          <w:sz w:val="14"/>
          <w:szCs w:val="14"/>
          <w:u w:val="single" w:color="auto"/>
          <w:color w:val="0000EE"/>
        </w:rPr>
      </w:pPr>
    </w:p>
    <w:p>
      <w:pPr>
        <w:ind w:right="1780"/>
        <w:spacing w:after="0" w:line="271" w:lineRule="auto"/>
        <w:rPr>
          <w:rFonts w:ascii="Times New Roman" w:cs="Times New Roman" w:eastAsia="Times New Roman" w:hAnsi="Times New Roman"/>
          <w:sz w:val="14"/>
          <w:szCs w:val="14"/>
          <w:u w:val="single" w:color="auto"/>
          <w:color w:val="0000EE"/>
        </w:rPr>
      </w:pPr>
      <w:hyperlink r:id="rId22">
        <w:r>
          <w:rPr>
            <w:rFonts w:ascii="Times New Roman" w:cs="Times New Roman" w:eastAsia="Times New Roman" w:hAnsi="Times New Roman"/>
            <w:sz w:val="14"/>
            <w:szCs w:val="14"/>
            <w:u w:val="single" w:color="auto"/>
            <w:color w:val="0000EE"/>
          </w:rPr>
          <w:t>Form of 4.00% Exchangeable Senior Notes due 2024 (included in Exhibit 4.2 above) (incorporated by reference to Exhibit 4.2 to the Company’s</w:t>
        </w:r>
      </w:hyperlink>
      <w:r>
        <w:rPr>
          <w:rFonts w:ascii="Times New Roman" w:cs="Times New Roman" w:eastAsia="Times New Roman" w:hAnsi="Times New Roman"/>
          <w:sz w:val="14"/>
          <w:szCs w:val="14"/>
          <w:u w:val="single" w:color="auto"/>
          <w:color w:val="0000EE"/>
        </w:rPr>
        <w:t xml:space="preserve"> </w:t>
      </w:r>
      <w:hyperlink r:id="rId22">
        <w:r>
          <w:rPr>
            <w:rFonts w:ascii="Times New Roman" w:cs="Times New Roman" w:eastAsia="Times New Roman" w:hAnsi="Times New Roman"/>
            <w:sz w:val="14"/>
            <w:szCs w:val="14"/>
            <w:u w:val="single" w:color="auto"/>
            <w:color w:val="0000EE"/>
          </w:rPr>
          <w:t>Current Report on Form 8-K dated June 25, 2019 and filed with the SEC as of June 28, 2019 (File No. 001-36708))</w:t>
        </w:r>
      </w:hyperlink>
    </w:p>
    <w:p>
      <w:pPr>
        <w:spacing w:after="0" w:line="50" w:lineRule="exact"/>
        <w:rPr>
          <w:sz w:val="20"/>
          <w:szCs w:val="20"/>
          <w:color w:val="auto"/>
        </w:rPr>
      </w:pPr>
    </w:p>
    <w:p>
      <w:pPr>
        <w:jc w:val="both"/>
        <w:ind w:right="1640"/>
        <w:spacing w:after="0" w:line="262" w:lineRule="auto"/>
        <w:rPr>
          <w:rFonts w:ascii="Times New Roman" w:cs="Times New Roman" w:eastAsia="Times New Roman" w:hAnsi="Times New Roman"/>
          <w:sz w:val="14"/>
          <w:szCs w:val="14"/>
          <w:u w:val="single" w:color="auto"/>
          <w:color w:val="0000EE"/>
        </w:rPr>
      </w:pPr>
      <w:hyperlink r:id="rId23">
        <w:r>
          <w:rPr>
            <w:rFonts w:ascii="Times New Roman" w:cs="Times New Roman" w:eastAsia="Times New Roman" w:hAnsi="Times New Roman"/>
            <w:sz w:val="14"/>
            <w:szCs w:val="14"/>
            <w:u w:val="single" w:color="auto"/>
            <w:color w:val="0000EE"/>
          </w:rPr>
          <w:t>Indenture, dated February 2, 2021, by and among Uniti Group LP, Uniti Group Finance 2019 Inc. and CSL Capital, LLC, as Issuers, the guarantors</w:t>
        </w:r>
      </w:hyperlink>
      <w:r>
        <w:rPr>
          <w:rFonts w:ascii="Times New Roman" w:cs="Times New Roman" w:eastAsia="Times New Roman" w:hAnsi="Times New Roman"/>
          <w:sz w:val="14"/>
          <w:szCs w:val="14"/>
          <w:u w:val="single" w:color="auto"/>
          <w:color w:val="0000EE"/>
        </w:rPr>
        <w:t xml:space="preserve"> </w:t>
      </w:r>
      <w:hyperlink r:id="rId23">
        <w:r>
          <w:rPr>
            <w:rFonts w:ascii="Times New Roman" w:cs="Times New Roman" w:eastAsia="Times New Roman" w:hAnsi="Times New Roman"/>
            <w:sz w:val="14"/>
            <w:szCs w:val="14"/>
            <w:u w:val="single" w:color="auto"/>
            <w:color w:val="0000EE"/>
          </w:rPr>
          <w:t>party thereto and Deutsche Bank Trust Company Americas, as trustee, governing the 6.500% Senior Notes due 2029 (incorporated by reference to</w:t>
        </w:r>
      </w:hyperlink>
      <w:r>
        <w:rPr>
          <w:rFonts w:ascii="Times New Roman" w:cs="Times New Roman" w:eastAsia="Times New Roman" w:hAnsi="Times New Roman"/>
          <w:sz w:val="14"/>
          <w:szCs w:val="14"/>
          <w:u w:val="single" w:color="auto"/>
          <w:color w:val="0000EE"/>
        </w:rPr>
        <w:t xml:space="preserve"> </w:t>
      </w:r>
      <w:hyperlink r:id="rId23">
        <w:r>
          <w:rPr>
            <w:rFonts w:ascii="Times New Roman" w:cs="Times New Roman" w:eastAsia="Times New Roman" w:hAnsi="Times New Roman"/>
            <w:sz w:val="14"/>
            <w:szCs w:val="14"/>
            <w:u w:val="single" w:color="auto"/>
            <w:color w:val="0000EE"/>
          </w:rPr>
          <w:t>Exhibit 4.1 to the Company’s Current Report on Form 8-K dated and filed with the SEC as of February 2, 2021 (File No. 001-36708))</w:t>
        </w:r>
      </w:hyperlink>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-821690</wp:posOffset>
            </wp:positionH>
            <wp:positionV relativeFrom="paragraph">
              <wp:posOffset>504190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040" w:space="240"/>
            <w:col w:w="9960"/>
          </w:cols>
          <w:pgMar w:left="300" w:top="929"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color w:val="auto"/>
        </w:rPr>
        <w:t>4.5</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4.6</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4.10</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4.11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4.12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4.13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10.2</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10.3</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399"/>
        <w:spacing w:after="0" w:line="271" w:lineRule="auto"/>
        <w:rPr>
          <w:rFonts w:ascii="Times New Roman" w:cs="Times New Roman" w:eastAsia="Times New Roman" w:hAnsi="Times New Roman"/>
          <w:sz w:val="14"/>
          <w:szCs w:val="14"/>
          <w:u w:val="single" w:color="auto"/>
          <w:color w:val="0000EE"/>
        </w:rPr>
      </w:pPr>
      <w:hyperlink r:id="rId23">
        <w:r>
          <w:rPr>
            <w:rFonts w:ascii="Times New Roman" w:cs="Times New Roman" w:eastAsia="Times New Roman" w:hAnsi="Times New Roman"/>
            <w:sz w:val="14"/>
            <w:szCs w:val="14"/>
            <w:u w:val="single" w:color="auto"/>
            <w:color w:val="0000EE"/>
          </w:rPr>
          <w:t>Form of 6.500% Senior Notes due 2029 (included in Exhibit 4.4 above) (incorporated by reference to Exhibit 4.2 to the Company’s Current Report on</w:t>
        </w:r>
      </w:hyperlink>
      <w:r>
        <w:rPr>
          <w:rFonts w:ascii="Times New Roman" w:cs="Times New Roman" w:eastAsia="Times New Roman" w:hAnsi="Times New Roman"/>
          <w:sz w:val="14"/>
          <w:szCs w:val="14"/>
          <w:u w:val="single" w:color="auto"/>
          <w:color w:val="0000EE"/>
        </w:rPr>
        <w:t xml:space="preserve"> </w:t>
      </w:r>
      <w:hyperlink r:id="rId23">
        <w:r>
          <w:rPr>
            <w:rFonts w:ascii="Times New Roman" w:cs="Times New Roman" w:eastAsia="Times New Roman" w:hAnsi="Times New Roman"/>
            <w:sz w:val="14"/>
            <w:szCs w:val="14"/>
            <w:u w:val="single" w:color="auto"/>
            <w:color w:val="0000EE"/>
          </w:rPr>
          <w:t>Form 8-K dated and filed with the SEC as of February 2, 2021 (File No. 001-36708))</w:t>
        </w:r>
      </w:hyperlink>
    </w:p>
    <w:p>
      <w:pPr>
        <w:spacing w:after="0" w:line="50" w:lineRule="exact"/>
        <w:rPr>
          <w:sz w:val="20"/>
          <w:szCs w:val="20"/>
          <w:color w:val="auto"/>
        </w:rPr>
      </w:pPr>
    </w:p>
    <w:p>
      <w:pPr>
        <w:ind w:right="479"/>
        <w:spacing w:after="0" w:line="262" w:lineRule="auto"/>
        <w:rPr>
          <w:rFonts w:ascii="Times New Roman" w:cs="Times New Roman" w:eastAsia="Times New Roman" w:hAnsi="Times New Roman"/>
          <w:sz w:val="14"/>
          <w:szCs w:val="14"/>
          <w:u w:val="single" w:color="auto"/>
          <w:color w:val="0000EE"/>
        </w:rPr>
      </w:pPr>
      <w:hyperlink r:id="rId25">
        <w:r>
          <w:rPr>
            <w:rFonts w:ascii="Times New Roman" w:cs="Times New Roman" w:eastAsia="Times New Roman" w:hAnsi="Times New Roman"/>
            <w:sz w:val="14"/>
            <w:szCs w:val="14"/>
            <w:u w:val="single" w:color="auto"/>
            <w:color w:val="0000EE"/>
          </w:rPr>
          <w:t>Indenture, dated as April 20, 2021, by and among Uniti Group LP, Uniti Group Finance 2019 Inc. and CSL Capital, LLC, as issuers, the guarantors</w:t>
        </w:r>
      </w:hyperlink>
      <w:r>
        <w:rPr>
          <w:rFonts w:ascii="Times New Roman" w:cs="Times New Roman" w:eastAsia="Times New Roman" w:hAnsi="Times New Roman"/>
          <w:sz w:val="14"/>
          <w:szCs w:val="14"/>
          <w:u w:val="single" w:color="auto"/>
          <w:color w:val="0000EE"/>
        </w:rPr>
        <w:t xml:space="preserve"> </w:t>
      </w:r>
      <w:hyperlink r:id="rId25">
        <w:r>
          <w:rPr>
            <w:rFonts w:ascii="Times New Roman" w:cs="Times New Roman" w:eastAsia="Times New Roman" w:hAnsi="Times New Roman"/>
            <w:sz w:val="14"/>
            <w:szCs w:val="14"/>
            <w:u w:val="single" w:color="auto"/>
            <w:color w:val="0000EE"/>
          </w:rPr>
          <w:t>party thereto, and Deutsche Bank Trust Company Americas, as trustee and collateral agent, governing the 4.750% Senior Secured Notes due 2028</w:t>
        </w:r>
      </w:hyperlink>
      <w:r>
        <w:rPr>
          <w:rFonts w:ascii="Times New Roman" w:cs="Times New Roman" w:eastAsia="Times New Roman" w:hAnsi="Times New Roman"/>
          <w:sz w:val="14"/>
          <w:szCs w:val="14"/>
          <w:u w:val="single" w:color="auto"/>
          <w:color w:val="0000EE"/>
        </w:rPr>
        <w:t xml:space="preserve"> </w:t>
      </w:r>
      <w:hyperlink r:id="rId25">
        <w:r>
          <w:rPr>
            <w:rFonts w:ascii="Times New Roman" w:cs="Times New Roman" w:eastAsia="Times New Roman" w:hAnsi="Times New Roman"/>
            <w:sz w:val="14"/>
            <w:szCs w:val="14"/>
            <w:u w:val="single" w:color="auto"/>
            <w:color w:val="0000EE"/>
          </w:rPr>
          <w:t>(incorporated by reference to Exhibit 4.1 to the Company’s Current Report on Form 8-K filed with the SEC on April 20, 2021 (File No. 001-36708))</w:t>
        </w:r>
      </w:hyperlink>
    </w:p>
    <w:p>
      <w:pPr>
        <w:spacing w:after="0" w:line="35" w:lineRule="exact"/>
        <w:rPr>
          <w:rFonts w:ascii="Times New Roman" w:cs="Times New Roman" w:eastAsia="Times New Roman" w:hAnsi="Times New Roman"/>
          <w:sz w:val="14"/>
          <w:szCs w:val="14"/>
          <w:u w:val="single" w:color="auto"/>
          <w:color w:val="0000EE"/>
        </w:rPr>
      </w:pPr>
    </w:p>
    <w:p>
      <w:pPr>
        <w:ind w:right="499"/>
        <w:spacing w:after="0" w:line="239" w:lineRule="auto"/>
        <w:rPr>
          <w:rFonts w:ascii="Times New Roman" w:cs="Times New Roman" w:eastAsia="Times New Roman" w:hAnsi="Times New Roman"/>
          <w:sz w:val="14"/>
          <w:szCs w:val="14"/>
          <w:u w:val="single" w:color="auto"/>
          <w:color w:val="0000EE"/>
        </w:rPr>
      </w:pPr>
      <w:hyperlink r:id="rId25">
        <w:r>
          <w:rPr>
            <w:rFonts w:ascii="Times New Roman" w:cs="Times New Roman" w:eastAsia="Times New Roman" w:hAnsi="Times New Roman"/>
            <w:sz w:val="14"/>
            <w:szCs w:val="14"/>
            <w:u w:val="single" w:color="auto"/>
            <w:color w:val="0000EE"/>
          </w:rPr>
          <w:t>Form of 4.750% Senior Secured Notes due 2028 (included in Exhibit 4.6 above) (incorporated by reference to Exhibit 4.2 to the Company’s Current</w:t>
        </w:r>
      </w:hyperlink>
      <w:r>
        <w:rPr>
          <w:rFonts w:ascii="Times New Roman" w:cs="Times New Roman" w:eastAsia="Times New Roman" w:hAnsi="Times New Roman"/>
          <w:sz w:val="14"/>
          <w:szCs w:val="14"/>
          <w:u w:val="single" w:color="auto"/>
          <w:color w:val="0000EE"/>
        </w:rPr>
        <w:t xml:space="preserve"> </w:t>
      </w:r>
      <w:hyperlink r:id="rId25">
        <w:r>
          <w:rPr>
            <w:rFonts w:ascii="Times New Roman" w:cs="Times New Roman" w:eastAsia="Times New Roman" w:hAnsi="Times New Roman"/>
            <w:sz w:val="14"/>
            <w:szCs w:val="14"/>
            <w:u w:val="single" w:color="auto"/>
            <w:color w:val="0000EE"/>
          </w:rPr>
          <w:t>Report on Form 8-K filed with the SEC on April 20, 2021 (File No. 001-36708))</w:t>
        </w:r>
      </w:hyperlink>
    </w:p>
    <w:p>
      <w:pPr>
        <w:spacing w:after="0" w:line="61" w:lineRule="exact"/>
        <w:rPr>
          <w:sz w:val="20"/>
          <w:szCs w:val="20"/>
          <w:color w:val="auto"/>
        </w:rPr>
      </w:pPr>
    </w:p>
    <w:p>
      <w:pPr>
        <w:ind w:right="499"/>
        <w:spacing w:after="0" w:line="253" w:lineRule="auto"/>
        <w:rPr>
          <w:rFonts w:ascii="Times New Roman" w:cs="Times New Roman" w:eastAsia="Times New Roman" w:hAnsi="Times New Roman"/>
          <w:sz w:val="14"/>
          <w:szCs w:val="14"/>
          <w:u w:val="single" w:color="auto"/>
          <w:color w:val="0000EE"/>
        </w:rPr>
      </w:pPr>
      <w:hyperlink r:id="rId26">
        <w:r>
          <w:rPr>
            <w:rFonts w:ascii="Times New Roman" w:cs="Times New Roman" w:eastAsia="Times New Roman" w:hAnsi="Times New Roman"/>
            <w:sz w:val="14"/>
            <w:szCs w:val="14"/>
            <w:u w:val="single" w:color="auto"/>
            <w:color w:val="0000EE"/>
          </w:rPr>
          <w:t>Indenture, dated October 13, 2021, by and among Uniti Group LP, Uniti Fiber Holdings Inc., Uniti Group Finance 2019 Inc. and CSL Capital, LLC,</w:t>
        </w:r>
      </w:hyperlink>
      <w:r>
        <w:rPr>
          <w:rFonts w:ascii="Times New Roman" w:cs="Times New Roman" w:eastAsia="Times New Roman" w:hAnsi="Times New Roman"/>
          <w:sz w:val="14"/>
          <w:szCs w:val="14"/>
          <w:u w:val="single" w:color="auto"/>
          <w:color w:val="0000EE"/>
        </w:rPr>
        <w:t xml:space="preserve"> </w:t>
      </w:r>
      <w:hyperlink r:id="rId26">
        <w:r>
          <w:rPr>
            <w:rFonts w:ascii="Times New Roman" w:cs="Times New Roman" w:eastAsia="Times New Roman" w:hAnsi="Times New Roman"/>
            <w:sz w:val="14"/>
            <w:szCs w:val="14"/>
            <w:u w:val="single" w:color="auto"/>
            <w:color w:val="0000EE"/>
          </w:rPr>
          <w:t>as Issuers, the guarantors party thereto and Deutsche Bank Trust Company Americas, as trustee, governing the 6.000% Senior Notes due 2030</w:t>
        </w:r>
      </w:hyperlink>
      <w:r>
        <w:rPr>
          <w:rFonts w:ascii="Times New Roman" w:cs="Times New Roman" w:eastAsia="Times New Roman" w:hAnsi="Times New Roman"/>
          <w:sz w:val="14"/>
          <w:szCs w:val="14"/>
          <w:u w:val="single" w:color="auto"/>
          <w:color w:val="0000EE"/>
        </w:rPr>
        <w:t xml:space="preserve"> </w:t>
      </w:r>
      <w:hyperlink r:id="rId26">
        <w:r>
          <w:rPr>
            <w:rFonts w:ascii="Times New Roman" w:cs="Times New Roman" w:eastAsia="Times New Roman" w:hAnsi="Times New Roman"/>
            <w:sz w:val="14"/>
            <w:szCs w:val="14"/>
            <w:u w:val="single" w:color="auto"/>
            <w:color w:val="0000EE"/>
          </w:rPr>
          <w:t>(incorporated by reference to Exhibit 4.1 to the Company’s Current Report on Form 8-K dated and filed with the SEC as of October 13, 2021 (File</w:t>
        </w:r>
      </w:hyperlink>
      <w:r>
        <w:rPr>
          <w:rFonts w:ascii="Times New Roman" w:cs="Times New Roman" w:eastAsia="Times New Roman" w:hAnsi="Times New Roman"/>
          <w:sz w:val="14"/>
          <w:szCs w:val="14"/>
          <w:u w:val="single" w:color="auto"/>
          <w:color w:val="0000EE"/>
        </w:rPr>
        <w:t xml:space="preserve"> </w:t>
      </w:r>
      <w:hyperlink r:id="rId26">
        <w:r>
          <w:rPr>
            <w:rFonts w:ascii="Times New Roman" w:cs="Times New Roman" w:eastAsia="Times New Roman" w:hAnsi="Times New Roman"/>
            <w:sz w:val="14"/>
            <w:szCs w:val="14"/>
            <w:u w:val="single" w:color="auto"/>
            <w:color w:val="0000EE"/>
          </w:rPr>
          <w:t>No. 001-36708))</w:t>
        </w:r>
      </w:hyperlink>
    </w:p>
    <w:p>
      <w:pPr>
        <w:spacing w:after="0" w:line="43" w:lineRule="exact"/>
        <w:rPr>
          <w:rFonts w:ascii="Times New Roman" w:cs="Times New Roman" w:eastAsia="Times New Roman" w:hAnsi="Times New Roman"/>
          <w:sz w:val="14"/>
          <w:szCs w:val="14"/>
          <w:u w:val="single" w:color="auto"/>
          <w:color w:val="0000EE"/>
        </w:rPr>
      </w:pPr>
    </w:p>
    <w:p>
      <w:pPr>
        <w:ind w:right="399"/>
        <w:spacing w:after="0" w:line="239" w:lineRule="auto"/>
        <w:rPr>
          <w:rFonts w:ascii="Times New Roman" w:cs="Times New Roman" w:eastAsia="Times New Roman" w:hAnsi="Times New Roman"/>
          <w:sz w:val="14"/>
          <w:szCs w:val="14"/>
          <w:u w:val="single" w:color="auto"/>
          <w:color w:val="0000EE"/>
        </w:rPr>
      </w:pPr>
      <w:hyperlink r:id="rId26">
        <w:r>
          <w:rPr>
            <w:rFonts w:ascii="Times New Roman" w:cs="Times New Roman" w:eastAsia="Times New Roman" w:hAnsi="Times New Roman"/>
            <w:sz w:val="14"/>
            <w:szCs w:val="14"/>
            <w:u w:val="single" w:color="auto"/>
            <w:color w:val="0000EE"/>
          </w:rPr>
          <w:t>Form of 6.000% Senior Notes due 2030 (included in Exhibit 4.8 above) (incorporated by reference to Exhibit 4.2 to the Company’s Current Report on</w:t>
        </w:r>
      </w:hyperlink>
      <w:r>
        <w:rPr>
          <w:rFonts w:ascii="Times New Roman" w:cs="Times New Roman" w:eastAsia="Times New Roman" w:hAnsi="Times New Roman"/>
          <w:sz w:val="14"/>
          <w:szCs w:val="14"/>
          <w:u w:val="single" w:color="auto"/>
          <w:color w:val="0000EE"/>
        </w:rPr>
        <w:t xml:space="preserve"> </w:t>
      </w:r>
      <w:hyperlink r:id="rId26">
        <w:r>
          <w:rPr>
            <w:rFonts w:ascii="Times New Roman" w:cs="Times New Roman" w:eastAsia="Times New Roman" w:hAnsi="Times New Roman"/>
            <w:sz w:val="14"/>
            <w:szCs w:val="14"/>
            <w:u w:val="single" w:color="auto"/>
            <w:color w:val="0000EE"/>
          </w:rPr>
          <w:t>Form 8-K dated and filed with the SEC as of October 13, 2021 (File No. 001-36708))</w:t>
        </w:r>
      </w:hyperlink>
    </w:p>
    <w:p>
      <w:pPr>
        <w:spacing w:after="0" w:line="29" w:lineRule="exact"/>
        <w:rPr>
          <w:sz w:val="20"/>
          <w:szCs w:val="20"/>
          <w:color w:val="auto"/>
        </w:rPr>
      </w:pPr>
    </w:p>
    <w:p>
      <w:pPr>
        <w:ind w:right="459"/>
        <w:spacing w:after="0" w:line="225" w:lineRule="auto"/>
        <w:rPr>
          <w:rFonts w:ascii="Times New Roman" w:cs="Times New Roman" w:eastAsia="Times New Roman" w:hAnsi="Times New Roman"/>
          <w:sz w:val="14"/>
          <w:szCs w:val="14"/>
          <w:u w:val="single" w:color="auto"/>
          <w:color w:val="0000FF"/>
        </w:rPr>
      </w:pPr>
      <w:hyperlink r:id="rId27">
        <w:r>
          <w:rPr>
            <w:rFonts w:ascii="Times New Roman" w:cs="Times New Roman" w:eastAsia="Times New Roman" w:hAnsi="Times New Roman"/>
            <w:sz w:val="14"/>
            <w:szCs w:val="14"/>
            <w:u w:val="single" w:color="auto"/>
            <w:color w:val="0000FF"/>
          </w:rPr>
          <w:t>Indenture, dated December 12, 2022, among Uniti Group Inc., the other guarantors party thereto and Deutsche Bank Trust Company Americas</w:t>
        </w:r>
      </w:hyperlink>
      <w:r>
        <w:rPr>
          <w:rFonts w:ascii="Times New Roman" w:cs="Times New Roman" w:eastAsia="Times New Roman" w:hAnsi="Times New Roman"/>
          <w:sz w:val="14"/>
          <w:szCs w:val="14"/>
          <w:u w:val="single" w:color="auto"/>
          <w:color w:val="0000FF"/>
        </w:rPr>
        <w:t xml:space="preserve"> </w:t>
      </w:r>
      <w:hyperlink r:id="rId27">
        <w:r>
          <w:rPr>
            <w:rFonts w:ascii="Times New Roman" w:cs="Times New Roman" w:eastAsia="Times New Roman" w:hAnsi="Times New Roman"/>
            <w:sz w:val="14"/>
            <w:szCs w:val="14"/>
            <w:u w:val="single" w:color="auto"/>
            <w:color w:val="0000FF"/>
          </w:rPr>
          <w:t>(incorporated by reference to Exhibit 4.1 to the Company’s Current Report on Form 8-K dated and filed with the SEC as of December 12, 2022 (File</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27">
        <w:r>
          <w:rPr>
            <w:rFonts w:ascii="Times New Roman" w:cs="Times New Roman" w:eastAsia="Times New Roman" w:hAnsi="Times New Roman"/>
            <w:sz w:val="14"/>
            <w:szCs w:val="14"/>
            <w:u w:val="single" w:color="auto"/>
            <w:color w:val="0000FF"/>
          </w:rPr>
          <w:t>No. 001-36708))</w:t>
        </w:r>
      </w:hyperlink>
    </w:p>
    <w:p>
      <w:pPr>
        <w:spacing w:after="0" w:line="7" w:lineRule="exact"/>
        <w:rPr>
          <w:sz w:val="20"/>
          <w:szCs w:val="20"/>
          <w:color w:val="auto"/>
        </w:rPr>
      </w:pPr>
    </w:p>
    <w:p>
      <w:pPr>
        <w:ind w:right="759"/>
        <w:spacing w:after="0" w:line="237" w:lineRule="auto"/>
        <w:rPr>
          <w:rFonts w:ascii="Times New Roman" w:cs="Times New Roman" w:eastAsia="Times New Roman" w:hAnsi="Times New Roman"/>
          <w:sz w:val="14"/>
          <w:szCs w:val="14"/>
          <w:u w:val="single" w:color="auto"/>
          <w:color w:val="0000FF"/>
        </w:rPr>
      </w:pPr>
      <w:hyperlink r:id="rId27">
        <w:r>
          <w:rPr>
            <w:rFonts w:ascii="Times New Roman" w:cs="Times New Roman" w:eastAsia="Times New Roman" w:hAnsi="Times New Roman"/>
            <w:sz w:val="14"/>
            <w:szCs w:val="14"/>
            <w:u w:val="single" w:color="auto"/>
            <w:color w:val="0000FF"/>
          </w:rPr>
          <w:t>Form of 7.50% Convertible Senior Notes due 2027 (included in Exhibit 4.10 above) (incorporated by reference to Exhibit 4.2 to the Company’s</w:t>
        </w:r>
      </w:hyperlink>
      <w:r>
        <w:rPr>
          <w:rFonts w:ascii="Times New Roman" w:cs="Times New Roman" w:eastAsia="Times New Roman" w:hAnsi="Times New Roman"/>
          <w:sz w:val="14"/>
          <w:szCs w:val="14"/>
          <w:u w:val="single" w:color="auto"/>
          <w:color w:val="0000FF"/>
        </w:rPr>
        <w:t xml:space="preserve"> </w:t>
      </w:r>
      <w:hyperlink r:id="rId27">
        <w:r>
          <w:rPr>
            <w:rFonts w:ascii="Times New Roman" w:cs="Times New Roman" w:eastAsia="Times New Roman" w:hAnsi="Times New Roman"/>
            <w:sz w:val="14"/>
            <w:szCs w:val="14"/>
            <w:u w:val="single" w:color="auto"/>
            <w:color w:val="0000FF"/>
          </w:rPr>
          <w:t>Current Report on Form 8-K dated and filed with the SEC as of December 12, 2022 (File No. 001-36708))</w:t>
        </w:r>
      </w:hyperlink>
    </w:p>
    <w:p>
      <w:pPr>
        <w:spacing w:after="0" w:line="7" w:lineRule="exact"/>
        <w:rPr>
          <w:sz w:val="20"/>
          <w:szCs w:val="20"/>
          <w:color w:val="auto"/>
        </w:rPr>
      </w:pPr>
    </w:p>
    <w:p>
      <w:pPr>
        <w:jc w:val="both"/>
        <w:ind w:right="639"/>
        <w:spacing w:after="0" w:line="225" w:lineRule="auto"/>
        <w:rPr>
          <w:rFonts w:ascii="Times New Roman" w:cs="Times New Roman" w:eastAsia="Times New Roman" w:hAnsi="Times New Roman"/>
          <w:sz w:val="14"/>
          <w:szCs w:val="14"/>
          <w:u w:val="single" w:color="auto"/>
          <w:color w:val="0000FF"/>
        </w:rPr>
      </w:pPr>
      <w:hyperlink r:id="rId28">
        <w:r>
          <w:rPr>
            <w:rFonts w:ascii="Times New Roman" w:cs="Times New Roman" w:eastAsia="Times New Roman" w:hAnsi="Times New Roman"/>
            <w:sz w:val="14"/>
            <w:szCs w:val="14"/>
            <w:u w:val="single" w:color="auto"/>
            <w:color w:val="0000FF"/>
          </w:rPr>
          <w:t>Indenture, dated as February 14, 2023, by and among Uniti Group LP, Uniti Fiber Holdings Inc., Uniti Group Finance 2019 Inc. and CSL Capital,</w:t>
        </w:r>
      </w:hyperlink>
      <w:r>
        <w:rPr>
          <w:rFonts w:ascii="Times New Roman" w:cs="Times New Roman" w:eastAsia="Times New Roman" w:hAnsi="Times New Roman"/>
          <w:sz w:val="14"/>
          <w:szCs w:val="14"/>
          <w:u w:val="single" w:color="auto"/>
          <w:color w:val="0000FF"/>
        </w:rPr>
        <w:t xml:space="preserve"> </w:t>
      </w:r>
      <w:hyperlink r:id="rId28">
        <w:r>
          <w:rPr>
            <w:rFonts w:ascii="Times New Roman" w:cs="Times New Roman" w:eastAsia="Times New Roman" w:hAnsi="Times New Roman"/>
            <w:sz w:val="14"/>
            <w:szCs w:val="14"/>
            <w:u w:val="single" w:color="auto"/>
            <w:color w:val="0000FF"/>
          </w:rPr>
          <w:t>LLC, as issuers, the guarantors party thereto, and Deutsche Bank Trust Company Americas, as trustee and collateral agent, governing the 10.50%</w:t>
        </w:r>
      </w:hyperlink>
    </w:p>
    <w:p>
      <w:pPr>
        <w:spacing w:after="0" w:line="1" w:lineRule="exact"/>
        <w:rPr>
          <w:sz w:val="20"/>
          <w:szCs w:val="20"/>
          <w:color w:val="auto"/>
        </w:rPr>
      </w:pPr>
    </w:p>
    <w:p>
      <w:pPr>
        <w:ind w:right="799"/>
        <w:spacing w:after="0" w:line="228" w:lineRule="auto"/>
        <w:rPr>
          <w:rFonts w:ascii="Times New Roman" w:cs="Times New Roman" w:eastAsia="Times New Roman" w:hAnsi="Times New Roman"/>
          <w:sz w:val="14"/>
          <w:szCs w:val="14"/>
          <w:u w:val="single" w:color="auto"/>
          <w:color w:val="0000FF"/>
        </w:rPr>
      </w:pPr>
      <w:hyperlink r:id="rId28">
        <w:r>
          <w:rPr>
            <w:rFonts w:ascii="Times New Roman" w:cs="Times New Roman" w:eastAsia="Times New Roman" w:hAnsi="Times New Roman"/>
            <w:sz w:val="14"/>
            <w:szCs w:val="14"/>
            <w:u w:val="single" w:color="auto"/>
            <w:color w:val="0000FF"/>
          </w:rPr>
          <w:t>Senior Secured Notes due 2028 (incorporated by reference to Exhibit 4.1 to the Company’s Current Report on Form 8-K filed with the SEC on</w:t>
        </w:r>
      </w:hyperlink>
      <w:r>
        <w:rPr>
          <w:rFonts w:ascii="Times New Roman" w:cs="Times New Roman" w:eastAsia="Times New Roman" w:hAnsi="Times New Roman"/>
          <w:sz w:val="14"/>
          <w:szCs w:val="14"/>
          <w:u w:val="single" w:color="auto"/>
          <w:color w:val="0000FF"/>
        </w:rPr>
        <w:t xml:space="preserve"> </w:t>
      </w:r>
      <w:hyperlink r:id="rId28">
        <w:r>
          <w:rPr>
            <w:rFonts w:ascii="Times New Roman" w:cs="Times New Roman" w:eastAsia="Times New Roman" w:hAnsi="Times New Roman"/>
            <w:sz w:val="14"/>
            <w:szCs w:val="14"/>
            <w:u w:val="single" w:color="auto"/>
            <w:color w:val="0000FF"/>
          </w:rPr>
          <w:t>February 14, 2023 (File No. 001-36708))</w:t>
        </w:r>
      </w:hyperlink>
    </w:p>
    <w:p>
      <w:pPr>
        <w:ind w:right="419"/>
        <w:spacing w:after="0" w:line="237" w:lineRule="auto"/>
        <w:rPr>
          <w:rFonts w:ascii="Times New Roman" w:cs="Times New Roman" w:eastAsia="Times New Roman" w:hAnsi="Times New Roman"/>
          <w:sz w:val="14"/>
          <w:szCs w:val="14"/>
          <w:u w:val="single" w:color="auto"/>
          <w:color w:val="0000EE"/>
        </w:rPr>
      </w:pPr>
      <w:hyperlink r:id="rId28">
        <w:r>
          <w:rPr>
            <w:rFonts w:ascii="Times New Roman" w:cs="Times New Roman" w:eastAsia="Times New Roman" w:hAnsi="Times New Roman"/>
            <w:sz w:val="14"/>
            <w:szCs w:val="14"/>
            <w:u w:val="single" w:color="auto"/>
            <w:color w:val="0000EE"/>
          </w:rPr>
          <w:t>Form of 10.50% Senior Secured Notes due 2028 (included in Exhibit 4.12 above) (incorporated by reference to Exhibit 4.2 to the Company’s Current</w:t>
        </w:r>
      </w:hyperlink>
      <w:r>
        <w:rPr>
          <w:rFonts w:ascii="Times New Roman" w:cs="Times New Roman" w:eastAsia="Times New Roman" w:hAnsi="Times New Roman"/>
          <w:sz w:val="14"/>
          <w:szCs w:val="14"/>
          <w:u w:val="single" w:color="auto"/>
          <w:color w:val="0000EE"/>
        </w:rPr>
        <w:t xml:space="preserve"> </w:t>
      </w:r>
      <w:hyperlink r:id="rId28">
        <w:r>
          <w:rPr>
            <w:rFonts w:ascii="Times New Roman" w:cs="Times New Roman" w:eastAsia="Times New Roman" w:hAnsi="Times New Roman"/>
            <w:sz w:val="14"/>
            <w:szCs w:val="14"/>
            <w:u w:val="single" w:color="auto"/>
            <w:color w:val="0000EE"/>
          </w:rPr>
          <w:t>Report on Form 8-K dated and filed with the SEC as of February 14, 2023 (File No. 001-36708))</w:t>
        </w:r>
      </w:hyperlink>
    </w:p>
    <w:p>
      <w:pPr>
        <w:spacing w:after="0" w:line="39" w:lineRule="exact"/>
        <w:rPr>
          <w:sz w:val="20"/>
          <w:szCs w:val="20"/>
          <w:color w:val="auto"/>
        </w:rPr>
      </w:pPr>
    </w:p>
    <w:p>
      <w:pPr>
        <w:ind w:right="439"/>
        <w:spacing w:after="0" w:line="262" w:lineRule="auto"/>
        <w:rPr>
          <w:rFonts w:ascii="Times New Roman" w:cs="Times New Roman" w:eastAsia="Times New Roman" w:hAnsi="Times New Roman"/>
          <w:sz w:val="14"/>
          <w:szCs w:val="14"/>
          <w:u w:val="single" w:color="auto"/>
          <w:color w:val="0000EE"/>
        </w:rPr>
      </w:pPr>
      <w:hyperlink r:id="rId29">
        <w:r>
          <w:rPr>
            <w:rFonts w:ascii="Times New Roman" w:cs="Times New Roman" w:eastAsia="Times New Roman" w:hAnsi="Times New Roman"/>
            <w:sz w:val="14"/>
            <w:szCs w:val="14"/>
            <w:u w:val="single" w:color="auto"/>
            <w:color w:val="0000EE"/>
          </w:rPr>
          <w:t>Settlement Agreement, dated as of May 12, 2020 by and among Windstream Holdings, Inc., Windstream Services, LLC and certain of their</w:t>
        </w:r>
      </w:hyperlink>
      <w:r>
        <w:rPr>
          <w:rFonts w:ascii="Times New Roman" w:cs="Times New Roman" w:eastAsia="Times New Roman" w:hAnsi="Times New Roman"/>
          <w:sz w:val="14"/>
          <w:szCs w:val="14"/>
          <w:u w:val="single" w:color="auto"/>
          <w:color w:val="0000EE"/>
        </w:rPr>
        <w:t xml:space="preserve"> </w:t>
      </w:r>
      <w:hyperlink r:id="rId29">
        <w:r>
          <w:rPr>
            <w:rFonts w:ascii="Times New Roman" w:cs="Times New Roman" w:eastAsia="Times New Roman" w:hAnsi="Times New Roman"/>
            <w:sz w:val="14"/>
            <w:szCs w:val="14"/>
            <w:u w:val="single" w:color="auto"/>
            <w:color w:val="0000EE"/>
          </w:rPr>
          <w:t>subsidiaries, and Uniti Group Inc. and certain of its subsidiaries (incorporated by reference to Exhibit 10.1 to the Company’s Current Report on Form</w:t>
        </w:r>
      </w:hyperlink>
      <w:r>
        <w:rPr>
          <w:rFonts w:ascii="Times New Roman" w:cs="Times New Roman" w:eastAsia="Times New Roman" w:hAnsi="Times New Roman"/>
          <w:sz w:val="14"/>
          <w:szCs w:val="14"/>
          <w:u w:val="single" w:color="auto"/>
          <w:color w:val="0000EE"/>
        </w:rPr>
        <w:t xml:space="preserve"> </w:t>
      </w:r>
      <w:hyperlink r:id="rId29">
        <w:r>
          <w:rPr>
            <w:rFonts w:ascii="Times New Roman" w:cs="Times New Roman" w:eastAsia="Times New Roman" w:hAnsi="Times New Roman"/>
            <w:sz w:val="14"/>
            <w:szCs w:val="14"/>
            <w:u w:val="single" w:color="auto"/>
            <w:color w:val="0000EE"/>
          </w:rPr>
          <w:t>8-K filed with the SEC on May 15, 2020 (File No. 001-36708))</w:t>
        </w:r>
      </w:hyperlink>
    </w:p>
    <w:p>
      <w:pPr>
        <w:spacing w:after="0" w:line="46" w:lineRule="exact"/>
        <w:rPr>
          <w:rFonts w:ascii="Times New Roman" w:cs="Times New Roman" w:eastAsia="Times New Roman" w:hAnsi="Times New Roman"/>
          <w:sz w:val="14"/>
          <w:szCs w:val="14"/>
          <w:u w:val="single" w:color="auto"/>
          <w:color w:val="0000EE"/>
        </w:rPr>
      </w:pPr>
    </w:p>
    <w:p>
      <w:pPr>
        <w:jc w:val="both"/>
        <w:ind w:right="619"/>
        <w:spacing w:after="0" w:line="253" w:lineRule="auto"/>
        <w:rPr>
          <w:rFonts w:ascii="Times New Roman" w:cs="Times New Roman" w:eastAsia="Times New Roman" w:hAnsi="Times New Roman"/>
          <w:sz w:val="14"/>
          <w:szCs w:val="14"/>
          <w:u w:val="single" w:color="auto"/>
          <w:color w:val="0000EE"/>
        </w:rPr>
      </w:pPr>
      <w:hyperlink r:id="rId30">
        <w:r>
          <w:rPr>
            <w:rFonts w:ascii="Times New Roman" w:cs="Times New Roman" w:eastAsia="Times New Roman" w:hAnsi="Times New Roman"/>
            <w:sz w:val="14"/>
            <w:szCs w:val="14"/>
            <w:u w:val="single" w:color="auto"/>
            <w:color w:val="0000EE"/>
          </w:rPr>
          <w:t>Amended and Restated ILEC Master Lease, entered into as of September 18, 2020, by and between CSL National, LP and the other entities listed</w:t>
        </w:r>
      </w:hyperlink>
      <w:r>
        <w:rPr>
          <w:rFonts w:ascii="Times New Roman" w:cs="Times New Roman" w:eastAsia="Times New Roman" w:hAnsi="Times New Roman"/>
          <w:sz w:val="14"/>
          <w:szCs w:val="14"/>
          <w:u w:val="single" w:color="auto"/>
          <w:color w:val="0000EE"/>
        </w:rPr>
        <w:t xml:space="preserve"> </w:t>
      </w:r>
      <w:hyperlink r:id="rId30">
        <w:r>
          <w:rPr>
            <w:rFonts w:ascii="Times New Roman" w:cs="Times New Roman" w:eastAsia="Times New Roman" w:hAnsi="Times New Roman"/>
            <w:sz w:val="14"/>
            <w:szCs w:val="14"/>
            <w:u w:val="single" w:color="auto"/>
            <w:color w:val="0000EE"/>
          </w:rPr>
          <w:t>therein, as Landlord, and Windstream Holdings II, LLC (as successor in interest to Windstream Holdings, Inc.), Windstream Services II, LLC (as</w:t>
        </w:r>
      </w:hyperlink>
      <w:r>
        <w:rPr>
          <w:rFonts w:ascii="Times New Roman" w:cs="Times New Roman" w:eastAsia="Times New Roman" w:hAnsi="Times New Roman"/>
          <w:sz w:val="14"/>
          <w:szCs w:val="14"/>
          <w:u w:val="single" w:color="auto"/>
          <w:color w:val="0000EE"/>
        </w:rPr>
        <w:t xml:space="preserve"> </w:t>
      </w:r>
      <w:hyperlink r:id="rId30">
        <w:r>
          <w:rPr>
            <w:rFonts w:ascii="Times New Roman" w:cs="Times New Roman" w:eastAsia="Times New Roman" w:hAnsi="Times New Roman"/>
            <w:sz w:val="14"/>
            <w:szCs w:val="14"/>
            <w:u w:val="single" w:color="auto"/>
            <w:color w:val="0000EE"/>
          </w:rPr>
          <w:t>successor in interest to Windstream Services, LLC) and the other entities listed therein, as Tenant (incorporated by reference to Exhibit 10.1 to the</w:t>
        </w:r>
      </w:hyperlink>
      <w:r>
        <w:rPr>
          <w:rFonts w:ascii="Times New Roman" w:cs="Times New Roman" w:eastAsia="Times New Roman" w:hAnsi="Times New Roman"/>
          <w:sz w:val="14"/>
          <w:szCs w:val="14"/>
          <w:u w:val="single" w:color="auto"/>
          <w:color w:val="0000EE"/>
        </w:rPr>
        <w:t xml:space="preserve"> </w:t>
      </w:r>
      <w:hyperlink r:id="rId30">
        <w:r>
          <w:rPr>
            <w:rFonts w:ascii="Times New Roman" w:cs="Times New Roman" w:eastAsia="Times New Roman" w:hAnsi="Times New Roman"/>
            <w:sz w:val="14"/>
            <w:szCs w:val="14"/>
            <w:u w:val="single" w:color="auto"/>
            <w:color w:val="0000EE"/>
          </w:rPr>
          <w:t>Company’s Quarterly Report on Form 10-Q filed with the SEC on November 9, 2020 (File No. 001-36708))</w:t>
        </w:r>
      </w:hyperlink>
    </w:p>
    <w:p>
      <w:pPr>
        <w:spacing w:after="0" w:line="53" w:lineRule="exact"/>
        <w:rPr>
          <w:rFonts w:ascii="Times New Roman" w:cs="Times New Roman" w:eastAsia="Times New Roman" w:hAnsi="Times New Roman"/>
          <w:sz w:val="14"/>
          <w:szCs w:val="14"/>
          <w:u w:val="single" w:color="auto"/>
          <w:color w:val="0000EE"/>
        </w:rPr>
      </w:pPr>
    </w:p>
    <w:p>
      <w:pPr>
        <w:jc w:val="both"/>
        <w:ind w:right="599"/>
        <w:spacing w:after="0" w:line="253" w:lineRule="auto"/>
        <w:rPr>
          <w:rFonts w:ascii="Times New Roman" w:cs="Times New Roman" w:eastAsia="Times New Roman" w:hAnsi="Times New Roman"/>
          <w:sz w:val="14"/>
          <w:szCs w:val="14"/>
          <w:u w:val="single" w:color="auto"/>
          <w:color w:val="0000EE"/>
        </w:rPr>
      </w:pPr>
      <w:hyperlink r:id="rId31">
        <w:r>
          <w:rPr>
            <w:rFonts w:ascii="Times New Roman" w:cs="Times New Roman" w:eastAsia="Times New Roman" w:hAnsi="Times New Roman"/>
            <w:sz w:val="14"/>
            <w:szCs w:val="14"/>
            <w:u w:val="single" w:color="auto"/>
            <w:color w:val="0000EE"/>
          </w:rPr>
          <w:t>Amended and Restated CLEC Master Lease, entered into as of September 18, 2020, by and between CSL National, LP and the other entities listed</w:t>
        </w:r>
      </w:hyperlink>
      <w:r>
        <w:rPr>
          <w:rFonts w:ascii="Times New Roman" w:cs="Times New Roman" w:eastAsia="Times New Roman" w:hAnsi="Times New Roman"/>
          <w:sz w:val="14"/>
          <w:szCs w:val="14"/>
          <w:u w:val="single" w:color="auto"/>
          <w:color w:val="0000EE"/>
        </w:rPr>
        <w:t xml:space="preserve"> </w:t>
      </w:r>
      <w:hyperlink r:id="rId31">
        <w:r>
          <w:rPr>
            <w:rFonts w:ascii="Times New Roman" w:cs="Times New Roman" w:eastAsia="Times New Roman" w:hAnsi="Times New Roman"/>
            <w:sz w:val="14"/>
            <w:szCs w:val="14"/>
            <w:u w:val="single" w:color="auto"/>
            <w:color w:val="0000EE"/>
          </w:rPr>
          <w:t>therein, as Landlord, and Windstream Holdings II, LLC (as successor in interest to Windstream Holdings, Inc.), Windstream Services II, LLC (as</w:t>
        </w:r>
      </w:hyperlink>
      <w:r>
        <w:rPr>
          <w:rFonts w:ascii="Times New Roman" w:cs="Times New Roman" w:eastAsia="Times New Roman" w:hAnsi="Times New Roman"/>
          <w:sz w:val="14"/>
          <w:szCs w:val="14"/>
          <w:u w:val="single" w:color="auto"/>
          <w:color w:val="0000EE"/>
        </w:rPr>
        <w:t xml:space="preserve"> </w:t>
      </w:r>
      <w:hyperlink r:id="rId31">
        <w:r>
          <w:rPr>
            <w:rFonts w:ascii="Times New Roman" w:cs="Times New Roman" w:eastAsia="Times New Roman" w:hAnsi="Times New Roman"/>
            <w:sz w:val="14"/>
            <w:szCs w:val="14"/>
            <w:u w:val="single" w:color="auto"/>
            <w:color w:val="0000EE"/>
          </w:rPr>
          <w:t>successor in interest to Windstream Services, LLC) and the other entities listed therein, as Tenant (incorporated by reference to Exhibit 10.2 to the</w:t>
        </w:r>
      </w:hyperlink>
      <w:r>
        <w:rPr>
          <w:rFonts w:ascii="Times New Roman" w:cs="Times New Roman" w:eastAsia="Times New Roman" w:hAnsi="Times New Roman"/>
          <w:sz w:val="14"/>
          <w:szCs w:val="14"/>
          <w:u w:val="single" w:color="auto"/>
          <w:color w:val="0000EE"/>
        </w:rPr>
        <w:t xml:space="preserve"> </w:t>
      </w:r>
      <w:hyperlink r:id="rId31">
        <w:r>
          <w:rPr>
            <w:rFonts w:ascii="Times New Roman" w:cs="Times New Roman" w:eastAsia="Times New Roman" w:hAnsi="Times New Roman"/>
            <w:sz w:val="14"/>
            <w:szCs w:val="14"/>
            <w:u w:val="single" w:color="auto"/>
            <w:color w:val="0000EE"/>
          </w:rPr>
          <w:t>Company’s Quarterly Report on Form 10-Q filed with the SEC on November 9, 2020 (File No. 001-36708))</w:t>
        </w:r>
      </w:hyperlink>
    </w:p>
    <w:p>
      <w:pPr>
        <w:spacing w:after="0" w:line="53" w:lineRule="exact"/>
        <w:rPr>
          <w:rFonts w:ascii="Times New Roman" w:cs="Times New Roman" w:eastAsia="Times New Roman" w:hAnsi="Times New Roman"/>
          <w:sz w:val="14"/>
          <w:szCs w:val="14"/>
          <w:u w:val="single" w:color="auto"/>
          <w:color w:val="0000EE"/>
        </w:rPr>
      </w:pPr>
    </w:p>
    <w:p>
      <w:pPr>
        <w:ind w:right="399"/>
        <w:spacing w:after="0" w:line="262" w:lineRule="auto"/>
        <w:rPr>
          <w:rFonts w:ascii="Times New Roman" w:cs="Times New Roman" w:eastAsia="Times New Roman" w:hAnsi="Times New Roman"/>
          <w:sz w:val="14"/>
          <w:szCs w:val="14"/>
          <w:u w:val="single" w:color="auto"/>
          <w:color w:val="0000EE"/>
        </w:rPr>
      </w:pPr>
      <w:hyperlink r:id="rId32">
        <w:r>
          <w:rPr>
            <w:rFonts w:ascii="Times New Roman" w:cs="Times New Roman" w:eastAsia="Times New Roman" w:hAnsi="Times New Roman"/>
            <w:sz w:val="14"/>
            <w:szCs w:val="14"/>
            <w:u w:val="single" w:color="auto"/>
            <w:color w:val="0000EE"/>
          </w:rPr>
          <w:t>Tax Matters Agreement, entered into as of April 24, 2015, by and among Windstream Holdings, Inc., Windstream Services, LLC and</w:t>
        </w:r>
      </w:hyperlink>
      <w:r>
        <w:rPr>
          <w:rFonts w:ascii="Times New Roman" w:cs="Times New Roman" w:eastAsia="Times New Roman" w:hAnsi="Times New Roman"/>
          <w:sz w:val="14"/>
          <w:szCs w:val="14"/>
          <w:u w:val="single" w:color="auto"/>
          <w:color w:val="0000EE"/>
        </w:rPr>
        <w:t xml:space="preserve"> </w:t>
      </w:r>
      <w:hyperlink r:id="rId32">
        <w:r>
          <w:rPr>
            <w:rFonts w:ascii="Times New Roman" w:cs="Times New Roman" w:eastAsia="Times New Roman" w:hAnsi="Times New Roman"/>
            <w:sz w:val="14"/>
            <w:szCs w:val="14"/>
            <w:u w:val="single" w:color="auto"/>
            <w:color w:val="0000EE"/>
          </w:rPr>
          <w:t>Communications Sales &amp; Leasing, Inc. (incorporated by reference to Exhibit 10.2 to the Company’s Current Report on Form 8-K dated and filed with</w:t>
        </w:r>
      </w:hyperlink>
      <w:r>
        <w:rPr>
          <w:rFonts w:ascii="Times New Roman" w:cs="Times New Roman" w:eastAsia="Times New Roman" w:hAnsi="Times New Roman"/>
          <w:sz w:val="14"/>
          <w:szCs w:val="14"/>
          <w:u w:val="single" w:color="auto"/>
          <w:color w:val="0000EE"/>
        </w:rPr>
        <w:t xml:space="preserve"> </w:t>
      </w:r>
      <w:hyperlink r:id="rId32">
        <w:r>
          <w:rPr>
            <w:rFonts w:ascii="Times New Roman" w:cs="Times New Roman" w:eastAsia="Times New Roman" w:hAnsi="Times New Roman"/>
            <w:sz w:val="14"/>
            <w:szCs w:val="14"/>
            <w:u w:val="single" w:color="auto"/>
            <w:color w:val="0000EE"/>
          </w:rPr>
          <w:t>the SEC as of April 27, 2015 (File No. 001-36708))</w:t>
        </w:r>
      </w:hyperlink>
    </w:p>
    <w:p>
      <w:pPr>
        <w:spacing w:after="0" w:line="46" w:lineRule="exact"/>
        <w:rPr>
          <w:rFonts w:ascii="Times New Roman" w:cs="Times New Roman" w:eastAsia="Times New Roman" w:hAnsi="Times New Roman"/>
          <w:sz w:val="14"/>
          <w:szCs w:val="14"/>
          <w:u w:val="single" w:color="auto"/>
          <w:color w:val="0000EE"/>
        </w:rPr>
      </w:pPr>
    </w:p>
    <w:p>
      <w:pPr>
        <w:ind w:right="499"/>
        <w:spacing w:after="0" w:line="253" w:lineRule="auto"/>
        <w:rPr>
          <w:rFonts w:ascii="Times New Roman" w:cs="Times New Roman" w:eastAsia="Times New Roman" w:hAnsi="Times New Roman"/>
          <w:sz w:val="14"/>
          <w:szCs w:val="14"/>
          <w:u w:val="single" w:color="auto"/>
          <w:color w:val="0000EE"/>
        </w:rPr>
      </w:pPr>
      <w:hyperlink r:id="rId33">
        <w:r>
          <w:rPr>
            <w:rFonts w:ascii="Times New Roman" w:cs="Times New Roman" w:eastAsia="Times New Roman" w:hAnsi="Times New Roman"/>
            <w:sz w:val="14"/>
            <w:szCs w:val="14"/>
            <w:u w:val="single" w:color="auto"/>
            <w:color w:val="0000EE"/>
          </w:rPr>
          <w:t>Credit Agreement, dated as of April 24, 2015, by and among Communications Sales &amp; Leasing, Inc. and CSL Capital, LLC, as Borrowers, the</w:t>
        </w:r>
      </w:hyperlink>
      <w:r>
        <w:rPr>
          <w:rFonts w:ascii="Times New Roman" w:cs="Times New Roman" w:eastAsia="Times New Roman" w:hAnsi="Times New Roman"/>
          <w:sz w:val="14"/>
          <w:szCs w:val="14"/>
          <w:u w:val="single" w:color="auto"/>
          <w:color w:val="0000EE"/>
        </w:rPr>
        <w:t xml:space="preserve"> </w:t>
      </w:r>
      <w:hyperlink r:id="rId33">
        <w:r>
          <w:rPr>
            <w:rFonts w:ascii="Times New Roman" w:cs="Times New Roman" w:eastAsia="Times New Roman" w:hAnsi="Times New Roman"/>
            <w:sz w:val="14"/>
            <w:szCs w:val="14"/>
            <w:u w:val="single" w:color="auto"/>
            <w:color w:val="0000EE"/>
          </w:rPr>
          <w:t>guarantors party thereto, the lenders party thereto from time to time and Bank of America, N.A., as administrative agent, collateral agent, swing line</w:t>
        </w:r>
      </w:hyperlink>
      <w:r>
        <w:rPr>
          <w:rFonts w:ascii="Times New Roman" w:cs="Times New Roman" w:eastAsia="Times New Roman" w:hAnsi="Times New Roman"/>
          <w:sz w:val="14"/>
          <w:szCs w:val="14"/>
          <w:u w:val="single" w:color="auto"/>
          <w:color w:val="0000EE"/>
        </w:rPr>
        <w:t xml:space="preserve"> </w:t>
      </w:r>
      <w:hyperlink r:id="rId33">
        <w:r>
          <w:rPr>
            <w:rFonts w:ascii="Times New Roman" w:cs="Times New Roman" w:eastAsia="Times New Roman" w:hAnsi="Times New Roman"/>
            <w:sz w:val="14"/>
            <w:szCs w:val="14"/>
            <w:u w:val="single" w:color="auto"/>
            <w:color w:val="0000EE"/>
          </w:rPr>
          <w:t>lender and L/C issuer (incorporated by reference to Exhibit 10.10 to the Company’s Current Report on Form 8-K dated and filed with the SEC as of</w:t>
        </w:r>
      </w:hyperlink>
      <w:r>
        <w:rPr>
          <w:rFonts w:ascii="Times New Roman" w:cs="Times New Roman" w:eastAsia="Times New Roman" w:hAnsi="Times New Roman"/>
          <w:sz w:val="14"/>
          <w:szCs w:val="14"/>
          <w:u w:val="single" w:color="auto"/>
          <w:color w:val="0000EE"/>
        </w:rPr>
        <w:t xml:space="preserve"> </w:t>
      </w:r>
      <w:hyperlink r:id="rId33">
        <w:r>
          <w:rPr>
            <w:rFonts w:ascii="Times New Roman" w:cs="Times New Roman" w:eastAsia="Times New Roman" w:hAnsi="Times New Roman"/>
            <w:sz w:val="14"/>
            <w:szCs w:val="14"/>
            <w:u w:val="single" w:color="auto"/>
            <w:color w:val="0000EE"/>
          </w:rPr>
          <w:t>April 27, 2015 (File No. 001-36708))</w:t>
        </w:r>
      </w:hyperlink>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-821690</wp:posOffset>
            </wp:positionH>
            <wp:positionV relativeFrom="paragraph">
              <wp:posOffset>508635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540" w:space="720"/>
            <w:col w:w="8879"/>
          </w:cols>
          <w:pgMar w:left="320" w:top="97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color w:val="auto"/>
        </w:rPr>
        <w:t>10.6</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10.7</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10.8</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519"/>
        <w:spacing w:after="0" w:line="253" w:lineRule="auto"/>
        <w:rPr>
          <w:rFonts w:ascii="Times New Roman" w:cs="Times New Roman" w:eastAsia="Times New Roman" w:hAnsi="Times New Roman"/>
          <w:sz w:val="14"/>
          <w:szCs w:val="14"/>
          <w:u w:val="single" w:color="auto"/>
          <w:color w:val="0000EE"/>
        </w:rPr>
      </w:pPr>
      <w:hyperlink r:id="rId35">
        <w:r>
          <w:rPr>
            <w:rFonts w:ascii="Times New Roman" w:cs="Times New Roman" w:eastAsia="Times New Roman" w:hAnsi="Times New Roman"/>
            <w:sz w:val="14"/>
            <w:szCs w:val="14"/>
            <w:u w:val="single" w:color="auto"/>
            <w:color w:val="0000EE"/>
          </w:rPr>
          <w:t>Amendment No. 1 to the Credit Agreement, dated as of October 21, 2016 by and among Communications Sales &amp; Leasing, Inc. and CSL Capital,</w:t>
        </w:r>
      </w:hyperlink>
      <w:r>
        <w:rPr>
          <w:rFonts w:ascii="Times New Roman" w:cs="Times New Roman" w:eastAsia="Times New Roman" w:hAnsi="Times New Roman"/>
          <w:sz w:val="14"/>
          <w:szCs w:val="14"/>
          <w:u w:val="single" w:color="auto"/>
          <w:color w:val="0000EE"/>
        </w:rPr>
        <w:t xml:space="preserve"> </w:t>
      </w:r>
      <w:hyperlink r:id="rId35">
        <w:r>
          <w:rPr>
            <w:rFonts w:ascii="Times New Roman" w:cs="Times New Roman" w:eastAsia="Times New Roman" w:hAnsi="Times New Roman"/>
            <w:sz w:val="14"/>
            <w:szCs w:val="14"/>
            <w:u w:val="single" w:color="auto"/>
            <w:color w:val="0000EE"/>
          </w:rPr>
          <w:t>LLC, as borrowers, the guarantors party thereto, the lenders party thereto, and Bank of America, N.A., as administrative agent and collateral agent</w:t>
        </w:r>
      </w:hyperlink>
      <w:r>
        <w:rPr>
          <w:rFonts w:ascii="Times New Roman" w:cs="Times New Roman" w:eastAsia="Times New Roman" w:hAnsi="Times New Roman"/>
          <w:sz w:val="14"/>
          <w:szCs w:val="14"/>
          <w:u w:val="single" w:color="auto"/>
          <w:color w:val="0000EE"/>
        </w:rPr>
        <w:t xml:space="preserve"> </w:t>
      </w:r>
      <w:hyperlink r:id="rId35">
        <w:r>
          <w:rPr>
            <w:rFonts w:ascii="Times New Roman" w:cs="Times New Roman" w:eastAsia="Times New Roman" w:hAnsi="Times New Roman"/>
            <w:sz w:val="14"/>
            <w:szCs w:val="14"/>
            <w:u w:val="single" w:color="auto"/>
            <w:color w:val="0000EE"/>
          </w:rPr>
          <w:t>(incorporated by reference to Exhibit 10.1 to the Company’s Current Report on Form 8-K dated and filed with the SEC as of October 21, 2016 (File</w:t>
        </w:r>
      </w:hyperlink>
      <w:r>
        <w:rPr>
          <w:rFonts w:ascii="Times New Roman" w:cs="Times New Roman" w:eastAsia="Times New Roman" w:hAnsi="Times New Roman"/>
          <w:sz w:val="14"/>
          <w:szCs w:val="14"/>
          <w:u w:val="single" w:color="auto"/>
          <w:color w:val="0000EE"/>
        </w:rPr>
        <w:t xml:space="preserve"> </w:t>
      </w:r>
      <w:hyperlink r:id="rId35">
        <w:r>
          <w:rPr>
            <w:rFonts w:ascii="Times New Roman" w:cs="Times New Roman" w:eastAsia="Times New Roman" w:hAnsi="Times New Roman"/>
            <w:sz w:val="14"/>
            <w:szCs w:val="14"/>
            <w:u w:val="single" w:color="auto"/>
            <w:color w:val="0000EE"/>
          </w:rPr>
          <w:t>No. 001-36708))</w:t>
        </w:r>
      </w:hyperlink>
    </w:p>
    <w:p>
      <w:pPr>
        <w:spacing w:after="0" w:line="53" w:lineRule="exact"/>
        <w:rPr>
          <w:rFonts w:ascii="Times New Roman" w:cs="Times New Roman" w:eastAsia="Times New Roman" w:hAnsi="Times New Roman"/>
          <w:sz w:val="14"/>
          <w:szCs w:val="14"/>
          <w:u w:val="single" w:color="auto"/>
          <w:color w:val="0000EE"/>
        </w:rPr>
      </w:pPr>
    </w:p>
    <w:p>
      <w:pPr>
        <w:jc w:val="both"/>
        <w:ind w:right="539"/>
        <w:spacing w:after="0" w:line="253" w:lineRule="auto"/>
        <w:rPr>
          <w:rFonts w:ascii="Times New Roman" w:cs="Times New Roman" w:eastAsia="Times New Roman" w:hAnsi="Times New Roman"/>
          <w:sz w:val="14"/>
          <w:szCs w:val="14"/>
          <w:u w:val="single" w:color="auto"/>
          <w:color w:val="0000EE"/>
        </w:rPr>
      </w:pPr>
      <w:hyperlink r:id="rId36">
        <w:r>
          <w:rPr>
            <w:rFonts w:ascii="Times New Roman" w:cs="Times New Roman" w:eastAsia="Times New Roman" w:hAnsi="Times New Roman"/>
            <w:sz w:val="14"/>
            <w:szCs w:val="14"/>
            <w:u w:val="single" w:color="auto"/>
            <w:color w:val="0000EE"/>
          </w:rPr>
          <w:t>Amendment No. 2 to the Credit Agreement, dated as of February 9, 2017 by and among Communications Sales &amp; Leasing, Inc. and CSL Capital,</w:t>
        </w:r>
      </w:hyperlink>
      <w:r>
        <w:rPr>
          <w:rFonts w:ascii="Times New Roman" w:cs="Times New Roman" w:eastAsia="Times New Roman" w:hAnsi="Times New Roman"/>
          <w:sz w:val="14"/>
          <w:szCs w:val="14"/>
          <w:u w:val="single" w:color="auto"/>
          <w:color w:val="0000EE"/>
        </w:rPr>
        <w:t xml:space="preserve"> </w:t>
      </w:r>
      <w:hyperlink r:id="rId36">
        <w:r>
          <w:rPr>
            <w:rFonts w:ascii="Times New Roman" w:cs="Times New Roman" w:eastAsia="Times New Roman" w:hAnsi="Times New Roman"/>
            <w:sz w:val="14"/>
            <w:szCs w:val="14"/>
            <w:u w:val="single" w:color="auto"/>
            <w:color w:val="0000EE"/>
          </w:rPr>
          <w:t>LLC, as borrowers, the guarantors party thereto, the lenders party thereto, and Bank of America, N.A., as administrative agent and collateral agent</w:t>
        </w:r>
      </w:hyperlink>
      <w:r>
        <w:rPr>
          <w:rFonts w:ascii="Times New Roman" w:cs="Times New Roman" w:eastAsia="Times New Roman" w:hAnsi="Times New Roman"/>
          <w:sz w:val="14"/>
          <w:szCs w:val="14"/>
          <w:u w:val="single" w:color="auto"/>
          <w:color w:val="0000EE"/>
        </w:rPr>
        <w:t xml:space="preserve"> </w:t>
      </w:r>
      <w:hyperlink r:id="rId36">
        <w:r>
          <w:rPr>
            <w:rFonts w:ascii="Times New Roman" w:cs="Times New Roman" w:eastAsia="Times New Roman" w:hAnsi="Times New Roman"/>
            <w:sz w:val="14"/>
            <w:szCs w:val="14"/>
            <w:u w:val="single" w:color="auto"/>
            <w:color w:val="0000EE"/>
          </w:rPr>
          <w:t>(incorporated by reference to Exhibit 10.1 to the Company’s Current Report on Form 8-K dated and filed with the SEC as of February 9, 2017 (File</w:t>
        </w:r>
      </w:hyperlink>
      <w:r>
        <w:rPr>
          <w:rFonts w:ascii="Times New Roman" w:cs="Times New Roman" w:eastAsia="Times New Roman" w:hAnsi="Times New Roman"/>
          <w:sz w:val="14"/>
          <w:szCs w:val="14"/>
          <w:u w:val="single" w:color="auto"/>
          <w:color w:val="0000EE"/>
        </w:rPr>
        <w:t xml:space="preserve"> </w:t>
      </w:r>
      <w:hyperlink r:id="rId36">
        <w:r>
          <w:rPr>
            <w:rFonts w:ascii="Times New Roman" w:cs="Times New Roman" w:eastAsia="Times New Roman" w:hAnsi="Times New Roman"/>
            <w:sz w:val="14"/>
            <w:szCs w:val="14"/>
            <w:u w:val="single" w:color="auto"/>
            <w:color w:val="0000EE"/>
          </w:rPr>
          <w:t>No. 001-36708))</w:t>
        </w:r>
      </w:hyperlink>
    </w:p>
    <w:p>
      <w:pPr>
        <w:spacing w:after="0" w:line="53" w:lineRule="exact"/>
        <w:rPr>
          <w:rFonts w:ascii="Times New Roman" w:cs="Times New Roman" w:eastAsia="Times New Roman" w:hAnsi="Times New Roman"/>
          <w:sz w:val="14"/>
          <w:szCs w:val="14"/>
          <w:u w:val="single" w:color="auto"/>
          <w:color w:val="0000EE"/>
        </w:rPr>
      </w:pPr>
    </w:p>
    <w:p>
      <w:pPr>
        <w:ind w:right="479"/>
        <w:spacing w:after="0" w:line="253" w:lineRule="auto"/>
        <w:rPr>
          <w:rFonts w:ascii="Times New Roman" w:cs="Times New Roman" w:eastAsia="Times New Roman" w:hAnsi="Times New Roman"/>
          <w:sz w:val="14"/>
          <w:szCs w:val="14"/>
          <w:u w:val="single" w:color="auto"/>
          <w:color w:val="0000EE"/>
        </w:rPr>
      </w:pPr>
      <w:hyperlink r:id="rId37">
        <w:r>
          <w:rPr>
            <w:rFonts w:ascii="Times New Roman" w:cs="Times New Roman" w:eastAsia="Times New Roman" w:hAnsi="Times New Roman"/>
            <w:sz w:val="14"/>
            <w:szCs w:val="14"/>
            <w:u w:val="single" w:color="auto"/>
            <w:color w:val="0000EE"/>
          </w:rPr>
          <w:t>Amendment No. 3 (Incremental Amendment) to the Credit Agreement, dated as of April 28, 2017 by and among Uniti Group Inc. and CSL Capital,</w:t>
        </w:r>
      </w:hyperlink>
      <w:r>
        <w:rPr>
          <w:rFonts w:ascii="Times New Roman" w:cs="Times New Roman" w:eastAsia="Times New Roman" w:hAnsi="Times New Roman"/>
          <w:sz w:val="14"/>
          <w:szCs w:val="14"/>
          <w:u w:val="single" w:color="auto"/>
          <w:color w:val="0000EE"/>
        </w:rPr>
        <w:t xml:space="preserve"> </w:t>
      </w:r>
      <w:hyperlink r:id="rId37">
        <w:r>
          <w:rPr>
            <w:rFonts w:ascii="Times New Roman" w:cs="Times New Roman" w:eastAsia="Times New Roman" w:hAnsi="Times New Roman"/>
            <w:sz w:val="14"/>
            <w:szCs w:val="14"/>
            <w:u w:val="single" w:color="auto"/>
            <w:color w:val="0000EE"/>
          </w:rPr>
          <w:t>LLC, as borrowers, the guarantors party thereto, the lenders party thereto, and Bank of America, N.A., as administrative agent and collateral agent</w:t>
        </w:r>
      </w:hyperlink>
      <w:r>
        <w:rPr>
          <w:rFonts w:ascii="Times New Roman" w:cs="Times New Roman" w:eastAsia="Times New Roman" w:hAnsi="Times New Roman"/>
          <w:sz w:val="14"/>
          <w:szCs w:val="14"/>
          <w:u w:val="single" w:color="auto"/>
          <w:color w:val="0000EE"/>
        </w:rPr>
        <w:t xml:space="preserve"> </w:t>
      </w:r>
      <w:hyperlink r:id="rId37">
        <w:r>
          <w:rPr>
            <w:rFonts w:ascii="Times New Roman" w:cs="Times New Roman" w:eastAsia="Times New Roman" w:hAnsi="Times New Roman"/>
            <w:sz w:val="14"/>
            <w:szCs w:val="14"/>
            <w:u w:val="single" w:color="auto"/>
            <w:color w:val="0000EE"/>
          </w:rPr>
          <w:t>(incorporated by reference to Exhibit 10.1 to the Company’s Current Report on Form 8-K dated as of May 1, 2017 and filed with the SEC as of May</w:t>
        </w:r>
      </w:hyperlink>
      <w:r>
        <w:rPr>
          <w:rFonts w:ascii="Times New Roman" w:cs="Times New Roman" w:eastAsia="Times New Roman" w:hAnsi="Times New Roman"/>
          <w:sz w:val="14"/>
          <w:szCs w:val="14"/>
          <w:u w:val="single" w:color="auto"/>
          <w:color w:val="0000EE"/>
        </w:rPr>
        <w:t xml:space="preserve"> </w:t>
      </w:r>
      <w:hyperlink r:id="rId37">
        <w:r>
          <w:rPr>
            <w:rFonts w:ascii="Times New Roman" w:cs="Times New Roman" w:eastAsia="Times New Roman" w:hAnsi="Times New Roman"/>
            <w:sz w:val="14"/>
            <w:szCs w:val="14"/>
            <w:u w:val="single" w:color="auto"/>
            <w:color w:val="0000EE"/>
          </w:rPr>
          <w:t>2, 2017 (File No. 001-36708))</w:t>
        </w:r>
      </w:hyperlink>
    </w:p>
    <w:p>
      <w:pPr>
        <w:spacing w:after="0" w:line="53" w:lineRule="exact"/>
        <w:rPr>
          <w:rFonts w:ascii="Times New Roman" w:cs="Times New Roman" w:eastAsia="Times New Roman" w:hAnsi="Times New Roman"/>
          <w:sz w:val="14"/>
          <w:szCs w:val="14"/>
          <w:u w:val="single" w:color="auto"/>
          <w:color w:val="0000EE"/>
        </w:rPr>
      </w:pPr>
    </w:p>
    <w:p>
      <w:pPr>
        <w:ind w:right="419"/>
        <w:spacing w:after="0" w:line="253" w:lineRule="auto"/>
        <w:rPr>
          <w:rFonts w:ascii="Times New Roman" w:cs="Times New Roman" w:eastAsia="Times New Roman" w:hAnsi="Times New Roman"/>
          <w:sz w:val="14"/>
          <w:szCs w:val="14"/>
          <w:color w:val="0000EE"/>
        </w:rPr>
      </w:pPr>
      <w:hyperlink r:id="rId38">
        <w:r>
          <w:rPr>
            <w:rFonts w:ascii="Times New Roman" w:cs="Times New Roman" w:eastAsia="Times New Roman" w:hAnsi="Times New Roman"/>
            <w:sz w:val="14"/>
            <w:szCs w:val="14"/>
            <w:u w:val="single" w:color="auto"/>
            <w:color w:val="0000EE"/>
          </w:rPr>
          <w:t>Amendment No. 4 and Limited Waiver to the Credit Agreement, dated as of March 18, 2019, among Uniti Group Inc., as parent guarantor, Uniti</w:t>
        </w:r>
      </w:hyperlink>
      <w:r>
        <w:rPr>
          <w:rFonts w:ascii="Times New Roman" w:cs="Times New Roman" w:eastAsia="Times New Roman" w:hAnsi="Times New Roman"/>
          <w:sz w:val="14"/>
          <w:szCs w:val="14"/>
          <w:u w:val="single" w:color="auto"/>
          <w:color w:val="0000EE"/>
        </w:rPr>
        <w:t xml:space="preserve"> </w:t>
      </w:r>
      <w:hyperlink r:id="rId38">
        <w:r>
          <w:rPr>
            <w:rFonts w:ascii="Times New Roman" w:cs="Times New Roman" w:eastAsia="Times New Roman" w:hAnsi="Times New Roman"/>
            <w:sz w:val="14"/>
            <w:szCs w:val="14"/>
            <w:u w:val="single" w:color="auto"/>
            <w:color w:val="0000EE"/>
          </w:rPr>
          <w:t>Group LP, Uniti Group Finance Inc. and CSL Capital, LLC, as borrowers, the guarantors party thereto, the lenders party thereto, and Bank of</w:t>
        </w:r>
      </w:hyperlink>
      <w:r>
        <w:rPr>
          <w:rFonts w:ascii="Times New Roman" w:cs="Times New Roman" w:eastAsia="Times New Roman" w:hAnsi="Times New Roman"/>
          <w:sz w:val="14"/>
          <w:szCs w:val="14"/>
          <w:u w:val="single" w:color="auto"/>
          <w:color w:val="0000EE"/>
        </w:rPr>
        <w:t xml:space="preserve"> </w:t>
      </w:r>
      <w:hyperlink r:id="rId38">
        <w:r>
          <w:rPr>
            <w:rFonts w:ascii="Times New Roman" w:cs="Times New Roman" w:eastAsia="Times New Roman" w:hAnsi="Times New Roman"/>
            <w:sz w:val="14"/>
            <w:szCs w:val="14"/>
            <w:u w:val="single" w:color="auto"/>
            <w:color w:val="0000EE"/>
          </w:rPr>
          <w:t>America, N.A., as administrative agent and collateral agent (incorporated by reference to Exhibit 10.11 to the Company’s Annual Report on Form 10-</w:t>
        </w:r>
      </w:hyperlink>
      <w:hyperlink r:id="rId38">
        <w:r>
          <w:rPr>
            <w:rFonts w:ascii="Times New Roman" w:cs="Times New Roman" w:eastAsia="Times New Roman" w:hAnsi="Times New Roman"/>
            <w:sz w:val="14"/>
            <w:szCs w:val="14"/>
            <w:u w:val="single" w:color="auto"/>
            <w:color w:val="0000EE"/>
          </w:rPr>
          <w:t>K dated and filed with the SEC as of March 18, 2019 (File No. 001-36708</w:t>
        </w:r>
        <w:r>
          <w:rPr>
            <w:rFonts w:ascii="Times New Roman" w:cs="Times New Roman" w:eastAsia="Times New Roman" w:hAnsi="Times New Roman"/>
            <w:sz w:val="14"/>
            <w:szCs w:val="14"/>
            <w:color w:val="0000EE"/>
          </w:rPr>
          <w:t>))</w:t>
        </w:r>
      </w:hyperlink>
    </w:p>
    <w:p>
      <w:pPr>
        <w:spacing w:after="0" w:line="32" w:lineRule="exact"/>
        <w:rPr>
          <w:rFonts w:ascii="Times New Roman" w:cs="Times New Roman" w:eastAsia="Times New Roman" w:hAnsi="Times New Roman"/>
          <w:sz w:val="14"/>
          <w:szCs w:val="14"/>
          <w:u w:val="single" w:color="auto"/>
          <w:color w:val="0000EE"/>
        </w:rPr>
      </w:pPr>
    </w:p>
    <w:p>
      <w:pPr>
        <w:sectPr>
          <w:pgSz w:w="11900" w:h="16838" w:orient="portrait"/>
          <w:cols w:equalWidth="0" w:num="2">
            <w:col w:w="540" w:space="720"/>
            <w:col w:w="8879"/>
          </w:cols>
          <w:pgMar w:left="320" w:top="974" w:right="1440" w:bottom="1440" w:gutter="0" w:footer="0" w:header="0"/>
        </w:sectPr>
      </w:pPr>
    </w:p>
    <w:tbl>
      <w:tblPr>
        <w:tblLayout w:type="fixed"/>
        <w:tblInd w:w="0" w:type="dxa"/>
        <w:tblCellMar>
          <w:top w:w="0" w:type="dxa"/>
          <w:left w:w="0" w:type="dxa"/>
          <w:bottom w:w="0" w:type="dxa"/>
          <w:right w:w="0" w:type="dxa"/>
        </w:tblCellMar>
      </w:tblPr>
      <w:tr>
        <w:trPr>
          <w:trHeight w:val="174"/>
        </w:trPr>
        <w:tc>
          <w:tcPr>
            <w:tcW w:w="126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95"/>
              </w:rPr>
              <w:t>10.10</w:t>
            </w:r>
          </w:p>
        </w:tc>
        <w:tc>
          <w:tcPr>
            <w:tcW w:w="8500" w:type="dxa"/>
            <w:vAlign w:val="bottom"/>
            <w:gridSpan w:val="22"/>
          </w:tcPr>
          <w:p>
            <w:pPr>
              <w:spacing w:after="0"/>
              <w:rPr>
                <w:rFonts w:ascii="Times New Roman" w:cs="Times New Roman" w:eastAsia="Times New Roman" w:hAnsi="Times New Roman"/>
                <w:sz w:val="14"/>
                <w:szCs w:val="14"/>
                <w:color w:val="0000EE"/>
              </w:rPr>
            </w:pPr>
            <w:hyperlink r:id="rId39">
              <w:r>
                <w:rPr>
                  <w:rFonts w:ascii="Times New Roman" w:cs="Times New Roman" w:eastAsia="Times New Roman" w:hAnsi="Times New Roman"/>
                  <w:sz w:val="14"/>
                  <w:szCs w:val="14"/>
                  <w:color w:val="0000EE"/>
                </w:rPr>
                <w:t>Amendment No. 5 to the Credit Agreement, dated as of June 24, 2019, among Uniti Group Inc., as parent guarantor, Uniti Group LP, Uniti Group</w:t>
              </w:r>
            </w:hyperlink>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7740" w:type="dxa"/>
            <w:vAlign w:val="bottom"/>
            <w:tcBorders>
              <w:top w:val="single" w:sz="8" w:color="0000EE"/>
              <w:bottom w:val="single" w:sz="8" w:color="0000EE"/>
            </w:tcBorders>
            <w:gridSpan w:val="7"/>
          </w:tcPr>
          <w:p>
            <w:pPr>
              <w:spacing w:after="0" w:line="139" w:lineRule="exact"/>
              <w:rPr>
                <w:rFonts w:ascii="Times New Roman" w:cs="Times New Roman" w:eastAsia="Times New Roman" w:hAnsi="Times New Roman"/>
                <w:sz w:val="14"/>
                <w:szCs w:val="14"/>
                <w:color w:val="0000EE"/>
              </w:rPr>
            </w:pPr>
            <w:hyperlink r:id="rId39">
              <w:r>
                <w:rPr>
                  <w:rFonts w:ascii="Times New Roman" w:cs="Times New Roman" w:eastAsia="Times New Roman" w:hAnsi="Times New Roman"/>
                  <w:sz w:val="14"/>
                  <w:szCs w:val="14"/>
                  <w:color w:val="0000EE"/>
                </w:rPr>
                <w:t>Finance Inc., and CSL Capital, LLC, as borrowers, the guarantors party thereto, the lenders party thereto, and Bank of America, N.A., as</w:t>
              </w:r>
            </w:hyperlink>
          </w:p>
        </w:tc>
        <w:tc>
          <w:tcPr>
            <w:tcW w:w="500" w:type="dxa"/>
            <w:vAlign w:val="bottom"/>
            <w:tcBorders>
              <w:top w:val="single" w:sz="8" w:color="0000EE"/>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260" w:type="dxa"/>
            <w:vAlign w:val="bottom"/>
          </w:tcPr>
          <w:p>
            <w:pPr>
              <w:spacing w:after="0"/>
              <w:rPr>
                <w:sz w:val="13"/>
                <w:szCs w:val="13"/>
                <w:color w:val="auto"/>
              </w:rPr>
            </w:pPr>
          </w:p>
        </w:tc>
        <w:tc>
          <w:tcPr>
            <w:tcW w:w="8500" w:type="dxa"/>
            <w:vAlign w:val="bottom"/>
            <w:gridSpan w:val="22"/>
          </w:tcPr>
          <w:p>
            <w:pPr>
              <w:spacing w:after="0" w:line="150" w:lineRule="exact"/>
              <w:rPr>
                <w:rFonts w:ascii="Times New Roman" w:cs="Times New Roman" w:eastAsia="Times New Roman" w:hAnsi="Times New Roman"/>
                <w:sz w:val="14"/>
                <w:szCs w:val="14"/>
                <w:color w:val="0000EE"/>
              </w:rPr>
            </w:pPr>
            <w:hyperlink r:id="rId39">
              <w:r>
                <w:rPr>
                  <w:rFonts w:ascii="Times New Roman" w:cs="Times New Roman" w:eastAsia="Times New Roman" w:hAnsi="Times New Roman"/>
                  <w:sz w:val="14"/>
                  <w:szCs w:val="14"/>
                  <w:color w:val="0000EE"/>
                </w:rPr>
                <w:t>administrative agent and collateral agent (incorporated by reference to Exhibit 10.1 to the Company’s Current Report on Form 8-K dated and filed</w:t>
              </w:r>
            </w:hyperlink>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8280" w:type="dxa"/>
            <w:vAlign w:val="bottom"/>
            <w:tcBorders>
              <w:top w:val="single" w:sz="8" w:color="0000EE"/>
            </w:tcBorders>
            <w:gridSpan w:val="12"/>
          </w:tcPr>
          <w:p>
            <w:pPr>
              <w:spacing w:after="0" w:line="139" w:lineRule="exact"/>
              <w:rPr>
                <w:rFonts w:ascii="Times New Roman" w:cs="Times New Roman" w:eastAsia="Times New Roman" w:hAnsi="Times New Roman"/>
                <w:sz w:val="14"/>
                <w:szCs w:val="14"/>
                <w:color w:val="0000EE"/>
              </w:rPr>
            </w:pPr>
            <w:hyperlink r:id="rId39">
              <w:r>
                <w:rPr>
                  <w:rFonts w:ascii="Times New Roman" w:cs="Times New Roman" w:eastAsia="Times New Roman" w:hAnsi="Times New Roman"/>
                  <w:sz w:val="14"/>
                  <w:szCs w:val="14"/>
                  <w:color w:val="0000EE"/>
                </w:rPr>
                <w:t>with the SEC as of June 24, 2019 (File No. 001-36708))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jc w:val="right"/>
              <w:ind w:right="869"/>
              <w:spacing w:after="0"/>
              <w:rPr>
                <w:sz w:val="20"/>
                <w:szCs w:val="20"/>
                <w:color w:val="auto"/>
              </w:rPr>
            </w:pPr>
            <w:r>
              <w:rPr>
                <w:rFonts w:ascii="Times New Roman" w:cs="Times New Roman" w:eastAsia="Times New Roman" w:hAnsi="Times New Roman"/>
                <w:sz w:val="14"/>
                <w:szCs w:val="14"/>
                <w:color w:val="auto"/>
                <w:w w:val="95"/>
              </w:rPr>
              <w:t>10.11</w:t>
            </w:r>
          </w:p>
        </w:tc>
        <w:tc>
          <w:tcPr>
            <w:tcW w:w="9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60" w:type="dxa"/>
            <w:vAlign w:val="bottom"/>
            <w:vMerge w:val="continue"/>
          </w:tcPr>
          <w:p>
            <w:pPr>
              <w:spacing w:after="0"/>
              <w:rPr>
                <w:sz w:val="19"/>
                <w:szCs w:val="19"/>
                <w:color w:val="auto"/>
              </w:rPr>
            </w:pPr>
          </w:p>
        </w:tc>
        <w:tc>
          <w:tcPr>
            <w:tcW w:w="8500" w:type="dxa"/>
            <w:vAlign w:val="bottom"/>
            <w:gridSpan w:val="22"/>
          </w:tcPr>
          <w:p>
            <w:pPr>
              <w:spacing w:after="0"/>
              <w:rPr>
                <w:rFonts w:ascii="Times New Roman" w:cs="Times New Roman" w:eastAsia="Times New Roman" w:hAnsi="Times New Roman"/>
                <w:sz w:val="14"/>
                <w:szCs w:val="14"/>
                <w:color w:val="0000EE"/>
              </w:rPr>
            </w:pPr>
            <w:hyperlink r:id="rId40">
              <w:r>
                <w:rPr>
                  <w:rFonts w:ascii="Times New Roman" w:cs="Times New Roman" w:eastAsia="Times New Roman" w:hAnsi="Times New Roman"/>
                  <w:sz w:val="14"/>
                  <w:szCs w:val="14"/>
                  <w:color w:val="0000EE"/>
                </w:rPr>
                <w:t>Amendment No. 6 and Limited Waiver to the Credit Agreement, dated as of February 10, 2020, among Uniti Group LP, Uniti Group Finance 2019</w:t>
              </w:r>
            </w:hyperlink>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8320" w:type="dxa"/>
            <w:vAlign w:val="bottom"/>
            <w:tcBorders>
              <w:top w:val="single" w:sz="8" w:color="0000EE"/>
              <w:bottom w:val="single" w:sz="8" w:color="0000EE"/>
            </w:tcBorders>
            <w:gridSpan w:val="14"/>
          </w:tcPr>
          <w:p>
            <w:pPr>
              <w:spacing w:after="0" w:line="139" w:lineRule="exact"/>
              <w:rPr>
                <w:rFonts w:ascii="Times New Roman" w:cs="Times New Roman" w:eastAsia="Times New Roman" w:hAnsi="Times New Roman"/>
                <w:sz w:val="14"/>
                <w:szCs w:val="14"/>
                <w:color w:val="0000EE"/>
              </w:rPr>
            </w:pPr>
            <w:hyperlink r:id="rId40">
              <w:r>
                <w:rPr>
                  <w:rFonts w:ascii="Times New Roman" w:cs="Times New Roman" w:eastAsia="Times New Roman" w:hAnsi="Times New Roman"/>
                  <w:sz w:val="14"/>
                  <w:szCs w:val="14"/>
                  <w:color w:val="0000EE"/>
                </w:rPr>
                <w:t>Inc. and CSL Capital, LLC, as borrowers, the guarantor party thereto, the lenders party thereto, and Bank of America, N.A., as administrative agent</w:t>
              </w:r>
            </w:hyperlink>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260" w:type="dxa"/>
            <w:vAlign w:val="bottom"/>
          </w:tcPr>
          <w:p>
            <w:pPr>
              <w:spacing w:after="0"/>
              <w:rPr>
                <w:sz w:val="13"/>
                <w:szCs w:val="13"/>
                <w:color w:val="auto"/>
              </w:rPr>
            </w:pPr>
          </w:p>
        </w:tc>
        <w:tc>
          <w:tcPr>
            <w:tcW w:w="8500" w:type="dxa"/>
            <w:vAlign w:val="bottom"/>
            <w:gridSpan w:val="22"/>
          </w:tcPr>
          <w:p>
            <w:pPr>
              <w:spacing w:after="0" w:line="150" w:lineRule="exact"/>
              <w:rPr>
                <w:rFonts w:ascii="Times New Roman" w:cs="Times New Roman" w:eastAsia="Times New Roman" w:hAnsi="Times New Roman"/>
                <w:sz w:val="14"/>
                <w:szCs w:val="14"/>
                <w:color w:val="0000EE"/>
              </w:rPr>
            </w:pPr>
            <w:hyperlink r:id="rId40">
              <w:r>
                <w:rPr>
                  <w:rFonts w:ascii="Times New Roman" w:cs="Times New Roman" w:eastAsia="Times New Roman" w:hAnsi="Times New Roman"/>
                  <w:sz w:val="14"/>
                  <w:szCs w:val="14"/>
                  <w:color w:val="0000EE"/>
                </w:rPr>
                <w:t>and collateral agent (incorporated by reference to Exhibit 10.1 to the Company’s Current Report on Form 8-K filed with the SEC on February 10,</w:t>
              </w:r>
            </w:hyperlink>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8220" w:type="dxa"/>
            <w:vAlign w:val="bottom"/>
            <w:tcBorders>
              <w:top w:val="single" w:sz="8" w:color="0000EE"/>
            </w:tcBorders>
            <w:gridSpan w:val="9"/>
          </w:tcPr>
          <w:p>
            <w:pPr>
              <w:spacing w:after="0" w:line="139" w:lineRule="exact"/>
              <w:rPr>
                <w:rFonts w:ascii="Times New Roman" w:cs="Times New Roman" w:eastAsia="Times New Roman" w:hAnsi="Times New Roman"/>
                <w:sz w:val="14"/>
                <w:szCs w:val="14"/>
                <w:color w:val="0000EE"/>
              </w:rPr>
            </w:pPr>
            <w:hyperlink r:id="rId40">
              <w:r>
                <w:rPr>
                  <w:rFonts w:ascii="Times New Roman" w:cs="Times New Roman" w:eastAsia="Times New Roman" w:hAnsi="Times New Roman"/>
                  <w:sz w:val="14"/>
                  <w:szCs w:val="14"/>
                  <w:color w:val="0000EE"/>
                </w:rPr>
                <w:t>2020 (File No. 001-36708))</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jc w:val="right"/>
              <w:ind w:right="869"/>
              <w:spacing w:after="0"/>
              <w:rPr>
                <w:sz w:val="20"/>
                <w:szCs w:val="20"/>
                <w:color w:val="auto"/>
              </w:rPr>
            </w:pPr>
            <w:r>
              <w:rPr>
                <w:rFonts w:ascii="Times New Roman" w:cs="Times New Roman" w:eastAsia="Times New Roman" w:hAnsi="Times New Roman"/>
                <w:sz w:val="14"/>
                <w:szCs w:val="14"/>
                <w:color w:val="auto"/>
                <w:w w:val="95"/>
              </w:rPr>
              <w:t>10.12</w:t>
            </w:r>
          </w:p>
        </w:tc>
        <w:tc>
          <w:tcPr>
            <w:tcW w:w="9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60" w:type="dxa"/>
            <w:vAlign w:val="bottom"/>
            <w:vMerge w:val="continue"/>
          </w:tcPr>
          <w:p>
            <w:pPr>
              <w:spacing w:after="0"/>
              <w:rPr>
                <w:sz w:val="19"/>
                <w:szCs w:val="19"/>
                <w:color w:val="auto"/>
              </w:rPr>
            </w:pPr>
          </w:p>
        </w:tc>
        <w:tc>
          <w:tcPr>
            <w:tcW w:w="8500" w:type="dxa"/>
            <w:vAlign w:val="bottom"/>
            <w:gridSpan w:val="22"/>
          </w:tcPr>
          <w:p>
            <w:pPr>
              <w:spacing w:after="0"/>
              <w:rPr>
                <w:rFonts w:ascii="Times New Roman" w:cs="Times New Roman" w:eastAsia="Times New Roman" w:hAnsi="Times New Roman"/>
                <w:sz w:val="14"/>
                <w:szCs w:val="14"/>
                <w:color w:val="0000EE"/>
              </w:rPr>
            </w:pPr>
            <w:hyperlink r:id="rId41">
              <w:r>
                <w:rPr>
                  <w:rFonts w:ascii="Times New Roman" w:cs="Times New Roman" w:eastAsia="Times New Roman" w:hAnsi="Times New Roman"/>
                  <w:sz w:val="14"/>
                  <w:szCs w:val="14"/>
                  <w:color w:val="0000EE"/>
                </w:rPr>
                <w:t>Amendment No. 7 to the Credit Agreement, dated as of December 10, 2020, by and among Uniti Group Inc., as parent guarantor, Uniti Group LP,</w:t>
              </w:r>
            </w:hyperlink>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8260" w:type="dxa"/>
            <w:vAlign w:val="bottom"/>
            <w:tcBorders>
              <w:top w:val="single" w:sz="8" w:color="0000EE"/>
            </w:tcBorders>
            <w:gridSpan w:val="11"/>
          </w:tcPr>
          <w:p>
            <w:pPr>
              <w:spacing w:after="0" w:line="139" w:lineRule="exact"/>
              <w:rPr>
                <w:rFonts w:ascii="Times New Roman" w:cs="Times New Roman" w:eastAsia="Times New Roman" w:hAnsi="Times New Roman"/>
                <w:sz w:val="14"/>
                <w:szCs w:val="14"/>
                <w:color w:val="0000EE"/>
              </w:rPr>
            </w:pPr>
            <w:hyperlink r:id="rId41">
              <w:r>
                <w:rPr>
                  <w:rFonts w:ascii="Times New Roman" w:cs="Times New Roman" w:eastAsia="Times New Roman" w:hAnsi="Times New Roman"/>
                  <w:sz w:val="14"/>
                  <w:szCs w:val="14"/>
                  <w:color w:val="0000EE"/>
                </w:rPr>
                <w:t>Uniti Group Finance Inc., and CSL Capital, LLC, as borrowers, the guarantors party thereto, the lenders party thereto, and Bank of America, N.A.,</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7"/>
          </w:tcPr>
          <w:p>
            <w:pPr>
              <w:spacing w:after="0" w:line="139" w:lineRule="exact"/>
              <w:rPr>
                <w:rFonts w:ascii="Times New Roman" w:cs="Times New Roman" w:eastAsia="Times New Roman" w:hAnsi="Times New Roman"/>
                <w:sz w:val="14"/>
                <w:szCs w:val="14"/>
                <w:color w:val="0000EE"/>
              </w:rPr>
            </w:pPr>
            <w:hyperlink r:id="rId41">
              <w:r>
                <w:rPr>
                  <w:rFonts w:ascii="Times New Roman" w:cs="Times New Roman" w:eastAsia="Times New Roman" w:hAnsi="Times New Roman"/>
                  <w:sz w:val="14"/>
                  <w:szCs w:val="14"/>
                  <w:color w:val="0000EE"/>
                </w:rPr>
                <w:t>as</w:t>
              </w:r>
            </w:hyperlink>
          </w:p>
        </w:tc>
        <w:tc>
          <w:tcPr>
            <w:tcW w:w="0" w:type="dxa"/>
            <w:vAlign w:val="bottom"/>
          </w:tcPr>
          <w:p>
            <w:pPr>
              <w:spacing w:after="0"/>
              <w:rPr>
                <w:sz w:val="1"/>
                <w:szCs w:val="1"/>
                <w:color w:val="auto"/>
              </w:rPr>
            </w:pPr>
          </w:p>
        </w:tc>
      </w:tr>
      <w:tr>
        <w:trPr>
          <w:trHeight w:val="150"/>
        </w:trPr>
        <w:tc>
          <w:tcPr>
            <w:tcW w:w="1260" w:type="dxa"/>
            <w:vAlign w:val="bottom"/>
          </w:tcPr>
          <w:p>
            <w:pPr>
              <w:spacing w:after="0"/>
              <w:rPr>
                <w:sz w:val="13"/>
                <w:szCs w:val="13"/>
                <w:color w:val="auto"/>
              </w:rPr>
            </w:pPr>
          </w:p>
        </w:tc>
        <w:tc>
          <w:tcPr>
            <w:tcW w:w="8440" w:type="dxa"/>
            <w:vAlign w:val="bottom"/>
            <w:tcBorders>
              <w:top w:val="single" w:sz="8" w:color="0000EE"/>
            </w:tcBorders>
            <w:gridSpan w:val="20"/>
          </w:tcPr>
          <w:p>
            <w:pPr>
              <w:spacing w:after="0" w:line="150" w:lineRule="exact"/>
              <w:rPr>
                <w:rFonts w:ascii="Times New Roman" w:cs="Times New Roman" w:eastAsia="Times New Roman" w:hAnsi="Times New Roman"/>
                <w:sz w:val="14"/>
                <w:szCs w:val="14"/>
                <w:color w:val="0000EE"/>
              </w:rPr>
            </w:pPr>
            <w:hyperlink r:id="rId41">
              <w:r>
                <w:rPr>
                  <w:rFonts w:ascii="Times New Roman" w:cs="Times New Roman" w:eastAsia="Times New Roman" w:hAnsi="Times New Roman"/>
                  <w:sz w:val="14"/>
                  <w:szCs w:val="14"/>
                  <w:color w:val="0000EE"/>
                </w:rPr>
                <w:t>administrative agent and collateral agent (incorporated by reference to Exhibit 10.1 to the Company’s Current Report on Form 8-K dated and filed</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8280" w:type="dxa"/>
            <w:vAlign w:val="bottom"/>
            <w:tcBorders>
              <w:top w:val="single" w:sz="8" w:color="0000EE"/>
            </w:tcBorders>
            <w:gridSpan w:val="12"/>
          </w:tcPr>
          <w:p>
            <w:pPr>
              <w:spacing w:after="0" w:line="139" w:lineRule="exact"/>
              <w:rPr>
                <w:rFonts w:ascii="Times New Roman" w:cs="Times New Roman" w:eastAsia="Times New Roman" w:hAnsi="Times New Roman"/>
                <w:sz w:val="14"/>
                <w:szCs w:val="14"/>
                <w:color w:val="0000EE"/>
              </w:rPr>
            </w:pPr>
            <w:hyperlink r:id="rId41">
              <w:r>
                <w:rPr>
                  <w:rFonts w:ascii="Times New Roman" w:cs="Times New Roman" w:eastAsia="Times New Roman" w:hAnsi="Times New Roman"/>
                  <w:sz w:val="14"/>
                  <w:szCs w:val="14"/>
                  <w:color w:val="0000EE"/>
                </w:rPr>
                <w:t>with the SEC as of December 10, 2020 (File No. 001-36708))</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95"/>
              </w:rPr>
              <w:t>10.13</w:t>
            </w:r>
          </w:p>
        </w:tc>
        <w:tc>
          <w:tcPr>
            <w:tcW w:w="840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42">
              <w:r>
                <w:rPr>
                  <w:rFonts w:ascii="Times New Roman" w:cs="Times New Roman" w:eastAsia="Times New Roman" w:hAnsi="Times New Roman"/>
                  <w:sz w:val="14"/>
                  <w:szCs w:val="14"/>
                  <w:color w:val="0000FF"/>
                </w:rPr>
                <w:t>Amendment No. 8 to the Credit Agreement, dated as of March 24, 2023, among Uniti Group LP, Uniti Group Finance Inc. and CSL Capital LLC, as</w:t>
              </w:r>
            </w:hyperlink>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260" w:type="dxa"/>
            <w:vAlign w:val="bottom"/>
          </w:tcPr>
          <w:p>
            <w:pPr>
              <w:spacing w:after="0"/>
              <w:rPr>
                <w:sz w:val="10"/>
                <w:szCs w:val="10"/>
                <w:color w:val="auto"/>
              </w:rPr>
            </w:pPr>
          </w:p>
        </w:tc>
        <w:tc>
          <w:tcPr>
            <w:tcW w:w="8400" w:type="dxa"/>
            <w:vAlign w:val="bottom"/>
            <w:gridSpan w:val="18"/>
          </w:tcPr>
          <w:p>
            <w:pPr>
              <w:spacing w:after="0" w:line="118" w:lineRule="exact"/>
              <w:rPr>
                <w:rFonts w:ascii="Times New Roman" w:cs="Times New Roman" w:eastAsia="Times New Roman" w:hAnsi="Times New Roman"/>
                <w:sz w:val="13"/>
                <w:szCs w:val="13"/>
                <w:color w:val="0000FF"/>
              </w:rPr>
            </w:pPr>
            <w:hyperlink r:id="rId42">
              <w:r>
                <w:rPr>
                  <w:rFonts w:ascii="Times New Roman" w:cs="Times New Roman" w:eastAsia="Times New Roman" w:hAnsi="Times New Roman"/>
                  <w:sz w:val="13"/>
                  <w:szCs w:val="13"/>
                  <w:color w:val="0000FF"/>
                </w:rPr>
                <w:t>borrowers, the guarantor party thereto, the lenders party thereto, and Bank of America, N.A., as administrative agent and collateral agent</w:t>
              </w:r>
            </w:hyperlink>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7720" w:type="dxa"/>
            <w:vAlign w:val="bottom"/>
            <w:tcBorders>
              <w:top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42">
              <w:r>
                <w:rPr>
                  <w:rFonts w:ascii="Times New Roman" w:cs="Times New Roman" w:eastAsia="Times New Roman" w:hAnsi="Times New Roman"/>
                  <w:sz w:val="14"/>
                  <w:szCs w:val="14"/>
                  <w:color w:val="0000FF"/>
                </w:rPr>
                <w:t>(incorporated by reference to Exhibit 10.1 to the Company’s Current Report on Form 8-K dated and filed with the SEC as of March 27,</w:t>
              </w:r>
            </w:hyperlink>
          </w:p>
        </w:tc>
        <w:tc>
          <w:tcPr>
            <w:tcW w:w="780" w:type="dxa"/>
            <w:vAlign w:val="bottom"/>
            <w:gridSpan w:val="16"/>
          </w:tcPr>
          <w:p>
            <w:pPr>
              <w:spacing w:after="0" w:line="129" w:lineRule="exact"/>
              <w:rPr>
                <w:rFonts w:ascii="Times New Roman" w:cs="Times New Roman" w:eastAsia="Times New Roman" w:hAnsi="Times New Roman"/>
                <w:sz w:val="14"/>
                <w:szCs w:val="14"/>
                <w:color w:val="0000FF"/>
              </w:rPr>
            </w:pPr>
            <w:hyperlink r:id="rId42">
              <w:r>
                <w:rPr>
                  <w:rFonts w:ascii="Times New Roman" w:cs="Times New Roman" w:eastAsia="Times New Roman" w:hAnsi="Times New Roman"/>
                  <w:sz w:val="14"/>
                  <w:szCs w:val="14"/>
                  <w:color w:val="0000FF"/>
                </w:rPr>
                <w:t>2023 (File</w:t>
              </w:r>
            </w:hyperlink>
          </w:p>
        </w:tc>
        <w:tc>
          <w:tcPr>
            <w:tcW w:w="0" w:type="dxa"/>
            <w:vAlign w:val="bottom"/>
          </w:tcPr>
          <w:p>
            <w:pPr>
              <w:spacing w:after="0"/>
              <w:rPr>
                <w:sz w:val="1"/>
                <w:szCs w:val="1"/>
                <w:color w:val="auto"/>
              </w:rPr>
            </w:pPr>
          </w:p>
        </w:tc>
      </w:tr>
      <w:tr>
        <w:trPr>
          <w:trHeight w:val="118"/>
        </w:trPr>
        <w:tc>
          <w:tcPr>
            <w:tcW w:w="1260" w:type="dxa"/>
            <w:vAlign w:val="bottom"/>
          </w:tcPr>
          <w:p>
            <w:pPr>
              <w:spacing w:after="0"/>
              <w:rPr>
                <w:sz w:val="10"/>
                <w:szCs w:val="10"/>
                <w:color w:val="auto"/>
              </w:rPr>
            </w:pPr>
          </w:p>
        </w:tc>
        <w:tc>
          <w:tcPr>
            <w:tcW w:w="830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42">
              <w:r>
                <w:rPr>
                  <w:rFonts w:ascii="Times New Roman" w:cs="Times New Roman" w:eastAsia="Times New Roman" w:hAnsi="Times New Roman"/>
                  <w:sz w:val="13"/>
                  <w:szCs w:val="13"/>
                  <w:color w:val="0000FF"/>
                </w:rPr>
                <w:t>No. 001-36708))</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jc w:val="right"/>
              <w:ind w:right="869"/>
              <w:spacing w:after="0"/>
              <w:rPr>
                <w:sz w:val="20"/>
                <w:szCs w:val="20"/>
                <w:color w:val="auto"/>
              </w:rPr>
            </w:pPr>
            <w:r>
              <w:rPr>
                <w:rFonts w:ascii="Times New Roman" w:cs="Times New Roman" w:eastAsia="Times New Roman" w:hAnsi="Times New Roman"/>
                <w:sz w:val="14"/>
                <w:szCs w:val="14"/>
                <w:color w:val="auto"/>
                <w:w w:val="95"/>
              </w:rPr>
              <w:t>10.14</w:t>
            </w:r>
          </w:p>
        </w:tc>
        <w:tc>
          <w:tcPr>
            <w:tcW w:w="94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vMerge w:val="continue"/>
          </w:tcPr>
          <w:p>
            <w:pPr>
              <w:spacing w:after="0"/>
              <w:rPr>
                <w:sz w:val="16"/>
                <w:szCs w:val="16"/>
                <w:color w:val="auto"/>
              </w:rPr>
            </w:pPr>
          </w:p>
        </w:tc>
        <w:tc>
          <w:tcPr>
            <w:tcW w:w="8500" w:type="dxa"/>
            <w:vAlign w:val="bottom"/>
            <w:gridSpan w:val="22"/>
          </w:tcPr>
          <w:p>
            <w:pPr>
              <w:spacing w:after="0"/>
              <w:rPr>
                <w:rFonts w:ascii="Times New Roman" w:cs="Times New Roman" w:eastAsia="Times New Roman" w:hAnsi="Times New Roman"/>
                <w:sz w:val="14"/>
                <w:szCs w:val="14"/>
                <w:color w:val="0000EE"/>
              </w:rPr>
            </w:pPr>
            <w:hyperlink r:id="rId43">
              <w:r>
                <w:rPr>
                  <w:rFonts w:ascii="Times New Roman" w:cs="Times New Roman" w:eastAsia="Times New Roman" w:hAnsi="Times New Roman"/>
                  <w:sz w:val="14"/>
                  <w:szCs w:val="14"/>
                  <w:color w:val="0000EE"/>
                </w:rPr>
                <w:t>Agreement of Resignation, Appointment and Acceptance, dated as of June 26, 2019, by and among Uniti Group LP, CSL Capital, LLC, Uniti Group</w:t>
              </w:r>
            </w:hyperlink>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8340" w:type="dxa"/>
            <w:vAlign w:val="bottom"/>
            <w:tcBorders>
              <w:top w:val="single" w:sz="8" w:color="0000EE"/>
              <w:bottom w:val="single" w:sz="8" w:color="0000EE"/>
            </w:tcBorders>
            <w:gridSpan w:val="15"/>
          </w:tcPr>
          <w:p>
            <w:pPr>
              <w:spacing w:after="0" w:line="139" w:lineRule="exact"/>
              <w:rPr>
                <w:rFonts w:ascii="Times New Roman" w:cs="Times New Roman" w:eastAsia="Times New Roman" w:hAnsi="Times New Roman"/>
                <w:sz w:val="14"/>
                <w:szCs w:val="14"/>
                <w:color w:val="0000EE"/>
              </w:rPr>
            </w:pPr>
            <w:hyperlink r:id="rId43">
              <w:r>
                <w:rPr>
                  <w:rFonts w:ascii="Times New Roman" w:cs="Times New Roman" w:eastAsia="Times New Roman" w:hAnsi="Times New Roman"/>
                  <w:sz w:val="14"/>
                  <w:szCs w:val="14"/>
                  <w:color w:val="0000EE"/>
                </w:rPr>
                <w:t>Finance, Inc., and Uniti Fiber Holdings, Inc., as Issuers, and Deutsche Bank Trust Company Americas, as successor trustee, and Wells Fargo Bank,</w:t>
              </w:r>
            </w:hyperlink>
          </w:p>
        </w:tc>
        <w:tc>
          <w:tcPr>
            <w:tcW w:w="80" w:type="dxa"/>
            <w:vAlign w:val="bottom"/>
            <w:tcBorders>
              <w:top w:val="single" w:sz="8" w:color="0000EE"/>
            </w:tcBorders>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260" w:type="dxa"/>
            <w:vAlign w:val="bottom"/>
          </w:tcPr>
          <w:p>
            <w:pPr>
              <w:spacing w:after="0"/>
              <w:rPr>
                <w:sz w:val="13"/>
                <w:szCs w:val="13"/>
                <w:color w:val="auto"/>
              </w:rPr>
            </w:pPr>
          </w:p>
        </w:tc>
        <w:tc>
          <w:tcPr>
            <w:tcW w:w="8500" w:type="dxa"/>
            <w:vAlign w:val="bottom"/>
            <w:gridSpan w:val="22"/>
          </w:tcPr>
          <w:p>
            <w:pPr>
              <w:spacing w:after="0" w:line="150" w:lineRule="exact"/>
              <w:rPr>
                <w:rFonts w:ascii="Times New Roman" w:cs="Times New Roman" w:eastAsia="Times New Roman" w:hAnsi="Times New Roman"/>
                <w:sz w:val="14"/>
                <w:szCs w:val="14"/>
                <w:color w:val="0000EE"/>
              </w:rPr>
            </w:pPr>
            <w:hyperlink r:id="rId43">
              <w:r>
                <w:rPr>
                  <w:rFonts w:ascii="Times New Roman" w:cs="Times New Roman" w:eastAsia="Times New Roman" w:hAnsi="Times New Roman"/>
                  <w:sz w:val="14"/>
                  <w:szCs w:val="14"/>
                  <w:color w:val="0000EE"/>
                </w:rPr>
                <w:t>N.A., as resigning trustee (incorporated by reference to Exhibit 10.4 to the Company’s Quarterly Report on Form 10-Q dated and filed with the SEC</w:t>
              </w:r>
            </w:hyperlink>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2460" w:type="dxa"/>
            <w:vAlign w:val="bottom"/>
            <w:tcBorders>
              <w:top w:val="single" w:sz="8" w:color="0000EE"/>
              <w:bottom w:val="single" w:sz="8" w:color="0000EE"/>
            </w:tcBorders>
            <w:gridSpan w:val="3"/>
          </w:tcPr>
          <w:p>
            <w:pPr>
              <w:spacing w:after="0" w:line="139" w:lineRule="exact"/>
              <w:rPr>
                <w:rFonts w:ascii="Times New Roman" w:cs="Times New Roman" w:eastAsia="Times New Roman" w:hAnsi="Times New Roman"/>
                <w:sz w:val="14"/>
                <w:szCs w:val="14"/>
                <w:color w:val="0000EE"/>
              </w:rPr>
            </w:pPr>
            <w:hyperlink r:id="rId43">
              <w:r>
                <w:rPr>
                  <w:rFonts w:ascii="Times New Roman" w:cs="Times New Roman" w:eastAsia="Times New Roman" w:hAnsi="Times New Roman"/>
                  <w:sz w:val="14"/>
                  <w:szCs w:val="14"/>
                  <w:color w:val="0000EE"/>
                </w:rPr>
                <w:t>as of August 8, 2019 (File No. 001-36708))</w:t>
              </w:r>
            </w:hyperlink>
          </w:p>
        </w:tc>
        <w:tc>
          <w:tcPr>
            <w:tcW w:w="5920" w:type="dxa"/>
            <w:vAlign w:val="bottom"/>
            <w:tcBorders>
              <w:top w:val="single" w:sz="8" w:color="0000EE"/>
            </w:tcBorders>
            <w:gridSpan w:val="14"/>
          </w:tcPr>
          <w:p>
            <w:pPr>
              <w:spacing w:after="0"/>
              <w:rPr>
                <w:sz w:val="12"/>
                <w:szCs w:val="12"/>
                <w:color w:val="auto"/>
              </w:rPr>
            </w:pPr>
          </w:p>
        </w:tc>
        <w:tc>
          <w:tcPr>
            <w:tcW w:w="1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26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95"/>
              </w:rPr>
              <w:t>10.15</w:t>
            </w:r>
          </w:p>
        </w:tc>
        <w:tc>
          <w:tcPr>
            <w:tcW w:w="8500" w:type="dxa"/>
            <w:vAlign w:val="bottom"/>
            <w:gridSpan w:val="22"/>
          </w:tcPr>
          <w:p>
            <w:pPr>
              <w:spacing w:after="0"/>
              <w:rPr>
                <w:rFonts w:ascii="Times New Roman" w:cs="Times New Roman" w:eastAsia="Times New Roman" w:hAnsi="Times New Roman"/>
                <w:sz w:val="14"/>
                <w:szCs w:val="14"/>
                <w:color w:val="0000EE"/>
              </w:rPr>
            </w:pPr>
            <w:hyperlink r:id="rId44">
              <w:r>
                <w:rPr>
                  <w:rFonts w:ascii="Times New Roman" w:cs="Times New Roman" w:eastAsia="Times New Roman" w:hAnsi="Times New Roman"/>
                  <w:sz w:val="14"/>
                  <w:szCs w:val="14"/>
                  <w:color w:val="0000EE"/>
                </w:rPr>
                <w:t>Borrower Assumption Agreement and Joinder, dated as of May 9, 2017 by and among Uniti Group Inc., as initial borrower, Uniti Group LP and Uniti</w:t>
              </w:r>
            </w:hyperlink>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8200" w:type="dxa"/>
            <w:vAlign w:val="bottom"/>
            <w:tcBorders>
              <w:top w:val="single" w:sz="8" w:color="0000EE"/>
              <w:bottom w:val="single" w:sz="8" w:color="0000EE"/>
            </w:tcBorders>
            <w:gridSpan w:val="8"/>
          </w:tcPr>
          <w:p>
            <w:pPr>
              <w:spacing w:after="0" w:line="139" w:lineRule="exact"/>
              <w:rPr>
                <w:rFonts w:ascii="Times New Roman" w:cs="Times New Roman" w:eastAsia="Times New Roman" w:hAnsi="Times New Roman"/>
                <w:sz w:val="14"/>
                <w:szCs w:val="14"/>
                <w:color w:val="0000EE"/>
              </w:rPr>
            </w:pPr>
            <w:hyperlink r:id="rId44">
              <w:r>
                <w:rPr>
                  <w:rFonts w:ascii="Times New Roman" w:cs="Times New Roman" w:eastAsia="Times New Roman" w:hAnsi="Times New Roman"/>
                  <w:sz w:val="14"/>
                  <w:szCs w:val="14"/>
                  <w:color w:val="0000EE"/>
                </w:rPr>
                <w:t>Group Finance Inc., as borrowers, the guarantors party thereto, the lenders party thereto, and Bank of America, N.A., as administrative agent and</w:t>
              </w:r>
            </w:hyperlink>
          </w:p>
        </w:tc>
        <w:tc>
          <w:tcPr>
            <w:tcW w:w="280" w:type="dxa"/>
            <w:vAlign w:val="bottom"/>
            <w:tcBorders>
              <w:top w:val="single" w:sz="8" w:color="0000EE"/>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0139"/>
          </w:cols>
          <w:pgMar w:left="320" w:top="974" w:right="1440"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10.17</w:t>
      </w:r>
    </w:p>
    <w:p>
      <w:pPr>
        <w:spacing w:after="0" w:line="20" w:lineRule="exact"/>
        <w:rPr>
          <w:sz w:val="20"/>
          <w:szCs w:val="20"/>
          <w:color w:val="auto"/>
        </w:rPr>
      </w:pPr>
      <w:r>
        <w:rPr>
          <w:sz w:val="20"/>
          <w:szCs w:val="20"/>
          <w:color w:val="auto"/>
        </w:rPr>
        <w:br w:type="column"/>
      </w:r>
    </w:p>
    <w:p>
      <w:pPr>
        <w:ind w:right="499"/>
        <w:spacing w:after="0" w:line="271" w:lineRule="auto"/>
        <w:rPr>
          <w:rFonts w:ascii="Times New Roman" w:cs="Times New Roman" w:eastAsia="Times New Roman" w:hAnsi="Times New Roman"/>
          <w:sz w:val="14"/>
          <w:szCs w:val="14"/>
          <w:u w:val="single" w:color="auto"/>
          <w:color w:val="0000EE"/>
        </w:rPr>
      </w:pPr>
      <w:hyperlink r:id="rId44">
        <w:r>
          <w:rPr>
            <w:rFonts w:ascii="Times New Roman" w:cs="Times New Roman" w:eastAsia="Times New Roman" w:hAnsi="Times New Roman"/>
            <w:sz w:val="14"/>
            <w:szCs w:val="14"/>
            <w:u w:val="single" w:color="auto"/>
            <w:color w:val="0000EE"/>
          </w:rPr>
          <w:t>collateral agent (incorporated by reference to Exhibit 10.1 to the Company’s Current Report on Form 8-K dated and filed with the SEC as of May 9,</w:t>
        </w:r>
      </w:hyperlink>
      <w:r>
        <w:rPr>
          <w:rFonts w:ascii="Times New Roman" w:cs="Times New Roman" w:eastAsia="Times New Roman" w:hAnsi="Times New Roman"/>
          <w:sz w:val="14"/>
          <w:szCs w:val="14"/>
          <w:u w:val="single" w:color="auto"/>
          <w:color w:val="0000EE"/>
        </w:rPr>
        <w:t xml:space="preserve"> </w:t>
      </w:r>
      <w:hyperlink r:id="rId44">
        <w:r>
          <w:rPr>
            <w:rFonts w:ascii="Times New Roman" w:cs="Times New Roman" w:eastAsia="Times New Roman" w:hAnsi="Times New Roman"/>
            <w:sz w:val="14"/>
            <w:szCs w:val="14"/>
            <w:u w:val="single" w:color="auto"/>
            <w:color w:val="0000EE"/>
          </w:rPr>
          <w:t>2017 (File No. 001-36708))</w:t>
        </w:r>
      </w:hyperlink>
    </w:p>
    <w:p>
      <w:pPr>
        <w:spacing w:after="0" w:line="40" w:lineRule="exact"/>
        <w:rPr>
          <w:sz w:val="20"/>
          <w:szCs w:val="20"/>
          <w:color w:val="auto"/>
        </w:rPr>
      </w:pPr>
    </w:p>
    <w:p>
      <w:pPr>
        <w:ind w:right="379"/>
        <w:spacing w:after="0" w:line="262" w:lineRule="auto"/>
        <w:rPr>
          <w:rFonts w:ascii="Times New Roman" w:cs="Times New Roman" w:eastAsia="Times New Roman" w:hAnsi="Times New Roman"/>
          <w:sz w:val="14"/>
          <w:szCs w:val="14"/>
          <w:u w:val="single" w:color="auto"/>
          <w:color w:val="0000EE"/>
        </w:rPr>
      </w:pPr>
      <w:hyperlink r:id="rId45">
        <w:r>
          <w:rPr>
            <w:rFonts w:ascii="Times New Roman" w:cs="Times New Roman" w:eastAsia="Times New Roman" w:hAnsi="Times New Roman"/>
            <w:sz w:val="14"/>
            <w:szCs w:val="14"/>
            <w:u w:val="single" w:color="auto"/>
            <w:color w:val="0000EE"/>
          </w:rPr>
          <w:t>Recognition Agreement, dated April 24, 2015, by and among CSL National, LP and the other entities listed therein, as Landlord, and Windstream</w:t>
        </w:r>
      </w:hyperlink>
      <w:r>
        <w:rPr>
          <w:rFonts w:ascii="Times New Roman" w:cs="Times New Roman" w:eastAsia="Times New Roman" w:hAnsi="Times New Roman"/>
          <w:sz w:val="14"/>
          <w:szCs w:val="14"/>
          <w:u w:val="single" w:color="auto"/>
          <w:color w:val="0000EE"/>
        </w:rPr>
        <w:t xml:space="preserve"> </w:t>
      </w:r>
      <w:hyperlink r:id="rId45">
        <w:r>
          <w:rPr>
            <w:rFonts w:ascii="Times New Roman" w:cs="Times New Roman" w:eastAsia="Times New Roman" w:hAnsi="Times New Roman"/>
            <w:sz w:val="14"/>
            <w:szCs w:val="14"/>
            <w:u w:val="single" w:color="auto"/>
            <w:color w:val="0000EE"/>
          </w:rPr>
          <w:t>Holdings, Inc., as Tenant, and JPMorgan Chase Bank, N.A., as administrative agent and collateral agent (incorporated by reference to Exhibit 10.11 to</w:t>
        </w:r>
      </w:hyperlink>
      <w:r>
        <w:rPr>
          <w:rFonts w:ascii="Times New Roman" w:cs="Times New Roman" w:eastAsia="Times New Roman" w:hAnsi="Times New Roman"/>
          <w:sz w:val="14"/>
          <w:szCs w:val="14"/>
          <w:u w:val="single" w:color="auto"/>
          <w:color w:val="0000EE"/>
        </w:rPr>
        <w:t xml:space="preserve"> </w:t>
      </w:r>
      <w:hyperlink r:id="rId45">
        <w:r>
          <w:rPr>
            <w:rFonts w:ascii="Times New Roman" w:cs="Times New Roman" w:eastAsia="Times New Roman" w:hAnsi="Times New Roman"/>
            <w:sz w:val="14"/>
            <w:szCs w:val="14"/>
            <w:u w:val="single" w:color="auto"/>
            <w:color w:val="0000EE"/>
          </w:rPr>
          <w:t>the Company’s Current Report on Form 8-K dated and filed with the SEC as of April 27, 2015 (File No. 001-36708))</w:t>
        </w:r>
      </w:hyperlink>
    </w:p>
    <w:p>
      <w:pPr>
        <w:spacing w:after="0" w:line="14" w:lineRule="exact"/>
        <w:rPr>
          <w:rFonts w:ascii="Times New Roman" w:cs="Times New Roman" w:eastAsia="Times New Roman" w:hAnsi="Times New Roman"/>
          <w:sz w:val="14"/>
          <w:szCs w:val="14"/>
          <w:u w:val="single" w:color="auto"/>
          <w:color w:val="0000EE"/>
        </w:rPr>
      </w:pPr>
    </w:p>
    <w:p>
      <w:pPr>
        <w:ind w:right="499"/>
        <w:spacing w:after="0" w:line="239" w:lineRule="auto"/>
        <w:rPr>
          <w:rFonts w:ascii="Times New Roman" w:cs="Times New Roman" w:eastAsia="Times New Roman" w:hAnsi="Times New Roman"/>
          <w:sz w:val="14"/>
          <w:szCs w:val="14"/>
          <w:u w:val="single" w:color="auto"/>
          <w:color w:val="0000FF"/>
        </w:rPr>
      </w:pPr>
      <w:hyperlink r:id="rId46">
        <w:r>
          <w:rPr>
            <w:rFonts w:ascii="Times New Roman" w:cs="Times New Roman" w:eastAsia="Times New Roman" w:hAnsi="Times New Roman"/>
            <w:sz w:val="14"/>
            <w:szCs w:val="14"/>
            <w:u w:val="single" w:color="auto"/>
            <w:color w:val="0000FF"/>
          </w:rPr>
          <w:t>Form of Capped Call Transaction Confirmation (incorporated by reference to Exhibit 10.1 to the Company’s Current Report on Form 8-K dated and</w:t>
        </w:r>
      </w:hyperlink>
      <w:r>
        <w:rPr>
          <w:rFonts w:ascii="Times New Roman" w:cs="Times New Roman" w:eastAsia="Times New Roman" w:hAnsi="Times New Roman"/>
          <w:sz w:val="14"/>
          <w:szCs w:val="14"/>
          <w:u w:val="single" w:color="auto"/>
          <w:color w:val="0000FF"/>
        </w:rPr>
        <w:t xml:space="preserve"> </w:t>
      </w:r>
      <w:hyperlink r:id="rId46">
        <w:r>
          <w:rPr>
            <w:rFonts w:ascii="Times New Roman" w:cs="Times New Roman" w:eastAsia="Times New Roman" w:hAnsi="Times New Roman"/>
            <w:sz w:val="14"/>
            <w:szCs w:val="14"/>
            <w:u w:val="single" w:color="auto"/>
            <w:color w:val="0000FF"/>
          </w:rPr>
          <w:t>filed with the SEC as of December 12, 2022 (File No. 001-36708))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500380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540" w:space="720"/>
            <w:col w:w="8879"/>
          </w:cols>
          <w:pgMar w:left="320" w:top="974" w:right="1440"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10.18+</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10.20+</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10.21+</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10.24+</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10.25+</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10.26+</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10.27+</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10.28+</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10.29</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23.1#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23.2##</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23.3*</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31.1#</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31.2#</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419"/>
        <w:spacing w:after="0" w:line="271" w:lineRule="auto"/>
        <w:rPr>
          <w:rFonts w:ascii="Times New Roman" w:cs="Times New Roman" w:eastAsia="Times New Roman" w:hAnsi="Times New Roman"/>
          <w:sz w:val="14"/>
          <w:szCs w:val="14"/>
          <w:u w:val="single" w:color="auto"/>
          <w:color w:val="0000EE"/>
        </w:rPr>
      </w:pPr>
      <w:hyperlink r:id="rId48">
        <w:r>
          <w:rPr>
            <w:rFonts w:ascii="Times New Roman" w:cs="Times New Roman" w:eastAsia="Times New Roman" w:hAnsi="Times New Roman"/>
            <w:sz w:val="14"/>
            <w:szCs w:val="14"/>
            <w:u w:val="single" w:color="auto"/>
            <w:color w:val="0000EE"/>
          </w:rPr>
          <w:t>Employment Agreement between Uniti Group Inc. and Kenneth Gunderman, effective as of December 14, 2018 (incorporated by reference to Exhibit</w:t>
        </w:r>
      </w:hyperlink>
      <w:r>
        <w:rPr>
          <w:rFonts w:ascii="Times New Roman" w:cs="Times New Roman" w:eastAsia="Times New Roman" w:hAnsi="Times New Roman"/>
          <w:sz w:val="14"/>
          <w:szCs w:val="14"/>
          <w:u w:val="single" w:color="auto"/>
          <w:color w:val="0000EE"/>
        </w:rPr>
        <w:t xml:space="preserve"> </w:t>
      </w:r>
      <w:hyperlink r:id="rId48">
        <w:r>
          <w:rPr>
            <w:rFonts w:ascii="Times New Roman" w:cs="Times New Roman" w:eastAsia="Times New Roman" w:hAnsi="Times New Roman"/>
            <w:sz w:val="14"/>
            <w:szCs w:val="14"/>
            <w:u w:val="single" w:color="auto"/>
            <w:color w:val="0000EE"/>
          </w:rPr>
          <w:t>10.1 to the Company’s Current Report on Form 8-K dated and filed with the SEC as of December 14, 2018 (File No. 001-36708))</w:t>
        </w:r>
      </w:hyperlink>
    </w:p>
    <w:p>
      <w:pPr>
        <w:spacing w:after="0" w:line="40" w:lineRule="exact"/>
        <w:rPr>
          <w:sz w:val="20"/>
          <w:szCs w:val="20"/>
          <w:color w:val="auto"/>
        </w:rPr>
      </w:pPr>
    </w:p>
    <w:p>
      <w:pPr>
        <w:ind w:right="679"/>
        <w:spacing w:after="0" w:line="239" w:lineRule="auto"/>
        <w:rPr>
          <w:rFonts w:ascii="Times New Roman" w:cs="Times New Roman" w:eastAsia="Times New Roman" w:hAnsi="Times New Roman"/>
          <w:sz w:val="14"/>
          <w:szCs w:val="14"/>
          <w:u w:val="single" w:color="auto"/>
          <w:color w:val="0000FF"/>
        </w:rPr>
      </w:pPr>
      <w:hyperlink r:id="rId49">
        <w:r>
          <w:rPr>
            <w:rFonts w:ascii="Times New Roman" w:cs="Times New Roman" w:eastAsia="Times New Roman" w:hAnsi="Times New Roman"/>
            <w:sz w:val="14"/>
            <w:szCs w:val="14"/>
            <w:u w:val="single" w:color="auto"/>
            <w:color w:val="0000FF"/>
          </w:rPr>
          <w:t>Form of Severance Agreement for executive officers (incorporated by reference to Exhibit 10.18 to the Company’s Annual Report on Form 10-K</w:t>
        </w:r>
      </w:hyperlink>
      <w:r>
        <w:rPr>
          <w:rFonts w:ascii="Times New Roman" w:cs="Times New Roman" w:eastAsia="Times New Roman" w:hAnsi="Times New Roman"/>
          <w:sz w:val="14"/>
          <w:szCs w:val="14"/>
          <w:u w:val="single" w:color="auto"/>
          <w:color w:val="0000FF"/>
        </w:rPr>
        <w:t xml:space="preserve"> </w:t>
      </w:r>
      <w:hyperlink r:id="rId49">
        <w:r>
          <w:rPr>
            <w:rFonts w:ascii="Times New Roman" w:cs="Times New Roman" w:eastAsia="Times New Roman" w:hAnsi="Times New Roman"/>
            <w:sz w:val="14"/>
            <w:szCs w:val="14"/>
            <w:u w:val="single" w:color="auto"/>
            <w:color w:val="0000FF"/>
          </w:rPr>
          <w:t>dated and filed with the SEC as of February 28, 2023 (File No. 001-36708))</w:t>
        </w:r>
      </w:hyperlink>
    </w:p>
    <w:p>
      <w:pPr>
        <w:spacing w:after="0" w:line="61" w:lineRule="exact"/>
        <w:rPr>
          <w:sz w:val="20"/>
          <w:szCs w:val="20"/>
          <w:color w:val="auto"/>
        </w:rPr>
      </w:pPr>
    </w:p>
    <w:p>
      <w:pPr>
        <w:ind w:right="799"/>
        <w:spacing w:after="0" w:line="271" w:lineRule="auto"/>
        <w:rPr>
          <w:rFonts w:ascii="Times New Roman" w:cs="Times New Roman" w:eastAsia="Times New Roman" w:hAnsi="Times New Roman"/>
          <w:sz w:val="14"/>
          <w:szCs w:val="14"/>
          <w:u w:val="single" w:color="auto"/>
          <w:color w:val="0000EE"/>
        </w:rPr>
      </w:pPr>
      <w:hyperlink r:id="rId50">
        <w:r>
          <w:rPr>
            <w:rFonts w:ascii="Times New Roman" w:cs="Times New Roman" w:eastAsia="Times New Roman" w:hAnsi="Times New Roman"/>
            <w:sz w:val="14"/>
            <w:szCs w:val="14"/>
            <w:u w:val="single" w:color="auto"/>
            <w:color w:val="0000EE"/>
          </w:rPr>
          <w:t>Uniti Group Inc. 2015 Equity Incentive Plan, as amended and restated effective April 11, 2023 (incorporated by reference to Exhibit 102 to the</w:t>
        </w:r>
      </w:hyperlink>
      <w:r>
        <w:rPr>
          <w:rFonts w:ascii="Times New Roman" w:cs="Times New Roman" w:eastAsia="Times New Roman" w:hAnsi="Times New Roman"/>
          <w:sz w:val="14"/>
          <w:szCs w:val="14"/>
          <w:u w:val="single" w:color="auto"/>
          <w:color w:val="0000EE"/>
        </w:rPr>
        <w:t xml:space="preserve"> </w:t>
      </w:r>
      <w:hyperlink r:id="rId50">
        <w:r>
          <w:rPr>
            <w:rFonts w:ascii="Times New Roman" w:cs="Times New Roman" w:eastAsia="Times New Roman" w:hAnsi="Times New Roman"/>
            <w:sz w:val="14"/>
            <w:szCs w:val="14"/>
            <w:u w:val="single" w:color="auto"/>
            <w:color w:val="0000EE"/>
          </w:rPr>
          <w:t>Company’s Quarterly Report on Form 10-Q dated and filed with the SEC as of May 4, 2023 (File No. 001-36708))</w:t>
        </w:r>
      </w:hyperlink>
    </w:p>
    <w:p>
      <w:pPr>
        <w:spacing w:after="0" w:line="50" w:lineRule="exact"/>
        <w:rPr>
          <w:sz w:val="20"/>
          <w:szCs w:val="20"/>
          <w:color w:val="auto"/>
        </w:rPr>
      </w:pPr>
    </w:p>
    <w:p>
      <w:pPr>
        <w:ind w:right="659"/>
        <w:spacing w:after="0" w:line="271" w:lineRule="auto"/>
        <w:rPr>
          <w:rFonts w:ascii="Times New Roman" w:cs="Times New Roman" w:eastAsia="Times New Roman" w:hAnsi="Times New Roman"/>
          <w:sz w:val="14"/>
          <w:szCs w:val="14"/>
          <w:u w:val="single" w:color="auto"/>
          <w:color w:val="0000EE"/>
        </w:rPr>
      </w:pPr>
      <w:hyperlink r:id="rId51">
        <w:r>
          <w:rPr>
            <w:rFonts w:ascii="Times New Roman" w:cs="Times New Roman" w:eastAsia="Times New Roman" w:hAnsi="Times New Roman"/>
            <w:sz w:val="14"/>
            <w:szCs w:val="14"/>
            <w:u w:val="single" w:color="auto"/>
            <w:color w:val="0000EE"/>
          </w:rPr>
          <w:t>Form of Restricted Shares Agreement for employees (incorporated by reference to Exhibit 10.19 to the Company’s Annual Report on Form 10-K</w:t>
        </w:r>
      </w:hyperlink>
      <w:r>
        <w:rPr>
          <w:rFonts w:ascii="Times New Roman" w:cs="Times New Roman" w:eastAsia="Times New Roman" w:hAnsi="Times New Roman"/>
          <w:sz w:val="14"/>
          <w:szCs w:val="14"/>
          <w:u w:val="single" w:color="auto"/>
          <w:color w:val="0000EE"/>
        </w:rPr>
        <w:t xml:space="preserve"> </w:t>
      </w:r>
      <w:hyperlink r:id="rId51">
        <w:r>
          <w:rPr>
            <w:rFonts w:ascii="Times New Roman" w:cs="Times New Roman" w:eastAsia="Times New Roman" w:hAnsi="Times New Roman"/>
            <w:sz w:val="14"/>
            <w:szCs w:val="14"/>
            <w:u w:val="single" w:color="auto"/>
            <w:color w:val="0000EE"/>
          </w:rPr>
          <w:t>dated and filed with the SEC as of March 18, 2019 (File No. 001-36708))</w:t>
        </w:r>
      </w:hyperlink>
    </w:p>
    <w:p>
      <w:pPr>
        <w:spacing w:after="0" w:line="135" w:lineRule="exact"/>
        <w:rPr>
          <w:sz w:val="20"/>
          <w:szCs w:val="20"/>
          <w:color w:val="auto"/>
        </w:rPr>
      </w:pPr>
    </w:p>
    <w:p>
      <w:pPr>
        <w:ind w:right="459"/>
        <w:spacing w:after="0" w:line="271" w:lineRule="auto"/>
        <w:rPr>
          <w:rFonts w:ascii="Times New Roman" w:cs="Times New Roman" w:eastAsia="Times New Roman" w:hAnsi="Times New Roman"/>
          <w:sz w:val="14"/>
          <w:szCs w:val="14"/>
          <w:u w:val="single" w:color="auto"/>
          <w:color w:val="0000EE"/>
        </w:rPr>
      </w:pPr>
      <w:hyperlink r:id="rId52">
        <w:r>
          <w:rPr>
            <w:rFonts w:ascii="Times New Roman" w:cs="Times New Roman" w:eastAsia="Times New Roman" w:hAnsi="Times New Roman"/>
            <w:sz w:val="14"/>
            <w:szCs w:val="14"/>
            <w:u w:val="single" w:color="auto"/>
            <w:color w:val="0000EE"/>
          </w:rPr>
          <w:t>Form of Performance-Based Restricted Stock Unit Agreement (incorporated by reference to Exhibit 10.21 to the Company’s Annual Report on Form</w:t>
        </w:r>
      </w:hyperlink>
      <w:r>
        <w:rPr>
          <w:rFonts w:ascii="Times New Roman" w:cs="Times New Roman" w:eastAsia="Times New Roman" w:hAnsi="Times New Roman"/>
          <w:sz w:val="14"/>
          <w:szCs w:val="14"/>
          <w:u w:val="single" w:color="auto"/>
          <w:color w:val="0000EE"/>
        </w:rPr>
        <w:t xml:space="preserve"> </w:t>
      </w:r>
      <w:hyperlink r:id="rId52">
        <w:r>
          <w:rPr>
            <w:rFonts w:ascii="Times New Roman" w:cs="Times New Roman" w:eastAsia="Times New Roman" w:hAnsi="Times New Roman"/>
            <w:sz w:val="14"/>
            <w:szCs w:val="14"/>
            <w:u w:val="single" w:color="auto"/>
            <w:color w:val="0000EE"/>
          </w:rPr>
          <w:t>10-K dated and filed with the SEC as of March 18, 2019 (File No. 001-36708))</w:t>
        </w:r>
      </w:hyperlink>
    </w:p>
    <w:p>
      <w:pPr>
        <w:spacing w:after="0" w:line="103" w:lineRule="exact"/>
        <w:rPr>
          <w:sz w:val="20"/>
          <w:szCs w:val="20"/>
          <w:color w:val="auto"/>
        </w:rPr>
      </w:pPr>
    </w:p>
    <w:p>
      <w:pPr>
        <w:ind w:right="459"/>
        <w:spacing w:after="0" w:line="239" w:lineRule="auto"/>
        <w:rPr>
          <w:rFonts w:ascii="Times New Roman" w:cs="Times New Roman" w:eastAsia="Times New Roman" w:hAnsi="Times New Roman"/>
          <w:sz w:val="14"/>
          <w:szCs w:val="14"/>
          <w:u w:val="single" w:color="auto"/>
          <w:color w:val="0000FF"/>
        </w:rPr>
      </w:pPr>
      <w:hyperlink r:id="rId53">
        <w:r>
          <w:rPr>
            <w:rFonts w:ascii="Times New Roman" w:cs="Times New Roman" w:eastAsia="Times New Roman" w:hAnsi="Times New Roman"/>
            <w:sz w:val="14"/>
            <w:szCs w:val="14"/>
            <w:u w:val="single" w:color="auto"/>
            <w:color w:val="0000FF"/>
          </w:rPr>
          <w:t>Form of Performance-Based Restricted Stock Unit Agreement (incorporated by reference to Exhibit 10.22 to the Company’s Annual Report on Form</w:t>
        </w:r>
      </w:hyperlink>
      <w:r>
        <w:rPr>
          <w:rFonts w:ascii="Times New Roman" w:cs="Times New Roman" w:eastAsia="Times New Roman" w:hAnsi="Times New Roman"/>
          <w:sz w:val="14"/>
          <w:szCs w:val="14"/>
          <w:u w:val="single" w:color="auto"/>
          <w:color w:val="0000FF"/>
        </w:rPr>
        <w:t xml:space="preserve"> </w:t>
      </w:r>
      <w:hyperlink r:id="rId53">
        <w:r>
          <w:rPr>
            <w:rFonts w:ascii="Times New Roman" w:cs="Times New Roman" w:eastAsia="Times New Roman" w:hAnsi="Times New Roman"/>
            <w:sz w:val="14"/>
            <w:szCs w:val="14"/>
            <w:u w:val="single" w:color="auto"/>
            <w:color w:val="0000FF"/>
          </w:rPr>
          <w:t>10-K dated and filed with the SEC as of February 28, 2023 (File No. 001-36708))</w:t>
        </w:r>
      </w:hyperlink>
    </w:p>
    <w:p>
      <w:pPr>
        <w:spacing w:after="0" w:line="40" w:lineRule="exact"/>
        <w:rPr>
          <w:sz w:val="20"/>
          <w:szCs w:val="20"/>
          <w:color w:val="auto"/>
        </w:rPr>
      </w:pPr>
    </w:p>
    <w:p>
      <w:pPr>
        <w:ind w:right="659"/>
        <w:spacing w:after="0" w:line="271" w:lineRule="auto"/>
        <w:rPr>
          <w:rFonts w:ascii="Times New Roman" w:cs="Times New Roman" w:eastAsia="Times New Roman" w:hAnsi="Times New Roman"/>
          <w:sz w:val="14"/>
          <w:szCs w:val="14"/>
          <w:u w:val="single" w:color="auto"/>
          <w:color w:val="0000EE"/>
        </w:rPr>
      </w:pPr>
      <w:hyperlink r:id="rId54">
        <w:r>
          <w:rPr>
            <w:rFonts w:ascii="Times New Roman" w:cs="Times New Roman" w:eastAsia="Times New Roman" w:hAnsi="Times New Roman"/>
            <w:sz w:val="14"/>
            <w:szCs w:val="14"/>
            <w:u w:val="single" w:color="auto"/>
            <w:color w:val="0000EE"/>
          </w:rPr>
          <w:t>Form of Restricted Shares Agreement for non-employee directors (incorporated by reference to Exhibit 10.5 to the Company’s Current Report on</w:t>
        </w:r>
      </w:hyperlink>
      <w:r>
        <w:rPr>
          <w:rFonts w:ascii="Times New Roman" w:cs="Times New Roman" w:eastAsia="Times New Roman" w:hAnsi="Times New Roman"/>
          <w:sz w:val="14"/>
          <w:szCs w:val="14"/>
          <w:u w:val="single" w:color="auto"/>
          <w:color w:val="0000EE"/>
        </w:rPr>
        <w:t xml:space="preserve"> </w:t>
      </w:r>
      <w:hyperlink r:id="rId54">
        <w:r>
          <w:rPr>
            <w:rFonts w:ascii="Times New Roman" w:cs="Times New Roman" w:eastAsia="Times New Roman" w:hAnsi="Times New Roman"/>
            <w:sz w:val="14"/>
            <w:szCs w:val="14"/>
            <w:u w:val="single" w:color="auto"/>
            <w:color w:val="0000EE"/>
          </w:rPr>
          <w:t>Form 8-K dated and filed with the SEC as of June 3, 2015 (File No. 001-36708))</w:t>
        </w:r>
      </w:hyperlink>
    </w:p>
    <w:p>
      <w:pPr>
        <w:spacing w:after="0" w:line="135" w:lineRule="exact"/>
        <w:rPr>
          <w:sz w:val="20"/>
          <w:szCs w:val="20"/>
          <w:color w:val="auto"/>
        </w:rPr>
      </w:pPr>
    </w:p>
    <w:p>
      <w:pPr>
        <w:ind w:right="399"/>
        <w:spacing w:after="0" w:line="271" w:lineRule="auto"/>
        <w:rPr>
          <w:rFonts w:ascii="Times New Roman" w:cs="Times New Roman" w:eastAsia="Times New Roman" w:hAnsi="Times New Roman"/>
          <w:sz w:val="14"/>
          <w:szCs w:val="14"/>
          <w:u w:val="single" w:color="auto"/>
          <w:color w:val="0000EE"/>
        </w:rPr>
      </w:pPr>
      <w:hyperlink r:id="rId55">
        <w:r>
          <w:rPr>
            <w:rFonts w:ascii="Times New Roman" w:cs="Times New Roman" w:eastAsia="Times New Roman" w:hAnsi="Times New Roman"/>
            <w:sz w:val="14"/>
            <w:szCs w:val="14"/>
            <w:u w:val="single" w:color="auto"/>
            <w:color w:val="0000EE"/>
          </w:rPr>
          <w:t>Form of Indemnity Agreement (incorporated by reference to Exhibit 10.20 to the Company’s Registration Statement on Form S-4 dated and filed with</w:t>
        </w:r>
      </w:hyperlink>
      <w:r>
        <w:rPr>
          <w:rFonts w:ascii="Times New Roman" w:cs="Times New Roman" w:eastAsia="Times New Roman" w:hAnsi="Times New Roman"/>
          <w:sz w:val="14"/>
          <w:szCs w:val="14"/>
          <w:u w:val="single" w:color="auto"/>
          <w:color w:val="0000EE"/>
        </w:rPr>
        <w:t xml:space="preserve"> </w:t>
      </w:r>
      <w:hyperlink r:id="rId55">
        <w:r>
          <w:rPr>
            <w:rFonts w:ascii="Times New Roman" w:cs="Times New Roman" w:eastAsia="Times New Roman" w:hAnsi="Times New Roman"/>
            <w:sz w:val="14"/>
            <w:szCs w:val="14"/>
            <w:u w:val="single" w:color="auto"/>
            <w:color w:val="0000EE"/>
          </w:rPr>
          <w:t>the SEC as of July 2, 2015 (File No. 333-205450))</w:t>
        </w:r>
      </w:hyperlink>
    </w:p>
    <w:p>
      <w:pPr>
        <w:spacing w:after="0" w:line="135" w:lineRule="exact"/>
        <w:rPr>
          <w:sz w:val="20"/>
          <w:szCs w:val="20"/>
          <w:color w:val="auto"/>
        </w:rPr>
      </w:pPr>
    </w:p>
    <w:p>
      <w:pPr>
        <w:ind w:right="619"/>
        <w:spacing w:after="0" w:line="271" w:lineRule="auto"/>
        <w:rPr>
          <w:rFonts w:ascii="Times New Roman" w:cs="Times New Roman" w:eastAsia="Times New Roman" w:hAnsi="Times New Roman"/>
          <w:sz w:val="14"/>
          <w:szCs w:val="14"/>
          <w:u w:val="single" w:color="auto"/>
          <w:color w:val="0000EE"/>
        </w:rPr>
      </w:pPr>
      <w:hyperlink r:id="rId56">
        <w:r>
          <w:rPr>
            <w:rFonts w:ascii="Times New Roman" w:cs="Times New Roman" w:eastAsia="Times New Roman" w:hAnsi="Times New Roman"/>
            <w:sz w:val="14"/>
            <w:szCs w:val="14"/>
            <w:u w:val="single" w:color="auto"/>
            <w:color w:val="0000EE"/>
          </w:rPr>
          <w:t>Communications Sales &amp; Leasing, Inc. Deferred Compensation Plan, effective August 10, 2015 (incorporated by reference to Exhibit 10.20 to the</w:t>
        </w:r>
      </w:hyperlink>
      <w:r>
        <w:rPr>
          <w:rFonts w:ascii="Times New Roman" w:cs="Times New Roman" w:eastAsia="Times New Roman" w:hAnsi="Times New Roman"/>
          <w:sz w:val="14"/>
          <w:szCs w:val="14"/>
          <w:u w:val="single" w:color="auto"/>
          <w:color w:val="0000EE"/>
        </w:rPr>
        <w:t xml:space="preserve"> </w:t>
      </w:r>
      <w:hyperlink r:id="rId56">
        <w:r>
          <w:rPr>
            <w:rFonts w:ascii="Times New Roman" w:cs="Times New Roman" w:eastAsia="Times New Roman" w:hAnsi="Times New Roman"/>
            <w:sz w:val="14"/>
            <w:szCs w:val="14"/>
            <w:u w:val="single" w:color="auto"/>
            <w:color w:val="0000EE"/>
          </w:rPr>
          <w:t>Company’s Quarterly Report on Form 10-Q dated and filed with the SEC as of August 13, 2015 (File No. 001-36708))</w:t>
        </w:r>
      </w:hyperlink>
    </w:p>
    <w:p>
      <w:pPr>
        <w:spacing w:after="0" w:line="135" w:lineRule="exact"/>
        <w:rPr>
          <w:sz w:val="20"/>
          <w:szCs w:val="20"/>
          <w:color w:val="auto"/>
        </w:rPr>
      </w:pPr>
    </w:p>
    <w:p>
      <w:pPr>
        <w:ind w:right="639"/>
        <w:spacing w:after="0" w:line="271" w:lineRule="auto"/>
        <w:rPr>
          <w:rFonts w:ascii="Times New Roman" w:cs="Times New Roman" w:eastAsia="Times New Roman" w:hAnsi="Times New Roman"/>
          <w:sz w:val="14"/>
          <w:szCs w:val="14"/>
          <w:u w:val="single" w:color="auto"/>
          <w:color w:val="0000EE"/>
        </w:rPr>
      </w:pPr>
      <w:hyperlink r:id="rId57">
        <w:r>
          <w:rPr>
            <w:rFonts w:ascii="Times New Roman" w:cs="Times New Roman" w:eastAsia="Times New Roman" w:hAnsi="Times New Roman"/>
            <w:sz w:val="14"/>
            <w:szCs w:val="14"/>
            <w:u w:val="single" w:color="auto"/>
            <w:color w:val="0000EE"/>
          </w:rPr>
          <w:t>Uniti Group Inc. Amended and Restated Employee Stock Purchase Plan (incorporated by reference to Exhibit 99.1 to the Company’s Registration</w:t>
        </w:r>
      </w:hyperlink>
      <w:r>
        <w:rPr>
          <w:rFonts w:ascii="Times New Roman" w:cs="Times New Roman" w:eastAsia="Times New Roman" w:hAnsi="Times New Roman"/>
          <w:sz w:val="14"/>
          <w:szCs w:val="14"/>
          <w:u w:val="single" w:color="auto"/>
          <w:color w:val="0000EE"/>
        </w:rPr>
        <w:t xml:space="preserve"> </w:t>
      </w:r>
      <w:hyperlink r:id="rId57">
        <w:r>
          <w:rPr>
            <w:rFonts w:ascii="Times New Roman" w:cs="Times New Roman" w:eastAsia="Times New Roman" w:hAnsi="Times New Roman"/>
            <w:sz w:val="14"/>
            <w:szCs w:val="14"/>
            <w:u w:val="single" w:color="auto"/>
            <w:color w:val="0000EE"/>
          </w:rPr>
          <w:t>Statement on Form S-8 dated and filed with the SEC as of June 7, 2018 (File No. 333-225501))</w:t>
        </w:r>
      </w:hyperlink>
    </w:p>
    <w:p>
      <w:pPr>
        <w:spacing w:after="0" w:line="135" w:lineRule="exact"/>
        <w:rPr>
          <w:sz w:val="20"/>
          <w:szCs w:val="20"/>
          <w:color w:val="auto"/>
        </w:rPr>
      </w:pPr>
    </w:p>
    <w:p>
      <w:pPr>
        <w:ind w:right="679"/>
        <w:spacing w:after="0" w:line="271" w:lineRule="auto"/>
        <w:rPr>
          <w:rFonts w:ascii="Times New Roman" w:cs="Times New Roman" w:eastAsia="Times New Roman" w:hAnsi="Times New Roman"/>
          <w:sz w:val="14"/>
          <w:szCs w:val="14"/>
          <w:u w:val="single" w:color="auto"/>
          <w:color w:val="0000EE"/>
        </w:rPr>
      </w:pPr>
      <w:hyperlink r:id="rId58">
        <w:r>
          <w:rPr>
            <w:rFonts w:ascii="Times New Roman" w:cs="Times New Roman" w:eastAsia="Times New Roman" w:hAnsi="Times New Roman"/>
            <w:sz w:val="14"/>
            <w:szCs w:val="14"/>
            <w:u w:val="single" w:color="auto"/>
            <w:color w:val="0000EE"/>
          </w:rPr>
          <w:t>Uniti Group Inc. Annual Short-Term Incentive Plan (incorporated by reference to Exhibit 10.2 to the Company’s Quarterly Report on Form 10-Q</w:t>
        </w:r>
      </w:hyperlink>
      <w:r>
        <w:rPr>
          <w:rFonts w:ascii="Times New Roman" w:cs="Times New Roman" w:eastAsia="Times New Roman" w:hAnsi="Times New Roman"/>
          <w:sz w:val="14"/>
          <w:szCs w:val="14"/>
          <w:u w:val="single" w:color="auto"/>
          <w:color w:val="0000EE"/>
        </w:rPr>
        <w:t xml:space="preserve"> </w:t>
      </w:r>
      <w:hyperlink r:id="rId58">
        <w:r>
          <w:rPr>
            <w:rFonts w:ascii="Times New Roman" w:cs="Times New Roman" w:eastAsia="Times New Roman" w:hAnsi="Times New Roman"/>
            <w:sz w:val="14"/>
            <w:szCs w:val="14"/>
            <w:u w:val="single" w:color="auto"/>
            <w:color w:val="0000EE"/>
          </w:rPr>
          <w:t>dated and filed with the SEC as of May 11, 2020 (File No. 001-36708))</w:t>
        </w:r>
      </w:hyperlink>
    </w:p>
    <w:p>
      <w:pPr>
        <w:spacing w:after="0" w:line="114" w:lineRule="exact"/>
        <w:rPr>
          <w:sz w:val="20"/>
          <w:szCs w:val="20"/>
          <w:color w:val="auto"/>
        </w:rPr>
      </w:pPr>
    </w:p>
    <w:p>
      <w:pPr>
        <w:ind w:right="459"/>
        <w:spacing w:after="0" w:line="253" w:lineRule="auto"/>
        <w:rPr>
          <w:rFonts w:ascii="Times New Roman" w:cs="Times New Roman" w:eastAsia="Times New Roman" w:hAnsi="Times New Roman"/>
          <w:sz w:val="14"/>
          <w:szCs w:val="14"/>
          <w:u w:val="single" w:color="auto"/>
          <w:color w:val="0000FF"/>
        </w:rPr>
      </w:pPr>
      <w:hyperlink r:id="rId59">
        <w:r>
          <w:rPr>
            <w:rFonts w:ascii="Times New Roman" w:cs="Times New Roman" w:eastAsia="Times New Roman" w:hAnsi="Times New Roman"/>
            <w:sz w:val="14"/>
            <w:szCs w:val="14"/>
            <w:u w:val="single" w:color="auto"/>
            <w:color w:val="0000FF"/>
          </w:rPr>
          <w:t>Bridge Loan and Security Agreement, dated as of February 23, 2024, by and among Uniti Fiber Bridge Borrower LLC, Uniti Fiber Bridge HoldCo</w:t>
        </w:r>
      </w:hyperlink>
      <w:r>
        <w:rPr>
          <w:rFonts w:ascii="Times New Roman" w:cs="Times New Roman" w:eastAsia="Times New Roman" w:hAnsi="Times New Roman"/>
          <w:sz w:val="14"/>
          <w:szCs w:val="14"/>
          <w:u w:val="single" w:color="auto"/>
          <w:color w:val="0000FF"/>
        </w:rPr>
        <w:t xml:space="preserve"> </w:t>
      </w:r>
      <w:hyperlink r:id="rId59">
        <w:r>
          <w:rPr>
            <w:rFonts w:ascii="Times New Roman" w:cs="Times New Roman" w:eastAsia="Times New Roman" w:hAnsi="Times New Roman"/>
            <w:sz w:val="14"/>
            <w:szCs w:val="14"/>
            <w:u w:val="single" w:color="auto"/>
            <w:color w:val="0000FF"/>
          </w:rPr>
          <w:t>LLC, the subsidiary guarantors from time to time party thereto, Wilmington Trust, National Association, as administrative agent, collateral agent,</w:t>
        </w:r>
      </w:hyperlink>
      <w:r>
        <w:rPr>
          <w:rFonts w:ascii="Times New Roman" w:cs="Times New Roman" w:eastAsia="Times New Roman" w:hAnsi="Times New Roman"/>
          <w:sz w:val="14"/>
          <w:szCs w:val="14"/>
          <w:u w:val="single" w:color="auto"/>
          <w:color w:val="0000FF"/>
        </w:rPr>
        <w:t xml:space="preserve"> </w:t>
      </w:r>
      <w:hyperlink r:id="rId59">
        <w:r>
          <w:rPr>
            <w:rFonts w:ascii="Times New Roman" w:cs="Times New Roman" w:eastAsia="Times New Roman" w:hAnsi="Times New Roman"/>
            <w:sz w:val="14"/>
            <w:szCs w:val="14"/>
            <w:u w:val="single" w:color="auto"/>
            <w:color w:val="0000FF"/>
          </w:rPr>
          <w:t>account bank and verification agent, Barclays Bank PLC, as facility agent, and the lenders from time to time party thereto (incorporated by reference</w:t>
        </w:r>
      </w:hyperlink>
      <w:r>
        <w:rPr>
          <w:rFonts w:ascii="Times New Roman" w:cs="Times New Roman" w:eastAsia="Times New Roman" w:hAnsi="Times New Roman"/>
          <w:sz w:val="14"/>
          <w:szCs w:val="14"/>
          <w:u w:val="single" w:color="auto"/>
          <w:color w:val="0000FF"/>
        </w:rPr>
        <w:t xml:space="preserve"> </w:t>
      </w:r>
      <w:hyperlink r:id="rId59">
        <w:r>
          <w:rPr>
            <w:rFonts w:ascii="Times New Roman" w:cs="Times New Roman" w:eastAsia="Times New Roman" w:hAnsi="Times New Roman"/>
            <w:sz w:val="14"/>
            <w:szCs w:val="14"/>
            <w:u w:val="single" w:color="auto"/>
            <w:color w:val="0000FF"/>
          </w:rPr>
          <w:t>to Exhibit 10.1 to the Company’s Current Report on Form 8-K dated and filed with the SEC as of February 26, 2024 (File No. 001-36708)</w:t>
        </w:r>
      </w:hyperlink>
    </w:p>
    <w:p>
      <w:pPr>
        <w:spacing w:after="0" w:line="32" w:lineRule="exact"/>
        <w:rPr>
          <w:rFonts w:ascii="Times New Roman" w:cs="Times New Roman" w:eastAsia="Times New Roman" w:hAnsi="Times New Roman"/>
          <w:sz w:val="14"/>
          <w:szCs w:val="14"/>
          <w:u w:val="single" w:color="auto"/>
          <w:color w:val="0000FF"/>
        </w:rPr>
      </w:pPr>
    </w:p>
    <w:p>
      <w:pPr>
        <w:spacing w:after="0"/>
        <w:rPr>
          <w:rFonts w:ascii="Times New Roman" w:cs="Times New Roman" w:eastAsia="Times New Roman" w:hAnsi="Times New Roman"/>
          <w:sz w:val="14"/>
          <w:szCs w:val="14"/>
          <w:u w:val="single" w:color="auto"/>
          <w:color w:val="0000FF"/>
        </w:rPr>
      </w:pPr>
      <w:hyperlink r:id="rId60">
        <w:r>
          <w:rPr>
            <w:rFonts w:ascii="Times New Roman" w:cs="Times New Roman" w:eastAsia="Times New Roman" w:hAnsi="Times New Roman"/>
            <w:sz w:val="14"/>
            <w:szCs w:val="14"/>
            <w:u w:val="single" w:color="auto"/>
            <w:color w:val="0000FF"/>
          </w:rPr>
          <w:t>List of Subsidiaries of Uniti Group Inc</w:t>
        </w:r>
        <w:r>
          <w:rPr>
            <w:rFonts w:ascii="Times New Roman" w:cs="Times New Roman" w:eastAsia="Times New Roman" w:hAnsi="Times New Roman"/>
            <w:sz w:val="14"/>
            <w:szCs w:val="14"/>
            <w:u w:val="single" w:color="auto"/>
            <w:color w:val="0000EE"/>
          </w:rPr>
          <w:t>.</w:t>
        </w:r>
      </w:hyperlink>
    </w:p>
    <w:p>
      <w:pPr>
        <w:spacing w:after="0" w:line="168" w:lineRule="exact"/>
        <w:rPr>
          <w:rFonts w:ascii="Times New Roman" w:cs="Times New Roman" w:eastAsia="Times New Roman" w:hAnsi="Times New Roman"/>
          <w:sz w:val="14"/>
          <w:szCs w:val="14"/>
          <w:u w:val="single" w:color="auto"/>
          <w:color w:val="0000FF"/>
        </w:rPr>
      </w:pPr>
    </w:p>
    <w:p>
      <w:pPr>
        <w:spacing w:after="0"/>
        <w:rPr>
          <w:rFonts w:ascii="Times New Roman" w:cs="Times New Roman" w:eastAsia="Times New Roman" w:hAnsi="Times New Roman"/>
          <w:sz w:val="14"/>
          <w:szCs w:val="14"/>
          <w:u w:val="single" w:color="auto"/>
          <w:color w:val="0000FF"/>
        </w:rPr>
      </w:pPr>
      <w:hyperlink r:id="rId61">
        <w:r>
          <w:rPr>
            <w:rFonts w:ascii="Times New Roman" w:cs="Times New Roman" w:eastAsia="Times New Roman" w:hAnsi="Times New Roman"/>
            <w:sz w:val="14"/>
            <w:szCs w:val="14"/>
            <w:u w:val="single" w:color="auto"/>
            <w:color w:val="0000FF"/>
          </w:rPr>
          <w:t>Consent of KPMG LLP, independent registered public accounting firm</w:t>
        </w:r>
      </w:hyperlink>
    </w:p>
    <w:p>
      <w:pPr>
        <w:spacing w:after="0" w:line="147" w:lineRule="exact"/>
        <w:rPr>
          <w:rFonts w:ascii="Times New Roman" w:cs="Times New Roman" w:eastAsia="Times New Roman" w:hAnsi="Times New Roman"/>
          <w:sz w:val="14"/>
          <w:szCs w:val="14"/>
          <w:u w:val="single" w:color="auto"/>
          <w:color w:val="0000FF"/>
        </w:rPr>
      </w:pPr>
    </w:p>
    <w:p>
      <w:pPr>
        <w:ind w:right="3419"/>
        <w:spacing w:after="0" w:line="316" w:lineRule="auto"/>
        <w:rPr>
          <w:rFonts w:ascii="Times New Roman" w:cs="Times New Roman" w:eastAsia="Times New Roman" w:hAnsi="Times New Roman"/>
          <w:sz w:val="14"/>
          <w:szCs w:val="14"/>
          <w:u w:val="single" w:color="auto"/>
          <w:color w:val="0000FF"/>
        </w:rPr>
      </w:pPr>
      <w:hyperlink r:id="rId62">
        <w:r>
          <w:rPr>
            <w:rFonts w:ascii="Times New Roman" w:cs="Times New Roman" w:eastAsia="Times New Roman" w:hAnsi="Times New Roman"/>
            <w:sz w:val="14"/>
            <w:szCs w:val="14"/>
            <w:u w:val="single" w:color="auto"/>
            <w:color w:val="0000FF"/>
          </w:rPr>
          <w:t>Consent of PricewaterhouseCoopers LLP, independent auditors of Windstream Holdings II, LLC</w:t>
        </w:r>
      </w:hyperlink>
      <w:r>
        <w:rPr>
          <w:rFonts w:ascii="Times New Roman" w:cs="Times New Roman" w:eastAsia="Times New Roman" w:hAnsi="Times New Roman"/>
          <w:sz w:val="14"/>
          <w:szCs w:val="14"/>
          <w:u w:val="single" w:color="auto"/>
          <w:color w:val="0000FF"/>
        </w:rPr>
        <w:t xml:space="preserve"> Consent of PricewaterhouseCoopers LLP, independent auditors of Windstream Holdings II, LLC</w:t>
      </w:r>
    </w:p>
    <w:p>
      <w:pPr>
        <w:ind w:right="819"/>
        <w:spacing w:after="0" w:line="271" w:lineRule="auto"/>
        <w:rPr>
          <w:rFonts w:ascii="Times New Roman" w:cs="Times New Roman" w:eastAsia="Times New Roman" w:hAnsi="Times New Roman"/>
          <w:sz w:val="14"/>
          <w:szCs w:val="14"/>
          <w:u w:val="single" w:color="auto"/>
          <w:color w:val="0000FF"/>
        </w:rPr>
      </w:pPr>
      <w:hyperlink r:id="rId63">
        <w:r>
          <w:rPr>
            <w:rFonts w:ascii="Times New Roman" w:cs="Times New Roman" w:eastAsia="Times New Roman" w:hAnsi="Times New Roman"/>
            <w:sz w:val="14"/>
            <w:szCs w:val="14"/>
            <w:u w:val="single" w:color="auto"/>
            <w:color w:val="0000FF"/>
          </w:rPr>
          <w:t>Certification of Principal Executive Officer Pursuant to Rules 13a-14(a) and 15d-14(a) under the Securities Exchange Act of 1934, as Adopted</w:t>
        </w:r>
      </w:hyperlink>
      <w:r>
        <w:rPr>
          <w:rFonts w:ascii="Times New Roman" w:cs="Times New Roman" w:eastAsia="Times New Roman" w:hAnsi="Times New Roman"/>
          <w:sz w:val="14"/>
          <w:szCs w:val="14"/>
          <w:u w:val="single" w:color="auto"/>
          <w:color w:val="0000FF"/>
        </w:rPr>
        <w:t xml:space="preserve"> </w:t>
      </w:r>
      <w:hyperlink r:id="rId63">
        <w:r>
          <w:rPr>
            <w:rFonts w:ascii="Times New Roman" w:cs="Times New Roman" w:eastAsia="Times New Roman" w:hAnsi="Times New Roman"/>
            <w:sz w:val="14"/>
            <w:szCs w:val="14"/>
            <w:u w:val="single" w:color="auto"/>
            <w:color w:val="0000FF"/>
          </w:rPr>
          <w:t>Pursuant to Section 302 of the Sarbanes-Oxley Act of 2002.</w:t>
        </w:r>
      </w:hyperlink>
    </w:p>
    <w:p>
      <w:pPr>
        <w:spacing w:after="0" w:line="135" w:lineRule="exact"/>
        <w:rPr>
          <w:sz w:val="20"/>
          <w:szCs w:val="20"/>
          <w:color w:val="auto"/>
        </w:rPr>
      </w:pPr>
    </w:p>
    <w:p>
      <w:pPr>
        <w:ind w:right="839"/>
        <w:spacing w:after="0" w:line="271" w:lineRule="auto"/>
        <w:rPr>
          <w:rFonts w:ascii="Times New Roman" w:cs="Times New Roman" w:eastAsia="Times New Roman" w:hAnsi="Times New Roman"/>
          <w:sz w:val="14"/>
          <w:szCs w:val="14"/>
          <w:u w:val="single" w:color="auto"/>
          <w:color w:val="0000FF"/>
        </w:rPr>
      </w:pPr>
      <w:hyperlink r:id="rId64">
        <w:r>
          <w:rPr>
            <w:rFonts w:ascii="Times New Roman" w:cs="Times New Roman" w:eastAsia="Times New Roman" w:hAnsi="Times New Roman"/>
            <w:sz w:val="14"/>
            <w:szCs w:val="14"/>
            <w:u w:val="single" w:color="auto"/>
            <w:color w:val="0000FF"/>
          </w:rPr>
          <w:t>Certification of Principal Financial Officer Pursuant to Rules 13a-14(a) and 15d-14(a) under the Securities Exchange Act of 1934, as Adopted</w:t>
        </w:r>
      </w:hyperlink>
      <w:r>
        <w:rPr>
          <w:rFonts w:ascii="Times New Roman" w:cs="Times New Roman" w:eastAsia="Times New Roman" w:hAnsi="Times New Roman"/>
          <w:sz w:val="14"/>
          <w:szCs w:val="14"/>
          <w:u w:val="single" w:color="auto"/>
          <w:color w:val="0000FF"/>
        </w:rPr>
        <w:t xml:space="preserve"> </w:t>
      </w:r>
      <w:hyperlink r:id="rId64">
        <w:r>
          <w:rPr>
            <w:rFonts w:ascii="Times New Roman" w:cs="Times New Roman" w:eastAsia="Times New Roman" w:hAnsi="Times New Roman"/>
            <w:sz w:val="14"/>
            <w:szCs w:val="14"/>
            <w:u w:val="single" w:color="auto"/>
            <w:color w:val="0000FF"/>
          </w:rPr>
          <w:t>Pursuant to Section 302 of the Sarbanes-Oxley Act of 2002</w:t>
        </w:r>
      </w:hyperlink>
    </w:p>
    <w:p>
      <w:pPr>
        <w:spacing w:after="0" w:line="114" w:lineRule="exact"/>
        <w:rPr>
          <w:sz w:val="20"/>
          <w:szCs w:val="20"/>
          <w:color w:val="auto"/>
        </w:rPr>
      </w:pPr>
    </w:p>
    <w:p>
      <w:pPr>
        <w:ind w:right="819"/>
        <w:spacing w:after="0" w:line="271" w:lineRule="auto"/>
        <w:rPr>
          <w:rFonts w:ascii="Times New Roman" w:cs="Times New Roman" w:eastAsia="Times New Roman" w:hAnsi="Times New Roman"/>
          <w:sz w:val="14"/>
          <w:szCs w:val="14"/>
          <w:u w:val="single" w:color="auto"/>
          <w:color w:val="0000FF"/>
        </w:rPr>
      </w:pPr>
      <w:hyperlink r:id="rId65">
        <w:r>
          <w:rPr>
            <w:rFonts w:ascii="Times New Roman" w:cs="Times New Roman" w:eastAsia="Times New Roman" w:hAnsi="Times New Roman"/>
            <w:sz w:val="14"/>
            <w:szCs w:val="14"/>
            <w:u w:val="single" w:color="auto"/>
            <w:color w:val="0000FF"/>
          </w:rPr>
          <w:t>Certification of Principal Executive Officer Pursuant to Rules 13a-14(a) and 15d-14(a) under the Securities Exchange Act of 1934, as Adopted</w:t>
        </w:r>
      </w:hyperlink>
      <w:r>
        <w:rPr>
          <w:rFonts w:ascii="Times New Roman" w:cs="Times New Roman" w:eastAsia="Times New Roman" w:hAnsi="Times New Roman"/>
          <w:sz w:val="14"/>
          <w:szCs w:val="14"/>
          <w:u w:val="single" w:color="auto"/>
          <w:color w:val="0000FF"/>
        </w:rPr>
        <w:t xml:space="preserve"> </w:t>
      </w:r>
      <w:hyperlink r:id="rId65">
        <w:r>
          <w:rPr>
            <w:rFonts w:ascii="Times New Roman" w:cs="Times New Roman" w:eastAsia="Times New Roman" w:hAnsi="Times New Roman"/>
            <w:sz w:val="14"/>
            <w:szCs w:val="14"/>
            <w:u w:val="single" w:color="auto"/>
            <w:color w:val="0000FF"/>
          </w:rPr>
          <w:t>Pursuant to Section 302 of the Sarbanes-Oxley Act of 2002</w:t>
        </w:r>
      </w:hyperlink>
    </w:p>
    <w:p>
      <w:pPr>
        <w:spacing w:after="0" w:line="8" w:lineRule="exact"/>
        <w:rPr>
          <w:sz w:val="20"/>
          <w:szCs w:val="20"/>
          <w:color w:val="auto"/>
        </w:rPr>
      </w:pPr>
    </w:p>
    <w:p>
      <w:pPr>
        <w:ind w:right="839"/>
        <w:spacing w:after="0" w:line="271" w:lineRule="auto"/>
        <w:rPr>
          <w:rFonts w:ascii="Times New Roman" w:cs="Times New Roman" w:eastAsia="Times New Roman" w:hAnsi="Times New Roman"/>
          <w:sz w:val="14"/>
          <w:szCs w:val="14"/>
          <w:u w:val="single" w:color="auto"/>
          <w:color w:val="0000FF"/>
        </w:rPr>
      </w:pPr>
      <w:hyperlink r:id="rId66">
        <w:r>
          <w:rPr>
            <w:rFonts w:ascii="Times New Roman" w:cs="Times New Roman" w:eastAsia="Times New Roman" w:hAnsi="Times New Roman"/>
            <w:sz w:val="14"/>
            <w:szCs w:val="14"/>
            <w:u w:val="single" w:color="auto"/>
            <w:color w:val="0000FF"/>
          </w:rPr>
          <w:t>Certification of Principal Financial Officer Pursuant to Rules 13a-14(a) and 15d-14(a) under the Securities Exchange Act of 1934, as Adopted</w:t>
        </w:r>
      </w:hyperlink>
      <w:r>
        <w:rPr>
          <w:rFonts w:ascii="Times New Roman" w:cs="Times New Roman" w:eastAsia="Times New Roman" w:hAnsi="Times New Roman"/>
          <w:sz w:val="14"/>
          <w:szCs w:val="14"/>
          <w:u w:val="single" w:color="auto"/>
          <w:color w:val="0000FF"/>
        </w:rPr>
        <w:t xml:space="preserve"> </w:t>
      </w:r>
      <w:hyperlink r:id="rId66">
        <w:r>
          <w:rPr>
            <w:rFonts w:ascii="Times New Roman" w:cs="Times New Roman" w:eastAsia="Times New Roman" w:hAnsi="Times New Roman"/>
            <w:sz w:val="14"/>
            <w:szCs w:val="14"/>
            <w:u w:val="single" w:color="auto"/>
            <w:color w:val="0000FF"/>
          </w:rPr>
          <w:t>Pursuant to Section 302 of the Sarbanes-Oxley Act of 2002</w:t>
        </w:r>
      </w:hyperlink>
    </w:p>
    <w:p>
      <w:pPr>
        <w:spacing w:after="0" w:line="8" w:lineRule="exact"/>
        <w:rPr>
          <w:sz w:val="20"/>
          <w:szCs w:val="20"/>
          <w:color w:val="auto"/>
        </w:rPr>
      </w:pPr>
    </w:p>
    <w:p>
      <w:pPr>
        <w:ind w:right="819"/>
        <w:spacing w:after="0" w:line="271" w:lineRule="auto"/>
        <w:rPr>
          <w:sz w:val="20"/>
          <w:szCs w:val="20"/>
          <w:color w:val="auto"/>
        </w:rPr>
      </w:pPr>
      <w:r>
        <w:rPr>
          <w:rFonts w:ascii="Times New Roman" w:cs="Times New Roman" w:eastAsia="Times New Roman" w:hAnsi="Times New Roman"/>
          <w:sz w:val="14"/>
          <w:szCs w:val="14"/>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8" w:lineRule="exact"/>
        <w:rPr>
          <w:sz w:val="20"/>
          <w:szCs w:val="20"/>
          <w:color w:val="auto"/>
        </w:rPr>
      </w:pPr>
    </w:p>
    <w:p>
      <w:pPr>
        <w:ind w:right="839"/>
        <w:spacing w:after="0" w:line="271" w:lineRule="auto"/>
        <w:rPr>
          <w:sz w:val="20"/>
          <w:szCs w:val="20"/>
          <w:color w:val="auto"/>
        </w:rPr>
      </w:pPr>
      <w:r>
        <w:rPr>
          <w:rFonts w:ascii="Times New Roman" w:cs="Times New Roman" w:eastAsia="Times New Roman" w:hAnsi="Times New Roman"/>
          <w:sz w:val="14"/>
          <w:szCs w:val="14"/>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493395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540" w:space="720"/>
            <w:col w:w="8879"/>
          </w:cols>
          <w:pgMar w:left="320" w:top="974" w:right="1440"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4"/>
          <w:szCs w:val="14"/>
          <w:color w:val="auto"/>
        </w:rPr>
        <w:t>32.1#</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32.2#</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32.3##</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32.4##</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32.5*</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32.6*</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97#</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99.1*</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101.INS</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101.SCH</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101.CAL</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101.DEF</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101.LAB</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101.PRE</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599"/>
        <w:spacing w:after="0" w:line="271" w:lineRule="auto"/>
        <w:rPr>
          <w:rFonts w:ascii="Times New Roman" w:cs="Times New Roman" w:eastAsia="Times New Roman" w:hAnsi="Times New Roman"/>
          <w:sz w:val="14"/>
          <w:szCs w:val="14"/>
          <w:u w:val="single" w:color="auto"/>
          <w:color w:val="0000FF"/>
        </w:rPr>
      </w:pPr>
      <w:hyperlink r:id="rId68">
        <w:r>
          <w:rPr>
            <w:rFonts w:ascii="Times New Roman" w:cs="Times New Roman" w:eastAsia="Times New Roman" w:hAnsi="Times New Roman"/>
            <w:sz w:val="14"/>
            <w:szCs w:val="14"/>
            <w:u w:val="single" w:color="auto"/>
            <w:color w:val="0000FF"/>
          </w:rPr>
          <w:t>Certification of Principal Executive Officer Pursuant to 18 U.S.C. Section 1350, as Adopted Pursuant to Section 906 of the Sarbanes-Oxley Act of</w:t>
        </w:r>
      </w:hyperlink>
      <w:r>
        <w:rPr>
          <w:rFonts w:ascii="Times New Roman" w:cs="Times New Roman" w:eastAsia="Times New Roman" w:hAnsi="Times New Roman"/>
          <w:sz w:val="14"/>
          <w:szCs w:val="14"/>
          <w:u w:val="single" w:color="auto"/>
          <w:color w:val="0000FF"/>
        </w:rPr>
        <w:t xml:space="preserve"> </w:t>
      </w:r>
      <w:hyperlink r:id="rId68">
        <w:r>
          <w:rPr>
            <w:rFonts w:ascii="Times New Roman" w:cs="Times New Roman" w:eastAsia="Times New Roman" w:hAnsi="Times New Roman"/>
            <w:sz w:val="14"/>
            <w:szCs w:val="14"/>
            <w:u w:val="single" w:color="auto"/>
            <w:color w:val="0000FF"/>
          </w:rPr>
          <w:t>2002</w:t>
        </w:r>
      </w:hyperlink>
    </w:p>
    <w:p>
      <w:pPr>
        <w:spacing w:after="0" w:line="135" w:lineRule="exact"/>
        <w:rPr>
          <w:sz w:val="20"/>
          <w:szCs w:val="20"/>
          <w:color w:val="auto"/>
        </w:rPr>
      </w:pPr>
    </w:p>
    <w:p>
      <w:pPr>
        <w:ind w:right="639"/>
        <w:spacing w:after="0" w:line="271" w:lineRule="auto"/>
        <w:rPr>
          <w:rFonts w:ascii="Times New Roman" w:cs="Times New Roman" w:eastAsia="Times New Roman" w:hAnsi="Times New Roman"/>
          <w:sz w:val="14"/>
          <w:szCs w:val="14"/>
          <w:u w:val="single" w:color="auto"/>
          <w:color w:val="0000EE"/>
        </w:rPr>
      </w:pPr>
      <w:hyperlink r:id="rId69">
        <w:r>
          <w:rPr>
            <w:rFonts w:ascii="Times New Roman" w:cs="Times New Roman" w:eastAsia="Times New Roman" w:hAnsi="Times New Roman"/>
            <w:sz w:val="14"/>
            <w:szCs w:val="14"/>
            <w:u w:val="single" w:color="auto"/>
            <w:color w:val="0000EE"/>
          </w:rPr>
          <w:t>Certification of Principal Financial Officer Pursuant to 18 U.S.C. Section 1350, as Adopted Pursuant to Section 906 of the Sarbanes-Oxley Act of</w:t>
        </w:r>
      </w:hyperlink>
      <w:r>
        <w:rPr>
          <w:rFonts w:ascii="Times New Roman" w:cs="Times New Roman" w:eastAsia="Times New Roman" w:hAnsi="Times New Roman"/>
          <w:sz w:val="14"/>
          <w:szCs w:val="14"/>
          <w:u w:val="single" w:color="auto"/>
          <w:color w:val="0000EE"/>
        </w:rPr>
        <w:t xml:space="preserve"> </w:t>
      </w:r>
      <w:hyperlink r:id="rId69">
        <w:r>
          <w:rPr>
            <w:rFonts w:ascii="Times New Roman" w:cs="Times New Roman" w:eastAsia="Times New Roman" w:hAnsi="Times New Roman"/>
            <w:sz w:val="14"/>
            <w:szCs w:val="14"/>
            <w:u w:val="single" w:color="auto"/>
            <w:color w:val="0000EE"/>
          </w:rPr>
          <w:t>2002</w:t>
        </w:r>
      </w:hyperlink>
    </w:p>
    <w:p>
      <w:pPr>
        <w:spacing w:after="0" w:line="114" w:lineRule="exact"/>
        <w:rPr>
          <w:sz w:val="20"/>
          <w:szCs w:val="20"/>
          <w:color w:val="auto"/>
        </w:rPr>
      </w:pPr>
    </w:p>
    <w:p>
      <w:pPr>
        <w:ind w:right="599"/>
        <w:spacing w:after="0" w:line="271" w:lineRule="auto"/>
        <w:rPr>
          <w:rFonts w:ascii="Times New Roman" w:cs="Times New Roman" w:eastAsia="Times New Roman" w:hAnsi="Times New Roman"/>
          <w:sz w:val="14"/>
          <w:szCs w:val="14"/>
          <w:u w:val="single" w:color="auto"/>
          <w:color w:val="0000FF"/>
        </w:rPr>
      </w:pPr>
      <w:hyperlink r:id="rId70">
        <w:r>
          <w:rPr>
            <w:rFonts w:ascii="Times New Roman" w:cs="Times New Roman" w:eastAsia="Times New Roman" w:hAnsi="Times New Roman"/>
            <w:sz w:val="14"/>
            <w:szCs w:val="14"/>
            <w:u w:val="single" w:color="auto"/>
            <w:color w:val="0000FF"/>
          </w:rPr>
          <w:t>Certification of Principal Executive Officer Pursuant to 18 U.S.C. Section 1350, as Adopted Pursuant to Section 906 of the Sarbanes-Oxley Act of</w:t>
        </w:r>
      </w:hyperlink>
      <w:r>
        <w:rPr>
          <w:rFonts w:ascii="Times New Roman" w:cs="Times New Roman" w:eastAsia="Times New Roman" w:hAnsi="Times New Roman"/>
          <w:sz w:val="14"/>
          <w:szCs w:val="14"/>
          <w:u w:val="single" w:color="auto"/>
          <w:color w:val="0000FF"/>
        </w:rPr>
        <w:t xml:space="preserve"> </w:t>
      </w:r>
      <w:hyperlink r:id="rId70">
        <w:r>
          <w:rPr>
            <w:rFonts w:ascii="Times New Roman" w:cs="Times New Roman" w:eastAsia="Times New Roman" w:hAnsi="Times New Roman"/>
            <w:sz w:val="14"/>
            <w:szCs w:val="14"/>
            <w:u w:val="single" w:color="auto"/>
            <w:color w:val="0000FF"/>
          </w:rPr>
          <w:t>2002</w:t>
        </w:r>
      </w:hyperlink>
    </w:p>
    <w:p>
      <w:pPr>
        <w:spacing w:after="0" w:line="8" w:lineRule="exact"/>
        <w:rPr>
          <w:sz w:val="20"/>
          <w:szCs w:val="20"/>
          <w:color w:val="auto"/>
        </w:rPr>
      </w:pPr>
    </w:p>
    <w:p>
      <w:pPr>
        <w:ind w:right="639"/>
        <w:spacing w:after="0" w:line="271" w:lineRule="auto"/>
        <w:rPr>
          <w:rFonts w:ascii="Times New Roman" w:cs="Times New Roman" w:eastAsia="Times New Roman" w:hAnsi="Times New Roman"/>
          <w:sz w:val="14"/>
          <w:szCs w:val="14"/>
          <w:u w:val="single" w:color="auto"/>
          <w:color w:val="0000FF"/>
        </w:rPr>
      </w:pPr>
      <w:hyperlink r:id="rId71">
        <w:r>
          <w:rPr>
            <w:rFonts w:ascii="Times New Roman" w:cs="Times New Roman" w:eastAsia="Times New Roman" w:hAnsi="Times New Roman"/>
            <w:sz w:val="14"/>
            <w:szCs w:val="14"/>
            <w:u w:val="single" w:color="auto"/>
            <w:color w:val="0000FF"/>
          </w:rPr>
          <w:t>Certification of Principal Financial Officer Pursuant to 18 U.S.C. Section 1350, as Adopted Pursuant to Section 906 of the Sarbanes-Oxley Act of</w:t>
        </w:r>
      </w:hyperlink>
      <w:r>
        <w:rPr>
          <w:rFonts w:ascii="Times New Roman" w:cs="Times New Roman" w:eastAsia="Times New Roman" w:hAnsi="Times New Roman"/>
          <w:sz w:val="14"/>
          <w:szCs w:val="14"/>
          <w:u w:val="single" w:color="auto"/>
          <w:color w:val="0000FF"/>
        </w:rPr>
        <w:t xml:space="preserve"> </w:t>
      </w:r>
      <w:hyperlink r:id="rId71">
        <w:r>
          <w:rPr>
            <w:rFonts w:ascii="Times New Roman" w:cs="Times New Roman" w:eastAsia="Times New Roman" w:hAnsi="Times New Roman"/>
            <w:sz w:val="14"/>
            <w:szCs w:val="14"/>
            <w:u w:val="single" w:color="auto"/>
            <w:color w:val="0000FF"/>
          </w:rPr>
          <w:t>2002</w:t>
        </w:r>
      </w:hyperlink>
    </w:p>
    <w:p>
      <w:pPr>
        <w:spacing w:after="0" w:line="8" w:lineRule="exact"/>
        <w:rPr>
          <w:sz w:val="20"/>
          <w:szCs w:val="20"/>
          <w:color w:val="auto"/>
        </w:rPr>
      </w:pPr>
    </w:p>
    <w:p>
      <w:pPr>
        <w:ind w:right="599"/>
        <w:spacing w:after="0" w:line="271" w:lineRule="auto"/>
        <w:rPr>
          <w:sz w:val="20"/>
          <w:szCs w:val="20"/>
          <w:color w:val="auto"/>
        </w:rPr>
      </w:pPr>
      <w:r>
        <w:rPr>
          <w:rFonts w:ascii="Times New Roman" w:cs="Times New Roman" w:eastAsia="Times New Roman" w:hAnsi="Times New Roman"/>
          <w:sz w:val="14"/>
          <w:szCs w:val="14"/>
          <w:u w:val="single" w:color="auto"/>
          <w:color w:val="0000EE"/>
        </w:rPr>
        <w:t>Certification of Principal Executive Officer Pursuant to 18 U.S.C. Section 1350, as Adopted Pursuant to Section 906 of the Sarbanes-Oxley Act of 2002</w:t>
      </w:r>
    </w:p>
    <w:p>
      <w:pPr>
        <w:spacing w:after="0" w:line="8" w:lineRule="exact"/>
        <w:rPr>
          <w:sz w:val="20"/>
          <w:szCs w:val="20"/>
          <w:color w:val="auto"/>
        </w:rPr>
      </w:pPr>
    </w:p>
    <w:p>
      <w:pPr>
        <w:ind w:right="639"/>
        <w:spacing w:after="0" w:line="271" w:lineRule="auto"/>
        <w:rPr>
          <w:sz w:val="20"/>
          <w:szCs w:val="20"/>
          <w:color w:val="auto"/>
        </w:rPr>
      </w:pPr>
      <w:r>
        <w:rPr>
          <w:rFonts w:ascii="Times New Roman" w:cs="Times New Roman" w:eastAsia="Times New Roman" w:hAnsi="Times New Roman"/>
          <w:sz w:val="14"/>
          <w:szCs w:val="14"/>
          <w:u w:val="single" w:color="auto"/>
          <w:color w:val="0000EE"/>
        </w:rPr>
        <w:t>Certification of Principal Financial Officer Pursuant to 18 U.S.C. Section 1350, as Adopted Pursuant to Section 906 of the Sarbanes-Oxley Act of 2002</w:t>
      </w:r>
    </w:p>
    <w:p>
      <w:pPr>
        <w:spacing w:after="0" w:line="8"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72">
        <w:r>
          <w:rPr>
            <w:rFonts w:ascii="Times New Roman" w:cs="Times New Roman" w:eastAsia="Times New Roman" w:hAnsi="Times New Roman"/>
            <w:sz w:val="14"/>
            <w:szCs w:val="14"/>
            <w:u w:val="single" w:color="auto"/>
            <w:color w:val="0000FF"/>
          </w:rPr>
          <w:t>Uniti Group Inc. Policy Regarding Repayment or Forfeiture of Certain Compensation by Executive Officers (“Clawback Policy”)</w:t>
        </w:r>
      </w:hyperlink>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Financial Statements of Windstream Holding II, LLC, and consolidated subsidiaries</w:t>
      </w:r>
    </w:p>
    <w:p>
      <w:pPr>
        <w:spacing w:after="0" w:line="62" w:lineRule="exact"/>
        <w:rPr>
          <w:sz w:val="20"/>
          <w:szCs w:val="20"/>
          <w:color w:val="auto"/>
        </w:rPr>
      </w:pPr>
    </w:p>
    <w:p>
      <w:pPr>
        <w:ind w:right="539"/>
        <w:spacing w:after="0" w:line="271" w:lineRule="auto"/>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 tags are embedded within the Inline XBRL document.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560" w:space="720"/>
            <w:col w:w="8879"/>
          </w:cols>
          <w:pgMar w:left="300" w:top="974" w:right="1440" w:bottom="1440" w:gutter="0" w:footer="0" w:header="0"/>
        </w:sectPr>
      </w:pP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10" w:lineRule="exact"/>
        <w:rPr>
          <w:sz w:val="20"/>
          <w:szCs w:val="20"/>
          <w:color w:val="auto"/>
        </w:rPr>
      </w:pPr>
    </w:p>
    <w:p>
      <w:pPr>
        <w:ind w:left="380" w:hanging="361"/>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3" w:lineRule="exact"/>
        <w:rPr>
          <w:sz w:val="20"/>
          <w:szCs w:val="20"/>
          <w:color w:val="auto"/>
        </w:rPr>
      </w:pPr>
    </w:p>
    <w:p>
      <w:pPr>
        <w:ind w:left="380" w:hanging="361"/>
        <w:spacing w:after="0"/>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a management contract or compensation plan or arrangement.</w:t>
      </w:r>
    </w:p>
    <w:p>
      <w:pPr>
        <w:spacing w:after="0" w:line="19"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the corresponding exhibit to the Original 10-K.</w:t>
      </w:r>
    </w:p>
    <w:p>
      <w:pPr>
        <w:spacing w:after="0" w:line="19"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Incorporated by reference to the corresponding exhibit to the Original Amended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498475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974" w:right="1440" w:bottom="1440" w:gutter="0" w:footer="0" w:header="0"/>
          <w:type w:val="continuous"/>
        </w:sectPr>
      </w:pPr>
    </w:p>
    <w:bookmarkStart w:id="6" w:name="page7"/>
    <w:bookmarkEnd w:id="6"/>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4"/>
          <w:szCs w:val="14"/>
          <w:b w:val="1"/>
          <w:bCs w:val="1"/>
          <w:color w:val="auto"/>
        </w:rPr>
        <w:t>.</w:t>
      </w:r>
    </w:p>
    <w:p>
      <w:pPr>
        <w:spacing w:after="0" w:line="15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color w:val="auto"/>
        </w:rPr>
        <w:t>UNITI GROUP INC.</w:t>
      </w:r>
    </w:p>
    <w:p>
      <w:pPr>
        <w:spacing w:after="0" w:line="232" w:lineRule="exact"/>
        <w:rPr>
          <w:sz w:val="20"/>
          <w:szCs w:val="20"/>
          <w:color w:val="auto"/>
        </w:rPr>
      </w:pPr>
    </w:p>
    <w:p>
      <w:pPr>
        <w:ind w:left="20"/>
        <w:spacing w:after="0"/>
        <w:tabs>
          <w:tab w:leader="none" w:pos="5460" w:val="left"/>
          <w:tab w:leader="none" w:pos="7820" w:val="left"/>
        </w:tabs>
        <w:rPr>
          <w:sz w:val="20"/>
          <w:szCs w:val="20"/>
          <w:color w:val="auto"/>
        </w:rPr>
      </w:pPr>
      <w:r>
        <w:rPr>
          <w:rFonts w:ascii="Times New Roman" w:cs="Times New Roman" w:eastAsia="Times New Roman" w:hAnsi="Times New Roman"/>
          <w:sz w:val="14"/>
          <w:szCs w:val="14"/>
          <w:color w:val="auto"/>
        </w:rPr>
        <w:t>Date: March 27,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14605</wp:posOffset>
            </wp:positionV>
            <wp:extent cx="34023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4">
                      <a:extLst>
                        <a:ext uri="{28A0092B-C50C-407E-A947-70E740481C1C}"/>
                      </a:extLst>
                    </a:blip>
                    <a:srcRect/>
                    <a:stretch>
                      <a:fillRect/>
                    </a:stretch>
                  </pic:blipFill>
                  <pic:spPr bwMode="auto">
                    <a:xfrm>
                      <a:off x="0" y="0"/>
                      <a:ext cx="3402330" cy="6985"/>
                    </a:xfrm>
                    <a:prstGeom prst="rect">
                      <a:avLst/>
                    </a:prstGeom>
                    <a:noFill/>
                  </pic:spPr>
                </pic:pic>
              </a:graphicData>
            </a:graphic>
          </wp:anchor>
        </w:drawing>
      </w:r>
    </w:p>
    <w:p>
      <w:pPr>
        <w:spacing w:after="0" w:line="8"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Kenneth A. Gunderman</w:t>
      </w:r>
    </w:p>
    <w:p>
      <w:pPr>
        <w:spacing w:after="0" w:line="25"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ectPr>
          <w:pgSz w:w="11900" w:h="16838" w:orient="portrait"/>
          <w:cols w:equalWidth="0" w:num="1">
            <w:col w:w="11020"/>
          </w:cols>
          <w:pgMar w:left="300" w:top="929" w:right="5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AUDITORS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S-3 (No.333-271693) and Form S-8 (Nos. 333-203591, 333-225501 and 333-272247) of Uniti Group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our report dated March 11, 2024 relating to the financial statements of Windstream Holdings II, LLC, which appears in this Form 10-K/A of Uniti Group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Little Rock, Arkansas</w:t>
      </w:r>
    </w:p>
    <w:p>
      <w:pPr>
        <w:spacing w:after="0"/>
        <w:rPr>
          <w:sz w:val="20"/>
          <w:szCs w:val="20"/>
          <w:color w:val="auto"/>
        </w:rPr>
      </w:pPr>
      <w:r>
        <w:rPr>
          <w:rFonts w:ascii="Times New Roman" w:cs="Times New Roman" w:eastAsia="Times New Roman" w:hAnsi="Times New Roman"/>
          <w:sz w:val="14"/>
          <w:szCs w:val="14"/>
          <w:color w:val="auto"/>
        </w:rPr>
        <w:t>March 27, 2024</w:t>
      </w:r>
    </w:p>
    <w:p>
      <w:pPr>
        <w:sectPr>
          <w:pgSz w:w="11900" w:h="16838" w:orient="portrait"/>
          <w:cols w:equalWidth="0" w:num="1">
            <w:col w:w="11280"/>
          </w:cols>
          <w:pgMar w:left="300" w:top="1131" w:right="3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4"/>
          <w:szCs w:val="14"/>
          <w:b w:val="1"/>
          <w:bCs w:val="1"/>
          <w:color w:val="auto"/>
        </w:rPr>
        <w:t>Exhibit 31.5</w:t>
      </w:r>
    </w:p>
    <w:p>
      <w:pPr>
        <w:spacing w:after="0" w:line="14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ind w:left="2860"/>
        <w:spacing w:after="0" w:line="213" w:lineRule="auto"/>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Kenneth A. Gunderman, certify that:</w:t>
      </w:r>
    </w:p>
    <w:p>
      <w:pPr>
        <w:spacing w:after="0" w:line="72" w:lineRule="exact"/>
        <w:rPr>
          <w:sz w:val="20"/>
          <w:szCs w:val="20"/>
          <w:color w:val="auto"/>
        </w:rPr>
      </w:pPr>
    </w:p>
    <w:p>
      <w:pPr>
        <w:ind w:left="300" w:hanging="295"/>
        <w:spacing w:after="0"/>
        <w:tabs>
          <w:tab w:leader="none" w:pos="3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10-K/A of Uniti Group Inc.;</w:t>
      </w:r>
    </w:p>
    <w:p>
      <w:pPr>
        <w:spacing w:after="0" w:line="61" w:lineRule="exact"/>
        <w:rPr>
          <w:rFonts w:ascii="Times New Roman" w:cs="Times New Roman" w:eastAsia="Times New Roman" w:hAnsi="Times New Roman"/>
          <w:sz w:val="14"/>
          <w:szCs w:val="14"/>
          <w:color w:val="auto"/>
        </w:rPr>
      </w:pPr>
    </w:p>
    <w:p>
      <w:pPr>
        <w:ind w:left="300" w:right="100" w:hanging="295"/>
        <w:spacing w:after="0" w:line="239" w:lineRule="auto"/>
        <w:tabs>
          <w:tab w:leader="none" w:pos="293"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50" w:lineRule="exact"/>
        <w:rPr>
          <w:rFonts w:ascii="Times New Roman" w:cs="Times New Roman" w:eastAsia="Times New Roman" w:hAnsi="Times New Roman"/>
          <w:sz w:val="14"/>
          <w:szCs w:val="14"/>
          <w:color w:val="auto"/>
        </w:rPr>
      </w:pPr>
    </w:p>
    <w:p>
      <w:pPr>
        <w:ind w:left="320" w:right="160" w:hanging="315"/>
        <w:spacing w:after="0" w:line="239" w:lineRule="auto"/>
        <w:tabs>
          <w:tab w:leader="none" w:pos="31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4540" w:val="left"/>
          <w:tab w:leader="none" w:pos="7420" w:val="left"/>
        </w:tabs>
        <w:rPr>
          <w:sz w:val="20"/>
          <w:szCs w:val="20"/>
          <w:color w:val="auto"/>
        </w:rPr>
      </w:pPr>
      <w:r>
        <w:rPr>
          <w:rFonts w:ascii="Times New Roman" w:cs="Times New Roman" w:eastAsia="Times New Roman" w:hAnsi="Times New Roman"/>
          <w:sz w:val="14"/>
          <w:szCs w:val="14"/>
          <w:color w:val="auto"/>
        </w:rPr>
        <w:t>Date: March 27,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14605</wp:posOffset>
            </wp:positionV>
            <wp:extent cx="391414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5">
                      <a:extLst>
                        <a:ext uri="{28A0092B-C50C-407E-A947-70E740481C1C}"/>
                      </a:extLst>
                    </a:blip>
                    <a:srcRect/>
                    <a:stretch>
                      <a:fillRect/>
                    </a:stretch>
                  </pic:blipFill>
                  <pic:spPr bwMode="auto">
                    <a:xfrm>
                      <a:off x="0" y="0"/>
                      <a:ext cx="3914140" cy="6985"/>
                    </a:xfrm>
                    <a:prstGeom prst="rect">
                      <a:avLst/>
                    </a:prstGeom>
                    <a:noFill/>
                  </pic:spPr>
                </pic:pic>
              </a:graphicData>
            </a:graphic>
          </wp:anchor>
        </w:drawing>
      </w:r>
    </w:p>
    <w:p>
      <w:pPr>
        <w:spacing w:after="0" w:line="8"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Kenneth A. Gunderman</w:t>
      </w:r>
    </w:p>
    <w:p>
      <w:pPr>
        <w:spacing w:after="0" w:line="25"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ectPr>
          <w:pgSz w:w="11900" w:h="16838" w:orient="portrait"/>
          <w:cols w:equalWidth="0" w:num="1">
            <w:col w:w="11280"/>
          </w:cols>
          <w:pgMar w:left="300" w:top="1131" w:right="3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4"/>
          <w:szCs w:val="14"/>
          <w:b w:val="1"/>
          <w:bCs w:val="1"/>
          <w:color w:val="auto"/>
        </w:rPr>
        <w:t>Exhibit 31.6</w:t>
      </w:r>
    </w:p>
    <w:p>
      <w:pPr>
        <w:spacing w:after="0" w:line="14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ind w:left="2860"/>
        <w:spacing w:after="0" w:line="213" w:lineRule="auto"/>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Paul E. Bullington, certify that:</w:t>
      </w:r>
    </w:p>
    <w:p>
      <w:pPr>
        <w:spacing w:after="0" w:line="72" w:lineRule="exact"/>
        <w:rPr>
          <w:sz w:val="20"/>
          <w:szCs w:val="20"/>
          <w:color w:val="auto"/>
        </w:rPr>
      </w:pPr>
    </w:p>
    <w:p>
      <w:pPr>
        <w:ind w:left="300" w:hanging="295"/>
        <w:spacing w:after="0"/>
        <w:tabs>
          <w:tab w:leader="none" w:pos="3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10-K/A of Uniti Group Inc.;</w:t>
      </w:r>
    </w:p>
    <w:p>
      <w:pPr>
        <w:spacing w:after="0" w:line="61" w:lineRule="exact"/>
        <w:rPr>
          <w:rFonts w:ascii="Times New Roman" w:cs="Times New Roman" w:eastAsia="Times New Roman" w:hAnsi="Times New Roman"/>
          <w:sz w:val="14"/>
          <w:szCs w:val="14"/>
          <w:color w:val="auto"/>
        </w:rPr>
      </w:pPr>
    </w:p>
    <w:p>
      <w:pPr>
        <w:ind w:left="300" w:right="100" w:hanging="295"/>
        <w:spacing w:after="0" w:line="239" w:lineRule="auto"/>
        <w:tabs>
          <w:tab w:leader="none" w:pos="29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50" w:lineRule="exact"/>
        <w:rPr>
          <w:rFonts w:ascii="Times New Roman" w:cs="Times New Roman" w:eastAsia="Times New Roman" w:hAnsi="Times New Roman"/>
          <w:sz w:val="14"/>
          <w:szCs w:val="14"/>
          <w:color w:val="auto"/>
        </w:rPr>
      </w:pPr>
    </w:p>
    <w:p>
      <w:pPr>
        <w:ind w:left="300" w:right="160" w:hanging="295"/>
        <w:spacing w:after="0" w:line="239" w:lineRule="auto"/>
        <w:tabs>
          <w:tab w:leader="none" w:pos="29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0" w:lineRule="exact"/>
        <w:rPr>
          <w:sz w:val="20"/>
          <w:szCs w:val="20"/>
          <w:color w:val="auto"/>
        </w:rPr>
      </w:pPr>
    </w:p>
    <w:p>
      <w:pPr>
        <w:ind w:left="20"/>
        <w:spacing w:after="0"/>
        <w:tabs>
          <w:tab w:leader="none" w:pos="4560" w:val="left"/>
          <w:tab w:leader="none" w:pos="7580" w:val="left"/>
        </w:tabs>
        <w:rPr>
          <w:sz w:val="20"/>
          <w:szCs w:val="20"/>
          <w:color w:val="auto"/>
        </w:rPr>
      </w:pPr>
      <w:r>
        <w:rPr>
          <w:rFonts w:ascii="Times New Roman" w:cs="Times New Roman" w:eastAsia="Times New Roman" w:hAnsi="Times New Roman"/>
          <w:sz w:val="14"/>
          <w:szCs w:val="14"/>
          <w:color w:val="auto"/>
        </w:rPr>
        <w:t>Date: March 27,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14605</wp:posOffset>
            </wp:positionV>
            <wp:extent cx="391414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6">
                      <a:extLst>
                        <a:ext uri="{28A0092B-C50C-407E-A947-70E740481C1C}"/>
                      </a:extLst>
                    </a:blip>
                    <a:srcRect/>
                    <a:stretch>
                      <a:fillRect/>
                    </a:stretch>
                  </pic:blipFill>
                  <pic:spPr bwMode="auto">
                    <a:xfrm>
                      <a:off x="0" y="0"/>
                      <a:ext cx="3914140" cy="6985"/>
                    </a:xfrm>
                    <a:prstGeom prst="rect">
                      <a:avLst/>
                    </a:prstGeom>
                    <a:noFill/>
                  </pic:spPr>
                </pic:pic>
              </a:graphicData>
            </a:graphic>
          </wp:anchor>
        </w:drawing>
      </w:r>
    </w:p>
    <w:p>
      <w:pPr>
        <w:spacing w:after="0" w:line="8"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Paul E. Bullington</w:t>
      </w:r>
    </w:p>
    <w:p>
      <w:pPr>
        <w:spacing w:after="0" w:line="25"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Senior Vice President – Chief Financial Officer</w:t>
      </w:r>
    </w:p>
    <w:p>
      <w:pPr>
        <w:spacing w:after="0" w:line="19"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and Treasurer</w:t>
      </w:r>
    </w:p>
    <w:p>
      <w:pPr>
        <w:sectPr>
          <w:pgSz w:w="11900" w:h="16838" w:orient="portrait"/>
          <w:cols w:equalWidth="0" w:num="1">
            <w:col w:w="11280"/>
          </w:cols>
          <w:pgMar w:left="300" w:top="1131" w:right="3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4"/>
          <w:szCs w:val="14"/>
          <w:b w:val="1"/>
          <w:bCs w:val="1"/>
          <w:color w:val="auto"/>
        </w:rPr>
        <w:t>Exhibit 32.5</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ind w:left="3860"/>
        <w:spacing w:after="0" w:line="213" w:lineRule="auto"/>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31" w:lineRule="exact"/>
        <w:rPr>
          <w:sz w:val="20"/>
          <w:szCs w:val="20"/>
          <w:color w:val="auto"/>
        </w:rPr>
      </w:pPr>
    </w:p>
    <w:p>
      <w:pPr>
        <w:ind w:right="180" w:firstLine="347"/>
        <w:spacing w:after="0" w:line="255" w:lineRule="auto"/>
        <w:rPr>
          <w:sz w:val="20"/>
          <w:szCs w:val="20"/>
          <w:color w:val="auto"/>
        </w:rPr>
      </w:pPr>
      <w:r>
        <w:rPr>
          <w:rFonts w:ascii="Times New Roman" w:cs="Times New Roman" w:eastAsia="Times New Roman" w:hAnsi="Times New Roman"/>
          <w:sz w:val="14"/>
          <w:szCs w:val="14"/>
          <w:color w:val="auto"/>
        </w:rPr>
        <w:t>In connection with the Annual Report on Form 10-K/A of Uniti Group Inc. (the “Company”) for the period ending December 31, 2023 as filed with the Securities and Exchange Commission on the date hereof (the “Report”), I certify, pursuant to 18 U.S.C. § 1350, as adopted pursuant to § 906 of the Sarbanes-Oxley Act of 2002, to my knowledge, that:</w:t>
      </w:r>
    </w:p>
    <w:p>
      <w:pPr>
        <w:spacing w:after="0" w:line="29" w:lineRule="exact"/>
        <w:rPr>
          <w:sz w:val="20"/>
          <w:szCs w:val="20"/>
          <w:color w:val="auto"/>
        </w:rPr>
      </w:pPr>
    </w:p>
    <w:p>
      <w:pPr>
        <w:ind w:left="660" w:hanging="30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61"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85" w:lineRule="exact"/>
        <w:rPr>
          <w:sz w:val="20"/>
          <w:szCs w:val="20"/>
          <w:color w:val="auto"/>
        </w:rPr>
      </w:pPr>
    </w:p>
    <w:p>
      <w:pPr>
        <w:ind w:left="20"/>
        <w:spacing w:after="0"/>
        <w:tabs>
          <w:tab w:leader="none" w:pos="5360" w:val="left"/>
          <w:tab w:leader="none" w:pos="7820" w:val="left"/>
        </w:tabs>
        <w:rPr>
          <w:sz w:val="20"/>
          <w:szCs w:val="20"/>
          <w:color w:val="auto"/>
        </w:rPr>
      </w:pPr>
      <w:r>
        <w:rPr>
          <w:rFonts w:ascii="Times New Roman" w:cs="Times New Roman" w:eastAsia="Times New Roman" w:hAnsi="Times New Roman"/>
          <w:sz w:val="28"/>
          <w:szCs w:val="28"/>
          <w:color w:val="auto"/>
          <w:vertAlign w:val="subscript"/>
        </w:rPr>
        <w:t>Date: March 27, 2024</w:t>
      </w:r>
      <w:r>
        <w:rPr>
          <w:sz w:val="20"/>
          <w:szCs w:val="20"/>
          <w:color w:val="auto"/>
        </w:rPr>
        <w:tab/>
      </w:r>
      <w:r>
        <w:rPr>
          <w:rFonts w:ascii="Times New Roman" w:cs="Times New Roman" w:eastAsia="Times New Roman" w:hAnsi="Times New Roman"/>
          <w:sz w:val="28"/>
          <w:szCs w:val="28"/>
          <w:color w:val="auto"/>
          <w:vertAlign w:val="subscript"/>
        </w:rPr>
        <w:t>By</w:t>
      </w:r>
      <w:r>
        <w:rPr>
          <w:rFonts w:ascii="Times New Roman" w:cs="Times New Roman" w:eastAsia="Times New Roman" w:hAnsi="Times New Roman"/>
          <w:sz w:val="28"/>
          <w:szCs w:val="28"/>
          <w:color w:val="222222"/>
          <w:vertAlign w:val="subscript"/>
        </w:rPr>
        <w:t>:</w:t>
      </w:r>
      <w:r>
        <w:rPr>
          <w:sz w:val="20"/>
          <w:szCs w:val="20"/>
          <w:color w:val="auto"/>
        </w:rPr>
        <w:tab/>
      </w:r>
      <w:r>
        <w:rPr>
          <w:rFonts w:ascii="Times New Roman" w:cs="Times New Roman" w:eastAsia="Times New Roman" w:hAnsi="Times New Roman"/>
          <w:sz w:val="14"/>
          <w:szCs w:val="14"/>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33020</wp:posOffset>
            </wp:positionV>
            <wp:extent cx="341566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7">
                      <a:extLst>
                        <a:ext uri="{28A0092B-C50C-407E-A947-70E740481C1C}"/>
                      </a:extLst>
                    </a:blip>
                    <a:srcRect/>
                    <a:stretch>
                      <a:fillRect/>
                    </a:stretch>
                  </pic:blipFill>
                  <pic:spPr bwMode="auto">
                    <a:xfrm>
                      <a:off x="0" y="0"/>
                      <a:ext cx="3415665" cy="6985"/>
                    </a:xfrm>
                    <a:prstGeom prst="rect">
                      <a:avLst/>
                    </a:prstGeom>
                    <a:noFill/>
                  </pic:spPr>
                </pic:pic>
              </a:graphicData>
            </a:graphic>
          </wp:anchor>
        </w:drawing>
      </w:r>
    </w:p>
    <w:p>
      <w:pPr>
        <w:spacing w:after="0" w:line="57"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Kenneth A. Gunderman</w:t>
      </w:r>
    </w:p>
    <w:p>
      <w:pPr>
        <w:spacing w:after="0" w:line="51"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ectPr>
          <w:pgSz w:w="11900" w:h="16838" w:orient="portrait"/>
          <w:cols w:equalWidth="0" w:num="1">
            <w:col w:w="11280"/>
          </w:cols>
          <w:pgMar w:left="300" w:top="1131" w:right="31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4"/>
          <w:szCs w:val="14"/>
          <w:b w:val="1"/>
          <w:bCs w:val="1"/>
          <w:color w:val="auto"/>
        </w:rPr>
        <w:t>Exhibit 32.6</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ind w:left="3860"/>
        <w:spacing w:after="0" w:line="213" w:lineRule="auto"/>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31" w:lineRule="exact"/>
        <w:rPr>
          <w:sz w:val="20"/>
          <w:szCs w:val="20"/>
          <w:color w:val="auto"/>
        </w:rPr>
      </w:pPr>
    </w:p>
    <w:p>
      <w:pPr>
        <w:ind w:right="180" w:firstLine="347"/>
        <w:spacing w:after="0" w:line="255" w:lineRule="auto"/>
        <w:rPr>
          <w:sz w:val="20"/>
          <w:szCs w:val="20"/>
          <w:color w:val="auto"/>
        </w:rPr>
      </w:pPr>
      <w:r>
        <w:rPr>
          <w:rFonts w:ascii="Times New Roman" w:cs="Times New Roman" w:eastAsia="Times New Roman" w:hAnsi="Times New Roman"/>
          <w:sz w:val="14"/>
          <w:szCs w:val="14"/>
          <w:color w:val="auto"/>
        </w:rPr>
        <w:t>In connection with the Annual Report on Form 10-K/A of Uniti Group Inc. (the “Company”) for the period ending December 31, 2023 as filed with the Securities and Exchange Commission on the date hereof (the “Report”), I certify, pursuant to 18 U.S.C. § 1350, as adopted pursuant to § 906 of the Sarbanes-Oxley Act of 2002, to my knowledge, that:</w:t>
      </w:r>
    </w:p>
    <w:p>
      <w:pPr>
        <w:spacing w:after="0" w:line="29" w:lineRule="exact"/>
        <w:rPr>
          <w:sz w:val="20"/>
          <w:szCs w:val="20"/>
          <w:color w:val="auto"/>
        </w:rPr>
      </w:pPr>
    </w:p>
    <w:p>
      <w:pPr>
        <w:ind w:left="660" w:hanging="30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61"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20"/>
        <w:spacing w:after="0"/>
        <w:tabs>
          <w:tab w:leader="none" w:pos="5360" w:val="left"/>
          <w:tab w:leader="none" w:pos="7960" w:val="left"/>
        </w:tabs>
        <w:rPr>
          <w:sz w:val="20"/>
          <w:szCs w:val="20"/>
          <w:color w:val="auto"/>
        </w:rPr>
      </w:pPr>
      <w:r>
        <w:rPr>
          <w:rFonts w:ascii="Times New Roman" w:cs="Times New Roman" w:eastAsia="Times New Roman" w:hAnsi="Times New Roman"/>
          <w:sz w:val="14"/>
          <w:szCs w:val="14"/>
          <w:color w:val="auto"/>
        </w:rPr>
        <w:t>Date: March 27, 2024</w:t>
      </w:r>
      <w:r>
        <w:rPr>
          <w:sz w:val="20"/>
          <w:szCs w:val="20"/>
          <w:color w:val="auto"/>
        </w:rPr>
        <w:tab/>
      </w: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color w:val="222222"/>
        </w:rPr>
        <w:t>:</w:t>
      </w:r>
      <w:r>
        <w:rPr>
          <w:sz w:val="20"/>
          <w:szCs w:val="20"/>
          <w:color w:val="auto"/>
        </w:rPr>
        <w:tab/>
      </w:r>
      <w:r>
        <w:rPr>
          <w:rFonts w:ascii="Times New Roman" w:cs="Times New Roman" w:eastAsia="Times New Roman" w:hAnsi="Times New Roman"/>
          <w:sz w:val="21"/>
          <w:szCs w:val="21"/>
          <w:color w:val="auto"/>
          <w:vertAlign w:val="superscript"/>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-15240</wp:posOffset>
            </wp:positionV>
            <wp:extent cx="341566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8">
                      <a:extLst>
                        <a:ext uri="{28A0092B-C50C-407E-A947-70E740481C1C}"/>
                      </a:extLst>
                    </a:blip>
                    <a:srcRect/>
                    <a:stretch>
                      <a:fillRect/>
                    </a:stretch>
                  </pic:blipFill>
                  <pic:spPr bwMode="auto">
                    <a:xfrm>
                      <a:off x="0" y="0"/>
                      <a:ext cx="3415665" cy="6985"/>
                    </a:xfrm>
                    <a:prstGeom prst="rect">
                      <a:avLst/>
                    </a:prstGeom>
                    <a:noFill/>
                  </pic:spPr>
                </pic:pic>
              </a:graphicData>
            </a:graphic>
          </wp:anchor>
        </w:drawing>
      </w:r>
    </w:p>
    <w:p>
      <w:pPr>
        <w:ind w:left="8040"/>
        <w:spacing w:after="0"/>
        <w:rPr>
          <w:sz w:val="20"/>
          <w:szCs w:val="20"/>
          <w:color w:val="auto"/>
        </w:rPr>
      </w:pPr>
      <w:r>
        <w:rPr>
          <w:rFonts w:ascii="Times New Roman" w:cs="Times New Roman" w:eastAsia="Times New Roman" w:hAnsi="Times New Roman"/>
          <w:sz w:val="14"/>
          <w:szCs w:val="14"/>
          <w:b w:val="1"/>
          <w:bCs w:val="1"/>
          <w:color w:val="auto"/>
        </w:rPr>
        <w:t>Paul E. Bullington</w:t>
      </w:r>
    </w:p>
    <w:p>
      <w:pPr>
        <w:spacing w:after="0" w:line="3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Senior Vice President – Chief Financial Officer</w:t>
      </w:r>
    </w:p>
    <w:p>
      <w:pPr>
        <w:spacing w:after="0" w:line="25"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and Treasurer</w:t>
      </w:r>
    </w:p>
    <w:p>
      <w:pPr>
        <w:sectPr>
          <w:pgSz w:w="11900" w:h="16838" w:orient="portrait"/>
          <w:cols w:equalWidth="0" w:num="1">
            <w:col w:w="11280"/>
          </w:cols>
          <w:pgMar w:left="300" w:top="1131" w:right="319"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8">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05650"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4" Type="http://schemas.openxmlformats.org/officeDocument/2006/relationships/image" Target="media/image8.png"/><Relationship Id="rId34" Type="http://schemas.openxmlformats.org/officeDocument/2006/relationships/image" Target="media/image9.png"/><Relationship Id="rId47" Type="http://schemas.openxmlformats.org/officeDocument/2006/relationships/image" Target="media/image10.png"/><Relationship Id="rId67" Type="http://schemas.openxmlformats.org/officeDocument/2006/relationships/image" Target="media/image11.png"/><Relationship Id="rId73" Type="http://schemas.openxmlformats.org/officeDocument/2006/relationships/image" Target="media/image12.png"/><Relationship Id="rId74" Type="http://schemas.openxmlformats.org/officeDocument/2006/relationships/image" Target="media/image13.png"/><Relationship Id="rId75" Type="http://schemas.openxmlformats.org/officeDocument/2006/relationships/image" Target="media/image14.png"/><Relationship Id="rId76" Type="http://schemas.openxmlformats.org/officeDocument/2006/relationships/image" Target="media/image15.png"/><Relationship Id="rId77" Type="http://schemas.openxmlformats.org/officeDocument/2006/relationships/image" Target="media/image16.png"/><Relationship Id="rId78" Type="http://schemas.openxmlformats.org/officeDocument/2006/relationships/image" Target="media/image17.png"/><Relationship Id="rId79" Type="http://schemas.openxmlformats.org/officeDocument/2006/relationships/image" Target="media/image18.png"/><Relationship Id="rId80" Type="http://schemas.openxmlformats.org/officeDocument/2006/relationships/image" Target="media/image19.png"/><Relationship Id="rId81" Type="http://schemas.openxmlformats.org/officeDocument/2006/relationships/image" Target="media/image20.png"/><Relationship Id="rId82" Type="http://schemas.openxmlformats.org/officeDocument/2006/relationships/image" Target="media/image21.png"/><Relationship Id="rId83" Type="http://schemas.openxmlformats.org/officeDocument/2006/relationships/image" Target="media/image22.png"/><Relationship Id="rId84" Type="http://schemas.openxmlformats.org/officeDocument/2006/relationships/image" Target="media/image23.png"/><Relationship Id="rId85" Type="http://schemas.openxmlformats.org/officeDocument/2006/relationships/image" Target="media/image24.png"/><Relationship Id="rId86" Type="http://schemas.openxmlformats.org/officeDocument/2006/relationships/image" Target="media/image25.png"/><Relationship Id="rId87" Type="http://schemas.openxmlformats.org/officeDocument/2006/relationships/image" Target="media/image26.png"/><Relationship Id="rId88" Type="http://schemas.openxmlformats.org/officeDocument/2006/relationships/image" Target="media/image27.png"/><Relationship Id="rId89" Type="http://schemas.openxmlformats.org/officeDocument/2006/relationships/image" Target="media/image28.png"/><Relationship Id="rId90" Type="http://schemas.openxmlformats.org/officeDocument/2006/relationships/image" Target="media/image29.png"/><Relationship Id="rId91" Type="http://schemas.openxmlformats.org/officeDocument/2006/relationships/image" Target="media/image30.png"/><Relationship Id="rId92" Type="http://schemas.openxmlformats.org/officeDocument/2006/relationships/image" Target="media/image31.png"/><Relationship Id="rId93" Type="http://schemas.openxmlformats.org/officeDocument/2006/relationships/image" Target="media/image32.png"/><Relationship Id="rId94" Type="http://schemas.openxmlformats.org/officeDocument/2006/relationships/image" Target="media/image33.png"/><Relationship Id="rId95" Type="http://schemas.openxmlformats.org/officeDocument/2006/relationships/image" Target="media/image34.png"/><Relationship Id="rId96" Type="http://schemas.openxmlformats.org/officeDocument/2006/relationships/image" Target="media/image35.png"/><Relationship Id="rId97" Type="http://schemas.openxmlformats.org/officeDocument/2006/relationships/image" Target="media/image36.png"/><Relationship Id="rId98" Type="http://schemas.openxmlformats.org/officeDocument/2006/relationships/image" Target="media/image37.png"/><Relationship Id="rId99" Type="http://schemas.openxmlformats.org/officeDocument/2006/relationships/image" Target="media/image38.png"/><Relationship Id="rId100" Type="http://schemas.openxmlformats.org/officeDocument/2006/relationships/image" Target="media/image39.png"/><Relationship Id="rId101" Type="http://schemas.openxmlformats.org/officeDocument/2006/relationships/image" Target="media/image40.png"/><Relationship Id="rId102" Type="http://schemas.openxmlformats.org/officeDocument/2006/relationships/image" Target="media/image41.png"/><Relationship Id="rId103" Type="http://schemas.openxmlformats.org/officeDocument/2006/relationships/image" Target="media/image42.png"/><Relationship Id="rId104" Type="http://schemas.openxmlformats.org/officeDocument/2006/relationships/image" Target="media/image43.png"/><Relationship Id="rId105" Type="http://schemas.openxmlformats.org/officeDocument/2006/relationships/image" Target="media/image44.png"/><Relationship Id="rId106" Type="http://schemas.openxmlformats.org/officeDocument/2006/relationships/image" Target="media/image45.png"/><Relationship Id="rId107" Type="http://schemas.openxmlformats.org/officeDocument/2006/relationships/image" Target="media/image46.png"/><Relationship Id="rId108" Type="http://schemas.openxmlformats.org/officeDocument/2006/relationships/image" Target="media/image47.png"/><Relationship Id="rId109" Type="http://schemas.openxmlformats.org/officeDocument/2006/relationships/image" Target="media/image48.png"/><Relationship Id="rId110" Type="http://schemas.openxmlformats.org/officeDocument/2006/relationships/image" Target="media/image49.png"/><Relationship Id="rId111" Type="http://schemas.openxmlformats.org/officeDocument/2006/relationships/image" Target="media/image50.png"/><Relationship Id="rId112" Type="http://schemas.openxmlformats.org/officeDocument/2006/relationships/image" Target="media/image51.png"/><Relationship Id="rId113" Type="http://schemas.openxmlformats.org/officeDocument/2006/relationships/image" Target="media/image52.png"/><Relationship Id="rId114" Type="http://schemas.openxmlformats.org/officeDocument/2006/relationships/image" Target="media/image53.png"/><Relationship Id="rId115" Type="http://schemas.openxmlformats.org/officeDocument/2006/relationships/image" Target="media/image54.png"/><Relationship Id="rId116" Type="http://schemas.openxmlformats.org/officeDocument/2006/relationships/image" Target="media/image55.png"/><Relationship Id="rId117" Type="http://schemas.openxmlformats.org/officeDocument/2006/relationships/image" Target="media/image56.png"/><Relationship Id="rId118" Type="http://schemas.openxmlformats.org/officeDocument/2006/relationships/image" Target="media/image57.png"/><Relationship Id="rId119" Type="http://schemas.openxmlformats.org/officeDocument/2006/relationships/image" Target="media/image58.png"/><Relationship Id="rId120" Type="http://schemas.openxmlformats.org/officeDocument/2006/relationships/image" Target="media/image59.png"/><Relationship Id="rId121" Type="http://schemas.openxmlformats.org/officeDocument/2006/relationships/image" Target="media/image60.png"/><Relationship Id="rId122" Type="http://schemas.openxmlformats.org/officeDocument/2006/relationships/image" Target="media/image61.png"/><Relationship Id="rId123" Type="http://schemas.openxmlformats.org/officeDocument/2006/relationships/image" Target="media/image62.png"/><Relationship Id="rId124" Type="http://schemas.openxmlformats.org/officeDocument/2006/relationships/image" Target="media/image63.png"/><Relationship Id="rId125" Type="http://schemas.openxmlformats.org/officeDocument/2006/relationships/image" Target="media/image64.png"/><Relationship Id="rId126" Type="http://schemas.openxmlformats.org/officeDocument/2006/relationships/image" Target="media/image65.png"/><Relationship Id="rId127" Type="http://schemas.openxmlformats.org/officeDocument/2006/relationships/image" Target="media/image66.png"/><Relationship Id="rId128" Type="http://schemas.openxmlformats.org/officeDocument/2006/relationships/image" Target="media/image67.png"/><Relationship Id="rId15" Type="http://schemas.openxmlformats.org/officeDocument/2006/relationships/hyperlink" Target="http://www.sec.gov/Archives/edgar/data/0001620280/000119312515106562/d895819dex21.htm" TargetMode="External"/><Relationship Id="rId16" Type="http://schemas.openxmlformats.org/officeDocument/2006/relationships/hyperlink" Target="https://www.sec.gov/Archives/edgar/data/1620280/000162828023005558/unit-ex22.htm" TargetMode="External"/><Relationship Id="rId17" Type="http://schemas.openxmlformats.org/officeDocument/2006/relationships/hyperlink" Target="http://www.sec.gov/Archives/edgar/data/0001620280/000119312515125997/d906732dex31.htm" TargetMode="External"/><Relationship Id="rId18" Type="http://schemas.openxmlformats.org/officeDocument/2006/relationships/hyperlink" Target="http://www.sec.gov/Archives/edgar/data/0001620280/000156459017002778/csal-ex31_7.htm" TargetMode="External"/><Relationship Id="rId19" Type="http://schemas.openxmlformats.org/officeDocument/2006/relationships/hyperlink" Target="http://www.sec.gov/Archives/edgar/data/1620280/000156459018013946/unit-ex31_80.htm" TargetMode="External"/><Relationship Id="rId20" Type="http://schemas.openxmlformats.org/officeDocument/2006/relationships/hyperlink" Target="https://www.sec.gov/Archives/edgar/data/1620280/000162828023036428/unit-exx31.htm" TargetMode="External"/><Relationship Id="rId21" Type="http://schemas.openxmlformats.org/officeDocument/2006/relationships/hyperlink" Target="https://www.sec.gov/Archives/edgar/data/1620280/000162828024008054/unit-exx41.htm" TargetMode="External"/><Relationship Id="rId22" Type="http://schemas.openxmlformats.org/officeDocument/2006/relationships/hyperlink" Target="https://www.sec.gov/Archives/edgar/data/1620280/000095010319008752/dp109169_ex0401.htm" TargetMode="External"/><Relationship Id="rId23" Type="http://schemas.openxmlformats.org/officeDocument/2006/relationships/hyperlink" Target="http://www.sec.gov/Archives/edgar/data/0001620280/000095010321001633/dp145509_ex0401.htm" TargetMode="External"/><Relationship Id="rId25" Type="http://schemas.openxmlformats.org/officeDocument/2006/relationships/hyperlink" Target="http://www.sec.gov/Archives/edgar/data/1620280/000095010321005826/dp149654_ex0401.htm" TargetMode="External"/><Relationship Id="rId26" Type="http://schemas.openxmlformats.org/officeDocument/2006/relationships/hyperlink" Target="http://www.sec.gov/Archives/edgar/data/1620280/000095010321015859/dp159744_ex0401.htm" TargetMode="External"/><Relationship Id="rId27" Type="http://schemas.openxmlformats.org/officeDocument/2006/relationships/hyperlink" Target="https://www.sec.gov/Archives/edgar/data/1620280/000095010322020949/dp185578_ex0401.htm" TargetMode="External"/><Relationship Id="rId28" Type="http://schemas.openxmlformats.org/officeDocument/2006/relationships/hyperlink" Target="https://www.sec.gov/Archives/edgar/data/1620280/000095010323002360/dp188860_ex0401.htm" TargetMode="External"/><Relationship Id="rId29" Type="http://schemas.openxmlformats.org/officeDocument/2006/relationships/hyperlink" Target="http://www.sec.gov/Archives/edgar/data/0001620280/000156459020025840/unit-ex101_6.htm" TargetMode="External"/><Relationship Id="rId30" Type="http://schemas.openxmlformats.org/officeDocument/2006/relationships/hyperlink" Target="http://www.sec.gov/Archives/edgar/data/0001620280/000156459020052508/unit-ex101_509.htm" TargetMode="External"/><Relationship Id="rId31" Type="http://schemas.openxmlformats.org/officeDocument/2006/relationships/hyperlink" Target="https://www.sec.gov/Archives/edgar/data/1620280/000156459020052508/unit-ex102_510.htm" TargetMode="External"/><Relationship Id="rId32" Type="http://schemas.openxmlformats.org/officeDocument/2006/relationships/hyperlink" Target="http://www.sec.gov/Archives/edgar/data/0001620280/000119312515147341/d910956dex102.htm" TargetMode="External"/><Relationship Id="rId33" Type="http://schemas.openxmlformats.org/officeDocument/2006/relationships/hyperlink" Target="http://www.sec.gov/Archives/edgar/data/0001620280/000119312515147341/d910956dex1010.htm" TargetMode="External"/><Relationship Id="rId35" Type="http://schemas.openxmlformats.org/officeDocument/2006/relationships/hyperlink" Target="http://www.sec.gov/Archives/edgar/data/0001620280/000110465916151374/a16-20228_1ex10d1.htm" TargetMode="External"/><Relationship Id="rId36" Type="http://schemas.openxmlformats.org/officeDocument/2006/relationships/hyperlink" Target="http://www.sec.gov/Archives/edgar/data/0001620280/000110465917007816/a17-3824_1ex10d1.htm" TargetMode="External"/><Relationship Id="rId37" Type="http://schemas.openxmlformats.org/officeDocument/2006/relationships/hyperlink" Target="http://www.sec.gov/Archives/edgar/data/1620280/000110465917028526/a17-12174_1ex10d1.htm" TargetMode="External"/><Relationship Id="rId38" Type="http://schemas.openxmlformats.org/officeDocument/2006/relationships/hyperlink" Target="http://www.sec.gov/Archives/edgar/data/1620280/000156459019008290/unit-ex1011_1391.htm" TargetMode="External"/><Relationship Id="rId39" Type="http://schemas.openxmlformats.org/officeDocument/2006/relationships/hyperlink" Target="http://www.sec.gov/Archives/edgar/data/1620280/000095010319008295/dp108693_ex1001.htm" TargetMode="External"/><Relationship Id="rId40" Type="http://schemas.openxmlformats.org/officeDocument/2006/relationships/hyperlink" Target="http://www.sec.gov/Archives/edgar/data/1620280/000095010320002586/dp121198_ex1001.htm" TargetMode="External"/><Relationship Id="rId41" Type="http://schemas.openxmlformats.org/officeDocument/2006/relationships/hyperlink" Target="http://www.sec.gov/Archives/edgar/data/0001620280/000095010320024079/dp142761_ex1001.htm" TargetMode="External"/><Relationship Id="rId42" Type="http://schemas.openxmlformats.org/officeDocument/2006/relationships/hyperlink" Target="https://www.sec.gov/Archives/edgar/data/1620280/000095010323004702/dp191146_1001.htm" TargetMode="External"/><Relationship Id="rId43" Type="http://schemas.openxmlformats.org/officeDocument/2006/relationships/hyperlink" Target="http://www.sec.gov/Archives/edgar/data/1620280/000156459019030905/unit-ex104_242.htm" TargetMode="External"/><Relationship Id="rId44" Type="http://schemas.openxmlformats.org/officeDocument/2006/relationships/hyperlink" Target="http://www.sec.gov/Archives/edgar/data/0001620280/000110465917031184/a17-12744_1ex10d1.htm" TargetMode="External"/><Relationship Id="rId45" Type="http://schemas.openxmlformats.org/officeDocument/2006/relationships/hyperlink" Target="http://www.sec.gov/Archives/edgar/data/0001620280/000119312515147341/d910956dex1011.htm" TargetMode="External"/><Relationship Id="rId46" Type="http://schemas.openxmlformats.org/officeDocument/2006/relationships/hyperlink" Target="https://www.sec.gov/Archives/edgar/data/1620280/000095010322020949/dp185578_ex1001.htm" TargetMode="External"/><Relationship Id="rId48" Type="http://schemas.openxmlformats.org/officeDocument/2006/relationships/hyperlink" Target="http://www.sec.gov/Archives/edgar/data/1620280/000110465918073139/a18-41685_1ex10d1.htm" TargetMode="External"/><Relationship Id="rId49" Type="http://schemas.openxmlformats.org/officeDocument/2006/relationships/hyperlink" Target="https://www.sec.gov/Archives/edgar/data/1620280/000162828023005558/unit-ex1018.htm" TargetMode="External"/><Relationship Id="rId50" Type="http://schemas.openxmlformats.org/officeDocument/2006/relationships/hyperlink" Target="https://www.sec.gov/Archives/edgar/data/1620280/000156459018007159/unit-ex101_6.htm" TargetMode="External"/><Relationship Id="rId51" Type="http://schemas.openxmlformats.org/officeDocument/2006/relationships/hyperlink" Target="http://www.sec.gov/Archives/edgar/data/1620280/000156459019008290/unit-ex1019_1245.htm" TargetMode="External"/><Relationship Id="rId52" Type="http://schemas.openxmlformats.org/officeDocument/2006/relationships/hyperlink" Target="http://www.sec.gov/Archives/edgar/data/1620280/000156459019008290/unit-ex1021_1244.htm" TargetMode="External"/><Relationship Id="rId53" Type="http://schemas.openxmlformats.org/officeDocument/2006/relationships/hyperlink" Target="https://www.sec.gov/Archives/edgar/data/1620280/000162828023005558/unit-ex1022.htm" TargetMode="External"/><Relationship Id="rId54" Type="http://schemas.openxmlformats.org/officeDocument/2006/relationships/hyperlink" Target="http://www.sec.gov/Archives/edgar/data/0001620280/000119312515211690/d935720dex105.htm" TargetMode="External"/><Relationship Id="rId55" Type="http://schemas.openxmlformats.org/officeDocument/2006/relationships/hyperlink" Target="http://www.sec.gov/Archives/edgar/data/1620280/000104746915005944/a2225264zex-10_20.htm" TargetMode="External"/><Relationship Id="rId56" Type="http://schemas.openxmlformats.org/officeDocument/2006/relationships/hyperlink" Target="http://www.sec.gov/Archives/edgar/data/1620280/000156459015007263/csal-ex1020_690.htm" TargetMode="External"/><Relationship Id="rId57" Type="http://schemas.openxmlformats.org/officeDocument/2006/relationships/hyperlink" Target="http://www.sec.gov/Archives/edgar/data/0001620280/000110465918038926/a18-14910_1ex99d1.htm" TargetMode="External"/><Relationship Id="rId58" Type="http://schemas.openxmlformats.org/officeDocument/2006/relationships/hyperlink" Target="http://www.sec.gov/Archives/edgar/data/1620280/000156459020024346/unit-ex102_48.htm" TargetMode="External"/><Relationship Id="rId59" Type="http://schemas.openxmlformats.org/officeDocument/2006/relationships/hyperlink" Target="https://www.sec.gov/Archives/edgar/data/1620280/000095010324002735/dp207310_ex1001.htm" TargetMode="External"/><Relationship Id="rId60" Type="http://schemas.openxmlformats.org/officeDocument/2006/relationships/hyperlink" Target="https://www.sec.gov/Archives/edgar/data/1620280/000162828024008054/unit-ex211.htm" TargetMode="External"/><Relationship Id="rId61" Type="http://schemas.openxmlformats.org/officeDocument/2006/relationships/hyperlink" Target="https://www.sec.gov/Archives/edgar/data/1620280/000162828024008054/unit-ex231.htm" TargetMode="External"/><Relationship Id="rId62" Type="http://schemas.openxmlformats.org/officeDocument/2006/relationships/hyperlink" Target="https://www.sec.gov/Archives/edgar/data/1620280/000162828024013124/exhibit232.htm" TargetMode="External"/><Relationship Id="rId63" Type="http://schemas.openxmlformats.org/officeDocument/2006/relationships/hyperlink" Target="https://www.sec.gov/Archives/edgar/data/1620280/000162828024008054/unit-20231231x10kex311.htm" TargetMode="External"/><Relationship Id="rId64" Type="http://schemas.openxmlformats.org/officeDocument/2006/relationships/hyperlink" Target="https://www.sec.gov/Archives/edgar/data/1620280/000162828024008054/unit-20231231x10kex312.htm" TargetMode="External"/><Relationship Id="rId65" Type="http://schemas.openxmlformats.org/officeDocument/2006/relationships/hyperlink" Target="https://www.sec.gov/Archives/edgar/data/1620280/000162828024013124/exhibit313.htm" TargetMode="External"/><Relationship Id="rId66" Type="http://schemas.openxmlformats.org/officeDocument/2006/relationships/hyperlink" Target="https://www.sec.gov/Archives/edgar/data/1620280/000162828024013124/exhibit314.htm" TargetMode="External"/><Relationship Id="rId68" Type="http://schemas.openxmlformats.org/officeDocument/2006/relationships/hyperlink" Target="https://www.sec.gov/Archives/edgar/data/1620280/000162828024008054/unit-20231231x10kex321.htm" TargetMode="External"/><Relationship Id="rId69" Type="http://schemas.openxmlformats.org/officeDocument/2006/relationships/hyperlink" Target="https://www.sec.gov/Archives/edgar/data/1620280/000162828024008054/unit-20231231x10kex322.htm" TargetMode="External"/><Relationship Id="rId70" Type="http://schemas.openxmlformats.org/officeDocument/2006/relationships/hyperlink" Target="https://www.sec.gov/Archives/edgar/data/1620280/000162828024013124/exhibit323.htm" TargetMode="External"/><Relationship Id="rId71" Type="http://schemas.openxmlformats.org/officeDocument/2006/relationships/hyperlink" Target="https://www.sec.gov/Archives/edgar/data/1620280/000162828024013124/exhibit324.htm" TargetMode="External"/><Relationship Id="rId72" Type="http://schemas.openxmlformats.org/officeDocument/2006/relationships/hyperlink" Target="https://www.sec.gov/Archives/edgar/data/1620280/000162828024008054/unit-ex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2024-03-27T15:26:58Z</dcterms:created>
  <dcterms:modified xsi:type="dcterms:W3CDTF">2024-03-27T15:26:58Z</dcterms:modified>
</cp:coreProperties>
</file>