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 to _______</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001-36708</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w:t>
      </w:r>
    </w:p>
    <w:p>
      <w:pPr>
        <w:pStyle w:val="TextBody"/>
        <w:bidi w:val="0"/>
        <w:spacing w:lineRule="auto" w:line="288" w:before="60" w:after="283"/>
        <w:jc w:val="center"/>
        <w:rPr>
          <w:rFonts w:ascii="Times New Roman;sans-serif" w:hAnsi="Times New Roman;sans-serif"/>
          <w:b/>
          <w:color w:val="000000"/>
          <w:sz w:val="48"/>
        </w:rPr>
      </w:pPr>
      <w:r>
        <w:rPr>
          <w:rFonts w:ascii="Times New Roman;sans-serif" w:hAnsi="Times New Roman;sans-serif"/>
          <w:b/>
          <w:color w:val="000000"/>
          <w:sz w:val="48"/>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w:t>
      </w:r>
    </w:p>
    <w:tbl>
      <w:tblPr>
        <w:tblW w:w="4408" w:type="dxa"/>
        <w:jc w:val="center"/>
        <w:tblInd w:w="0" w:type="dxa"/>
        <w:tblLayout w:type="fixed"/>
        <w:tblCellMar>
          <w:top w:w="28" w:type="dxa"/>
          <w:left w:w="28" w:type="dxa"/>
          <w:bottom w:w="28" w:type="dxa"/>
          <w:right w:w="28" w:type="dxa"/>
        </w:tblCellMar>
      </w:tblPr>
      <w:tblGrid>
        <w:gridCol w:w="1057"/>
        <w:gridCol w:w="929"/>
        <w:gridCol w:w="938"/>
        <w:gridCol w:w="433"/>
        <w:gridCol w:w="433"/>
        <w:gridCol w:w="618"/>
      </w:tblGrid>
      <w:tr>
        <w:trPr/>
        <w:tc>
          <w:tcPr>
            <w:tcW w:w="105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46-5230630</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2101 Riverfront Drive, Suite A</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Little Rock, Arkansas</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72202</w:t>
            </w:r>
          </w:p>
        </w:tc>
      </w:tr>
      <w:tr>
        <w:trPr/>
        <w:tc>
          <w:tcPr>
            <w:tcW w:w="2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(501) 850-0820</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w:t>
      </w:r>
    </w:p>
    <w:p>
      <w:pPr>
        <w:pStyle w:val="TextBody"/>
        <w:bidi w:val="0"/>
        <w:spacing w:lineRule="auto" w:line="288" w:before="60" w:after="283"/>
        <w:ind w:left="0" w:right="0" w:firstLine="556"/>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lineRule="auto" w:line="288" w:before="80" w:after="283"/>
        <w:ind w:left="0" w:right="0" w:firstLine="54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80" w:after="283"/>
        <w:ind w:left="0" w:right="0" w:firstLine="54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80" w:after="283"/>
        <w:ind w:left="0" w:right="0" w:firstLine="54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80" w:after="283"/>
        <w:ind w:left="0" w:right="0" w:firstLine="540"/>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July 24, 2024, the registrant had 244,150,946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settlement we have entered into with Windstream Holdings, Inc. (together with Windstream Holdings II, LLC, its successor in interest, and its subsidiaries, “Windstream</w:t>
      </w:r>
      <w:r>
        <w:rPr>
          <w:color w:val="000000"/>
        </w:rPr>
        <w:t>”</w:t>
      </w:r>
      <w:r>
        <w:rPr>
          <w:rFonts w:ascii="Times New Roman;sans-serif" w:hAnsi="Times New Roman;sans-serif"/>
          <w:b w:val="false"/>
          <w:color w:val="000000"/>
          <w:sz w:val="20"/>
        </w:rPr>
        <w:t>); expectations regarding our potential Merger (as defined herein) with Windstream; the future prospects and financial health of Windstream; our expectations about our ability to maintain our status as a real estate investment trust (a “REIT”); our expectations regarding the refinancing of and interest expense on our new ABS Loan Facility (as defined below); our expectations regarding the effect of tax-related legislation on our tax position; our expectations related to our ability to satisfy the requirements necessary to access the remaining capacity under our ABS Loan Facility; our expectations regarding the future growth and demand of the telecommunication industry, future financing plans, business strategies, growth prospects, operating and financial performance, and our future liquidity needs and access to capital; expectations regarding future deployment of fiber strand miles and small cell networks and recognition of revenue related thereto; expectations regarding levels of capital expenditures; expectations regarding the deductibility of goodwill for tax purposes; expectations regarding reclassification of accumulated other comprehensive income (loss) related to derivatives to interest expense; expectations regarding the amortization of intangible assets; expectations regarding remediation of the material weakness in our internal control over financial reporting as discussed in Part I Item 4 "Controls and Procedures" of this Quarterly Report on Form 10-Q; and expectations regarding the payment of dividends.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our and Windstream’s ability to consummate our Merger with Windstream on the expected terms or according to the anticipated timeline;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risk that the Merger Agreement (as defined herein) may be modified or terminated prior to its expiration, that the conditions to our Merger with Windstream may not be satisfied or the occurrence of any event, change or other circumstances that could give rise to the termination of the Merger Agreement;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effect of the announcement of our Merger with Windstream on relationships with our customers, suppliers, vendors, employees and other stakeholders and our operating results and the operating results of Windstream;</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diversion of our management’s time on issues related to our Merger with Windstream</w:t>
      </w:r>
      <w:r>
        <w:rPr>
          <w:rFonts w:ascii="Times New Roman;sans-serif" w:hAnsi="Times New Roman;sans-serif"/>
          <w:b w:val="false"/>
          <w:color w:val="000000"/>
          <w:sz w:val="20"/>
          <w:u w:val="single"/>
        </w:rPr>
        <w: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risk that we fail to fully realize the potential benefits, expected synergies, efficiencies and cost savings from our Merger with Windstream within the expected time period (if at all);</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legal proceedings that may be instituted against us or Windstream following announcement of the Merger;</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future prospects of our largest customer, Windstream, following its emergence from bankruptcy;</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adverse impacts of inflation and higher interest rates on our employees, our business, the business of our customers and other business partners and the global financial markets;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ability and willingness of our customers to meet and/or perform their obligations under any contractual arrangements entered into with us, including master lease arrangements;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ability and willingness of our customers to renew their leases with us upon their expiration, our ability to reach agreement on the price of such renewal or ability to obtain a satisfactory renewal rent from an independent appraisal, and the ability to reposition our properties on the same or better terms in the event of nonrenewal or in the event we replace an existing tenant;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availability of and our ability to identify suitable acquisition opportunities and our ability to acquire and lease the respective properties on favorable terms or operate and integrate the acquired businesses;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our ability to generate sufficient cash flows to service our outstanding indebtedness and fund our capital funding commitments;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our ability to access debt and equity capital markets;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impact on our business or the business of our customers as a result of credit rating downgrades and fluctuating interest rates;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our ability to retain our key management personnel;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our ability to maintain our status as a REIT;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changes in the U.S. tax law and other federal, state or local laws, whether or not specific to REITs;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covenants in our debt agreements that may limit our operational flexibility;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possibility that we may experience equipment failures, natural disasters, cyber-attacks or terrorist attacks for which our insurance may not provide adequate coverage;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risk that we fail to fully realize the potential benefits of or have difficulty in integrating the companies we acquire;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other risks inherent in the communications industry and in the ownership of communications distribution systems, including potential liability relating to environmental matters and illiquidity of real estate investments;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additional factors discussed in Part I, Item 2 “Management’s Discussion and Analysis of Financial Condition and Results of Operations” and Part II, Item 1A “Risk Factors” of this Quarterly Report on Form 10-Q, in Part II, Item 1A "Risk Factors" of our Quarterly Report on Form 10-Q for the quarter ended March 31, 2024 filed with the SEC on May 3, 2024, and in Part I, Item 1A "Risk Factors" of our Annual Report on Form 10-K filed with the SEC on February 29, 2024, as amended by Amendment No. 1 and Amendment No. 2 thereto filed on Form 10-K/A with the SEC on </w:t>
      </w:r>
      <w:r>
        <w:rPr>
          <w:rFonts w:ascii="Times New Roman;sans-serif" w:hAnsi="Times New Roman;sans-serif"/>
          <w:b w:val="false"/>
          <w:color w:val="000000"/>
          <w:sz w:val="20"/>
          <w:shd w:fill="FFFFFF" w:val="clear"/>
        </w:rPr>
        <w:t xml:space="preserve">March 26, 2024, and March 27, 2024, </w:t>
      </w:r>
      <w:r>
        <w:rPr>
          <w:rFonts w:ascii="Times New Roman;sans-serif" w:hAnsi="Times New Roman;sans-serif"/>
          <w:b w:val="false"/>
          <w:color w:val="000000"/>
          <w:sz w:val="20"/>
        </w:rPr>
        <w:t>respectively as well as those described from time to time in our future reports filed with the U.S. Securities and Exchange Commission (the “SEC”).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of this Quarterly Report on Form 10-Q.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760" w:type="dxa"/>
        <w:jc w:val="center"/>
        <w:tblInd w:w="0" w:type="dxa"/>
        <w:tblLayout w:type="fixed"/>
        <w:tblCellMar>
          <w:top w:w="28" w:type="dxa"/>
          <w:left w:w="28" w:type="dxa"/>
          <w:bottom w:w="28" w:type="dxa"/>
          <w:right w:w="28" w:type="dxa"/>
        </w:tblCellMar>
      </w:tblPr>
      <w:tblGrid>
        <w:gridCol w:w="320"/>
        <w:gridCol w:w="281"/>
        <w:gridCol w:w="283"/>
        <w:gridCol w:w="2454"/>
        <w:gridCol w:w="2454"/>
        <w:gridCol w:w="2457"/>
        <w:gridCol w:w="149"/>
        <w:gridCol w:w="149"/>
        <w:gridCol w:w="21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3">
              <w:r>
                <w:rPr>
                  <w:rStyle w:val="InternetLink"/>
                  <w:rFonts w:ascii="Times New Roman;sans-serif" w:hAnsi="Times New Roman;sans-serif"/>
                  <w:b/>
                  <w:strike w:val="false"/>
                  <w:dstrike w:val="false"/>
                  <w:color w:val="000000"/>
                  <w:sz w:val="20"/>
                  <w:u w:val="none"/>
                  <w:effect w:val="none"/>
                </w:rPr>
                <w:t>PART 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3">
              <w:r>
                <w:rPr>
                  <w:rStyle w:val="InternetLink"/>
                  <w:rFonts w:ascii="Times New Roman;sans-serif" w:hAnsi="Times New Roman;sans-serif"/>
                  <w:b/>
                  <w:color w:val="0000FF"/>
                  <w:sz w:val="20"/>
                  <w:u w:val="single"/>
                </w:rPr>
                <w:t>FINANCIAL INFORMATION</w:t>
              </w:r>
            </w:hyperlink>
          </w:p>
        </w:tc>
        <w:tc>
          <w:tcPr>
            <w:tcW w:w="5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6">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6">
              <w:r>
                <w:rPr>
                  <w:rStyle w:val="InternetLink"/>
                  <w:rFonts w:ascii="Times New Roman;sans-serif" w:hAnsi="Times New Roman;sans-serif"/>
                  <w:b w:val="false"/>
                  <w:color w:val="0000FF"/>
                  <w:sz w:val="20"/>
                  <w:u w:val="single"/>
                </w:rPr>
                <w:t>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16">
              <w:r>
                <w:rPr>
                  <w:rStyle w:val="InternetLink"/>
                  <w:rFonts w:ascii="Times New Roman;sans-serif" w:hAnsi="Times New Roman;sans-serif"/>
                  <w:b w:val="false"/>
                  <w:strike w:val="false"/>
                  <w:dstrike w:val="false"/>
                  <w:color w:val="000000"/>
                  <w:sz w:val="20"/>
                  <w:u w:val="none"/>
                  <w:effect w:val="non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Uniti Group Inc.</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9">
              <w:r>
                <w:rPr>
                  <w:rStyle w:val="InternetLink"/>
                  <w:rFonts w:ascii="Times New Roman;sans-serif" w:hAnsi="Times New Roman;sans-serif"/>
                  <w:b w:val="false"/>
                  <w:color w:val="0000FF"/>
                  <w:sz w:val="20"/>
                  <w:u w:val="single"/>
                </w:rPr>
                <w:t>Condensed Consolidated Balance Sheets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19">
              <w:r>
                <w:rPr>
                  <w:rStyle w:val="InternetLink"/>
                  <w:rFonts w:ascii="Times New Roman;sans-serif" w:hAnsi="Times New Roman;sans-serif"/>
                  <w:b w:val="false"/>
                  <w:strike w:val="false"/>
                  <w:dstrike w:val="false"/>
                  <w:color w:val="000000"/>
                  <w:sz w:val="20"/>
                  <w:u w:val="none"/>
                  <w:effect w:val="none"/>
                </w:rPr>
                <w:t>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22">
              <w:r>
                <w:rPr>
                  <w:rStyle w:val="InternetLink"/>
                  <w:rFonts w:ascii="Times New Roman;sans-serif" w:hAnsi="Times New Roman;sans-serif"/>
                  <w:b w:val="false"/>
                  <w:color w:val="0000FF"/>
                  <w:sz w:val="20"/>
                  <w:u w:val="single"/>
                </w:rPr>
                <w:t>Condensed Consolidated Statements of Income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22">
              <w:r>
                <w:rPr>
                  <w:rStyle w:val="InternetLink"/>
                  <w:rFonts w:ascii="Times New Roman;sans-serif" w:hAnsi="Times New Roman;sans-serif"/>
                  <w:b w:val="false"/>
                  <w:strike w:val="false"/>
                  <w:dstrike w:val="false"/>
                  <w:color w:val="000000"/>
                  <w:sz w:val="20"/>
                  <w:u w:val="none"/>
                  <w:effect w:val="none"/>
                </w:rPr>
                <w:t>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25">
              <w:r>
                <w:rPr>
                  <w:rStyle w:val="InternetLink"/>
                  <w:rFonts w:ascii="Times New Roman;sans-serif" w:hAnsi="Times New Roman;sans-serif"/>
                  <w:b w:val="false"/>
                  <w:color w:val="0000FF"/>
                  <w:sz w:val="20"/>
                  <w:u w:val="single"/>
                </w:rPr>
                <w:t>Condensed Consolidated Statements of Comprehensive Income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25">
              <w:r>
                <w:rPr>
                  <w:rStyle w:val="InternetLink"/>
                  <w:rFonts w:ascii="Times New Roman;sans-serif" w:hAnsi="Times New Roman;sans-serif"/>
                  <w:b w:val="false"/>
                  <w:strike w:val="false"/>
                  <w:dstrike w:val="false"/>
                  <w:color w:val="000000"/>
                  <w:sz w:val="20"/>
                  <w:u w:val="none"/>
                  <w:effect w:val="none"/>
                </w:rPr>
                <w:t>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28">
              <w:r>
                <w:rPr>
                  <w:rStyle w:val="InternetLink"/>
                  <w:rFonts w:ascii="Times New Roman;sans-serif" w:hAnsi="Times New Roman;sans-serif"/>
                  <w:b w:val="false"/>
                  <w:color w:val="0000FF"/>
                  <w:sz w:val="20"/>
                  <w:u w:val="single"/>
                </w:rPr>
                <w:t>Condensed Consolidated Statements of Shareholders’ Deficit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28">
              <w:r>
                <w:rPr>
                  <w:rStyle w:val="InternetLink"/>
                  <w:rFonts w:ascii="Times New Roman;sans-serif" w:hAnsi="Times New Roman;sans-serif"/>
                  <w:b w:val="false"/>
                  <w:strike w:val="false"/>
                  <w:dstrike w:val="false"/>
                  <w:color w:val="000000"/>
                  <w:sz w:val="20"/>
                  <w:u w:val="none"/>
                  <w:effect w:val="none"/>
                </w:rPr>
                <w:t>9</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31">
              <w:r>
                <w:rPr>
                  <w:rStyle w:val="InternetLink"/>
                  <w:rFonts w:ascii="Times New Roman;sans-serif" w:hAnsi="Times New Roman;sans-serif"/>
                  <w:b w:val="false"/>
                  <w:color w:val="0000FF"/>
                  <w:sz w:val="20"/>
                  <w:u w:val="single"/>
                </w:rPr>
                <w:t>Condensed 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31">
              <w:r>
                <w:rPr>
                  <w:rStyle w:val="InternetLink"/>
                  <w:rFonts w:ascii="Times New Roman;sans-serif" w:hAnsi="Times New Roman;sans-serif"/>
                  <w:b w:val="false"/>
                  <w:strike w:val="false"/>
                  <w:dstrike w:val="false"/>
                  <w:color w:val="000000"/>
                  <w:sz w:val="20"/>
                  <w:u w:val="none"/>
                  <w:effect w:val="none"/>
                </w:rPr>
                <w:t>10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pPr>
            <w:hyperlink w:anchor="i610e843df81b4079b099dcecd0058f2a_34">
              <w:r>
                <w:rPr>
                  <w:rStyle w:val="InternetLink"/>
                  <w:rFonts w:ascii="Times New Roman;sans-serif" w:hAnsi="Times New Roman;sans-serif"/>
                  <w:b w:val="false"/>
                  <w:color w:val="0000FF"/>
                  <w:sz w:val="20"/>
                  <w:u w:val="single"/>
                </w:rPr>
                <w:t xml:space="preserve">Notes to Condensed Consolidated Financial Statements </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34">
              <w:r>
                <w:rPr>
                  <w:rStyle w:val="InternetLink"/>
                  <w:rFonts w:ascii="Times New Roman;sans-serif" w:hAnsi="Times New Roman;sans-serif"/>
                  <w:b w:val="false"/>
                  <w:strike w:val="false"/>
                  <w:dstrike w:val="false"/>
                  <w:color w:val="000000"/>
                  <w:sz w:val="20"/>
                  <w:u w:val="none"/>
                  <w:effect w:val="none"/>
                </w:rPr>
                <w:t>12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610e843df81b4079b099dcecd0058f2a_37">
              <w:r>
                <w:rPr>
                  <w:rStyle w:val="InternetLink"/>
                  <w:rFonts w:ascii="Times New Roman;sans-serif" w:hAnsi="Times New Roman;sans-serif"/>
                  <w:b w:val="false"/>
                  <w:strike w:val="false"/>
                  <w:dstrike w:val="false"/>
                  <w:color w:val="0000FF"/>
                  <w:sz w:val="20"/>
                  <w:u w:val="none"/>
                  <w:effect w:val="none"/>
                </w:rPr>
                <w:t>1.</w:t>
              </w:r>
            </w:hyperlink>
            <w:hyperlink w:anchor="i610e843df81b4079b099dcecd0058f2a_37">
              <w:r>
                <w:rPr>
                  <w:rStyle w:val="InternetLink"/>
                  <w:rFonts w:ascii="Times New Roman;sans-serif" w:hAnsi="Times New Roman;sans-serif"/>
                  <w:b w:val="false"/>
                  <w:color w:val="0000FF"/>
                  <w:sz w:val="20"/>
                  <w:u w:val="single"/>
                </w:rPr>
                <w:t>Organization and Description of Business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37">
              <w:r>
                <w:rPr>
                  <w:rStyle w:val="InternetLink"/>
                  <w:rFonts w:ascii="Times New Roman;sans-serif" w:hAnsi="Times New Roman;sans-serif"/>
                  <w:b w:val="false"/>
                  <w:strike w:val="false"/>
                  <w:dstrike w:val="false"/>
                  <w:color w:val="000000"/>
                  <w:sz w:val="20"/>
                  <w:u w:val="none"/>
                  <w:effect w:val="none"/>
                </w:rPr>
                <w:t>12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610e843df81b4079b099dcecd0058f2a_40">
              <w:r>
                <w:rPr>
                  <w:rStyle w:val="InternetLink"/>
                  <w:rFonts w:ascii="Times New Roman;sans-serif" w:hAnsi="Times New Roman;sans-serif"/>
                  <w:b w:val="false"/>
                  <w:strike w:val="false"/>
                  <w:dstrike w:val="false"/>
                  <w:color w:val="0000FF"/>
                  <w:sz w:val="20"/>
                  <w:u w:val="none"/>
                  <w:effect w:val="none"/>
                </w:rPr>
                <w:t>2.</w:t>
              </w:r>
            </w:hyperlink>
            <w:hyperlink w:anchor="i610e843df81b4079b099dcecd0058f2a_40">
              <w:r>
                <w:rPr>
                  <w:rStyle w:val="InternetLink"/>
                  <w:rFonts w:ascii="Times New Roman;sans-serif" w:hAnsi="Times New Roman;sans-serif"/>
                  <w:b w:val="false"/>
                  <w:color w:val="0000FF"/>
                  <w:sz w:val="20"/>
                  <w:u w:val="single"/>
                </w:rPr>
                <w:t>Basis of Presentation and Summary of Significant Accounting Policies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40">
              <w:r>
                <w:rPr>
                  <w:rStyle w:val="InternetLink"/>
                  <w:rFonts w:ascii="Times New Roman;sans-serif" w:hAnsi="Times New Roman;sans-serif"/>
                  <w:b w:val="false"/>
                  <w:strike w:val="false"/>
                  <w:dstrike w:val="false"/>
                  <w:color w:val="000000"/>
                  <w:sz w:val="20"/>
                  <w:u w:val="none"/>
                  <w:effect w:val="none"/>
                </w:rPr>
                <w:t>13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610e843df81b4079b099dcecd0058f2a_43">
              <w:r>
                <w:rPr>
                  <w:rStyle w:val="InternetLink"/>
                  <w:rFonts w:ascii="Times New Roman;sans-serif" w:hAnsi="Times New Roman;sans-serif"/>
                  <w:b w:val="false"/>
                  <w:strike w:val="false"/>
                  <w:dstrike w:val="false"/>
                  <w:color w:val="0000FF"/>
                  <w:sz w:val="20"/>
                  <w:u w:val="none"/>
                  <w:effect w:val="none"/>
                </w:rPr>
                <w:t>3.</w:t>
              </w:r>
            </w:hyperlink>
            <w:hyperlink w:anchor="i610e843df81b4079b099dcecd0058f2a_43">
              <w:r>
                <w:rPr>
                  <w:rStyle w:val="InternetLink"/>
                  <w:rFonts w:ascii="Times New Roman;sans-serif" w:hAnsi="Times New Roman;sans-serif"/>
                  <w:b w:val="false"/>
                  <w:color w:val="0000FF"/>
                  <w:sz w:val="20"/>
                  <w:u w:val="single"/>
                </w:rPr>
                <w:t>Revenues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43">
              <w:r>
                <w:rPr>
                  <w:rStyle w:val="InternetLink"/>
                  <w:rFonts w:ascii="Times New Roman;sans-serif" w:hAnsi="Times New Roman;sans-serif"/>
                  <w:b w:val="false"/>
                  <w:strike w:val="false"/>
                  <w:dstrike w:val="false"/>
                  <w:color w:val="000000"/>
                  <w:sz w:val="20"/>
                  <w:u w:val="none"/>
                  <w:effect w:val="none"/>
                </w:rPr>
                <w:t>15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610e843df81b4079b099dcecd0058f2a_46">
              <w:r>
                <w:rPr>
                  <w:rStyle w:val="InternetLink"/>
                  <w:rFonts w:ascii="Times New Roman;sans-serif" w:hAnsi="Times New Roman;sans-serif"/>
                  <w:b w:val="false"/>
                  <w:strike w:val="false"/>
                  <w:dstrike w:val="false"/>
                  <w:color w:val="0000FF"/>
                  <w:sz w:val="20"/>
                  <w:u w:val="none"/>
                  <w:effect w:val="none"/>
                </w:rPr>
                <w:t>4.</w:t>
              </w:r>
            </w:hyperlink>
            <w:hyperlink w:anchor="i610e843df81b4079b099dcecd0058f2a_46">
              <w:r>
                <w:rPr>
                  <w:rStyle w:val="InternetLink"/>
                  <w:rFonts w:ascii="Times New Roman;sans-serif" w:hAnsi="Times New Roman;sans-serif"/>
                  <w:b w:val="false"/>
                  <w:color w:val="0000FF"/>
                  <w:sz w:val="20"/>
                  <w:u w:val="single"/>
                </w:rPr>
                <w:t>Leases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46">
              <w:r>
                <w:rPr>
                  <w:rStyle w:val="InternetLink"/>
                  <w:rFonts w:ascii="Times New Roman;sans-serif" w:hAnsi="Times New Roman;sans-serif"/>
                  <w:b w:val="false"/>
                  <w:strike w:val="false"/>
                  <w:dstrike w:val="false"/>
                  <w:color w:val="000000"/>
                  <w:sz w:val="20"/>
                  <w:u w:val="none"/>
                  <w:effect w:val="none"/>
                </w:rPr>
                <w:t>16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610e843df81b4079b099dcecd0058f2a_49">
              <w:r>
                <w:rPr>
                  <w:rStyle w:val="InternetLink"/>
                  <w:rFonts w:ascii="Times New Roman;sans-serif" w:hAnsi="Times New Roman;sans-serif"/>
                  <w:b w:val="false"/>
                  <w:strike w:val="false"/>
                  <w:dstrike w:val="false"/>
                  <w:color w:val="0000FF"/>
                  <w:sz w:val="20"/>
                  <w:u w:val="none"/>
                  <w:effect w:val="none"/>
                </w:rPr>
                <w:t>5.</w:t>
              </w:r>
            </w:hyperlink>
            <w:hyperlink w:anchor="i610e843df81b4079b099dcecd0058f2a_49">
              <w:r>
                <w:rPr>
                  <w:rStyle w:val="InternetLink"/>
                  <w:rFonts w:ascii="Times New Roman;sans-serif" w:hAnsi="Times New Roman;sans-serif"/>
                  <w:b w:val="false"/>
                  <w:color w:val="0000FF"/>
                  <w:sz w:val="20"/>
                  <w:u w:val="single"/>
                </w:rPr>
                <w:t>Fair Value of Financial Instruments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49">
              <w:r>
                <w:rPr>
                  <w:rStyle w:val="InternetLink"/>
                  <w:rFonts w:ascii="Times New Roman;sans-serif" w:hAnsi="Times New Roman;sans-serif"/>
                  <w:b w:val="false"/>
                  <w:strike w:val="false"/>
                  <w:dstrike w:val="false"/>
                  <w:color w:val="000000"/>
                  <w:sz w:val="20"/>
                  <w:u w:val="none"/>
                  <w:effect w:val="none"/>
                </w:rPr>
                <w:t>18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610e843df81b4079b099dcecd0058f2a_52">
              <w:r>
                <w:rPr>
                  <w:rStyle w:val="InternetLink"/>
                  <w:rFonts w:ascii="Times New Roman;sans-serif" w:hAnsi="Times New Roman;sans-serif"/>
                  <w:b w:val="false"/>
                  <w:strike w:val="false"/>
                  <w:dstrike w:val="false"/>
                  <w:color w:val="0000FF"/>
                  <w:sz w:val="20"/>
                  <w:u w:val="none"/>
                  <w:effect w:val="none"/>
                </w:rPr>
                <w:t>6.</w:t>
              </w:r>
            </w:hyperlink>
            <w:hyperlink w:anchor="i610e843df81b4079b099dcecd0058f2a_52">
              <w:r>
                <w:rPr>
                  <w:rStyle w:val="InternetLink"/>
                  <w:rFonts w:ascii="Times New Roman;sans-serif" w:hAnsi="Times New Roman;sans-serif"/>
                  <w:b w:val="false"/>
                  <w:color w:val="0000FF"/>
                  <w:sz w:val="20"/>
                  <w:u w:val="single"/>
                </w:rPr>
                <w:t>Property Plant and Equipment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52">
              <w:r>
                <w:rPr>
                  <w:rStyle w:val="InternetLink"/>
                  <w:rFonts w:ascii="Times New Roman;sans-serif" w:hAnsi="Times New Roman;sans-serif"/>
                  <w:b w:val="false"/>
                  <w:strike w:val="false"/>
                  <w:dstrike w:val="false"/>
                  <w:color w:val="000000"/>
                  <w:sz w:val="20"/>
                  <w:u w:val="none"/>
                  <w:effect w:val="none"/>
                </w:rPr>
                <w:t>20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610e843df81b4079b099dcecd0058f2a_55">
              <w:r>
                <w:rPr>
                  <w:rStyle w:val="InternetLink"/>
                  <w:rFonts w:ascii="Times New Roman;sans-serif" w:hAnsi="Times New Roman;sans-serif"/>
                  <w:b w:val="false"/>
                  <w:strike w:val="false"/>
                  <w:dstrike w:val="false"/>
                  <w:color w:val="0000FF"/>
                  <w:sz w:val="20"/>
                  <w:u w:val="none"/>
                  <w:effect w:val="none"/>
                </w:rPr>
                <w:t>7.</w:t>
              </w:r>
            </w:hyperlink>
            <w:hyperlink w:anchor="i610e843df81b4079b099dcecd0058f2a_55">
              <w:r>
                <w:rPr>
                  <w:rStyle w:val="InternetLink"/>
                  <w:rFonts w:ascii="Times New Roman;sans-serif" w:hAnsi="Times New Roman;sans-serif"/>
                  <w:b w:val="false"/>
                  <w:color w:val="0000FF"/>
                  <w:sz w:val="20"/>
                  <w:u w:val="single"/>
                </w:rPr>
                <w:t>Derivative Instruments and Hedging Activities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55">
              <w:r>
                <w:rPr>
                  <w:rStyle w:val="InternetLink"/>
                  <w:rFonts w:ascii="Times New Roman;sans-serif" w:hAnsi="Times New Roman;sans-serif"/>
                  <w:b w:val="false"/>
                  <w:strike w:val="false"/>
                  <w:dstrike w:val="false"/>
                  <w:color w:val="000000"/>
                  <w:sz w:val="20"/>
                  <w:u w:val="none"/>
                  <w:effect w:val="none"/>
                </w:rPr>
                <w:t>20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610e843df81b4079b099dcecd0058f2a_58">
              <w:r>
                <w:rPr>
                  <w:rStyle w:val="InternetLink"/>
                  <w:rFonts w:ascii="Times New Roman;sans-serif" w:hAnsi="Times New Roman;sans-serif"/>
                  <w:b w:val="false"/>
                  <w:strike w:val="false"/>
                  <w:dstrike w:val="false"/>
                  <w:color w:val="0000FF"/>
                  <w:sz w:val="20"/>
                  <w:u w:val="none"/>
                  <w:effect w:val="none"/>
                </w:rPr>
                <w:t>8.</w:t>
              </w:r>
            </w:hyperlink>
            <w:hyperlink w:anchor="i610e843df81b4079b099dcecd0058f2a_58">
              <w:r>
                <w:rPr>
                  <w:rStyle w:val="InternetLink"/>
                  <w:rFonts w:ascii="Times New Roman;sans-serif" w:hAnsi="Times New Roman;sans-serif"/>
                  <w:b w:val="false"/>
                  <w:color w:val="0000FF"/>
                  <w:sz w:val="20"/>
                  <w:u w:val="single"/>
                </w:rPr>
                <w:t>Goodwill and Intangible Assets and Liabilities</w:t>
              </w:r>
            </w:hyperlink>
            <w:hyperlink w:anchor="i610e843df81b4079b099dcecd0058f2a_58">
              <w:r>
                <w:rPr>
                  <w:rStyle w:val="InternetLink"/>
                  <w:strike w:val="false"/>
                  <w:dstrike w:val="false"/>
                  <w:color w:val="0000FF"/>
                  <w:u w:val="none"/>
                  <w:effect w:val="none"/>
                </w:rPr>
                <w:t xml:space="preserve"> </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58">
              <w:r>
                <w:rPr>
                  <w:rStyle w:val="InternetLink"/>
                  <w:rFonts w:ascii="Times New Roman;sans-serif" w:hAnsi="Times New Roman;sans-serif"/>
                  <w:b w:val="false"/>
                  <w:strike w:val="false"/>
                  <w:dstrike w:val="false"/>
                  <w:color w:val="000000"/>
                  <w:sz w:val="20"/>
                  <w:u w:val="none"/>
                  <w:effect w:val="none"/>
                </w:rPr>
                <w:t>22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610e843df81b4079b099dcecd0058f2a_61">
              <w:r>
                <w:rPr>
                  <w:rStyle w:val="InternetLink"/>
                  <w:rFonts w:ascii="Times New Roman;sans-serif" w:hAnsi="Times New Roman;sans-serif"/>
                  <w:b w:val="false"/>
                  <w:strike w:val="false"/>
                  <w:dstrike w:val="false"/>
                  <w:color w:val="0000FF"/>
                  <w:sz w:val="20"/>
                  <w:u w:val="none"/>
                  <w:effect w:val="none"/>
                </w:rPr>
                <w:t>9.</w:t>
              </w:r>
            </w:hyperlink>
            <w:hyperlink w:anchor="i610e843df81b4079b099dcecd0058f2a_61">
              <w:r>
                <w:rPr>
                  <w:rStyle w:val="InternetLink"/>
                  <w:rFonts w:ascii="Times New Roman;sans-serif" w:hAnsi="Times New Roman;sans-serif"/>
                  <w:b w:val="false"/>
                  <w:color w:val="0000FF"/>
                  <w:sz w:val="20"/>
                  <w:u w:val="single"/>
                </w:rPr>
                <w:t>Notes and Other Debt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61">
              <w:r>
                <w:rPr>
                  <w:rStyle w:val="InternetLink"/>
                  <w:rFonts w:ascii="Times New Roman;sans-serif" w:hAnsi="Times New Roman;sans-serif"/>
                  <w:b w:val="false"/>
                  <w:strike w:val="false"/>
                  <w:dstrike w:val="false"/>
                  <w:color w:val="000000"/>
                  <w:sz w:val="20"/>
                  <w:u w:val="none"/>
                  <w:effect w:val="none"/>
                </w:rPr>
                <w:t>23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610e843df81b4079b099dcecd0058f2a_67">
              <w:r>
                <w:rPr>
                  <w:rStyle w:val="InternetLink"/>
                  <w:rFonts w:ascii="Times New Roman;sans-serif" w:hAnsi="Times New Roman;sans-serif"/>
                  <w:b w:val="false"/>
                  <w:strike w:val="false"/>
                  <w:dstrike w:val="false"/>
                  <w:color w:val="0000FF"/>
                  <w:sz w:val="20"/>
                  <w:u w:val="none"/>
                  <w:effect w:val="none"/>
                </w:rPr>
                <w:t>10.</w:t>
              </w:r>
            </w:hyperlink>
            <w:hyperlink w:anchor="i610e843df81b4079b099dcecd0058f2a_67">
              <w:r>
                <w:rPr>
                  <w:rStyle w:val="InternetLink"/>
                  <w:rFonts w:ascii="Times New Roman;sans-serif" w:hAnsi="Times New Roman;sans-serif"/>
                  <w:b w:val="false"/>
                  <w:color w:val="0000FF"/>
                  <w:sz w:val="20"/>
                  <w:u w:val="single"/>
                </w:rPr>
                <w:t>Earnings Per Share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67">
              <w:r>
                <w:rPr>
                  <w:rStyle w:val="InternetLink"/>
                  <w:rFonts w:ascii="Times New Roman;sans-serif" w:hAnsi="Times New Roman;sans-serif"/>
                  <w:b w:val="false"/>
                  <w:strike w:val="false"/>
                  <w:dstrike w:val="false"/>
                  <w:color w:val="000000"/>
                  <w:sz w:val="20"/>
                  <w:u w:val="none"/>
                  <w:effect w:val="none"/>
                </w:rPr>
                <w:t>28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610e843df81b4079b099dcecd0058f2a_70">
              <w:r>
                <w:rPr>
                  <w:rStyle w:val="InternetLink"/>
                  <w:rFonts w:ascii="Times New Roman;sans-serif" w:hAnsi="Times New Roman;sans-serif"/>
                  <w:b w:val="false"/>
                  <w:strike w:val="false"/>
                  <w:dstrike w:val="false"/>
                  <w:color w:val="0000FF"/>
                  <w:sz w:val="20"/>
                  <w:u w:val="none"/>
                  <w:effect w:val="none"/>
                </w:rPr>
                <w:t>11.</w:t>
              </w:r>
            </w:hyperlink>
            <w:hyperlink w:anchor="i610e843df81b4079b099dcecd0058f2a_70">
              <w:r>
                <w:rPr>
                  <w:rStyle w:val="InternetLink"/>
                  <w:rFonts w:ascii="Times New Roman;sans-serif" w:hAnsi="Times New Roman;sans-serif"/>
                  <w:b w:val="false"/>
                  <w:color w:val="0000FF"/>
                  <w:sz w:val="20"/>
                  <w:u w:val="single"/>
                </w:rPr>
                <w:t>Segment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70">
              <w:r>
                <w:rPr>
                  <w:rStyle w:val="InternetLink"/>
                  <w:rFonts w:ascii="Times New Roman;sans-serif" w:hAnsi="Times New Roman;sans-serif"/>
                  <w:b w:val="false"/>
                  <w:strike w:val="false"/>
                  <w:dstrike w:val="false"/>
                  <w:color w:val="000000"/>
                  <w:sz w:val="20"/>
                  <w:u w:val="none"/>
                  <w:effect w:val="none"/>
                </w:rPr>
                <w:t>30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610e843df81b4079b099dcecd0058f2a_73">
              <w:r>
                <w:rPr>
                  <w:rStyle w:val="InternetLink"/>
                  <w:rFonts w:ascii="Times New Roman;sans-serif" w:hAnsi="Times New Roman;sans-serif"/>
                  <w:b w:val="false"/>
                  <w:strike w:val="false"/>
                  <w:dstrike w:val="false"/>
                  <w:color w:val="0000FF"/>
                  <w:sz w:val="20"/>
                  <w:u w:val="none"/>
                  <w:effect w:val="none"/>
                </w:rPr>
                <w:t>12.</w:t>
              </w:r>
            </w:hyperlink>
            <w:hyperlink w:anchor="i610e843df81b4079b099dcecd0058f2a_73">
              <w:r>
                <w:rPr>
                  <w:rStyle w:val="InternetLink"/>
                  <w:rFonts w:ascii="Times New Roman;sans-serif" w:hAnsi="Times New Roman;sans-serif"/>
                  <w:b w:val="false"/>
                  <w:color w:val="0000FF"/>
                  <w:sz w:val="20"/>
                  <w:u w:val="single"/>
                </w:rPr>
                <w:t>Commitments and Contingencies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73">
              <w:r>
                <w:rPr>
                  <w:rStyle w:val="InternetLink"/>
                  <w:rFonts w:ascii="Times New Roman;sans-serif" w:hAnsi="Times New Roman;sans-serif"/>
                  <w:b w:val="false"/>
                  <w:strike w:val="false"/>
                  <w:dstrike w:val="false"/>
                  <w:color w:val="000000"/>
                  <w:sz w:val="20"/>
                  <w:u w:val="none"/>
                  <w:effect w:val="none"/>
                </w:rPr>
                <w:t>33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610e843df81b4079b099dcecd0058f2a_76">
              <w:r>
                <w:rPr>
                  <w:rStyle w:val="InternetLink"/>
                  <w:rFonts w:ascii="Times New Roman;sans-serif" w:hAnsi="Times New Roman;sans-serif"/>
                  <w:b w:val="false"/>
                  <w:strike w:val="false"/>
                  <w:dstrike w:val="false"/>
                  <w:color w:val="0000FF"/>
                  <w:sz w:val="20"/>
                  <w:u w:val="none"/>
                  <w:effect w:val="none"/>
                </w:rPr>
                <w:t>13.</w:t>
              </w:r>
            </w:hyperlink>
            <w:hyperlink w:anchor="i610e843df81b4079b099dcecd0058f2a_76">
              <w:r>
                <w:rPr>
                  <w:rStyle w:val="InternetLink"/>
                  <w:rFonts w:ascii="Times New Roman;sans-serif" w:hAnsi="Times New Roman;sans-serif"/>
                  <w:b w:val="false"/>
                  <w:color w:val="0000FF"/>
                  <w:sz w:val="20"/>
                  <w:u w:val="single"/>
                </w:rPr>
                <w:t>Accumulated Other Comprehensive Loss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76">
              <w:r>
                <w:rPr>
                  <w:rStyle w:val="InternetLink"/>
                  <w:rFonts w:ascii="Times New Roman;sans-serif" w:hAnsi="Times New Roman;sans-serif"/>
                  <w:b w:val="false"/>
                  <w:strike w:val="false"/>
                  <w:dstrike w:val="false"/>
                  <w:color w:val="000000"/>
                  <w:sz w:val="20"/>
                  <w:u w:val="none"/>
                  <w:effect w:val="none"/>
                </w:rPr>
                <w:t>34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610e843df81b4079b099dcecd0058f2a_504">
              <w:r>
                <w:rPr>
                  <w:rStyle w:val="InternetLink"/>
                  <w:rFonts w:ascii="Times New Roman;sans-serif" w:hAnsi="Times New Roman;sans-serif"/>
                  <w:b w:val="false"/>
                  <w:strike w:val="false"/>
                  <w:dstrike w:val="false"/>
                  <w:color w:val="0000FF"/>
                  <w:sz w:val="20"/>
                  <w:u w:val="none"/>
                  <w:effect w:val="none"/>
                </w:rPr>
                <w:t>14.</w:t>
              </w:r>
            </w:hyperlink>
            <w:hyperlink w:anchor="i610e843df81b4079b099dcecd0058f2a_504">
              <w:r>
                <w:rPr>
                  <w:rStyle w:val="InternetLink"/>
                  <w:rFonts w:ascii="Times New Roman;sans-serif" w:hAnsi="Times New Roman;sans-serif"/>
                  <w:b w:val="false"/>
                  <w:color w:val="0000FF"/>
                  <w:sz w:val="20"/>
                  <w:u w:val="single"/>
                </w:rPr>
                <w:t>Capital Stock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504">
              <w:r>
                <w:rPr>
                  <w:rStyle w:val="InternetLink"/>
                  <w:rFonts w:ascii="Times New Roman;sans-serif" w:hAnsi="Times New Roman;sans-serif"/>
                  <w:b w:val="false"/>
                  <w:strike w:val="false"/>
                  <w:dstrike w:val="false"/>
                  <w:color w:val="000000"/>
                  <w:sz w:val="20"/>
                  <w:u w:val="none"/>
                  <w:effect w:val="none"/>
                </w:rPr>
                <w:t>34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82">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82">
              <w:r>
                <w:rPr>
                  <w:rStyle w:val="InternetLink"/>
                  <w:rFonts w:ascii="Times New Roman;sans-serif" w:hAnsi="Times New Roman;sans-serif"/>
                  <w:b w:val="false"/>
                  <w:strike w:val="false"/>
                  <w:dstrike w:val="false"/>
                  <w:color w:val="000000"/>
                  <w:sz w:val="20"/>
                  <w:u w:val="none"/>
                  <w:effect w:val="none"/>
                </w:rPr>
                <w:t>34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610e843df81b4079b099dcecd0058f2a_85">
              <w:r>
                <w:rPr>
                  <w:rStyle w:val="InternetLink"/>
                  <w:rFonts w:ascii="Times New Roman;sans-serif" w:hAnsi="Times New Roman;sans-serif"/>
                  <w:b w:val="false"/>
                  <w:strike w:val="false"/>
                  <w:dstrike w:val="false"/>
                  <w:color w:val="0000FF"/>
                  <w:sz w:val="20"/>
                  <w:u w:val="none"/>
                  <w:effect w:val="none"/>
                </w:rPr>
                <w:t>1.</w:t>
              </w:r>
            </w:hyperlink>
            <w:hyperlink w:anchor="i610e843df81b4079b099dcecd0058f2a_85">
              <w:r>
                <w:rPr>
                  <w:rStyle w:val="InternetLink"/>
                  <w:rFonts w:ascii="Times New Roman;sans-serif" w:hAnsi="Times New Roman;sans-serif"/>
                  <w:b w:val="false"/>
                  <w:color w:val="0000FF"/>
                  <w:sz w:val="20"/>
                  <w:u w:val="single"/>
                </w:rPr>
                <w:t>Overview</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85">
              <w:r>
                <w:rPr>
                  <w:rStyle w:val="InternetLink"/>
                  <w:rFonts w:ascii="Times New Roman;sans-serif" w:hAnsi="Times New Roman;sans-serif"/>
                  <w:b w:val="false"/>
                  <w:strike w:val="false"/>
                  <w:dstrike w:val="false"/>
                  <w:color w:val="000000"/>
                  <w:sz w:val="20"/>
                  <w:u w:val="none"/>
                  <w:effect w:val="none"/>
                </w:rPr>
                <w:t>34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610e843df81b4079b099dcecd0058f2a_88">
              <w:r>
                <w:rPr>
                  <w:rStyle w:val="InternetLink"/>
                  <w:rFonts w:ascii="Times New Roman;sans-serif" w:hAnsi="Times New Roman;sans-serif"/>
                  <w:b w:val="false"/>
                  <w:strike w:val="false"/>
                  <w:dstrike w:val="false"/>
                  <w:color w:val="0000FF"/>
                  <w:sz w:val="20"/>
                  <w:u w:val="none"/>
                  <w:effect w:val="none"/>
                </w:rPr>
                <w:t>2.</w:t>
              </w:r>
            </w:hyperlink>
            <w:hyperlink w:anchor="i610e843df81b4079b099dcecd0058f2a_88">
              <w:r>
                <w:rPr>
                  <w:rStyle w:val="InternetLink"/>
                  <w:rFonts w:ascii="Times New Roman;sans-serif" w:hAnsi="Times New Roman;sans-serif"/>
                  <w:b w:val="false"/>
                  <w:color w:val="0000FF"/>
                  <w:sz w:val="20"/>
                  <w:u w:val="single"/>
                </w:rPr>
                <w:t>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88">
              <w:r>
                <w:rPr>
                  <w:rStyle w:val="InternetLink"/>
                  <w:rFonts w:ascii="Times New Roman;sans-serif" w:hAnsi="Times New Roman;sans-serif"/>
                  <w:b w:val="false"/>
                  <w:strike w:val="false"/>
                  <w:dstrike w:val="false"/>
                  <w:color w:val="000000"/>
                  <w:sz w:val="20"/>
                  <w:u w:val="none"/>
                  <w:effect w:val="none"/>
                </w:rPr>
                <w:t>38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610e843df81b4079b099dcecd0058f2a_91">
              <w:r>
                <w:rPr>
                  <w:rStyle w:val="InternetLink"/>
                  <w:rFonts w:ascii="Times New Roman;sans-serif" w:hAnsi="Times New Roman;sans-serif"/>
                  <w:b w:val="false"/>
                  <w:strike w:val="false"/>
                  <w:dstrike w:val="false"/>
                  <w:color w:val="0000FF"/>
                  <w:sz w:val="20"/>
                  <w:u w:val="none"/>
                  <w:effect w:val="none"/>
                </w:rPr>
                <w:t>3.</w:t>
              </w:r>
            </w:hyperlink>
            <w:hyperlink w:anchor="i610e843df81b4079b099dcecd0058f2a_91">
              <w:r>
                <w:rPr>
                  <w:rStyle w:val="InternetLink"/>
                  <w:rFonts w:ascii="Times New Roman;sans-serif" w:hAnsi="Times New Roman;sans-serif"/>
                  <w:b w:val="false"/>
                  <w:color w:val="0000FF"/>
                  <w:sz w:val="20"/>
                  <w:u w:val="single"/>
                </w:rPr>
                <w:t>Non-GAAP Financial Measures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91">
              <w:r>
                <w:rPr>
                  <w:rStyle w:val="InternetLink"/>
                  <w:rFonts w:ascii="Times New Roman;sans-serif" w:hAnsi="Times New Roman;sans-serif"/>
                  <w:b w:val="false"/>
                  <w:strike w:val="false"/>
                  <w:dstrike w:val="false"/>
                  <w:color w:val="000000"/>
                  <w:sz w:val="20"/>
                  <w:u w:val="none"/>
                  <w:effect w:val="none"/>
                </w:rPr>
                <w:t>51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610e843df81b4079b099dcecd0058f2a_94">
              <w:r>
                <w:rPr>
                  <w:rStyle w:val="InternetLink"/>
                  <w:rFonts w:ascii="Times New Roman;sans-serif" w:hAnsi="Times New Roman;sans-serif"/>
                  <w:b w:val="false"/>
                  <w:strike w:val="false"/>
                  <w:dstrike w:val="false"/>
                  <w:color w:val="0000FF"/>
                  <w:sz w:val="20"/>
                  <w:u w:val="none"/>
                  <w:effect w:val="none"/>
                </w:rPr>
                <w:t>4.</w:t>
              </w:r>
            </w:hyperlink>
            <w:hyperlink w:anchor="i610e843df81b4079b099dcecd0058f2a_94">
              <w:r>
                <w:rPr>
                  <w:rStyle w:val="InternetLink"/>
                  <w:rFonts w:ascii="Times New Roman;sans-serif" w:hAnsi="Times New Roman;sans-serif"/>
                  <w:b w:val="false"/>
                  <w:color w:val="0000FF"/>
                  <w:sz w:val="20"/>
                  <w:u w:val="single"/>
                </w:rPr>
                <w:t>Liquidity and Capital Resources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94">
              <w:r>
                <w:rPr>
                  <w:rStyle w:val="InternetLink"/>
                  <w:rFonts w:ascii="Times New Roman;sans-serif" w:hAnsi="Times New Roman;sans-serif"/>
                  <w:b w:val="false"/>
                  <w:strike w:val="false"/>
                  <w:dstrike w:val="false"/>
                  <w:color w:val="000000"/>
                  <w:sz w:val="20"/>
                  <w:u w:val="none"/>
                  <w:effect w:val="none"/>
                </w:rPr>
                <w:t>53</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09">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09">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109">
              <w:r>
                <w:rPr>
                  <w:rStyle w:val="InternetLink"/>
                  <w:rFonts w:ascii="Times New Roman;sans-serif" w:hAnsi="Times New Roman;sans-serif"/>
                  <w:b w:val="false"/>
                  <w:strike w:val="false"/>
                  <w:dstrike w:val="false"/>
                  <w:color w:val="000000"/>
                  <w:sz w:val="20"/>
                  <w:u w:val="none"/>
                  <w:effect w:val="none"/>
                </w:rPr>
                <w:t>58</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12">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12">
              <w:r>
                <w:rPr>
                  <w:rStyle w:val="InternetLink"/>
                  <w:rFonts w:ascii="Times New Roman;sans-serif" w:hAnsi="Times New Roman;sans-serif"/>
                  <w:b w:val="false"/>
                  <w:color w:val="0000FF"/>
                  <w:sz w:val="20"/>
                  <w:u w:val="single"/>
                </w:rPr>
                <w:t>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112">
              <w:r>
                <w:rPr>
                  <w:rStyle w:val="InternetLink"/>
                  <w:rFonts w:ascii="Times New Roman;sans-serif" w:hAnsi="Times New Roman;sans-serif"/>
                  <w:b w:val="false"/>
                  <w:strike w:val="false"/>
                  <w:dstrike w:val="false"/>
                  <w:color w:val="000000"/>
                  <w:sz w:val="20"/>
                  <w:u w:val="none"/>
                  <w:effect w:val="none"/>
                </w:rPr>
                <w:t>58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15">
              <w:r>
                <w:rPr>
                  <w:rStyle w:val="InternetLink"/>
                  <w:rFonts w:ascii="Times New Roman;sans-serif" w:hAnsi="Times New Roman;sans-serif"/>
                  <w:b/>
                  <w:strike w:val="false"/>
                  <w:dstrike w:val="false"/>
                  <w:color w:val="000000"/>
                  <w:sz w:val="20"/>
                  <w:u w:val="none"/>
                  <w:effect w:val="none"/>
                </w:rPr>
                <w:t>PART II.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15">
              <w:r>
                <w:rPr>
                  <w:rStyle w:val="InternetLink"/>
                  <w:rFonts w:ascii="Times New Roman;sans-serif" w:hAnsi="Times New Roman;sans-serif"/>
                  <w:b/>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18">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18">
              <w:r>
                <w:rPr>
                  <w:rStyle w:val="InternetLink"/>
                  <w:rFonts w:ascii="Times New Roman;sans-serif" w:hAnsi="Times New Roman;sans-serif"/>
                  <w:b w:val="false"/>
                  <w:color w:val="0000FF"/>
                  <w:sz w:val="20"/>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118">
              <w:r>
                <w:rPr>
                  <w:rStyle w:val="InternetLink"/>
                  <w:rFonts w:ascii="Times New Roman;sans-serif" w:hAnsi="Times New Roman;sans-serif"/>
                  <w:b w:val="false"/>
                  <w:strike w:val="false"/>
                  <w:dstrike w:val="false"/>
                  <w:color w:val="000000"/>
                  <w:sz w:val="20"/>
                  <w:u w:val="none"/>
                  <w:effect w:val="none"/>
                </w:rPr>
                <w:t>60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21">
              <w:r>
                <w:rPr>
                  <w:rStyle w:val="InternetLink"/>
                  <w:rFonts w:ascii="Times New Roman;sans-serif" w:hAnsi="Times New Roman;sans-serif"/>
                  <w:b w:val="false"/>
                  <w:strike w:val="false"/>
                  <w:dstrike w:val="false"/>
                  <w:color w:val="000000"/>
                  <w:sz w:val="20"/>
                  <w:u w:val="none"/>
                  <w:effect w:val="none"/>
                </w:rPr>
                <w:t>Item 1A.</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21">
              <w:r>
                <w:rPr>
                  <w:rStyle w:val="InternetLink"/>
                  <w:rFonts w:ascii="Times New Roman;sans-serif" w:hAnsi="Times New Roman;sans-serif"/>
                  <w:b w:val="false"/>
                  <w:color w:val="0000FF"/>
                  <w:sz w:val="20"/>
                  <w:u w:val="single"/>
                </w:rPr>
                <w:t>Risk Factors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121">
              <w:r>
                <w:rPr>
                  <w:rStyle w:val="InternetLink"/>
                  <w:rFonts w:ascii="Times New Roman;sans-serif" w:hAnsi="Times New Roman;sans-serif"/>
                  <w:b w:val="false"/>
                  <w:strike w:val="false"/>
                  <w:dstrike w:val="false"/>
                  <w:color w:val="000000"/>
                  <w:sz w:val="20"/>
                  <w:u w:val="none"/>
                  <w:effect w:val="none"/>
                </w:rPr>
                <w:t>60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24">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24">
              <w:r>
                <w:rPr>
                  <w:rStyle w:val="InternetLink"/>
                  <w:rFonts w:ascii="Times New Roman;sans-serif" w:hAnsi="Times New Roman;sans-serif"/>
                  <w:b w:val="false"/>
                  <w:color w:val="0000FF"/>
                  <w:sz w:val="20"/>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124">
              <w:r>
                <w:rPr>
                  <w:rStyle w:val="InternetLink"/>
                  <w:rFonts w:ascii="Times New Roman;sans-serif" w:hAnsi="Times New Roman;sans-serif"/>
                  <w:b w:val="false"/>
                  <w:strike w:val="false"/>
                  <w:dstrike w:val="false"/>
                  <w:color w:val="000000"/>
                  <w:sz w:val="20"/>
                  <w:u w:val="none"/>
                  <w:effect w:val="none"/>
                </w:rPr>
                <w:t>60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27">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27">
              <w:r>
                <w:rPr>
                  <w:rStyle w:val="InternetLink"/>
                  <w:rFonts w:ascii="Times New Roman;sans-serif" w:hAnsi="Times New Roman;sans-serif"/>
                  <w:b w:val="false"/>
                  <w:color w:val="0000FF"/>
                  <w:sz w:val="20"/>
                  <w:u w:val="single"/>
                </w:rPr>
                <w:t>Defaults Upon Senior Securities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127">
              <w:r>
                <w:rPr>
                  <w:rStyle w:val="InternetLink"/>
                  <w:rFonts w:ascii="Times New Roman;sans-serif" w:hAnsi="Times New Roman;sans-serif"/>
                  <w:b w:val="false"/>
                  <w:strike w:val="false"/>
                  <w:dstrike w:val="false"/>
                  <w:color w:val="000000"/>
                  <w:sz w:val="20"/>
                  <w:u w:val="none"/>
                  <w:effect w:val="none"/>
                </w:rPr>
                <w:t>60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30">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30">
              <w:r>
                <w:rPr>
                  <w:rStyle w:val="InternetLink"/>
                  <w:rFonts w:ascii="Times New Roman;sans-serif" w:hAnsi="Times New Roman;sans-serif"/>
                  <w:b w:val="false"/>
                  <w:color w:val="0000FF"/>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130">
              <w:r>
                <w:rPr>
                  <w:rStyle w:val="InternetLink"/>
                  <w:rFonts w:ascii="Times New Roman;sans-serif" w:hAnsi="Times New Roman;sans-serif"/>
                  <w:b w:val="false"/>
                  <w:strike w:val="false"/>
                  <w:dstrike w:val="false"/>
                  <w:color w:val="000000"/>
                  <w:sz w:val="20"/>
                  <w:u w:val="none"/>
                  <w:effect w:val="none"/>
                </w:rPr>
                <w:t>60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33">
              <w:r>
                <w:rPr>
                  <w:rStyle w:val="InternetLink"/>
                  <w:rFonts w:ascii="Times New Roman;sans-serif" w:hAnsi="Times New Roman;sans-serif"/>
                  <w:b w:val="false"/>
                  <w:strike w:val="false"/>
                  <w:dstrike w:val="false"/>
                  <w:color w:val="000000"/>
                  <w:sz w:val="20"/>
                  <w:u w:val="none"/>
                  <w:effect w:val="none"/>
                </w:rPr>
                <w:t>Item 5.</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33">
              <w:r>
                <w:rPr>
                  <w:rStyle w:val="InternetLink"/>
                  <w:rFonts w:ascii="Times New Roman;sans-serif" w:hAnsi="Times New Roman;sans-serif"/>
                  <w:b w:val="false"/>
                  <w:color w:val="0000FF"/>
                  <w:sz w:val="20"/>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133">
              <w:r>
                <w:rPr>
                  <w:rStyle w:val="InternetLink"/>
                  <w:rFonts w:ascii="Times New Roman;sans-serif" w:hAnsi="Times New Roman;sans-serif"/>
                  <w:b w:val="false"/>
                  <w:strike w:val="false"/>
                  <w:dstrike w:val="false"/>
                  <w:color w:val="000000"/>
                  <w:sz w:val="20"/>
                  <w:u w:val="none"/>
                  <w:effect w:val="none"/>
                </w:rPr>
                <w:t>60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36">
              <w:r>
                <w:rPr>
                  <w:rStyle w:val="InternetLink"/>
                  <w:rFonts w:ascii="Times New Roman;sans-serif" w:hAnsi="Times New Roman;sans-serif"/>
                  <w:b w:val="false"/>
                  <w:strike w:val="false"/>
                  <w:dstrike w:val="false"/>
                  <w:color w:val="000000"/>
                  <w:sz w:val="20"/>
                  <w:u w:val="none"/>
                  <w:effect w:val="non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36">
              <w:r>
                <w:rPr>
                  <w:rStyle w:val="InternetLink"/>
                  <w:rFonts w:ascii="Times New Roman;sans-serif" w:hAnsi="Times New Roman;sans-serif"/>
                  <w:b w:val="false"/>
                  <w:color w:val="0000FF"/>
                  <w:sz w:val="20"/>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136">
              <w:r>
                <w:rPr>
                  <w:rStyle w:val="InternetLink"/>
                  <w:rFonts w:ascii="Times New Roman;sans-serif" w:hAnsi="Times New Roman;sans-serif"/>
                  <w:b w:val="false"/>
                  <w:strike w:val="false"/>
                  <w:dstrike w:val="false"/>
                  <w:color w:val="000000"/>
                  <w:sz w:val="20"/>
                  <w:u w:val="none"/>
                  <w:effect w:val="none"/>
                </w:rPr>
                <w:t>60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6"/>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610e843df81b4079b099dcecd0058f2a_139">
              <w:r>
                <w:rPr>
                  <w:rStyle w:val="InternetLink"/>
                  <w:rFonts w:ascii="Times New Roman;sans-serif" w:hAnsi="Times New Roman;sans-serif"/>
                  <w:b w:val="false"/>
                  <w:color w:val="0000FF"/>
                  <w:sz w:val="20"/>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610e843df81b4079b099dcecd0058f2a_139">
              <w:r>
                <w:rPr>
                  <w:rStyle w:val="InternetLink"/>
                  <w:rFonts w:ascii="Times New Roman;sans-serif" w:hAnsi="Times New Roman;sans-serif"/>
                  <w:b w:val="false"/>
                  <w:strike w:val="false"/>
                  <w:dstrike w:val="false"/>
                  <w:color w:val="000000"/>
                  <w:sz w:val="20"/>
                  <w:u w:val="none"/>
                  <w:effect w:val="none"/>
                </w:rPr>
                <w:t>63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583"/>
        <w:gridCol w:w="2188"/>
        <w:gridCol w:w="2194"/>
        <w:gridCol w:w="109"/>
        <w:gridCol w:w="109"/>
        <w:gridCol w:w="109"/>
        <w:gridCol w:w="196"/>
        <w:gridCol w:w="871"/>
        <w:gridCol w:w="109"/>
        <w:gridCol w:w="109"/>
        <w:gridCol w:w="109"/>
        <w:gridCol w:w="109"/>
        <w:gridCol w:w="226"/>
        <w:gridCol w:w="1004"/>
        <w:gridCol w:w="180"/>
      </w:tblGrid>
      <w:tr>
        <w:trPr/>
        <w:tc>
          <w:tcPr>
            <w:tcW w:w="2583"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6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3,982,069 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62,264 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46,358 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157,380 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305,115 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Straight-line revenue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90,988 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125,105 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118,117 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28,605 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5,119,230 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5,025,129 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Shareholders'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119,340 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payable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163,583 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156,397 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133,683 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1,273,661 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36,162 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84,404 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and other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5,523,579 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7,611,644 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7,509,250 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Shareholders'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50,000 shares authorized; no shares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500,000 shares authorized; issued and outstanding: 237,353 shares at June 30, 2024 and 236,559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1,221,824 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in excess of accumulated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(3,722,066)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(3,708,240)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Uniti shareholders'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(2,493,379)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(2,486,392)</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partnership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Cumulative non-voting convertible preferred stock, $0.01 par value, 6 shares authorized, 3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(2,492,414)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(2,484,121)</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Shareholders'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5,119,230 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5,025,129 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87"/>
        <w:gridCol w:w="1239"/>
        <w:gridCol w:w="124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8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2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rentals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rentals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573,520 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 (exclusive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575,182 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 and 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securities' share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number of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237,121 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236,260 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40"/>
        <w:gridCol w:w="1519"/>
        <w:gridCol w:w="1532"/>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6"/>
      </w:tblGrid>
      <w:tr>
        <w:trPr/>
        <w:tc>
          <w:tcPr>
            <w:tcW w:w="174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7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valuation of 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realized interest on 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attributable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Shareholders’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4788" w:type="dxa"/>
        <w:jc w:val="center"/>
        <w:tblInd w:w="0" w:type="dxa"/>
        <w:tblLayout w:type="fixed"/>
        <w:tblCellMar>
          <w:top w:w="28" w:type="dxa"/>
          <w:left w:w="28" w:type="dxa"/>
          <w:bottom w:w="28" w:type="dxa"/>
          <w:right w:w="28" w:type="dxa"/>
        </w:tblCellMar>
      </w:tblPr>
      <w:tblGrid>
        <w:gridCol w:w="548"/>
        <w:gridCol w:w="311"/>
        <w:gridCol w:w="312"/>
        <w:gridCol w:w="109"/>
        <w:gridCol w:w="109"/>
        <w:gridCol w:w="109"/>
        <w:gridCol w:w="203"/>
        <w:gridCol w:w="203"/>
        <w:gridCol w:w="186"/>
        <w:gridCol w:w="109"/>
        <w:gridCol w:w="109"/>
        <w:gridCol w:w="109"/>
        <w:gridCol w:w="196"/>
        <w:gridCol w:w="406"/>
        <w:gridCol w:w="109"/>
        <w:gridCol w:w="109"/>
        <w:gridCol w:w="109"/>
        <w:gridCol w:w="109"/>
        <w:gridCol w:w="525"/>
        <w:gridCol w:w="526"/>
        <w:gridCol w:w="186"/>
        <w:gridCol w:w="109"/>
        <w:gridCol w:w="109"/>
        <w:gridCol w:w="109"/>
        <w:gridCol w:w="208"/>
        <w:gridCol w:w="351"/>
        <w:gridCol w:w="117"/>
        <w:gridCol w:w="109"/>
        <w:gridCol w:w="109"/>
        <w:gridCol w:w="109"/>
        <w:gridCol w:w="196"/>
        <w:gridCol w:w="871"/>
        <w:gridCol w:w="109"/>
        <w:gridCol w:w="109"/>
        <w:gridCol w:w="109"/>
        <w:gridCol w:w="109"/>
        <w:gridCol w:w="313"/>
        <w:gridCol w:w="697"/>
        <w:gridCol w:w="176"/>
        <w:gridCol w:w="109"/>
        <w:gridCol w:w="109"/>
        <w:gridCol w:w="109"/>
        <w:gridCol w:w="196"/>
        <w:gridCol w:w="886"/>
        <w:gridCol w:w="109"/>
        <w:gridCol w:w="109"/>
        <w:gridCol w:w="109"/>
        <w:gridCol w:w="109"/>
        <w:gridCol w:w="266"/>
        <w:gridCol w:w="756"/>
        <w:gridCol w:w="149"/>
        <w:gridCol w:w="109"/>
        <w:gridCol w:w="109"/>
        <w:gridCol w:w="109"/>
        <w:gridCol w:w="316"/>
        <w:gridCol w:w="679"/>
        <w:gridCol w:w="176"/>
        <w:gridCol w:w="109"/>
        <w:gridCol w:w="109"/>
        <w:gridCol w:w="109"/>
        <w:gridCol w:w="196"/>
        <w:gridCol w:w="88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0" w:type="dxa"/>
            <w:gridSpan w:val="57"/>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three months ended June 30, </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Preferred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Paid-in</w:t>
              <w:br/>
              <w:t>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Other</w:t>
              <w:br/>
              <w:t>Comprehensive</w:t>
              <w:br/>
              <w:t>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Distributions in</w:t>
              <w:br/>
              <w:t>Excess of</w:t>
              <w:br/>
              <w:t>Accumulated</w:t>
              <w:br/>
              <w:t>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Noncontrolling</w:t>
              <w:br/>
              <w:t>Interest - OP 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Noncontrolling</w:t>
              <w:br/>
              <w:t>Interest - Non-</w:t>
              <w:br/>
              <w:t>voting Preferred</w:t>
              <w:b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Shareholders'</w:t>
              <w:br/>
              <w:t>Deficit</w:t>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236,427,250 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(3,538,683)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dividends declared ($0.15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236,430,752 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(3,548,870)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(2,331,244)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237,308,699 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(3,703,597)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(2,477,483)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dividends declared ($0.15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53,662 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237,353,110 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1,228,527 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(3,722,066)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(2,492,414)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center"/>
        <w:rPr/>
      </w:pPr>
      <w:r>
        <w:rPr/>
      </w:r>
    </w:p>
    <w:p>
      <w:pPr>
        <w:pStyle w:val="TextBody"/>
        <w:bidi w:val="0"/>
        <w:spacing w:before="140" w:after="283"/>
        <w:jc w:val="center"/>
        <w:rPr/>
      </w:pPr>
      <w:r>
        <w:rPr/>
      </w:r>
    </w:p>
    <w:p>
      <w:pPr>
        <w:pStyle w:val="TextBody"/>
        <w:bidi w:val="0"/>
        <w:spacing w:before="140" w:after="283"/>
        <w:jc w:val="center"/>
        <w:rPr/>
      </w:pPr>
      <w:r>
        <w:rPr/>
      </w:r>
    </w:p>
    <w:p>
      <w:pPr>
        <w:pStyle w:val="TextBody"/>
        <w:bidi w:val="0"/>
        <w:spacing w:before="140" w:after="283"/>
        <w:jc w:val="center"/>
        <w:rPr/>
      </w:pPr>
      <w:r>
        <w:rPr/>
      </w:r>
    </w:p>
    <w:p>
      <w:pPr>
        <w:pStyle w:val="TextBody"/>
        <w:bidi w:val="0"/>
        <w:spacing w:before="140" w:after="283"/>
        <w:jc w:val="center"/>
        <w:rPr/>
      </w:pPr>
      <w:r>
        <w:rPr/>
      </w:r>
    </w:p>
    <w:tbl>
      <w:tblPr>
        <w:tblW w:w="14788" w:type="dxa"/>
        <w:jc w:val="center"/>
        <w:tblInd w:w="0" w:type="dxa"/>
        <w:tblLayout w:type="fixed"/>
        <w:tblCellMar>
          <w:top w:w="28" w:type="dxa"/>
          <w:left w:w="28" w:type="dxa"/>
          <w:bottom w:w="28" w:type="dxa"/>
          <w:right w:w="28" w:type="dxa"/>
        </w:tblCellMar>
      </w:tblPr>
      <w:tblGrid>
        <w:gridCol w:w="548"/>
        <w:gridCol w:w="311"/>
        <w:gridCol w:w="312"/>
        <w:gridCol w:w="109"/>
        <w:gridCol w:w="109"/>
        <w:gridCol w:w="109"/>
        <w:gridCol w:w="203"/>
        <w:gridCol w:w="203"/>
        <w:gridCol w:w="186"/>
        <w:gridCol w:w="109"/>
        <w:gridCol w:w="109"/>
        <w:gridCol w:w="109"/>
        <w:gridCol w:w="196"/>
        <w:gridCol w:w="406"/>
        <w:gridCol w:w="109"/>
        <w:gridCol w:w="109"/>
        <w:gridCol w:w="109"/>
        <w:gridCol w:w="109"/>
        <w:gridCol w:w="525"/>
        <w:gridCol w:w="526"/>
        <w:gridCol w:w="186"/>
        <w:gridCol w:w="109"/>
        <w:gridCol w:w="109"/>
        <w:gridCol w:w="109"/>
        <w:gridCol w:w="208"/>
        <w:gridCol w:w="351"/>
        <w:gridCol w:w="117"/>
        <w:gridCol w:w="109"/>
        <w:gridCol w:w="109"/>
        <w:gridCol w:w="109"/>
        <w:gridCol w:w="196"/>
        <w:gridCol w:w="871"/>
        <w:gridCol w:w="109"/>
        <w:gridCol w:w="109"/>
        <w:gridCol w:w="109"/>
        <w:gridCol w:w="109"/>
        <w:gridCol w:w="320"/>
        <w:gridCol w:w="687"/>
        <w:gridCol w:w="179"/>
        <w:gridCol w:w="109"/>
        <w:gridCol w:w="109"/>
        <w:gridCol w:w="109"/>
        <w:gridCol w:w="196"/>
        <w:gridCol w:w="886"/>
        <w:gridCol w:w="109"/>
        <w:gridCol w:w="109"/>
        <w:gridCol w:w="109"/>
        <w:gridCol w:w="109"/>
        <w:gridCol w:w="266"/>
        <w:gridCol w:w="756"/>
        <w:gridCol w:w="149"/>
        <w:gridCol w:w="109"/>
        <w:gridCol w:w="109"/>
        <w:gridCol w:w="109"/>
        <w:gridCol w:w="316"/>
        <w:gridCol w:w="679"/>
        <w:gridCol w:w="176"/>
        <w:gridCol w:w="109"/>
        <w:gridCol w:w="109"/>
        <w:gridCol w:w="109"/>
        <w:gridCol w:w="196"/>
        <w:gridCol w:w="88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0" w:type="dxa"/>
            <w:gridSpan w:val="57"/>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Preferred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Paid-in</w:t>
              <w:br/>
              <w:t>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Other</w:t>
              <w:br/>
              <w:t>Comprehensive</w:t>
              <w:br/>
              <w:t>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Distributions in</w:t>
              <w:br/>
              <w:t>Excess of</w:t>
              <w:br/>
              <w:t>Accumulated</w:t>
              <w:br/>
              <w:t>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Noncontrolling</w:t>
              <w:br/>
              <w:t>Interest - OP 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Noncontrolling</w:t>
              <w:br/>
              <w:t>Interest - Non-</w:t>
              <w:br/>
              <w:t>voting Preferred</w:t>
              <w:b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Shareholders'</w:t>
              <w:br/>
              <w:t>Deficit</w:t>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235,829,485 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(3,483,634)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(2,271,206)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dividends declared ($0.30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settlement of common stock warrant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Termination of bond hedge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534,363 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66,904 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236,430,752 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(3,548,870)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(2,331,244)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236,558,601 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(3,708,240)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(2,484,121)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dividends declared ($0.30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53,662 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657,800 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83,047 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237,353,110 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1,228,527 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(3,722,066)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(2,492,414)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618" w:type="dxa"/>
        <w:jc w:val="center"/>
        <w:tblInd w:w="0" w:type="dxa"/>
        <w:tblLayout w:type="fixed"/>
        <w:tblCellMar>
          <w:top w:w="28" w:type="dxa"/>
          <w:left w:w="28" w:type="dxa"/>
          <w:bottom w:w="28" w:type="dxa"/>
          <w:right w:w="28" w:type="dxa"/>
        </w:tblCellMar>
      </w:tblPr>
      <w:tblGrid>
        <w:gridCol w:w="2429"/>
        <w:gridCol w:w="2131"/>
        <w:gridCol w:w="2159"/>
        <w:gridCol w:w="109"/>
        <w:gridCol w:w="109"/>
        <w:gridCol w:w="109"/>
        <w:gridCol w:w="211"/>
        <w:gridCol w:w="721"/>
        <w:gridCol w:w="109"/>
        <w:gridCol w:w="109"/>
        <w:gridCol w:w="109"/>
        <w:gridCol w:w="109"/>
        <w:gridCol w:w="267"/>
        <w:gridCol w:w="783"/>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 June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6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of cumulative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revenues and amortization of below-market lease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asset disposals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settlement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other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unconsolidated entity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(2,263,662)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notes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settlement payable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under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ABS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settlement of common stock warrant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of bond hedge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related to the early repayment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paid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8451" w:type="dxa"/>
        <w:jc w:val="center"/>
        <w:tblInd w:w="0" w:type="dxa"/>
        <w:tblLayout w:type="fixed"/>
        <w:tblCellMar>
          <w:top w:w="28" w:type="dxa"/>
          <w:left w:w="28" w:type="dxa"/>
          <w:bottom w:w="28" w:type="dxa"/>
          <w:right w:w="28" w:type="dxa"/>
        </w:tblCellMar>
      </w:tblPr>
      <w:tblGrid>
        <w:gridCol w:w="2017"/>
        <w:gridCol w:w="1769"/>
        <w:gridCol w:w="1779"/>
        <w:gridCol w:w="109"/>
        <w:gridCol w:w="109"/>
        <w:gridCol w:w="109"/>
        <w:gridCol w:w="211"/>
        <w:gridCol w:w="826"/>
        <w:gridCol w:w="109"/>
        <w:gridCol w:w="109"/>
        <w:gridCol w:w="109"/>
        <w:gridCol w:w="109"/>
        <w:gridCol w:w="211"/>
        <w:gridCol w:w="721"/>
        <w:gridCol w:w="154"/>
      </w:tblGrid>
      <w:tr>
        <w:trPr/>
        <w:tc>
          <w:tcPr>
            <w:tcW w:w="2017"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restricted 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restricted 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acquired but not yet paid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capital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 Organization and Description of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Group Inc. (the “Company,” “Uniti,” “we,” “us,” or “our”) was incorporated in the state of Maryland on September 4, 2014. We are an independent internally managed real estate investment trust (“REIT”) engaged in the acquisition, construction and leasing of mission critical infrastructure in the communications industry. We are principally focused on acquiring and constructing fiber optic, copper and coaxial broadband networks and data centers. We manage our operations focused on our two primary lines of business: Uniti Fiber and Uniti Leasing.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through a customary “up-REIT” structure, pursuant to which we hold substantially all of our assets through a partnership, Uniti Group LP, a Delaware limited partnership (the “Operating Partnership”) that we control as general partner. The up-REIT structure is intended to facilitate future acquisition opportunities by providing the Company with the ability to use common units of the Operating Partnership as a tax-efficient acquisition currency. As of June 30, 2024, we are the sole general partner of the Operating Partnership and own approximately 99.98% of the partnership interests in the Operating Partnership.</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Our Proposed Merger with Windstream</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 2024, the Company entered into an Agreement and Plan of Merger with Windstream Holdings II, LLC (the “Merger Agreement”) providing for a combination of the Company and Windstream Holdings, Inc. (together with Windstream Holdings II, LLC, its successor in interest, and its subsidiaries, “Windstream”) such that, following a pre-closing reorganization of Windstream and the merger of the Company into an entity formed in such reorganization (the "Merger"), both the Company and Windstream will be indirect wholly owned subsidiaries of a recently formed company that in the reorganization will become the parent company of Windstream (“New Uniti”). Following the Merger, the common stock of New Uniti (“New Uniti Common Stock”) is expected to be listed on the Nasdaq.</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Merger intends to reunite Windstream’s business with the underlying fiber infrastructure owned by the Company to create a premier digital infrastructure company with a strong platform for value creation. Upon consummation of our Merger with Windstream, the board of directors of New Uniti will initially comprise nine members, including five directors to be appointed by Uniti. It is expected that Uniti’s existing officers will serve as initial officers of New Uniti.</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the effective time of the Merger, each share of Uniti’s common stock that is issued and outstanding will automatically be cancelled and retired and converted into the right to a number of shares of New Uniti Common Stock pursuant to an exchange ratio set forth in the Merger Agreement such that the Company's and Windstream's stockholders are expected to hold approximately 62% and 38%, respectively, of the combined company before giving effect to the conversion of any outstanding convertible securities or the issuance of warrants to purchase New Uniti Common Stock referenced below.</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at the closing of the Merger, we will fund an aggregate cash payment of $425 million (less certain transaction expenses) that will be distributed to Windstream equityholders on a pro-rata basis (the “Merger Cash Consideration”). Windstream equityholders will also be entitled to pro rata distributions of (i) new shares of non-voting preferred stock of New Uniti with a dividend rate of 11% per year for the first six years, subject to an additional 0.5% per year during each of the seventh and eighth year after the initial issuance and further increased by an additional 1% per year during each subsequent year, subject to a cap of 16% per year and with an aggregate liquidation preference of $575 million, and (ii) warrants to purchase New Uniti Common Stock, with an exercise price of $0.01 per share, subject to customary adjustments, representing in the aggregate approximately 6.9% of the pro forma share total of New Uniti. We intend to fund the Merger Cash Consideration with cash on hand and borrowings under the Revolving Credit Facility (as defined herein).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Merger with Windstream is subject to customary closing conditions, including, among others, approval by our stockholders and receipt of required regulatory approvals, including the expiration or early termination of the waiting period under the Hart-Scott Rodino Antitrust Improvements Act of 1976 and the receipt of approvals from the Federal Communications Commission and certain state public utility commissions. We currently expect our Merger with Windstream to close in 2025.</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summary of the Merger Agreement and the transactions contemplated thereby does not purport to be complete and is qualified in its entirety by reference to the terms and conditions of the Merger Agreement, a copy of which is attached as Exhibit 2.1 to the Company’s Current Report on Form 8-K, filed on May 3,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Merger, New Uniti will become an integrated telecommunications company. Initially, the legacy Uniti and Windstream organizational structures will remain separate, and the existing agreements and arrangements presently in effect between Uniti and Windstream, such as the Windstream Leases and the settlement agreement with Windstream, which requires Uniti to fund periodic settlement payments and reimburse Windstream for certain growth capital improvements, will remain in place. In addition, we have agreed to suspend dividend payments or other distributions until the consummation of the Merger, except for the dividend paid on June 28, 2024 and those dividends reasonably required for us or our subsidiaries to maintain our status as a REIT or to avoid the payment or imposition of income or excise tax, among other customary exceptions. All Windstream debt obligations are expected to remain obligations of Windstream and our debt obligations are expected to remain as ours, with no cross-guarantees or credit support between the Company and Windstream. Finally, it is expected that, following consummation of the Merger, Uniti will cease to be a REIT for U.S. federal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 Basis of Presentation and Summary of Significant Accounting Policies</w:t>
      </w:r>
    </w:p>
    <w:p>
      <w:pPr>
        <w:pStyle w:val="TextBody"/>
        <w:bidi w:val="0"/>
        <w:spacing w:lineRule="auto" w:line="288" w:before="240" w:after="283"/>
        <w:jc w:val="left"/>
        <w:rPr/>
      </w:pPr>
      <w:r>
        <w:rPr>
          <w:rFonts w:ascii="Times New Roman;sans-serif" w:hAnsi="Times New Roman;sans-serif"/>
          <w:b w:val="false"/>
          <w:color w:val="000000"/>
          <w:sz w:val="20"/>
        </w:rPr>
        <w:t xml:space="preserve">The accompanying Condensed Consolidated Financial Statements include all accounts of the Company and its wholly-owned and/or controlled subsidiaries, including the Operating Partnership. Under the Accounting Standards Codification 810, </w:t>
      </w:r>
      <w:r>
        <w:rPr>
          <w:rFonts w:ascii="Times New Roman;sans-serif" w:hAnsi="Times New Roman;sans-serif"/>
          <w:b w:val="false"/>
          <w:i/>
          <w:color w:val="000000"/>
          <w:sz w:val="20"/>
        </w:rPr>
        <w:t>Consolidation</w:t>
      </w:r>
      <w:r>
        <w:rPr>
          <w:color w:val="000000"/>
        </w:rPr>
        <w:t xml:space="preserve"> </w:t>
      </w:r>
      <w:r>
        <w:rPr>
          <w:rFonts w:ascii="Times New Roman;sans-serif" w:hAnsi="Times New Roman;sans-serif"/>
          <w:b w:val="false"/>
          <w:color w:val="000000"/>
          <w:sz w:val="20"/>
        </w:rPr>
        <w:t>(“ASC 810”), the Operating Partnership is considered a variable interest entity and is consolidated in the Condensed Consolidated Financial Statements of Uniti Group Inc. because the Company is the primary beneficiary. All material intercompany balances and transactions have been eliminated.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pStyle w:val="TextBody"/>
        <w:bidi w:val="0"/>
        <w:spacing w:lineRule="auto" w:line="288" w:before="240" w:after="283"/>
        <w:jc w:val="left"/>
        <w:rPr/>
      </w:pPr>
      <w:r>
        <w:rPr>
          <w:rFonts w:ascii="Times New Roman;sans-serif" w:hAnsi="Times New Roman;sans-serif"/>
          <w:b w:val="false"/>
          <w:color w:val="000000"/>
          <w:sz w:val="20"/>
        </w:rPr>
        <w:t xml:space="preserve">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filed with the SEC on </w:t>
      </w:r>
      <w:r>
        <w:rPr>
          <w:rFonts w:ascii="Times New Roman;sans-serif" w:hAnsi="Times New Roman;sans-serif"/>
          <w:b w:val="false"/>
          <w:color w:val="000000"/>
          <w:sz w:val="20"/>
          <w:shd w:fill="FFFFFF" w:val="clear"/>
        </w:rPr>
        <w:t>February 29, 2024</w:t>
      </w:r>
      <w:r>
        <w:rPr>
          <w:rFonts w:ascii="Times New Roman;sans-serif" w:hAnsi="Times New Roman;sans-serif"/>
          <w:b w:val="false"/>
          <w:color w:val="000000"/>
          <w:sz w:val="20"/>
        </w:rPr>
        <w:t xml:space="preserve">, as amended by Amendment No. 1 and Amendment No. 2 thereto filed on Form 10-K/A with the SEC on </w:t>
      </w:r>
      <w:r>
        <w:rPr>
          <w:rFonts w:ascii="Times New Roman;sans-serif" w:hAnsi="Times New Roman;sans-serif"/>
          <w:b w:val="false"/>
          <w:color w:val="000000"/>
          <w:sz w:val="20"/>
          <w:shd w:fill="FFFFFF" w:val="clear"/>
        </w:rPr>
        <w:t>March 26, 2024 and March 27, 2024</w:t>
      </w:r>
      <w:r>
        <w:rPr>
          <w:rFonts w:ascii="Arial;sans-serif" w:hAnsi="Arial;sans-serif"/>
          <w:b w:val="false"/>
          <w:color w:val="000000"/>
          <w:sz w:val="24"/>
        </w:rPr>
        <w:t xml:space="preserve">, </w:t>
      </w:r>
      <w:r>
        <w:rPr>
          <w:rFonts w:ascii="Times New Roman;sans-serif" w:hAnsi="Times New Roman;sans-serif"/>
          <w:b w:val="false"/>
          <w:color w:val="000000"/>
          <w:sz w:val="20"/>
        </w:rPr>
        <w:t>respectively</w:t>
      </w:r>
      <w:r>
        <w:rPr>
          <w:color w:val="000000"/>
        </w:rPr>
        <w:t xml:space="preserve"> </w:t>
      </w:r>
      <w:r>
        <w:rPr>
          <w:rFonts w:ascii="Times New Roman;sans-serif" w:hAnsi="Times New Roman;sans-serif"/>
          <w:b w:val="false"/>
          <w:color w:val="000000"/>
          <w:sz w:val="20"/>
        </w:rPr>
        <w:t xml:space="preserve">(the “Annual Report”). Accordingly, significant accounting policies and other disclosures normally provided have been omitted from the accompanying Condensed Consolidated Financial Statements and related notes since such items are disclosed in our Annual Report. </w:t>
      </w:r>
    </w:p>
    <w:p>
      <w:pPr>
        <w:pStyle w:val="TextBody"/>
        <w:bidi w:val="0"/>
        <w:spacing w:lineRule="auto" w:line="288" w:before="240" w:after="283"/>
        <w:jc w:val="left"/>
        <w:rPr/>
      </w:pPr>
      <w:r>
        <w:rPr>
          <w:rFonts w:ascii="Times New Roman;sans-serif" w:hAnsi="Times New Roman;sans-serif"/>
          <w:b w:val="false"/>
          <w:color w:val="000000"/>
          <w:sz w:val="20"/>
          <w:u w:val="single"/>
        </w:rPr>
        <w:t>Restricted Cash and Cash Equivalents</w:t>
      </w:r>
      <w:r>
        <w:rPr>
          <w:color w:val="000000"/>
        </w:rPr>
        <w:t>—</w:t>
      </w:r>
      <w:r>
        <w:rPr>
          <w:rFonts w:ascii="Times New Roman;sans-serif" w:hAnsi="Times New Roman;sans-serif"/>
          <w:b w:val="false"/>
          <w:color w:val="000000"/>
          <w:sz w:val="20"/>
        </w:rPr>
        <w:t xml:space="preserve">Restricted cash and cash equivalents represent funds that are restricted for an obligation under the ABS Loan Facility (as defined in </w:t>
      </w:r>
      <w:hyperlink w:anchor="i610e843df81b4079b099dcecd0058f2a_61">
        <w:r>
          <w:rPr>
            <w:rStyle w:val="InternetLink"/>
            <w:rFonts w:ascii="Times New Roman;sans-serif" w:hAnsi="Times New Roman;sans-serif"/>
            <w:b w:val="false"/>
            <w:color w:val="0000FF"/>
            <w:sz w:val="20"/>
            <w:u w:val="single"/>
          </w:rPr>
          <w:t>Note 9</w:t>
        </w:r>
      </w:hyperlink>
      <w:r>
        <w:rPr>
          <w:rFonts w:ascii="Times New Roman;sans-serif" w:hAnsi="Times New Roman;sans-serif"/>
          <w:b w:val="false"/>
          <w:color w:val="000000"/>
          <w:sz w:val="20"/>
        </w:rPr>
        <w:t>) to maintain three months of interest and other expenses.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reconciliation of cash and cash equivalents and restricted cash and cash equivalents within the Condensed Consolidated Balance Sheets to the total cash and cash equivalents and restricted cash and cash equivalents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within the Condensed Consolidated Statements of Cash Flows.</w:t>
      </w:r>
    </w:p>
    <w:tbl>
      <w:tblPr>
        <w:tblW w:w="8175" w:type="dxa"/>
        <w:jc w:val="left"/>
        <w:tblInd w:w="0" w:type="dxa"/>
        <w:tblLayout w:type="fixed"/>
        <w:tblCellMar>
          <w:top w:w="28" w:type="dxa"/>
          <w:left w:w="28" w:type="dxa"/>
          <w:bottom w:w="28" w:type="dxa"/>
          <w:right w:w="28" w:type="dxa"/>
        </w:tblCellMar>
      </w:tblPr>
      <w:tblGrid>
        <w:gridCol w:w="1745"/>
        <w:gridCol w:w="1531"/>
        <w:gridCol w:w="1554"/>
        <w:gridCol w:w="109"/>
        <w:gridCol w:w="109"/>
        <w:gridCol w:w="109"/>
        <w:gridCol w:w="211"/>
        <w:gridCol w:w="826"/>
        <w:gridCol w:w="109"/>
        <w:gridCol w:w="109"/>
        <w:gridCol w:w="109"/>
        <w:gridCol w:w="109"/>
        <w:gridCol w:w="300"/>
        <w:gridCol w:w="1026"/>
        <w:gridCol w:w="219"/>
      </w:tblGrid>
      <w:tr>
        <w:trPr/>
        <w:tc>
          <w:tcPr>
            <w:tcW w:w="1745"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restricted 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62,264 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u w:val="single"/>
          <w:shd w:fill="FFFFFF" w:val="clear"/>
        </w:rPr>
        <w:t>Concentration of Credit Risks</w:t>
      </w:r>
      <w:r>
        <w:rPr>
          <w:color w:val="000000"/>
          <w:shd w:fill="FFFFFF" w:val="clear"/>
        </w:rPr>
        <w:t>—</w:t>
      </w:r>
      <w:r>
        <w:rPr>
          <w:rFonts w:ascii="Times New Roman;sans-serif" w:hAnsi="Times New Roman;sans-serif"/>
          <w:b w:val="false"/>
          <w:color w:val="000000"/>
          <w:sz w:val="20"/>
          <w:shd w:fill="FFFFFF" w:val="clear"/>
        </w:rPr>
        <w:t>Prior to September 2020, we were party to a long-term exclusive triple-net lease (the “Master Lease”) with Windstream pursuant to which a substantial portion of our real property was leased to Windstream and from which a substantial portion of our leasing revenues were derived. On September 18, 2020, Uniti and Windstream 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consumer competitive local exchange carrier ("CLEC") operations. Revenue under the Windstream Leases provided 68.1% and 66.9% of our revenue for the six months ended June 30, 2024 and 2023, respectively. Because a substantial portion of our revenue and cash flows are derived from lease payments by Windstream pursuant to the Windstream Leases, there could be a material adverse impact on our consolidated results of operations, liquidity, financial condition and/or ability to pay dividends and service debt if Windstream were to default under the Windstream Leases or otherwise experiences operating or liquidity difficulties and becomes unable to generate sufficient cash to make payments to us.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news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the date of this Quarterly Report on Form 10-Q,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Both ratings remain current as of the date of this filing. In order to assist us in our continuing assessment of Windstream’s creditworthiness, we periodically receive certain confidential financial information and metrics from Windstream.</w:t>
      </w:r>
    </w:p>
    <w:p>
      <w:pPr>
        <w:pStyle w:val="TextBody"/>
        <w:bidi w:val="0"/>
        <w:spacing w:lineRule="auto" w:line="288" w:before="240" w:after="283"/>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Recently Issued Accounting Pronouncements Not Yet Adopted</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November 2023, the FASB issued Accounting Standards Update ("ASU") 2023-07, </w:t>
      </w:r>
      <w:r>
        <w:rPr>
          <w:rFonts w:ascii="Times New Roman;sans-serif" w:hAnsi="Times New Roman;sans-serif"/>
          <w:b w:val="false"/>
          <w:i/>
          <w:color w:val="000000"/>
          <w:sz w:val="20"/>
          <w:shd w:fill="FFFFFF" w:val="clear"/>
        </w:rPr>
        <w:t xml:space="preserve">Segment Reporting—Improvements to Reportable Segment Disclosures </w:t>
      </w:r>
      <w:r>
        <w:rPr>
          <w:rFonts w:ascii="Times New Roman;sans-serif" w:hAnsi="Times New Roman;sans-serif"/>
          <w:b w:val="false"/>
          <w:color w:val="000000"/>
          <w:sz w:val="20"/>
          <w:shd w:fill="FFFFFF" w:val="clear"/>
        </w:rPr>
        <w:t>("ASU 2023-07"), which requires incremental disclosures related to reportable segments. Specifically, the ASU requires disclosure of significant segment expense categories and amounts for each reportable segment. The ASU is effective for fiscal years beginning after December 15, 2023, and interim periods in fiscal years beginning after December 15, 2024, with early adoption permitted. The Company is currently evaluating this guidance to determine the impact it will have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color w:val="000000"/>
          <w:sz w:val="20"/>
        </w:rPr>
        <w:t>Note 3. Revenues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Disaggregation of Revenue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revenues disaggregated by revenue stream.</w:t>
      </w:r>
    </w:p>
    <w:tbl>
      <w:tblPr>
        <w:tblW w:w="10205" w:type="dxa"/>
        <w:jc w:val="center"/>
        <w:tblInd w:w="0" w:type="dxa"/>
        <w:tblLayout w:type="fixed"/>
        <w:tblCellMar>
          <w:top w:w="28" w:type="dxa"/>
          <w:left w:w="28" w:type="dxa"/>
          <w:bottom w:w="28" w:type="dxa"/>
          <w:right w:w="28" w:type="dxa"/>
        </w:tblCellMar>
      </w:tblPr>
      <w:tblGrid>
        <w:gridCol w:w="1542"/>
        <w:gridCol w:w="1356"/>
        <w:gridCol w:w="1368"/>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54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2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disaggregated by revenue stream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 backhaul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Enterprise and wholesale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E-Rate and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accounted for under leasing guidance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accounted for under leasing guidance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573,520 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 and December 31, 2023, lease receivables were $24.5 million and $22.0 million, respectively, and receivables from contracts with customers were $28.5 million and $18.8 million, respectively.</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Contract Assets (Unbilled Revenue) and Liabilities (Deferred Revenue)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primarily consist of unbilled construction revenue where we are utilizing our costs incurred as the measure of progress of satisfying our performance obligation. Contract assets are reported within accounts receivable, net on our Condensed Consolidated Balance Sheets.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three and six months ended June 30, 2024, we recognized revenues of $1.3 million and $2.6 million, respectively, which were included in the December 31, 2023 contract liabilities balance.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contract assets and contract liabilities accounted for under ASC 606.</w:t>
      </w:r>
    </w:p>
    <w:tbl>
      <w:tblPr>
        <w:tblW w:w="6053" w:type="dxa"/>
        <w:jc w:val="center"/>
        <w:tblInd w:w="0" w:type="dxa"/>
        <w:tblLayout w:type="fixed"/>
        <w:tblCellMar>
          <w:top w:w="28" w:type="dxa"/>
          <w:left w:w="28" w:type="dxa"/>
          <w:bottom w:w="28" w:type="dxa"/>
          <w:right w:w="28" w:type="dxa"/>
        </w:tblCellMar>
      </w:tblPr>
      <w:tblGrid>
        <w:gridCol w:w="938"/>
        <w:gridCol w:w="826"/>
        <w:gridCol w:w="831"/>
        <w:gridCol w:w="109"/>
        <w:gridCol w:w="109"/>
        <w:gridCol w:w="109"/>
        <w:gridCol w:w="334"/>
        <w:gridCol w:w="738"/>
        <w:gridCol w:w="172"/>
        <w:gridCol w:w="109"/>
        <w:gridCol w:w="109"/>
        <w:gridCol w:w="109"/>
        <w:gridCol w:w="303"/>
        <w:gridCol w:w="1036"/>
        <w:gridCol w:w="221"/>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Contract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Contract Liabilities</w:t>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9,780 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Transaction Price Allocated to Remaining Performance Obligations</w:t>
      </w:r>
    </w:p>
    <w:p>
      <w:pPr>
        <w:pStyle w:val="TextBody"/>
        <w:bidi w:val="0"/>
        <w:spacing w:lineRule="auto" w:line="288" w:before="240" w:after="283"/>
        <w:jc w:val="left"/>
        <w:rPr/>
      </w:pPr>
      <w:r>
        <w:rPr>
          <w:rFonts w:ascii="Times New Roman;sans-serif" w:hAnsi="Times New Roman;sans-serif"/>
          <w:b w:val="false"/>
          <w:color w:val="000000"/>
          <w:sz w:val="20"/>
        </w:rPr>
        <w:t>Performance obligations within contracts to stand ready to provide services are typically satisfied over time or as those services are provided. Contract liabilities primarily relate to deferred revenue from upfront customer payments. The deferred revenue is recognized, and the liability reduced, over the contract term as the Company completes the performance obligation. As of June 30, 2024, our future revenues (i.e., transaction price related to remaining performance obligations) under contract accounted for under ASC 606 totaled $624.9 million, of which $552.2 million is related to contracts that are currently being invoiced and have an average remaining contract term of 3.2 years, while $72.7 million represents our backlog for sales bookings which have yet to be installed and have an average contract term of</w:t>
      </w:r>
      <w:r>
        <w:rPr>
          <w:color w:val="000000"/>
        </w:rPr>
        <w:t xml:space="preserve"> </w:t>
      </w:r>
      <w:r>
        <w:rPr>
          <w:rFonts w:ascii="Times New Roman;sans-serif" w:hAnsi="Times New Roman;sans-serif"/>
          <w:b w:val="false"/>
          <w:color w:val="000000"/>
          <w:sz w:val="20"/>
        </w:rPr>
        <w:t>5.3 years.</w:t>
      </w:r>
      <w:r>
        <w:rPr>
          <w:color w:val="000000"/>
        </w:rPr>
        <w:t xml:space="preserve"> </w:t>
      </w:r>
      <w:r>
        <w:rPr>
          <w:rFonts w:ascii="Times New Roman;sans-serif" w:hAnsi="Times New Roman;sans-serif"/>
          <w:b w:val="false"/>
          <w:color w:val="000000"/>
          <w:sz w:val="20"/>
        </w:rPr>
        <w:t>We do not disclose the value of unsatisfied performance obligations for contracts that have an original expected duration of one year or less.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4. Leases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Lessor Accounting</w:t>
      </w:r>
    </w:p>
    <w:p>
      <w:pPr>
        <w:pStyle w:val="TextBody"/>
        <w:bidi w:val="0"/>
        <w:spacing w:lineRule="auto" w:line="288" w:before="240" w:after="283"/>
        <w:jc w:val="left"/>
        <w:rPr/>
      </w:pPr>
      <w:r>
        <w:rPr>
          <w:rFonts w:ascii="Times New Roman;sans-serif" w:hAnsi="Times New Roman;sans-serif"/>
          <w:b w:val="false"/>
          <w:color w:val="000000"/>
          <w:sz w:val="20"/>
        </w:rPr>
        <w:t>We lease communications towers, ground space, colocation space and dark fiber to tenants under operating leases. Our leases have initial lease terms ranging from less than one year to 35 years, most of which include options to extend or renew the leases for less than one year to 20 years (based on the satisfaction of certain conditions as defined in the lease agreements), and some of which may include options to terminate the leases within one to six months</w:t>
      </w:r>
      <w:r>
        <w:rPr>
          <w:rFonts w:ascii="Arial;sans-serif" w:hAnsi="Arial;sans-serif"/>
          <w:b w:val="false"/>
          <w:color w:val="000000"/>
          <w:sz w:val="24"/>
        </w:rPr>
        <w:t>.</w:t>
      </w:r>
      <w:r>
        <w:rPr>
          <w:color w:val="000000"/>
        </w:rPr>
        <w:t xml:space="preserve"> </w:t>
      </w:r>
      <w:r>
        <w:rPr>
          <w:rFonts w:ascii="Times New Roman;sans-serif" w:hAnsi="Times New Roman;sans-serif"/>
          <w:b w:val="false"/>
          <w:color w:val="000000"/>
          <w:sz w:val="20"/>
        </w:rPr>
        <w:t>Certain lease agreements contain provisions for future rent increases. Payments due under the lease contracts include fixed payments plus, for some of our leases, variable payments.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income for the three and six months ended June 30, 2024 and 2023 respectively, are as follows:</w:t>
      </w:r>
    </w:p>
    <w:tbl>
      <w:tblPr>
        <w:tblW w:w="8621" w:type="dxa"/>
        <w:jc w:val="center"/>
        <w:tblInd w:w="0" w:type="dxa"/>
        <w:tblLayout w:type="fixed"/>
        <w:tblCellMar>
          <w:top w:w="28" w:type="dxa"/>
          <w:left w:w="28" w:type="dxa"/>
          <w:bottom w:w="28" w:type="dxa"/>
          <w:right w:w="28" w:type="dxa"/>
        </w:tblCellMar>
      </w:tblPr>
      <w:tblGrid>
        <w:gridCol w:w="971"/>
        <w:gridCol w:w="851"/>
        <w:gridCol w:w="86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income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Lease payments to be received under non-cancellable operating leases where we are the lessor for the remainder of the lease terms as of June 30, 2024 are as follows:</w:t>
      </w:r>
    </w:p>
    <w:tbl>
      <w:tblPr>
        <w:tblW w:w="9133" w:type="dxa"/>
        <w:jc w:val="center"/>
        <w:tblInd w:w="0" w:type="dxa"/>
        <w:tblLayout w:type="fixed"/>
        <w:tblCellMar>
          <w:top w:w="28" w:type="dxa"/>
          <w:left w:w="28" w:type="dxa"/>
          <w:bottom w:w="28" w:type="dxa"/>
          <w:right w:w="28" w:type="dxa"/>
        </w:tblCellMar>
      </w:tblPr>
      <w:tblGrid>
        <w:gridCol w:w="1836"/>
        <w:gridCol w:w="1544"/>
        <w:gridCol w:w="1559"/>
        <w:gridCol w:w="274"/>
        <w:gridCol w:w="274"/>
        <w:gridCol w:w="274"/>
        <w:gridCol w:w="530"/>
        <w:gridCol w:w="2455"/>
        <w:gridCol w:w="387"/>
      </w:tblGrid>
      <w:tr>
        <w:trPr/>
        <w:tc>
          <w:tcPr>
            <w:tcW w:w="1836"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4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2024⁽¹⁾</w:t>
            </w:r>
          </w:p>
        </w:tc>
      </w:tr>
      <w:tr>
        <w:trPr/>
        <w:tc>
          <w:tcPr>
            <w:tcW w:w="4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404,320 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828,753 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833,638 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834,405 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834,714 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1,562,050 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receivables</w:t>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5,297,880 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133" w:type="dxa"/>
            <w:gridSpan w:val="9"/>
            <w:tcBorders/>
            <w:shd w:fill="FFFFFF" w:val="clear"/>
            <w:tcMar>
              <w:top w:w="0" w:type="dxa"/>
              <w:left w:w="0" w:type="dxa"/>
              <w:bottom w:w="0" w:type="dxa"/>
              <w:right w:w="0" w:type="dxa"/>
            </w:tcMar>
            <w:vAlign w:val="center"/>
          </w:tcPr>
          <w:p>
            <w:pPr>
              <w:pStyle w:val="TableContents"/>
              <w:bidi w:val="0"/>
              <w:spacing w:lineRule="auto" w:line="276" w:before="15"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Total future minimum lease payments to be received include $4.5 billion relating to the Windstream Leases.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underlying assets under operating leases where we are the lessor are summarized as follows:</w:t>
      </w:r>
    </w:p>
    <w:tbl>
      <w:tblPr>
        <w:tblW w:w="7260" w:type="dxa"/>
        <w:jc w:val="center"/>
        <w:tblInd w:w="0" w:type="dxa"/>
        <w:tblLayout w:type="fixed"/>
        <w:tblCellMar>
          <w:top w:w="28" w:type="dxa"/>
          <w:left w:w="28" w:type="dxa"/>
          <w:bottom w:w="28" w:type="dxa"/>
          <w:right w:w="28" w:type="dxa"/>
        </w:tblCellMar>
      </w:tblPr>
      <w:tblGrid>
        <w:gridCol w:w="1361"/>
        <w:gridCol w:w="1195"/>
        <w:gridCol w:w="1209"/>
        <w:gridCol w:w="109"/>
        <w:gridCol w:w="109"/>
        <w:gridCol w:w="109"/>
        <w:gridCol w:w="211"/>
        <w:gridCol w:w="976"/>
        <w:gridCol w:w="109"/>
        <w:gridCol w:w="109"/>
        <w:gridCol w:w="109"/>
        <w:gridCol w:w="109"/>
        <w:gridCol w:w="243"/>
        <w:gridCol w:w="1125"/>
        <w:gridCol w:w="177"/>
      </w:tblGrid>
      <w:tr>
        <w:trPr/>
        <w:tc>
          <w:tcPr>
            <w:tcW w:w="136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314,488 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3,862,635 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3,974,410 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Conduit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90,087 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8,812,469 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8,628,671 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(5,690,066)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Underlying assets under operating leases,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2,938,605 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Depreciation expense for the underlying assets under operating leases where we are the lessor for the </w:t>
      </w:r>
      <w:r>
        <w:rPr>
          <w:rFonts w:ascii="Times New Roman;sans-serif" w:hAnsi="Times New Roman;sans-serif"/>
          <w:b w:val="false"/>
          <w:color w:val="000000"/>
          <w:sz w:val="20"/>
          <w:shd w:fill="FFFFFF" w:val="clear"/>
        </w:rPr>
        <w:t>three and six months ended June 30, 2024 and 2023</w:t>
      </w:r>
      <w:r>
        <w:rPr>
          <w:rFonts w:ascii="Times New Roman;sans-serif" w:hAnsi="Times New Roman;sans-serif"/>
          <w:b w:val="false"/>
          <w:color w:val="000000"/>
          <w:sz w:val="20"/>
        </w:rPr>
        <w:t>, respectively, is summarized as follows:</w:t>
      </w:r>
    </w:p>
    <w:tbl>
      <w:tblPr>
        <w:tblW w:w="10205" w:type="dxa"/>
        <w:jc w:val="center"/>
        <w:tblInd w:w="0" w:type="dxa"/>
        <w:tblLayout w:type="fixed"/>
        <w:tblCellMar>
          <w:top w:w="28" w:type="dxa"/>
          <w:left w:w="28" w:type="dxa"/>
          <w:bottom w:w="28" w:type="dxa"/>
          <w:right w:w="28" w:type="dxa"/>
        </w:tblCellMar>
      </w:tblPr>
      <w:tblGrid>
        <w:gridCol w:w="1693"/>
        <w:gridCol w:w="1489"/>
        <w:gridCol w:w="1505"/>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693"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68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underlying assets under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Lessee Accounting</w:t>
      </w:r>
    </w:p>
    <w:p>
      <w:pPr>
        <w:pStyle w:val="TextBody"/>
        <w:bidi w:val="0"/>
        <w:spacing w:lineRule="auto" w:line="288" w:before="240" w:after="283"/>
        <w:jc w:val="left"/>
        <w:rPr/>
      </w:pPr>
      <w:r>
        <w:rPr>
          <w:rFonts w:ascii="Times New Roman;sans-serif" w:hAnsi="Times New Roman;sans-serif"/>
          <w:b w:val="false"/>
          <w:color w:val="000000"/>
          <w:sz w:val="20"/>
        </w:rPr>
        <w:t>We have commitments under operating leases for communications towers, ground space, colocation space, dark fiber and buildings. We also have finance leases for dark fiber and automobiles. Our leases have initial lease terms ranging from less than one year to 30 years, most of which include options to extend or renew the leases for less than one year to 20 years</w:t>
      </w:r>
      <w:r>
        <w:rPr>
          <w:rFonts w:ascii="Arial;sans-serif" w:hAnsi="Arial;sans-serif"/>
          <w:b w:val="false"/>
          <w:color w:val="000000"/>
          <w:sz w:val="24"/>
        </w:rPr>
        <w:t>,</w:t>
      </w:r>
      <w:r>
        <w:rPr>
          <w:color w:val="000000"/>
        </w:rPr>
        <w:t xml:space="preserve"> </w:t>
      </w:r>
      <w:r>
        <w:rPr>
          <w:rFonts w:ascii="Times New Roman;sans-serif" w:hAnsi="Times New Roman;sans-serif"/>
          <w:b w:val="false"/>
          <w:color w:val="000000"/>
          <w:sz w:val="20"/>
        </w:rPr>
        <w:t>and some of which may include options to terminate the leases within one to six months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Certain lease agreements contain provisions for future rent increases. Payments due under the lease contracts include fixed payments plus, for some of our leases, variable payments.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have short term lease commitments amounting to approximately $4.1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lease payments under non-cancellable leases as of June 30, 2024 are as follows:</w:t>
      </w:r>
    </w:p>
    <w:tbl>
      <w:tblPr>
        <w:tblW w:w="6322" w:type="dxa"/>
        <w:jc w:val="center"/>
        <w:tblInd w:w="0" w:type="dxa"/>
        <w:tblLayout w:type="fixed"/>
        <w:tblCellMar>
          <w:top w:w="28" w:type="dxa"/>
          <w:left w:w="28" w:type="dxa"/>
          <w:bottom w:w="28" w:type="dxa"/>
          <w:right w:w="28" w:type="dxa"/>
        </w:tblCellMar>
      </w:tblPr>
      <w:tblGrid>
        <w:gridCol w:w="1110"/>
        <w:gridCol w:w="933"/>
        <w:gridCol w:w="941"/>
        <w:gridCol w:w="109"/>
        <w:gridCol w:w="109"/>
        <w:gridCol w:w="109"/>
        <w:gridCol w:w="259"/>
        <w:gridCol w:w="1017"/>
        <w:gridCol w:w="134"/>
        <w:gridCol w:w="109"/>
        <w:gridCol w:w="109"/>
        <w:gridCol w:w="109"/>
        <w:gridCol w:w="247"/>
        <w:gridCol w:w="847"/>
        <w:gridCol w:w="180"/>
      </w:tblGrid>
      <w:tr>
        <w:trPr/>
        <w:tc>
          <w:tcPr>
            <w:tcW w:w="111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Operating Leases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Finance Leases </w:t>
            </w:r>
          </w:p>
        </w:tc>
      </w:tr>
      <w:tr>
        <w:trPr/>
        <w:tc>
          <w:tcPr>
            <w:tcW w:w="298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8,502 </w:t>
            </w:r>
          </w:p>
        </w:tc>
        <w:tc>
          <w:tcPr>
            <w:tcW w:w="13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8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100,231 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158,662 </w:t>
            </w:r>
          </w:p>
        </w:tc>
        <w:tc>
          <w:tcPr>
            <w:tcW w:w="13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25,337 </w:t>
            </w:r>
          </w:p>
        </w:tc>
        <w:tc>
          <w:tcPr>
            <w:tcW w:w="18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(78,850)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79,812 </w:t>
            </w:r>
          </w:p>
        </w:tc>
        <w:tc>
          <w:tcPr>
            <w:tcW w:w="13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18,110 </w:t>
            </w:r>
          </w:p>
        </w:tc>
        <w:tc>
          <w:tcPr>
            <w:tcW w:w="18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Fair Value of Financial Instruments</w:t>
      </w:r>
    </w:p>
    <w:p>
      <w:pPr>
        <w:pStyle w:val="TextBody"/>
        <w:bidi w:val="0"/>
        <w:spacing w:lineRule="auto" w:line="288" w:before="240" w:after="283"/>
        <w:jc w:val="left"/>
        <w:rPr/>
      </w:pPr>
      <w:r>
        <w:rPr>
          <w:rFonts w:ascii="Times New Roman;sans-serif" w:hAnsi="Times New Roman;sans-serif"/>
          <w:b w:val="false"/>
          <w:color w:val="000000"/>
          <w:sz w:val="20"/>
        </w:rPr>
        <w:t xml:space="preserve">FASB ASC 820, </w:t>
      </w:r>
      <w:r>
        <w:rPr>
          <w:rFonts w:ascii="Times New Roman;sans-serif" w:hAnsi="Times New Roman;sans-serif"/>
          <w:b w:val="false"/>
          <w:i/>
          <w:color w:val="000000"/>
          <w:sz w:val="20"/>
        </w:rPr>
        <w:t>Fair Value</w:t>
      </w:r>
      <w:r>
        <w:rPr>
          <w:color w:val="000000"/>
        </w:rPr>
        <w:t xml:space="preserve"> </w:t>
      </w:r>
      <w:r>
        <w:rPr>
          <w:rFonts w:ascii="Times New Roman;sans-serif" w:hAnsi="Times New Roman;sans-serif"/>
          <w:b w:val="false"/>
          <w:i/>
          <w:color w:val="000000"/>
          <w:sz w:val="20"/>
        </w:rPr>
        <w:t>Measurements</w:t>
      </w:r>
      <w:r>
        <w:rPr>
          <w:rFonts w:ascii="Times New Roman;sans-serif" w:hAnsi="Times New Roman;sans-serif"/>
          <w:b w:val="false"/>
          <w:color w:val="000000"/>
          <w:sz w:val="20"/>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pStyle w:val="TextBody"/>
        <w:bidi w:val="0"/>
        <w:spacing w:lineRule="auto" w:line="288" w:before="120" w:after="283"/>
        <w:jc w:val="left"/>
        <w:rPr/>
      </w:pPr>
      <w:r>
        <w:rPr>
          <w:rFonts w:ascii="Times New Roman;sans-serif" w:hAnsi="Times New Roman;sans-serif"/>
          <w:b/>
          <w:i/>
          <w:color w:val="000000"/>
          <w:sz w:val="20"/>
        </w:rPr>
        <w:t>Level 1</w:t>
      </w:r>
      <w:r>
        <w:rPr>
          <w:color w:val="000000"/>
        </w:rPr>
        <w:t xml:space="preserve"> – </w:t>
      </w:r>
      <w:r>
        <w:rPr>
          <w:rFonts w:ascii="Times New Roman;sans-serif" w:hAnsi="Times New Roman;sans-serif"/>
          <w:b w:val="false"/>
          <w:color w:val="000000"/>
          <w:sz w:val="20"/>
        </w:rPr>
        <w:t>Quoted prices (unadjusted) in active markets for identical assets or liabilities that the reporting entity can access at the assessment date;</w:t>
      </w:r>
    </w:p>
    <w:p>
      <w:pPr>
        <w:pStyle w:val="TextBody"/>
        <w:bidi w:val="0"/>
        <w:spacing w:lineRule="auto" w:line="288" w:before="120" w:after="283"/>
        <w:jc w:val="left"/>
        <w:rPr/>
      </w:pPr>
      <w:r>
        <w:rPr>
          <w:rFonts w:ascii="Times New Roman;sans-serif" w:hAnsi="Times New Roman;sans-serif"/>
          <w:b/>
          <w:i/>
          <w:color w:val="000000"/>
          <w:sz w:val="20"/>
        </w:rPr>
        <w:t>Level 2</w:t>
      </w:r>
      <w:r>
        <w:rPr>
          <w:color w:val="000000"/>
        </w:rPr>
        <w:t xml:space="preserve"> – </w:t>
      </w:r>
      <w:r>
        <w:rPr>
          <w:rFonts w:ascii="Times New Roman;sans-serif" w:hAnsi="Times New Roman;sans-serif"/>
          <w:b w:val="false"/>
          <w:color w:val="000000"/>
          <w:sz w:val="20"/>
        </w:rPr>
        <w:t>Inputs other than quoted prices included within Level 1 that are observable for the asset or liability, either directly or indirectly; and</w:t>
      </w:r>
    </w:p>
    <w:p>
      <w:pPr>
        <w:pStyle w:val="TextBody"/>
        <w:bidi w:val="0"/>
        <w:spacing w:lineRule="auto" w:line="288" w:before="120" w:after="283"/>
        <w:jc w:val="left"/>
        <w:rPr/>
      </w:pPr>
      <w:r>
        <w:rPr>
          <w:rFonts w:ascii="Times New Roman;sans-serif" w:hAnsi="Times New Roman;sans-serif"/>
          <w:b/>
          <w:i/>
          <w:color w:val="000000"/>
          <w:sz w:val="20"/>
        </w:rPr>
        <w:t>Level 3</w:t>
      </w:r>
      <w:r>
        <w:rPr>
          <w:color w:val="000000"/>
        </w:rPr>
        <w:t xml:space="preserve"> – </w:t>
      </w:r>
      <w:r>
        <w:rPr>
          <w:rFonts w:ascii="Times New Roman;sans-serif" w:hAnsi="Times New Roman;sans-serif"/>
          <w:b w:val="false"/>
          <w:color w:val="000000"/>
          <w:sz w:val="20"/>
        </w:rPr>
        <w:t>Unobservable inputs for the asset or liability.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instruments consist of cash and cash equivalents, accounts and other receivables, our outstanding notes and other debt, settlement payable, interest and dividends payable.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our financial instruments at June 30, 2024 and December 31, 2023:</w:t>
      </w:r>
    </w:p>
    <w:tbl>
      <w:tblPr>
        <w:tblW w:w="10205" w:type="dxa"/>
        <w:jc w:val="center"/>
        <w:tblInd w:w="0" w:type="dxa"/>
        <w:tblLayout w:type="fixed"/>
        <w:tblCellMar>
          <w:top w:w="28" w:type="dxa"/>
          <w:left w:w="28" w:type="dxa"/>
          <w:bottom w:w="28" w:type="dxa"/>
          <w:right w:w="28" w:type="dxa"/>
        </w:tblCellMar>
      </w:tblPr>
      <w:tblGrid>
        <w:gridCol w:w="1209"/>
        <w:gridCol w:w="953"/>
        <w:gridCol w:w="956"/>
        <w:gridCol w:w="109"/>
        <w:gridCol w:w="109"/>
        <w:gridCol w:w="109"/>
        <w:gridCol w:w="211"/>
        <w:gridCol w:w="976"/>
        <w:gridCol w:w="109"/>
        <w:gridCol w:w="109"/>
        <w:gridCol w:w="109"/>
        <w:gridCol w:w="109"/>
        <w:gridCol w:w="353"/>
        <w:gridCol w:w="680"/>
        <w:gridCol w:w="182"/>
        <w:gridCol w:w="109"/>
        <w:gridCol w:w="109"/>
        <w:gridCol w:w="109"/>
        <w:gridCol w:w="284"/>
        <w:gridCol w:w="1315"/>
        <w:gridCol w:w="146"/>
        <w:gridCol w:w="109"/>
        <w:gridCol w:w="109"/>
        <w:gridCol w:w="109"/>
        <w:gridCol w:w="415"/>
        <w:gridCol w:w="798"/>
        <w:gridCol w:w="310"/>
      </w:tblGrid>
      <w:tr>
        <w:trPr/>
        <w:tc>
          <w:tcPr>
            <w:tcW w:w="12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Markets</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xml:space="preserve">Prices with Other Observable </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Inputs</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Prices with Unobservable</w:t>
              <w:br/>
              <w:t>Inputs (Level 3)</w:t>
            </w:r>
          </w:p>
        </w:tc>
      </w:tr>
      <w:tr>
        <w:trPr/>
        <w:tc>
          <w:tcPr>
            <w:tcW w:w="3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 xml:space="preserve">Senior secured notes - 10.50%, due February 15, 2028 </w:t>
            </w:r>
            <w:hyperlink w:anchor="i610e843df81b4079b099dcecd0058f2a_61">
              <w:r>
                <w:rPr>
                  <w:rStyle w:val="InternetLink"/>
                  <w:rFonts w:ascii="Times New Roman;sans-serif" w:hAnsi="Times New Roman;sans-serif"/>
                  <w:b w:val="false"/>
                  <w:color w:val="000000"/>
                  <w:sz w:val="20"/>
                  <w:u w:val="single"/>
                </w:rPr>
                <w:t>(see Note 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2,809,315 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- 4.75%, due April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461,636 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- 6.50%, due February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699,136 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- 6.00%, due January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414,660 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- 7.50% due December 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268,930 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ABS Loan Facility, variable rate, due September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116,475 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5,043,777 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31"/>
        <w:gridCol w:w="987"/>
        <w:gridCol w:w="992"/>
        <w:gridCol w:w="109"/>
        <w:gridCol w:w="109"/>
        <w:gridCol w:w="109"/>
        <w:gridCol w:w="211"/>
        <w:gridCol w:w="976"/>
        <w:gridCol w:w="109"/>
        <w:gridCol w:w="109"/>
        <w:gridCol w:w="109"/>
        <w:gridCol w:w="109"/>
        <w:gridCol w:w="334"/>
        <w:gridCol w:w="644"/>
        <w:gridCol w:w="172"/>
        <w:gridCol w:w="109"/>
        <w:gridCol w:w="109"/>
        <w:gridCol w:w="109"/>
        <w:gridCol w:w="271"/>
        <w:gridCol w:w="1257"/>
        <w:gridCol w:w="140"/>
        <w:gridCol w:w="109"/>
        <w:gridCol w:w="109"/>
        <w:gridCol w:w="109"/>
        <w:gridCol w:w="401"/>
        <w:gridCol w:w="772"/>
        <w:gridCol w:w="300"/>
      </w:tblGrid>
      <w:tr>
        <w:trPr/>
        <w:tc>
          <w:tcPr>
            <w:tcW w:w="133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3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Markets</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Prices with Other Observable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Inputs</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Prices with Unobservable</w:t>
              <w:br/>
              <w:t>Inputs (Level 3)</w:t>
            </w:r>
          </w:p>
        </w:tc>
      </w:tr>
      <w:tr>
        <w:trPr/>
        <w:tc>
          <w:tcPr>
            <w:tcW w:w="3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- 10.50%, due February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2,624,596 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- 4.75%, due April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488,205 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- 6.50% , due February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796,125 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- 6.00%, due January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486,675 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Exchangeable senior notes - 4.00%, due June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122,140 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- 7.50%, due December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301,755 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secured revolving credit facility, variable rate, due September 24, 2027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207,979 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160,550 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5,188,025 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5,188,025 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cash and cash equivalents, accounts and other receivables, and accounts, interest and dividends payable approximate fair values due to the short-term nature of these financial instruments.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principal balance of our outstanding notes and other debt was $5.86 billion at June 30, 2024, with a fair value of $4.93 billion. The estimated fair value of our outstanding notes and other debt was based on available external pricing data and current market rates for similar debt instruments, among other factors, which are classified as Level 2 inputs within the fair value hierarchy.</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Uniti is required to make $490.1 million of cash payments to Windstream in equal installments over 20 consecutive quarters beginning October 2020 (the “Settlement Payable”). </w:t>
      </w:r>
      <w:hyperlink w:anchor="i610e843df81b4079b099dcecd0058f2a_73">
        <w:r>
          <w:rPr>
            <w:rStyle w:val="InternetLink"/>
            <w:rFonts w:ascii="Times New Roman;sans-serif" w:hAnsi="Times New Roman;sans-serif"/>
            <w:b w:val="false"/>
            <w:color w:val="0000FF"/>
            <w:sz w:val="20"/>
            <w:u w:val="single"/>
          </w:rPr>
          <w:t>See Note 12</w:t>
        </w:r>
      </w:hyperlink>
      <w:r>
        <w:rPr>
          <w:rFonts w:ascii="Times New Roman;sans-serif" w:hAnsi="Times New Roman;sans-serif"/>
          <w:b w:val="false"/>
          <w:color w:val="000000"/>
          <w:sz w:val="20"/>
          <w:shd w:fill="FFFFFF" w:val="clear"/>
        </w:rPr>
        <w:t xml:space="preserve">. The Settlement Payable was initially recorded at fair value, using the present value of future cash flows. The future cash flows are discounted using discount rate input based on observable market data. Accordingly, we classify inputs used as Level 2 in the fair value hierarchy. As of June 30, 2024, the remaining Settlement Payable is $118.2 million. </w:t>
      </w:r>
      <w:r>
        <w:rPr>
          <w:rFonts w:ascii="Times New Roman;sans-serif" w:hAnsi="Times New Roman;sans-serif"/>
          <w:b w:val="false"/>
          <w:color w:val="000000"/>
          <w:sz w:val="20"/>
        </w:rPr>
        <w:t>There have been no changes in the valuation methodologies used since the initial recording.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6. Property, Plant and Equipment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of property, plant and equipment is as follows:</w:t>
      </w:r>
    </w:p>
    <w:tbl>
      <w:tblPr>
        <w:tblW w:w="8155" w:type="dxa"/>
        <w:jc w:val="center"/>
        <w:tblInd w:w="0" w:type="dxa"/>
        <w:tblLayout w:type="fixed"/>
        <w:tblCellMar>
          <w:top w:w="28" w:type="dxa"/>
          <w:left w:w="28" w:type="dxa"/>
          <w:bottom w:w="28" w:type="dxa"/>
          <w:right w:w="28" w:type="dxa"/>
        </w:tblCellMar>
      </w:tblPr>
      <w:tblGrid>
        <w:gridCol w:w="1052"/>
        <w:gridCol w:w="925"/>
        <w:gridCol w:w="932"/>
        <w:gridCol w:w="109"/>
        <w:gridCol w:w="109"/>
        <w:gridCol w:w="109"/>
        <w:gridCol w:w="474"/>
        <w:gridCol w:w="474"/>
        <w:gridCol w:w="476"/>
        <w:gridCol w:w="109"/>
        <w:gridCol w:w="109"/>
        <w:gridCol w:w="109"/>
        <w:gridCol w:w="211"/>
        <w:gridCol w:w="976"/>
        <w:gridCol w:w="109"/>
        <w:gridCol w:w="109"/>
        <w:gridCol w:w="109"/>
        <w:gridCol w:w="109"/>
        <w:gridCol w:w="243"/>
        <w:gridCol w:w="1125"/>
        <w:gridCol w:w="177"/>
      </w:tblGrid>
      <w:tr>
        <w:trPr/>
        <w:tc>
          <w:tcPr>
            <w:tcW w:w="105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Depreciable Lives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Indefinite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3 - 40 years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314,489 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4,835,623 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5 - 7 years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460,463 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3,974,410 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Conduit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90,087 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15 - 20 years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3 - 7 years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10,436,279 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10,201,409 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(6,343,480)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(6,219,340)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4,092,799 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3,982,069 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See our Annual Report for property, plant and equipment accounting policies.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the three and six months ended June 30, 2024 was $70.6 million and $140.7 million, respectively. Depreciation expense for the three and six months ended June 30, 2023 was $69.8 million and $139.2 million, respectively.</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CableSouth Transaction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2018, we acquired certain fiber assets from CableSouth Media, LLC (“CableSouth”) and leased back certain of those acquired assets to CableSouth pursuant to a triple-net lease. </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During the fourth quarter of 2023, the Company entered into an agreement with a fund managed by Macquarie Asset Management ("MAM") pursuant to which MAM would make a structured equity investment into CableSouth in order to assist CableSouth in the acquisition of all of our previously acquired CableSouth fiber assets and the buyout of their triple-net lease for cash consideration of $40.0 million (the "CableSouth Transaction"). The Company completed the CableSouth Transaction on January 31, 2024 and recorded a $19.0 million</w:t>
      </w:r>
      <w:r>
        <w:rPr>
          <w:color w:val="000000"/>
        </w:rPr>
        <w:t xml:space="preserve"> </w:t>
      </w:r>
      <w:r>
        <w:rPr>
          <w:rFonts w:ascii="Times New Roman;sans-serif" w:hAnsi="Times New Roman;sans-serif"/>
          <w:b w:val="false"/>
          <w:color w:val="000000"/>
          <w:sz w:val="20"/>
        </w:rPr>
        <w:t>gain on sale of real estate in the Condensed Consolidated Statements of Income (Loss).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CableSouth Transaction is included in the results of the Uniti Leasing segment, and because the sale does not represent a strategic shift that will have a major effect on operations and financial results, it does not qualify for presentation as a discontinued operation.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7. Derivative Instruments and Hedging Activities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 </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rPr>
        <w:t xml:space="preserve">On March 1, 2024, the Company entered into an interest rate cap agreement (the "ABS Loan Interest Rate Cap") related to the ABS Loan Facility (as defined in </w:t>
      </w:r>
      <w:hyperlink w:anchor="i610e843df81b4079b099dcecd0058f2a_61">
        <w:r>
          <w:rPr>
            <w:rStyle w:val="InternetLink"/>
            <w:rFonts w:ascii="Times New Roman;sans-serif" w:hAnsi="Times New Roman;sans-serif"/>
            <w:b w:val="false"/>
            <w:color w:val="0000FF"/>
            <w:sz w:val="20"/>
            <w:u w:val="single"/>
          </w:rPr>
          <w:t>Note 9</w:t>
        </w:r>
      </w:hyperlink>
      <w:r>
        <w:rPr>
          <w:rFonts w:ascii="Times New Roman;sans-serif" w:hAnsi="Times New Roman;sans-serif"/>
          <w:b w:val="false"/>
          <w:color w:val="000000"/>
          <w:sz w:val="20"/>
        </w:rPr>
        <w:t xml:space="preserve">). This interest rate cap was designated as a cash flow hedge, has a notional value of $275.0 million, and effectively caps the one-month term secured overnight financing rate ("SOFR ") at 4.50%. </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br/>
        <w:t xml:space="preserve">The following table presents the fair value of the Company’s derivatives designated as hedging instruments as of June 30, 2024 and December 31, 2023: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9020" w:type="dxa"/>
        <w:jc w:val="left"/>
        <w:tblInd w:w="0" w:type="dxa"/>
        <w:tblLayout w:type="fixed"/>
        <w:tblCellMar>
          <w:top w:w="28" w:type="dxa"/>
          <w:left w:w="28" w:type="dxa"/>
          <w:bottom w:w="28" w:type="dxa"/>
          <w:right w:w="28" w:type="dxa"/>
        </w:tblCellMar>
      </w:tblPr>
      <w:tblGrid>
        <w:gridCol w:w="531"/>
        <w:gridCol w:w="468"/>
        <w:gridCol w:w="471"/>
        <w:gridCol w:w="109"/>
        <w:gridCol w:w="109"/>
        <w:gridCol w:w="109"/>
        <w:gridCol w:w="1299"/>
        <w:gridCol w:w="1299"/>
        <w:gridCol w:w="1302"/>
        <w:gridCol w:w="109"/>
        <w:gridCol w:w="109"/>
        <w:gridCol w:w="109"/>
        <w:gridCol w:w="253"/>
        <w:gridCol w:w="741"/>
        <w:gridCol w:w="131"/>
        <w:gridCol w:w="109"/>
        <w:gridCol w:w="109"/>
        <w:gridCol w:w="109"/>
        <w:gridCol w:w="422"/>
        <w:gridCol w:w="812"/>
        <w:gridCol w:w="310"/>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Location on Condensed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effects of the Company’s derivative financial instrument on the Condensed Consolidated Statements of Income for the periods presented: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92"/>
        <w:gridCol w:w="1329"/>
        <w:gridCol w:w="134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592"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in Cash Flow Hedging Relationships (Interest Rate Caps)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of gain recognized on derivative in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of gain reclassified from Accumulated Other Comprehensive Income into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Amount of Interest Expense Presented in the Condensed Consolidated Statements of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rPr>
        <w:t>The company estimates that an additional $0.2 million</w:t>
      </w:r>
      <w:r>
        <w:rPr>
          <w:color w:val="000000"/>
        </w:rPr>
        <w:t xml:space="preserve"> </w:t>
      </w:r>
      <w:r>
        <w:rPr>
          <w:rFonts w:ascii="Times New Roman;sans-serif" w:hAnsi="Times New Roman;sans-serif"/>
          <w:b w:val="false"/>
          <w:color w:val="000000"/>
          <w:sz w:val="20"/>
        </w:rPr>
        <w:t>will be reclassified from accumulated other comprehensive income as a decrease to interest expense over the next twelve months</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Exchangeable Notes Hedge Transactions</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On June 25, 2019, concurrently with the pricing of the 4.00% Exchangeable Notes due June 15, 2024 (the "Exchangeable Notes"), and on June 27, 2019, concurrently with the exercise by the initial purchasers involved in the offering of the Exchangeable Notes (the “Initial Purchasers”) of their option to purchase additional Exchangeable Notes, Uniti Fiber Holdings Inc., the issuer of the Exchangeable Notes, entered into exchangeable note hedge transactions with respect to the Company’s common stock (the “Note Hedge Transactions”) with certain of the Initial Purchasers or their respective affiliates (collectively, the “Counterparties”). The Note Hedge Transactions cover, subject to anti-dilution adjustments substantially similar to those applicable to the Exchangeable Notes, the same number of shares of the Company’s common stock that initially underlie the Exchangeable Notes in the aggregate and are exercisable upon exchange of the Exchangeable Notes. The Note Hedge Transactions have an initial strike price that corresponds to the initial exchange price of the Exchangeable Notes, subject to anti-dilution adjustments substantially similar to those applicable to the Exchangeable Notes. The Note Hedge Transactions expired on June 15, 2024, upon the maturity and repayment of the Exchangeable Notes (</w:t>
      </w:r>
      <w:hyperlink w:anchor="i610e843df81b4079b099dcecd0058f2a_61">
        <w:r>
          <w:rPr>
            <w:rStyle w:val="InternetLink"/>
            <w:rFonts w:ascii="Times New Roman;sans-serif" w:hAnsi="Times New Roman;sans-serif"/>
            <w:b w:val="false"/>
            <w:color w:val="0000FF"/>
            <w:sz w:val="20"/>
            <w:u w:val="single"/>
          </w:rPr>
          <w:t>see Note 9</w:t>
        </w:r>
      </w:hyperlink>
      <w:r>
        <w:rPr>
          <w:rFonts w:ascii="Times New Roman;sans-serif" w:hAnsi="Times New Roman;sans-serif"/>
          <w:b w:val="false"/>
          <w:color w:val="000000"/>
          <w:sz w:val="20"/>
        </w:rPr>
        <w:t xml:space="preserve">). </w:t>
        <w:br/>
        <w:br/>
      </w:r>
      <w:r>
        <w:rPr>
          <w:rFonts w:ascii="Times New Roman;sans-serif" w:hAnsi="Times New Roman;sans-serif"/>
          <w:b w:val="false"/>
          <w:i/>
          <w:color w:val="000000"/>
          <w:sz w:val="20"/>
          <w:u w:val="single"/>
          <w:shd w:fill="FFFFFF" w:val="clear"/>
        </w:rPr>
        <w:t>Warrant Transactions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On June 25, 2019, concurrently with the pricing of the Exchangeable Notes, and on June 27, 2019 concurrently with the exercise by the Initial Purchasers of their option to purchase additional Exchangeable Notes, the Company entered into warrant transactions to sell to the Counterparties warrants (the “Warrants”) to acquire, subject to anti-dilution adjustments, up to approximately 27.8 million shares of the Company’s common stock in the aggregate at an exercise price of approximately $16.42 per share. The initial maximum number of shares of the Company’s common stock that could be issued pursuant to the Warrants was approximately 55.5 million. The maximum number of shares of the Company's common stock that could be issued pursuant to the Warrants subsequently decreased due to the partial unwind agreements that the Company entered into with the Counterparties in connection with each repurchase of Exchangeable Notes. The Warrants terminated in </w:t>
      </w:r>
      <w:r>
        <w:rPr>
          <w:rFonts w:ascii="Times New Roman;sans-serif" w:hAnsi="Times New Roman;sans-serif"/>
          <w:b w:val="false"/>
          <w:color w:val="000000"/>
          <w:sz w:val="20"/>
        </w:rPr>
        <w:t>June 2024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are no longer outstanding.</w:t>
      </w:r>
      <w:r>
        <w:rPr>
          <w:rFonts w:ascii="Times New Roman;sans-serif" w:hAnsi="Times New Roman;sans-serif"/>
          <w:b w:val="false"/>
          <w:color w:val="000000"/>
          <w:sz w:val="20"/>
        </w:rPr>
        <w:br/>
        <w:br/>
      </w:r>
      <w:r>
        <w:rPr>
          <w:rFonts w:ascii="Times New Roman;sans-serif" w:hAnsi="Times New Roman;sans-serif"/>
          <w:b w:val="false"/>
          <w:i/>
          <w:color w:val="000000"/>
          <w:sz w:val="20"/>
          <w:u w:val="single"/>
        </w:rPr>
        <w:t>Capped Call Transactions</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7, 2022, in connection with the pricing of the 7.50% Convertible 2027 Notes due December 1, 2027 (the "Convertible 2027 Notes"), the Company entered into privately negotiated capped call transactions (the “Capped Calls”) with certain financial institutions at a cost of $21.1 million. The Capped Calls cover the same number of shares of the Company’s common stock that initially underlie the Convertible 2027 Notes in the aggregate. By entering into the Capped Calls, the Company expects to reduce the potential dilution to its common stock (or, in the event a conversion of the Convertible 2027 Notes is settled in cash, to reduce its cash payment obligation) in the event that at the time of conversion of the Convertible 2027 Notes its common stock price exceeds the conversion price of the Convertible 2027 Notes. The cap price of the Capped Calls will initially be $10.63 per share of common stock, which represents a premium of 75% over the last reported sale price of the Company’s common stock of $6.075 per share on December 7, 2022 and is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customary anti-dilution adjustments substantially similar to those applicable to the Convertible 2027 Notes. The Company used approximately $21.1 million of the net proceeds from the offering of the Convertible 2027 Notes to pay for the cost of the Capped Calls. The Capped Calls meet the criteria for classification in equity, are not remeasured each reporting period and are included as a reduction to additional paid-in-capital within stockholders’ equity.</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br/>
        <w:t>Additionally on December 7, 2022, in connection with the Company’s repurchase of the Exchangeable Notes, the Company entered into partial unwind agreements with the Counterparties to unwind a portion of the Note Hedge Transactions and the Warrants described above (collectively, the “Unwind Transactions”). In connection with the Unwind Transactions, the Company received cash as a termination payment for the portion of the Note Hedge Transactions that were unwound, and the Company delivered cash as a termination payment in respect of the portion of the Warrants that were unwound. The amount of cash that was received, which was approximately $1.2 million, and the amount of cash that was delivered to the Counterparties, which was approximately $0.5 million, were based generally on the termination values of the unwound portions of such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8. Goodwill and Intangible Assets and Liabilities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goodwill occurring during the six months ended June 30, 2024 are as follows:</w:t>
      </w:r>
    </w:p>
    <w:tbl>
      <w:tblPr>
        <w:tblW w:w="7865" w:type="dxa"/>
        <w:jc w:val="center"/>
        <w:tblInd w:w="0" w:type="dxa"/>
        <w:tblLayout w:type="fixed"/>
        <w:tblCellMar>
          <w:top w:w="28" w:type="dxa"/>
          <w:left w:w="28" w:type="dxa"/>
          <w:bottom w:w="28" w:type="dxa"/>
          <w:right w:w="28" w:type="dxa"/>
        </w:tblCellMar>
      </w:tblPr>
      <w:tblGrid>
        <w:gridCol w:w="1763"/>
        <w:gridCol w:w="1551"/>
        <w:gridCol w:w="1560"/>
        <w:gridCol w:w="109"/>
        <w:gridCol w:w="109"/>
        <w:gridCol w:w="109"/>
        <w:gridCol w:w="211"/>
        <w:gridCol w:w="826"/>
        <w:gridCol w:w="109"/>
        <w:gridCol w:w="109"/>
        <w:gridCol w:w="109"/>
        <w:gridCol w:w="109"/>
        <w:gridCol w:w="211"/>
        <w:gridCol w:w="826"/>
        <w:gridCol w:w="154"/>
      </w:tblGrid>
      <w:tr>
        <w:trPr/>
        <w:tc>
          <w:tcPr>
            <w:tcW w:w="1763"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charges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charges as of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Carrying value of intangible assets and liabilities at </w:t>
      </w:r>
      <w:r>
        <w:rPr>
          <w:rFonts w:ascii="Times New Roman;sans-serif" w:hAnsi="Times New Roman;sans-serif"/>
          <w:b w:val="false"/>
          <w:color w:val="000000"/>
          <w:sz w:val="20"/>
          <w:shd w:fill="FFFFFF" w:val="clear"/>
        </w:rPr>
        <w:t>June 30, 2024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December 31, 2023</w:t>
      </w:r>
      <w:r>
        <w:rPr>
          <w:color w:val="000000"/>
        </w:rPr>
        <w:t xml:space="preserve"> </w:t>
      </w:r>
      <w:r>
        <w:rPr>
          <w:rFonts w:ascii="Times New Roman;sans-serif" w:hAnsi="Times New Roman;sans-serif"/>
          <w:b w:val="false"/>
          <w:color w:val="000000"/>
          <w:sz w:val="20"/>
        </w:rPr>
        <w:t>are as follows:</w:t>
      </w:r>
    </w:p>
    <w:tbl>
      <w:tblPr>
        <w:tblW w:w="8787" w:type="dxa"/>
        <w:jc w:val="center"/>
        <w:tblInd w:w="0" w:type="dxa"/>
        <w:tblLayout w:type="fixed"/>
        <w:tblCellMar>
          <w:top w:w="28" w:type="dxa"/>
          <w:left w:w="28" w:type="dxa"/>
          <w:bottom w:w="28" w:type="dxa"/>
          <w:right w:w="28" w:type="dxa"/>
        </w:tblCellMar>
      </w:tblPr>
      <w:tblGrid>
        <w:gridCol w:w="976"/>
        <w:gridCol w:w="859"/>
        <w:gridCol w:w="865"/>
        <w:gridCol w:w="109"/>
        <w:gridCol w:w="109"/>
        <w:gridCol w:w="109"/>
        <w:gridCol w:w="211"/>
        <w:gridCol w:w="826"/>
        <w:gridCol w:w="109"/>
        <w:gridCol w:w="109"/>
        <w:gridCol w:w="109"/>
        <w:gridCol w:w="109"/>
        <w:gridCol w:w="211"/>
        <w:gridCol w:w="901"/>
        <w:gridCol w:w="109"/>
        <w:gridCol w:w="109"/>
        <w:gridCol w:w="109"/>
        <w:gridCol w:w="109"/>
        <w:gridCol w:w="211"/>
        <w:gridCol w:w="826"/>
        <w:gridCol w:w="109"/>
        <w:gridCol w:w="109"/>
        <w:gridCol w:w="109"/>
        <w:gridCol w:w="109"/>
        <w:gridCol w:w="211"/>
        <w:gridCol w:w="901"/>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Original</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Original</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 life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Underlying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 life intangible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Below-market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 life intangible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Below-market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remaining weighted average amortization period of the Company’s intangible assets was 13.6 years, 4.3 years, and 26.3 years for customer lists, contracts, and underlying rights, respectively. As of June 30, 2024, the total remaining weighted average amortization period for total intangible assets was 13.1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three and six months ended June 30, 2024 was $7.4 million and $14.9 million, respectively. Amortization expense for the three and six months ended June 30, 2023 was $7.4 million and $14.8 million, respectively. Amortization expense is estimated to be $29.7 million for the full year of 2024, $29.7 million in 2025, $29.7 million in 2026, $29.7 million in 2027, and $28.1 million for 2028.</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amortization of below-market leases in revenue. Revenue related to the amortization of the below-market leases for the three and six months ended June 30, 2024 was $2.7 million and $5.3 million, respectively. Revenue related to the amortization of the below-market leases for the three and six months ended June 30, 2023 was $2.6 million and $5.3 million, respectively. As of June 30, 2024, the remaining weighted average amortization period of the Company’s intangible liabilities was 15.6 years. Revenue due to the amortization of the below-market leases is estimated to be $10.7 million for the full year of 2024, $10.7 million in 2025, $10.7 million in 2026, $10.7 million in 2027, and $10.2 million in 2028.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9. Notes and Other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debt, including the senior secured credit facility and notes described below, are obligations of the Operating Partnership and/or certain of its subsidiaries as discussed below. The Company is, however, a guarantor of such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other debt are as follows:</w:t>
      </w:r>
    </w:p>
    <w:tbl>
      <w:tblPr>
        <w:tblW w:w="10200" w:type="dxa"/>
        <w:jc w:val="center"/>
        <w:tblInd w:w="0" w:type="dxa"/>
        <w:tblLayout w:type="fixed"/>
        <w:tblCellMar>
          <w:top w:w="28" w:type="dxa"/>
          <w:left w:w="28" w:type="dxa"/>
          <w:bottom w:w="28" w:type="dxa"/>
          <w:right w:w="28" w:type="dxa"/>
        </w:tblCellMar>
      </w:tblPr>
      <w:tblGrid>
        <w:gridCol w:w="2426"/>
        <w:gridCol w:w="2133"/>
        <w:gridCol w:w="2146"/>
        <w:gridCol w:w="109"/>
        <w:gridCol w:w="109"/>
        <w:gridCol w:w="109"/>
        <w:gridCol w:w="211"/>
        <w:gridCol w:w="976"/>
        <w:gridCol w:w="109"/>
        <w:gridCol w:w="109"/>
        <w:gridCol w:w="109"/>
        <w:gridCol w:w="109"/>
        <w:gridCol w:w="243"/>
        <w:gridCol w:w="1125"/>
        <w:gridCol w:w="177"/>
      </w:tblGrid>
      <w:tr>
        <w:trPr/>
        <w:tc>
          <w:tcPr>
            <w:tcW w:w="2426"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70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5,861,500 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5,617,442 </w:t>
            </w:r>
          </w:p>
        </w:tc>
        <w:tc>
          <w:tcPr>
            <w:tcW w:w="17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 premium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other debt less unamortized discount, premium and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5,771,809 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5,523,579 </w:t>
            </w:r>
          </w:p>
        </w:tc>
        <w:tc>
          <w:tcPr>
            <w:tcW w:w="17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other debt at June 30, 2024 and December 31, 2023 consisted of the following:</w:t>
      </w:r>
    </w:p>
    <w:tbl>
      <w:tblPr>
        <w:tblW w:w="10205" w:type="dxa"/>
        <w:jc w:val="center"/>
        <w:tblInd w:w="0" w:type="dxa"/>
        <w:tblLayout w:type="fixed"/>
        <w:tblCellMar>
          <w:top w:w="28" w:type="dxa"/>
          <w:left w:w="28" w:type="dxa"/>
          <w:bottom w:w="28" w:type="dxa"/>
          <w:right w:w="28" w:type="dxa"/>
        </w:tblCellMar>
      </w:tblPr>
      <w:tblGrid>
        <w:gridCol w:w="1517"/>
        <w:gridCol w:w="1275"/>
        <w:gridCol w:w="1289"/>
        <w:gridCol w:w="109"/>
        <w:gridCol w:w="109"/>
        <w:gridCol w:w="109"/>
        <w:gridCol w:w="211"/>
        <w:gridCol w:w="976"/>
        <w:gridCol w:w="109"/>
        <w:gridCol w:w="109"/>
        <w:gridCol w:w="109"/>
        <w:gridCol w:w="109"/>
        <w:gridCol w:w="211"/>
        <w:gridCol w:w="768"/>
        <w:gridCol w:w="109"/>
        <w:gridCol w:w="109"/>
        <w:gridCol w:w="109"/>
        <w:gridCol w:w="109"/>
        <w:gridCol w:w="211"/>
        <w:gridCol w:w="976"/>
        <w:gridCol w:w="109"/>
        <w:gridCol w:w="109"/>
        <w:gridCol w:w="109"/>
        <w:gridCol w:w="109"/>
        <w:gridCol w:w="211"/>
        <w:gridCol w:w="768"/>
        <w:gridCol w:w="157"/>
      </w:tblGrid>
      <w:tr>
        <w:trPr/>
        <w:tc>
          <w:tcPr>
            <w:tcW w:w="1517"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0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Unamortized</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Discount,</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Premium and</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Debt Issuance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Unamortized</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Discount,</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Premium and</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Debt Issuance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Costs</w:t>
            </w:r>
          </w:p>
        </w:tc>
      </w:tr>
      <w:tr>
        <w:trPr/>
        <w:tc>
          <w:tcPr>
            <w:tcW w:w="408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secured notes - 10.50% due February 15, 2028 </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10.99%)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(48,290)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- 4.75%, due April 15, 2028</w:t>
            </w:r>
          </w:p>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- 6.50%, due February 15, 2029</w:t>
            </w:r>
          </w:p>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- 6.00% due January 15, 2030</w:t>
            </w:r>
          </w:p>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Exchangeable senior notes - 4.00%, due June 15, 2024</w:t>
            </w:r>
          </w:p>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- 7.50%, due December 1, 2027</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8.29%)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ABS Loan Facility, variable rate, due September 1, 2025 </w:t>
            </w:r>
          </w:p>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10.33%)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 variable rate, due September 24, 2027</w:t>
            </w:r>
          </w:p>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11.16%)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left"/>
        <w:rPr/>
      </w:pPr>
      <w:r>
        <w:rPr>
          <w:rFonts w:ascii="Times New Roman;sans-serif" w:hAnsi="Times New Roman;sans-serif"/>
          <w:b w:val="false"/>
          <w:color w:val="000000"/>
          <w:sz w:val="20"/>
          <w:shd w:fill="FFFFFF" w:val="clear"/>
        </w:rPr>
        <w:t xml:space="preserve">At June 30, 2024, notes and other debt included the following: (i) no balance under the Revolving Credit Facility (as defined below) pursuant to that certain credit agreement, dated as of April 24, 2015, by and among the Operating Partnership, Uniti Group Finance 2019 Inc. and CSL Capital, LLC (hereinafter, the “Borrowers”), the guarantors party thereto, Bank of America, N.A., as administrative agent, collateral agent, swing line lender and an L/C issuer and certain other lenders named therein, as amended (the “Credit Agreement”); (ii) </w:t>
      </w:r>
      <w:r>
        <w:rPr>
          <w:rFonts w:ascii="Times New Roman;sans-serif" w:hAnsi="Times New Roman;sans-serif"/>
          <w:b w:val="false"/>
          <w:color w:val="000000"/>
          <w:sz w:val="20"/>
        </w:rPr>
        <w:t xml:space="preserve">$275.0 million under the bridge loan and security agreement (the "ABS Loan Agreement"), a multi-draw term loan facility dated February 23, 2024, entered into by and among Uniti Fiber Bridge Borrower LLC (the “ABS Bridge Borrower”), Uniti Fiber Bridge HoldCo LLC and Uniti Fiber GulfCo LLC (together, the “ABS Bridge Loan Parties”), each an indirect subsidiary of the Company, Wilmington Trust, National Association, as administrative agent, collateral agent, account bank and verification agent, Barclays Bank PLC, as facility agent, and the lenders identified therein; </w:t>
      </w:r>
      <w:r>
        <w:rPr>
          <w:rFonts w:ascii="Times New Roman;sans-serif" w:hAnsi="Times New Roman;sans-serif"/>
          <w:b w:val="false"/>
          <w:color w:val="000000"/>
          <w:sz w:val="20"/>
          <w:shd w:fill="FFFFFF" w:val="clear"/>
        </w:rPr>
        <w:t xml:space="preserve">(iii) </w:t>
      </w:r>
      <w:r>
        <w:rPr>
          <w:rFonts w:ascii="Times New Roman;sans-serif" w:hAnsi="Times New Roman;sans-serif"/>
          <w:b w:val="false"/>
          <w:color w:val="000000"/>
          <w:sz w:val="20"/>
        </w:rPr>
        <w:t>$2.9 billion</w:t>
      </w:r>
      <w:r>
        <w:rPr>
          <w:color w:val="000000"/>
          <w:shd w:fill="FFFFFF" w:val="clear"/>
        </w:rPr>
        <w:t xml:space="preserve"> </w:t>
      </w:r>
      <w:r>
        <w:rPr>
          <w:rFonts w:ascii="Times New Roman;sans-serif" w:hAnsi="Times New Roman;sans-serif"/>
          <w:b w:val="false"/>
          <w:color w:val="000000"/>
          <w:sz w:val="20"/>
          <w:shd w:fill="FFFFFF" w:val="clear"/>
        </w:rPr>
        <w:t xml:space="preserve">aggregate principal amount of 10.50% Senior Secured Notes due February 15, 2028 (the “February 2028 Secured Notes”); (iv) </w:t>
      </w:r>
      <w:r>
        <w:rPr>
          <w:rFonts w:ascii="Times New Roman;sans-serif" w:hAnsi="Times New Roman;sans-serif"/>
          <w:b w:val="false"/>
          <w:color w:val="000000"/>
          <w:sz w:val="20"/>
        </w:rPr>
        <w:t>$570.0 million</w:t>
      </w:r>
      <w:r>
        <w:rPr>
          <w:color w:val="000000"/>
          <w:shd w:fill="FFFFFF" w:val="clear"/>
        </w:rPr>
        <w:t xml:space="preserve"> </w:t>
      </w:r>
      <w:r>
        <w:rPr>
          <w:rFonts w:ascii="Times New Roman;sans-serif" w:hAnsi="Times New Roman;sans-serif"/>
          <w:b w:val="false"/>
          <w:color w:val="000000"/>
          <w:sz w:val="20"/>
          <w:shd w:fill="FFFFFF" w:val="clear"/>
        </w:rPr>
        <w:t xml:space="preserve">aggregate principal amount of 4.75% Senior Secured Notes due April 15, 2028 (the “April 2028 Secured Notes”); (v) </w:t>
      </w:r>
      <w:r>
        <w:rPr>
          <w:rFonts w:ascii="Times New Roman;sans-serif" w:hAnsi="Times New Roman;sans-serif"/>
          <w:b w:val="false"/>
          <w:color w:val="000000"/>
          <w:sz w:val="20"/>
        </w:rPr>
        <w:t>$1.1 billion</w:t>
      </w:r>
      <w:r>
        <w:rPr>
          <w:color w:val="000000"/>
          <w:shd w:fill="FFFFFF" w:val="clear"/>
        </w:rPr>
        <w:t xml:space="preserve"> </w:t>
      </w:r>
      <w:r>
        <w:rPr>
          <w:rFonts w:ascii="Times New Roman;sans-serif" w:hAnsi="Times New Roman;sans-serif"/>
          <w:b w:val="false"/>
          <w:color w:val="000000"/>
          <w:sz w:val="20"/>
          <w:shd w:fill="FFFFFF" w:val="clear"/>
        </w:rPr>
        <w:t xml:space="preserve">aggregate principal amount of 6.50% Senior Unsecured Notes due </w:t>
      </w:r>
      <w:r>
        <w:rPr>
          <w:rFonts w:ascii="Times New Roman;sans-serif" w:hAnsi="Times New Roman;sans-serif"/>
          <w:b w:val="false"/>
          <w:color w:val="000000"/>
          <w:sz w:val="20"/>
        </w:rPr>
        <w:t>February 15, 2029</w:t>
      </w:r>
      <w:r>
        <w:rPr>
          <w:color w:val="000000"/>
          <w:shd w:fill="FFFFFF" w:val="clear"/>
        </w:rPr>
        <w:t xml:space="preserve"> </w:t>
      </w:r>
      <w:r>
        <w:rPr>
          <w:rFonts w:ascii="Times New Roman;sans-serif" w:hAnsi="Times New Roman;sans-serif"/>
          <w:b w:val="false"/>
          <w:color w:val="000000"/>
          <w:sz w:val="20"/>
          <w:shd w:fill="FFFFFF" w:val="clear"/>
        </w:rPr>
        <w:t xml:space="preserve">(the “2029 Notes”); (vi) </w:t>
      </w:r>
      <w:r>
        <w:rPr>
          <w:rFonts w:ascii="Times New Roman;sans-serif" w:hAnsi="Times New Roman;sans-serif"/>
          <w:b w:val="false"/>
          <w:color w:val="000000"/>
          <w:sz w:val="20"/>
        </w:rPr>
        <w:t>$700.0 million</w:t>
      </w:r>
      <w:r>
        <w:rPr>
          <w:color w:val="000000"/>
          <w:shd w:fill="FFFFFF" w:val="clear"/>
        </w:rPr>
        <w:t xml:space="preserve"> </w:t>
      </w:r>
      <w:r>
        <w:rPr>
          <w:rFonts w:ascii="Times New Roman;sans-serif" w:hAnsi="Times New Roman;sans-serif"/>
          <w:b w:val="false"/>
          <w:color w:val="000000"/>
          <w:sz w:val="20"/>
          <w:shd w:fill="FFFFFF" w:val="clear"/>
        </w:rPr>
        <w:t xml:space="preserve">aggregate principal amount of 6.00% Senior Secured Notes due </w:t>
      </w:r>
      <w:r>
        <w:rPr>
          <w:rFonts w:ascii="Times New Roman;sans-serif" w:hAnsi="Times New Roman;sans-serif"/>
          <w:b w:val="false"/>
          <w:color w:val="000000"/>
          <w:sz w:val="20"/>
        </w:rPr>
        <w:t>January 15, 2030</w:t>
      </w:r>
      <w:r>
        <w:rPr>
          <w:color w:val="000000"/>
          <w:shd w:fill="FFFFFF" w:val="clear"/>
        </w:rPr>
        <w:t xml:space="preserve"> </w:t>
      </w:r>
      <w:r>
        <w:rPr>
          <w:rFonts w:ascii="Times New Roman;sans-serif" w:hAnsi="Times New Roman;sans-serif"/>
          <w:b w:val="false"/>
          <w:color w:val="000000"/>
          <w:sz w:val="20"/>
          <w:shd w:fill="FFFFFF" w:val="clear"/>
        </w:rPr>
        <w:t xml:space="preserve">(the “2030 Notes”); and (vii) </w:t>
      </w:r>
      <w:r>
        <w:rPr>
          <w:rFonts w:ascii="Times New Roman;sans-serif" w:hAnsi="Times New Roman;sans-serif"/>
          <w:b w:val="false"/>
          <w:color w:val="000000"/>
          <w:sz w:val="20"/>
        </w:rPr>
        <w:t>$306.5 million</w:t>
      </w:r>
      <w:r>
        <w:rPr>
          <w:color w:val="000000"/>
          <w:shd w:fill="FFFFFF" w:val="clear"/>
        </w:rPr>
        <w:t xml:space="preserve"> </w:t>
      </w:r>
      <w:r>
        <w:rPr>
          <w:rFonts w:ascii="Times New Roman;sans-serif" w:hAnsi="Times New Roman;sans-serif"/>
          <w:b w:val="false"/>
          <w:color w:val="000000"/>
          <w:sz w:val="20"/>
          <w:shd w:fill="FFFFFF" w:val="clear"/>
        </w:rPr>
        <w:t>aggregate principal amount of Convertible 2027 Notes and, together with the February 2028 Secured Notes, April 2028 Secured Notes, 2029 Notes, 2030 Notes and the Exchangeable Notes, the "Notes"). T</w:t>
      </w:r>
      <w:r>
        <w:rPr>
          <w:rFonts w:ascii="Times New Roman;sans-serif" w:hAnsi="Times New Roman;sans-serif"/>
          <w:b w:val="false"/>
          <w:color w:val="000000"/>
          <w:sz w:val="20"/>
        </w:rPr>
        <w:t>he terms of the Notes are as described in the Company’s Annual Report on Form 10-K for the year ended December 31, 2023.</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Credit Agreement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Borrowers are party to the Credit Agreement, which provides for a $500 million revolving credit facility that will mature on September 24, 2027 (the “Revolving Credit Facility”) and provides us with the ability to obtain revolving loans as well as swingline loans and letters of credit from time to time. On June 17, 2024, the Borrowers, each a subsidiary of the Company, entered into Amendment No. 9 (the “Amendment”) to the Credit Agreement. Pursuant to the Amendment, the Credit Agreement’s requirement for the Operating Partnership to use commercially reasonable efforts to maintain its status as a REIT will now terminate (i) at the end of the taxable year in which the Company’s proposed merger with Windstream is consummated or, (ii) at December 31, 2024, if the Company determines that by reason of such proposed merger, the Company will cease to qualify as a REIT for the year during which the Merger is consummated.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obligations under the Credit Agreement are guaranteed by (i) the Company and (ii) certain of the Operating Partnership’s subsidiaries (the “Subsidiary Guarantors”) and are secured by substantially all of the assets of the Borrowers and the Subsidiary Guarantors.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June 30, 2024, the Borrowers were in compliance with all of the covenants under the Credit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termination of either Windstream Lease would result in an “event of default” under the Credit Agreement if a replacement lease is not entered into within ninety (90) calendar days and we do not maintain pro forma compliance with a consolidated secured leverage ratio, as defined in the Credit Agreement, of 5.00 to 1.00.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Revolving Credit Facility bear interest at a rate equal to either a base rate plus an applicable margin ranging from 2.75% to 3.50% or a Term SOFR rate plus an applicable margin ranging from 3.75% to 4.50% in each 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Term SOFR borrowings and (B) the average amount available to be drawn under outstanding letters of credit during such quarter.</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Issuance of Senior Secured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17, 2024, the Operating Partnership, CSL Capital, LLC, Uniti Group Finance 2019 Inc. and Uniti Fiber Holdings Inc. (collectively, the “Issuers”) completed a private offering of $300.0 million aggregate principal amount of February 2028 Secured Notes (the "Additional February 2028 Secured Notes"). The Company filed to obtain regulatory approval to enable the subsidiaries that require regulatory approval prior to guaranteeing the Additional February 2028 Secured Notes (the “Regulated Subsidiaries”) to guarantee the Additional February 2028 Secured Notes, and it will use commercially reasonable efforts to obtain such approval. Upon the guarantee of the Additional February 2028 Secured Notes by each of the Regulated Subsidiaries that guarantee the Company’s existing February 2028 Secured Notes, the Additional February 2028 Secured Notes are expected to be mandatorily exchanged for February 2028 Secured Notes issued as “additional notes” under the Indenture dated as of February 14, 2023 among Uniti, Uniti Group Finance, Uniti Fiber Holdings, CSL Capital, the guarantors party thereto and the trustee and collateral agent party thereto (the “2023 Indenture”). Such additional notes are expected to be part of the same series as the existing February 2028 Secured Notes issued under the 2023 Indenture, and are expected to have the same CUSIP number as, and be fungible with, the existing February 2028 Secured Notes issued under the 2023 Indenture.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Additional February 2028 Secured Notes were issued at an issue price of 103.00% of their principal amount plus accrued interest from March 15, 2024 to, but excluding, May 17, 2024, pursuant to an Indenture, dated as of May 17, 2024 (the “2024 Indenture”), among the Issuers, the guarantors named therein (collectively, the “Guarantors”) and Deutsche Bank Trust Company Americas, as trustee (in such capacity, the “Trustee”) and as collateral agent. The Additional February 2028 Secured Notes mature on February 15, 2028 and bear interest at a rate of 10.50% per year. Interest on the Additional February 2028 Secured Notes is payable on March 15 and September 15 of each year, beginning on September 15, 2024.</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Issuers may redeem the Additional February 2028 Secured Notes, in whole or in part, at any time prior to September 15, 2025 at a redemption price equal to 100% of the principal amount of the Additional February 2028 Secured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redeemed plus accrued and unpaid interest on the Additional February 2028 Secured Notes, if any, to, but not including, the redemption date, plus an applicable “make whole” premium described in the 2024 Indenture. Thereafter, the Issuers may redeem the Additional February 2028 Secured Notes in whole or in part, at the redemption prices set forth in the 2024 Indenture. In addition, prior to February 15, 2025, the Issuers may, on one or more occasions, redeem up to 10% of the aggregate principal amount of the Additional February 2028 Secured Notes in any twelve-month period at a redemption price equal to 103% of the principal amount thereof plus accrued and unpaid interest thereon, if any, to, but not including, the applicable redemption date. Notwithstanding the foregoing, the Issuers may not use the proceeds of any offering of Additional Notes (as defined in the 2024 Indenture) with a price to investors equal to or in excess of 103% to finance any such optional redemption. Further, at any time on or prior to September 15, 2025, up to 40% of the aggregate principal amount of the Additional February 2028 Secured Notes may be redeemed with the net cash proceeds of certain equity offerings at a redemption price of 110.50% of the principal amount plus accrued and unpaid interest, if any, to, but not including, the applicable redemption date; provided that at least 60% of aggregate principal amount of the originally issued Additional February 2028 Secured Notes remains outstanding. If certain changes of control of the Operating Partnership occur, holders of the Additional February 2028 Secured Notes will have the right to require the Issuers to offer to repurchase their Additional February 2028 Secured Notes at 101% of their principal amount plus accrued and unpaid interest, if any, to, but not including, the repurchase date.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Additional February 2028 Secured Notes are fully and unconditionally guaranteed, jointly and severally, on a senior unsecured basis by the Company and on a senior secured basis by the Subsidiary Guarantors. The guarantees are subject to release under specified circumstances, including certain circumstances in which such guarantees may be automatically released without the consent of the holders of the Additional February 2028 Secured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Additional February 2028 Secured Notes and the related guarantees are the Issuers’ and the Subsidiary Guarantors’ senior secured obligations and rank equal in right of payment with all of the Issuers’ and the Subsidiary Guarantors’ existing and future unsubordinated obligations; effectively senior to all unsecured indebtedness of the Issuers and the Subsidiary Guarantors, including the Company’s existing senior unsecured notes, to the extent of the value of the collateral securing the Additional February 2028 Secured Notes; effectively equal with all of the Issuers’ and the Subsidiary Guarantors’ existing and future indebtedness that is secured by first-priority liens on the collateral (including indebtedness under the Company’s senior secured credit facilities and existing secured notes); senior in right of payment to any of the Issuers’ and Subsidiary Guarantors’ subordinated indebtedness; and structurally subordinated to all existing and future liabilities (including trade payables) of the Company’s subsidiaries (other than the Issuers) that do not guarantee the Additional February 2028 Secured Notes. The guarantee of the Company is its senior unsecured obligation and ranks equally in right of payment with all of its existing and future unsubordinated obligations and senior in right of payment to any of its subordinated indebtedness. The Additional February 2028 Secured Notes and the related guarantees are also be effectively subordinated to any existing or future indebtedness that is secured by liens on assets that do not constitute a part of the collateral securing the Additional February 2028 Secured Notes to the extent of the value of such assets, and to any existing or future secured indebtedness of the Company to the extent of the value of the assets securing such indebtedness.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Additional February 2028 Secured Notes and the related guarantees are secured by liens on substantially all of the assets of the Issuers and the Subsidiary Guarantors, which assets also ratably secure obligations under the Company’s existing secured notes and senior secured credit facilities, in each case, subject to certain exceptions and permitted liens. The collateral does not include real property (below a specified threshold of value), but does include certain fixtures and other equipment as well as cash that we receive pursuant to our long-term exclusive triple-net leases with Windstream.</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2024 Indenture contains customary high yield covenants limiting the ability of the Operating Partnership and its restricted subsidiaries to: incur or guarantee additional indebtedness; incur or guarantee secured indebtedness; pay dividends or distributions on, or redeem or repurchase, capital stock; make certain investments or other restricted payments; sell assets; transfer material intellectual property to unrestricted subsidiaries; enter into transactions with affiliates; merge or consolidate or sell all or substantially all of their assets; and create restrictions on the ability of the Issuers and their restricted subsidiaries to pay dividends or other amounts to the Issuers. These covenants are subject to a number of important and significant limitations, qualifications and exceptions. The 2024 Indenture also contains customary events of default.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2023, the Issuers completed a private offering of $2.6 billion aggregate principal amount of the February 2028 Secured Notes. The Issuers used the net proceeds from the offering to fund the redemption in full of the Issuers’ outstanding 7.875% senior secured notes due 2025 (the "2025 Secured Notes"), to repay outstanding borrowings under the Revolving Credit Facility and to pay any related premiums, fees and expenses in connection with the foregoing. On February 14, 2023, the Issuers deposited the full redemption price of $2.25 billion for the 2025 Secured Notes with the trustee and satisfied and discharged their obligations with respect to the 2025 Secured Notes at such time. During the first quarter of 2023, we recorded $32.3 million of loss on the extinguishment of the 2025 Secured Notes within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expense, net on the Condensed Consolidation Statements of Income (Loss), which includes $10.3 million of non-cash interest expense for the write off of the unamortized discount and deferred financing costs and $22.0 million of cash interest expense for the redemption premium. </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Exchangeable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Exchangeable Notes matured on June 15, 2024, and the principal balance of $122.9 million was repaid.</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Asset-Backed Bridge Loan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2024, ABS Bridge Borrower and the other ABS Bridge Loan Parties entered into the ABS Loan Agreement, which provides for a secured, multi-draw term loan facility of up to $350 million (the “ABS Loan Facility”). On March 1, 2024 (the “ABS Loan Closing Date”), the ABS Bridge Borrower made an initial drawing under the ABS Loan Facility in a principal amount of $275 million. Amounts borrowed under the ABS Loan Facility may not be reborrowed. Unless otherwise terminated pursuant to the terms of the ABS Loan Agreement, the ABS Loan Facility matures on the date that is 18 months from the ABS Loan Closing Date. The Company intends to refinance the ABS Loan Facility in full with proceeds from a long-term asset-backed securitized debt offering secured primarily by certain Uniti Fiber network assets.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outstanding under the ABS Loan Facility bear interest at a floating rate equal to, at the Company’s option, either (i) the one-month or three-month SOFR, plus a spread of 3.75% per annum or (ii) Base Rate (as defined in the ABS Loan Agreement), plus a spread of 2.75% per annum; provided that the spread will automatically increase to (a) 4.50% per annum in the case of loans bearing interest based on SOFR and 3.50% per annum in the case of loans bearing interest based on Base Rate, in each case to the extent outstanding on and after the date that is 12 months following the ABS Loan Closing Date and (b) 5.25% per annum in the case of loans bearing interest based on SOFR and 4.25% per annum in the case of loans bearing interest based on Base Rate, in each case to the extent outstanding on and after the date that is 15 months following the ABS Loan Closing Date. The Company capped SOFR interest expense at 4.50% for the duration of the ABS Loan Facility pursuant to the ABS Loan Interest Rate Cap (see Note 7).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ABS Loan Facility, the Company formed Uniti Fiber ABS Parent LLC, an indirect subsidiary of the Company that qualifies as a bankruptcy-remote special purpose entity (“ABS Parent”), and directed the formation of the ABS Bridge Loan Parties, which are direct or indirect wholly-owned subsidiaries of ABS Parent. Each of the ABS Bridge Loan Parties is a special purpose, bankruptcy-remote, indirect subsidiary of the Company. The ABS Loan Facility is secured by equity in the ABS Bridge Borrower and substantially all of the assets of the ABS Bridge Loan Parties (subject to certain customary limited exceptions) and is non-recourse to the Company. Each of the ABS Bridge Loan Parties and ABS Parent was designated as an unrestricted subsidiary under the Credit Agreement and the applicable indentures governing the Company’s outstanding senior notes. The assets of the ABS Bridge Loan Parties will only be available for payment of the obligations arising under the ABS Loan Agreement and will not be available to pay any obligations or claims of the Company’s other creditors.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initial funding under the ABS Loan Facility on the ABS Loan Closing Date, the Company, directly or indirectly, (i) transferred certain Uniti Fiber non-regulated and interstate customer contracts and related equipment to the ABS Bridge Loan Parties and (ii) granted an indefeasible right of use in the related fiber network assets to such ABS Bridge Loan Parties. In addition, certain of the ABS Bridge Loan Parties entered into a management agreement (the “Management Agreement”) with Uniti Fiber Holdings Inc. (in its capacity as manager thereunder, the “Manager”), pursuant to which the Manager is responsible for servicing and administering the assets securing the ABS Loan Facility and is permitted to make reimbursable servicing advances in respect of the collateral securing the ABS Loan Facility under certain circumstances.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ABS Loan Agreement contains customary covenants limiting the ability of the ABS Bridge Loan Parties to: incur or guarantee additional indebtedness; pay dividends or distributions on, or redeem or repurchase, capital stock; make certain investments or other restricted payments; sell fiber network assets; enter into transactions with the Company and other affiliates; and create restrictions on the ability of the ABS Bridge Loan Parties to incur liens on their assets constituting collateral to secure obligations under the ABS Loan Agreement. These covenants are subject to a number of limitations, qualifications and exceptions. The ABS Loan Agreement also contains a maximum leverage financial maintenance covenant and customary events of default. </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Deferred Financing Cost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financing costs were incurred in connection with the issuance of the Notes and our entry into the Revolving Credit Facility and the ABS Loan Facility. These costs are amortized using the effective interest method over the term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related indebtedness and are included in interest expense in our Condensed Consolidated Statements of Income. For the three and six months ended June 30, 2024, we recognized $6.1 million and $11.1 million, respectively, of non-cash interest expense related to the amortization of deferred financing costs. For the three and six months ended June 30, 2023, we recognized $4.4 million and $9.2 million, respectively, of non-cash interest expense related to the amortization of deferred financing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10. Earnings Per Share</w:t>
      </w:r>
    </w:p>
    <w:p>
      <w:pPr>
        <w:pStyle w:val="TextBody"/>
        <w:bidi w:val="0"/>
        <w:spacing w:lineRule="auto" w:line="288" w:before="240" w:after="283"/>
        <w:jc w:val="left"/>
        <w:rPr/>
      </w:pPr>
      <w:r>
        <w:rPr>
          <w:rFonts w:ascii="Times New Roman;sans-serif" w:hAnsi="Times New Roman;sans-serif"/>
          <w:b w:val="false"/>
          <w:color w:val="000000"/>
          <w:sz w:val="20"/>
        </w:rPr>
        <w:t xml:space="preserve">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Times New Roman;sans-serif" w:hAnsi="Times New Roman;sans-serif"/>
          <w:b w:val="false"/>
          <w:i/>
          <w:color w:val="000000"/>
          <w:sz w:val="20"/>
        </w:rPr>
        <w:t>Earnings per Share</w:t>
      </w:r>
      <w:r>
        <w:rPr>
          <w:color w:val="000000"/>
        </w:rPr>
        <w:t xml:space="preserve"> </w:t>
      </w:r>
      <w:r>
        <w:rPr>
          <w:rFonts w:ascii="Times New Roman;sans-serif" w:hAnsi="Times New Roman;sans-serif"/>
          <w:b w:val="false"/>
          <w:color w:val="000000"/>
          <w:sz w:val="20"/>
        </w:rPr>
        <w:t>(“ASC 260”).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pStyle w:val="TextBody"/>
        <w:bidi w:val="0"/>
        <w:spacing w:lineRule="auto" w:line="288" w:before="240" w:after="283"/>
        <w:jc w:val="left"/>
        <w:rPr/>
      </w:pPr>
      <w:r>
        <w:rPr>
          <w:rFonts w:ascii="Times New Roman;sans-serif" w:hAnsi="Times New Roman;sans-serif"/>
          <w:b w:val="false"/>
          <w:color w:val="000000"/>
          <w:sz w:val="20"/>
        </w:rPr>
        <w:t>The dilutive effect of the Exchangeable Notes, which were repaid on June 15, 2024 (</w:t>
      </w:r>
      <w:hyperlink w:anchor="i610e843df81b4079b099dcecd0058f2a_61">
        <w:r>
          <w:rPr>
            <w:rStyle w:val="InternetLink"/>
          </w:rPr>
          <w:t>s</w:t>
        </w:r>
      </w:hyperlink>
      <w:hyperlink w:anchor="i610e843df81b4079b099dcecd0058f2a_61">
        <w:r>
          <w:rPr>
            <w:rStyle w:val="InternetLink"/>
          </w:rPr>
          <w:t>ee Note 9</w:t>
        </w:r>
      </w:hyperlink>
      <w:r>
        <w:rPr>
          <w:rFonts w:ascii="Times New Roman;sans-serif" w:hAnsi="Times New Roman;sans-serif"/>
          <w:b w:val="false"/>
          <w:color w:val="000000"/>
          <w:sz w:val="20"/>
        </w:rPr>
        <w:t>), and the Convertible 2027 Notes is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number of weighted average shares. The dilutive effect of the Warrants (</w:t>
      </w:r>
      <w:hyperlink w:anchor="i610e843df81b4079b099dcecd0058f2a_55">
        <w:r>
          <w:rPr>
            <w:rStyle w:val="InternetLink"/>
            <w:rFonts w:ascii="Times New Roman;sans-serif" w:hAnsi="Times New Roman;sans-serif"/>
            <w:b w:val="false"/>
            <w:color w:val="0000FF"/>
            <w:sz w:val="20"/>
            <w:u w:val="single"/>
          </w:rPr>
          <w:t>see Note 7</w:t>
        </w:r>
      </w:hyperlink>
      <w:r>
        <w:rPr>
          <w:rFonts w:ascii="Times New Roman;sans-serif" w:hAnsi="Times New Roman;sans-serif"/>
          <w:b w:val="false"/>
          <w:color w:val="000000"/>
          <w:sz w:val="20"/>
        </w:rPr>
        <w:t>) is calculated using the treasury-stock method. During the three and six months ended June 30, 2024 and 2023, the Warrants were excluded from diluted shares outstanding because the exercise price exceeded the average market price of our common stock for the reporting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sets forth the computation of basic and diluted earnings per share under the two-class method:</w:t>
      </w:r>
    </w:p>
    <w:tbl>
      <w:tblPr>
        <w:tblW w:w="9776" w:type="dxa"/>
        <w:jc w:val="center"/>
        <w:tblInd w:w="0" w:type="dxa"/>
        <w:tblLayout w:type="fixed"/>
        <w:tblCellMar>
          <w:top w:w="28" w:type="dxa"/>
          <w:left w:w="28" w:type="dxa"/>
          <w:bottom w:w="28" w:type="dxa"/>
          <w:right w:w="28" w:type="dxa"/>
        </w:tblCellMar>
      </w:tblPr>
      <w:tblGrid>
        <w:gridCol w:w="1579"/>
        <w:gridCol w:w="1391"/>
        <w:gridCol w:w="1394"/>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157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3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(loss)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94"/>
        <w:gridCol w:w="1498"/>
        <w:gridCol w:w="150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5"/>
      </w:tblGrid>
      <w:tr>
        <w:trPr/>
        <w:tc>
          <w:tcPr>
            <w:tcW w:w="1794"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7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on if-converted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non-participating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on if-converted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for dilutive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1,412,563 non-participating securities were excluded from the computation of earnings per share, as their performance conditions have not been met. For the three and six months ended June 30, 2024, we excluded 52,910,874 and 54,070,019 potential common shares related to the Exchangeable Notes and the Convertible Notes, respectively, from the computation of earnings per share, as their effect would have been anti-dilutive. For the three and six months ended June 30, 2023, 1,053,189 non-participating securities were excluded from the computation of earnings per share, as their performance conditions have not been met. For the three and six months ended June 30, 2023, we excluded 53,455,231 and 54,082,264 potential common shares related to the Exchangeable Notes and the Convertible Notes, respectively, from the computation of earnings per share, as their effect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11. Segment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who is our chief operating decision maker, manages our operations as two reportable segments, in addition to our corporate operations, which include:</w:t>
      </w:r>
    </w:p>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rFonts w:ascii="Times New Roman;sans-serif" w:hAnsi="Times New Roman;sans-serif"/>
          <w:b w:val="false"/>
          <w:color w:val="000000"/>
          <w:sz w:val="20"/>
        </w:rPr>
        <w:t>: Represents the operations of our leasing business which is engaged in the acquisition and construction of mission-critical communications assets and leasing them to anchor customers on either an exclusive or shared-tenant basis, in addition to the leasing of dark fiber on our existing dark fiber network assets that we either constructed or acquired. While the Leasing segment represents our REIT operations, certain aspects of the Leasing segment are also operated through taxable REIT subsidiaries.</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rFonts w:ascii="Times New Roman;sans-serif" w:hAnsi="Times New Roman;sans-serif"/>
          <w:b w:val="false"/>
          <w:color w:val="000000"/>
          <w:sz w:val="20"/>
        </w:rPr>
        <w:t>: Represents the operations of our fiber business which is a leading provider of infrastructure solutions, including cell site backhaul and dark fiber, to the telecommunications industry.</w:t>
      </w:r>
    </w:p>
    <w:p>
      <w:pPr>
        <w:pStyle w:val="TextBody"/>
        <w:bidi w:val="0"/>
        <w:spacing w:lineRule="auto" w:line="288" w:before="240" w:after="283"/>
        <w:jc w:val="left"/>
        <w:rPr/>
      </w:pPr>
      <w:r>
        <w:rPr>
          <w:rFonts w:ascii="Times New Roman;sans-serif" w:hAnsi="Times New Roman;sans-serif"/>
          <w:b w:val="false"/>
          <w:i/>
          <w:color w:val="000000"/>
          <w:sz w:val="20"/>
          <w:u w:val="single"/>
        </w:rPr>
        <w:t>Corporate</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Represents our corporate office and shared service functions. Certain costs and expenses, primarily related to headcount, information technology systems, insurance, professional fees and similar charges, that are directly attributable to operations of our business segments are allocated to the respective segments.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evaluates the performance of each segment using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Selected financial data related to our segments is presented below for the three and six months ended June 30, 2024 and 2023:</w:t>
      </w:r>
    </w:p>
    <w:tbl>
      <w:tblPr>
        <w:tblW w:w="10026" w:type="dxa"/>
        <w:jc w:val="left"/>
        <w:tblInd w:w="0" w:type="dxa"/>
        <w:tblLayout w:type="fixed"/>
        <w:tblCellMar>
          <w:top w:w="28" w:type="dxa"/>
          <w:left w:w="28" w:type="dxa"/>
          <w:bottom w:w="28" w:type="dxa"/>
          <w:right w:w="28" w:type="dxa"/>
        </w:tblCellMar>
      </w:tblPr>
      <w:tblGrid>
        <w:gridCol w:w="1063"/>
        <w:gridCol w:w="936"/>
        <w:gridCol w:w="941"/>
        <w:gridCol w:w="109"/>
        <w:gridCol w:w="109"/>
        <w:gridCol w:w="109"/>
        <w:gridCol w:w="211"/>
        <w:gridCol w:w="826"/>
        <w:gridCol w:w="109"/>
        <w:gridCol w:w="109"/>
        <w:gridCol w:w="109"/>
        <w:gridCol w:w="109"/>
        <w:gridCol w:w="211"/>
        <w:gridCol w:w="721"/>
        <w:gridCol w:w="109"/>
        <w:gridCol w:w="109"/>
        <w:gridCol w:w="109"/>
        <w:gridCol w:w="109"/>
        <w:gridCol w:w="211"/>
        <w:gridCol w:w="691"/>
        <w:gridCol w:w="109"/>
        <w:gridCol w:w="109"/>
        <w:gridCol w:w="109"/>
        <w:gridCol w:w="109"/>
        <w:gridCol w:w="457"/>
        <w:gridCol w:w="1790"/>
        <w:gridCol w:w="333"/>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Subtotal of Reportable Segments </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294,947 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236,659 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127,475 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78,052 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18,281 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56"/>
        <w:gridCol w:w="1122"/>
        <w:gridCol w:w="1128"/>
        <w:gridCol w:w="109"/>
        <w:gridCol w:w="109"/>
        <w:gridCol w:w="109"/>
        <w:gridCol w:w="211"/>
        <w:gridCol w:w="826"/>
        <w:gridCol w:w="109"/>
        <w:gridCol w:w="109"/>
        <w:gridCol w:w="109"/>
        <w:gridCol w:w="109"/>
        <w:gridCol w:w="211"/>
        <w:gridCol w:w="721"/>
        <w:gridCol w:w="109"/>
        <w:gridCol w:w="109"/>
        <w:gridCol w:w="109"/>
        <w:gridCol w:w="109"/>
        <w:gridCol w:w="211"/>
        <w:gridCol w:w="666"/>
        <w:gridCol w:w="109"/>
        <w:gridCol w:w="109"/>
        <w:gridCol w:w="109"/>
        <w:gridCol w:w="109"/>
        <w:gridCol w:w="357"/>
        <w:gridCol w:w="1398"/>
        <w:gridCol w:w="263"/>
      </w:tblGrid>
      <w:tr>
        <w:trPr/>
        <w:tc>
          <w:tcPr>
            <w:tcW w:w="145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2"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3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Subtotal of Reportable Segments </w:t>
            </w:r>
          </w:p>
        </w:tc>
      </w:tr>
      <w:tr>
        <w:trPr/>
        <w:tc>
          <w:tcPr>
            <w:tcW w:w="3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283,698 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228,167 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25,638 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190" w:type="dxa"/>
        <w:jc w:val="center"/>
        <w:tblInd w:w="0" w:type="dxa"/>
        <w:tblLayout w:type="fixed"/>
        <w:tblCellMar>
          <w:top w:w="28" w:type="dxa"/>
          <w:left w:w="28" w:type="dxa"/>
          <w:bottom w:w="28" w:type="dxa"/>
          <w:right w:w="28" w:type="dxa"/>
        </w:tblCellMar>
      </w:tblPr>
      <w:tblGrid>
        <w:gridCol w:w="1063"/>
        <w:gridCol w:w="936"/>
        <w:gridCol w:w="941"/>
        <w:gridCol w:w="109"/>
        <w:gridCol w:w="109"/>
        <w:gridCol w:w="109"/>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449"/>
        <w:gridCol w:w="1758"/>
        <w:gridCol w:w="327"/>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3"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Subtotal of Reportable Segments</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581,365 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465,287 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250,686 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155,537 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(18,999)</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(7,934)</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59,629 </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18"/>
        <w:gridCol w:w="1074"/>
        <w:gridCol w:w="1080"/>
        <w:gridCol w:w="109"/>
        <w:gridCol w:w="109"/>
        <w:gridCol w:w="109"/>
        <w:gridCol w:w="211"/>
        <w:gridCol w:w="826"/>
        <w:gridCol w:w="109"/>
        <w:gridCol w:w="109"/>
        <w:gridCol w:w="109"/>
        <w:gridCol w:w="109"/>
        <w:gridCol w:w="211"/>
        <w:gridCol w:w="826"/>
        <w:gridCol w:w="109"/>
        <w:gridCol w:w="109"/>
        <w:gridCol w:w="109"/>
        <w:gridCol w:w="109"/>
        <w:gridCol w:w="211"/>
        <w:gridCol w:w="769"/>
        <w:gridCol w:w="109"/>
        <w:gridCol w:w="109"/>
        <w:gridCol w:w="109"/>
        <w:gridCol w:w="109"/>
        <w:gridCol w:w="344"/>
        <w:gridCol w:w="1347"/>
        <w:gridCol w:w="253"/>
      </w:tblGrid>
      <w:tr>
        <w:trPr/>
        <w:tc>
          <w:tcPr>
            <w:tcW w:w="141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35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Subtotal of Reportable Segments</w:t>
            </w:r>
          </w:p>
        </w:tc>
      </w:tr>
      <w:tr>
        <w:trPr/>
        <w:tc>
          <w:tcPr>
            <w:tcW w:w="35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573,520 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459,368 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268,552 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154,042 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8,364 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12. Commitments and Contingencies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Windstream Commitments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consummation of our settlement agreement with Windstream, including entry into the Windstream Leases, we are obligated to make $490.1 million of cash payments to Windstream in equal installments over 20 consecutive quarters beginning in October 2020, and Uniti may prepay any installments due on or after the first anniversary of the settlement agreement (discounted at a 9% rate). As of June 30, 2024, the Company has made payments totaling $362.4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beginning in October 2020, we became obligated to reimburse Windstream for up to an aggregate of $1.75 billion for certain growth capital improvements in long-term fiber and related assets made by Windstream (“Growth Capital Improvements”) through 2029. Uniti’s reimbursement commitment for Growth Capital Improvements does not require Uniti to reimburse Windstream for maintenance or repair expenditures (except for costs incurred for fiber replacements to the property leased under the competitive local exchange carrier master lease agreement,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2023, and are limited to $225 million per year in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During the six months ended June 30, 2024, Uniti reimbursed $196.7 million of Growth Capital Improvements, of which $104.6 million represented the reimbursement of capital improvements completed in 2023 that were previously classified as tenant funded capital improvements. As of the date of this Quarterly Report on Form 10-Q, we have reimbursed a total of $1.0 billion of Growth Capital Improvements. Upon reimbursement, the Company reduced the unamortized portion of deferred revenue related to these capital improvements and capitalized the difference between the cash provided to Windstream and the unamortized deferred revenue as a lease incentive which will be amortized as a reduction to revenue over the initial term of the Windstream 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No loans have been made under the Equipment Loan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13. Accumulated Other Comprehensive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accumulated other comprehensive loss by component is as follows for the three and six months ended June 30, 2024 and 2023:</w:t>
      </w:r>
    </w:p>
    <w:tbl>
      <w:tblPr>
        <w:tblW w:w="10205" w:type="dxa"/>
        <w:jc w:val="center"/>
        <w:tblInd w:w="0" w:type="dxa"/>
        <w:tblLayout w:type="fixed"/>
        <w:tblCellMar>
          <w:top w:w="28" w:type="dxa"/>
          <w:left w:w="28" w:type="dxa"/>
          <w:bottom w:w="28" w:type="dxa"/>
          <w:right w:w="28" w:type="dxa"/>
        </w:tblCellMar>
      </w:tblPr>
      <w:tblGrid>
        <w:gridCol w:w="1955"/>
        <w:gridCol w:w="1659"/>
        <w:gridCol w:w="1669"/>
        <w:gridCol w:w="109"/>
        <w:gridCol w:w="109"/>
        <w:gridCol w:w="109"/>
        <w:gridCol w:w="242"/>
        <w:gridCol w:w="613"/>
        <w:gridCol w:w="125"/>
        <w:gridCol w:w="125"/>
        <w:gridCol w:w="125"/>
        <w:gridCol w:w="125"/>
        <w:gridCol w:w="242"/>
        <w:gridCol w:w="467"/>
        <w:gridCol w:w="125"/>
        <w:gridCol w:w="109"/>
        <w:gridCol w:w="109"/>
        <w:gridCol w:w="109"/>
        <w:gridCol w:w="231"/>
        <w:gridCol w:w="513"/>
        <w:gridCol w:w="119"/>
        <w:gridCol w:w="119"/>
        <w:gridCol w:w="119"/>
        <w:gridCol w:w="119"/>
        <w:gridCol w:w="231"/>
        <w:gridCol w:w="446"/>
        <w:gridCol w:w="182"/>
      </w:tblGrid>
      <w:tr>
        <w:trPr/>
        <w:tc>
          <w:tcPr>
            <w:tcW w:w="1955"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528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2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 attributable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Other comprehensive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2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Note 14. Capital Stock</w: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limited partnership interests in our operating partnership (commonly called “OP Units”), are exchangeable on a one-for-one basis for shares of our common stock or, at our election, cash of equivalent value. During the three and six months ended June 30, 2024, the Company exchanged 68,384 OP Units held by third parties, of which 53,662 OP Units were exchanged for an equal number of shares of our common stock and 14,722 OP Units were purchased for cash consideration of $0.1 million, representing approximately 65% of the OP Units held by third parties with a carrying value of $1.3 million as of the exchange dates.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jc w:val="left"/>
        <w:rPr/>
      </w:pPr>
      <w:r>
        <w:rPr>
          <w:rFonts w:ascii="Times New Roman;sans-serif" w:hAnsi="Times New Roman;sans-serif"/>
          <w:b w:val="false"/>
          <w:color w:val="000000"/>
          <w:sz w:val="20"/>
        </w:rPr>
        <w:t xml:space="preserve">The following management’s discussion and analysis of financial condition and results of operations describes the principal factors affecting the results of our operations, financial condition, and changes in financial condition for the three and six months ended June 30, 2024. This discussion should be read in conjunction with the accompanying Condensed Consolidated Financial Statements, and the notes thereto set forth in Part I, Item 1 "Financial Statements" of this Quarterly Report on Form 10-Q and our Annual Report on Form 10-K filed with the U.S. Securities and Exchange Commission (“SEC”) on February 29, 2024, as amended by Amendment No. 1 and Amendment No. 2 thereto filed on Form 10-K/A with the SEC on March 26, 2024 and </w:t>
      </w:r>
      <w:r>
        <w:rPr>
          <w:rFonts w:ascii="Times New Roman;sans-serif" w:hAnsi="Times New Roman;sans-serif"/>
          <w:b w:val="false"/>
          <w:color w:val="000000"/>
          <w:sz w:val="20"/>
          <w:shd w:fill="FFFFFF" w:val="clear"/>
        </w:rPr>
        <w:t>March 27, 2024</w:t>
      </w:r>
      <w:r>
        <w:rPr>
          <w:rFonts w:ascii="Arial;sans-serif" w:hAnsi="Arial;sans-serif"/>
          <w:b w:val="false"/>
          <w:color w:val="000000"/>
          <w:sz w:val="24"/>
        </w:rPr>
        <w:t xml:space="preserve">, </w:t>
      </w:r>
      <w:r>
        <w:rPr>
          <w:rFonts w:ascii="Times New Roman;sans-serif" w:hAnsi="Times New Roman;sans-serif"/>
          <w:b w:val="false"/>
          <w:color w:val="000000"/>
          <w:sz w:val="20"/>
        </w:rPr>
        <w:t>respectively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Company Description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Group Inc. (the “Company”, “Uniti”, “we”, “us” or “our”) is an independent, internally managed real estate investment trust (“REIT”) engaged in the acquisition and construction of mission critical infrastructure in the communications industry. We are principally focused on acquiring and constructing fiber optic, copper and coaxial broadband networks and data centers.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24, 2015, we were separated and spun-off (the “Spin-Off”) from Windstream Holdings, Inc. (“Windstream Holdings” and together with Windstream Holdings II, LLC, its successor in interest, and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CLEC operations.</w:t>
      </w:r>
    </w:p>
    <w:p>
      <w:pPr>
        <w:pStyle w:val="TextBody"/>
        <w:bidi w:val="0"/>
        <w:spacing w:lineRule="auto" w:line="288" w:before="240" w:after="283"/>
        <w:jc w:val="left"/>
        <w:rPr/>
      </w:pPr>
      <w:r>
        <w:rPr>
          <w:rFonts w:ascii="Times New Roman;sans-serif" w:hAnsi="Times New Roman;sans-serif"/>
          <w:b w:val="false"/>
          <w:color w:val="000000"/>
          <w:sz w:val="20"/>
        </w:rPr>
        <w:t xml:space="preserve">Uniti operates as a REIT for U.S. federal income tax purposes. As a REIT, the Company is generally not subject to U.S. federal income taxes on income generated by its REIT operations, which includes income derived from the </w:t>
      </w:r>
      <w:r>
        <w:rPr>
          <w:rFonts w:ascii="Times New Roman;sans-serif" w:hAnsi="Times New Roman;sans-serif"/>
          <w:b w:val="false"/>
          <w:color w:val="000000"/>
          <w:sz w:val="20"/>
          <w:shd w:fill="FFFFFF" w:val="clear"/>
        </w:rPr>
        <w:t>Windstream Leases</w:t>
      </w:r>
      <w:r>
        <w:rPr>
          <w:rFonts w:ascii="Times New Roman;sans-serif" w:hAnsi="Times New Roman;sans-serif"/>
          <w:b w:val="false"/>
          <w:color w:val="000000"/>
          <w:sz w:val="20"/>
        </w:rPr>
        <w:t>. We have elected to treat the subsidiaries through which we operate our fiber business, Uniti Fiber, and certain aspects of our leasing business, Uniti Leasing, as taxable REIT subsidiaries (“TRSs”). TRSs enable us to engage in activities that result in income that does not constitute qualifying income for a REIT. Our TRSs are subject to U.S. federal, state and local corporate income taxes.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June 30, 2024, we are the sole general partner of the Operating Partnership and own approximately 99.98% of the partnership interests in the Operating Partnership. In addition, we have undertaken a series of transactions to permit us to hold certain assets through subsidiaries that are taxed as REITs, which may also facilitate future acquisition opportunities.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aim to grow and diversify our portfolio and tenant base by pursuing a range of transaction structures with communication service providers, including (i) sale-leaseback transactions, whereby we acquire existing infrastructure assets from third parties, including communication service providers, and lease them back on a long-term triple-net basis; (ii) leasing of dark fiber and selling of lit services on our existing fiber network assets that we either constructed or acquired; (iii) whole company acquisitions, which may include the use of one or more TRSs that are permitted under the tax laws to acquire and operate non-REIT businesses and assets subject to certain limitations; (iv) capital investment financing, whereby we offer communication service providers a cost efficient method of raising funds for discrete capital investments to upgrade or expand their network; and (v) mergers and acquisitions financing, whereby we facilitate mergers and acquisition transactions as a capital partner, including through operating company-property company (“OpCo-PropCo”) structures.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240" w:after="283"/>
        <w:jc w:val="left"/>
        <w:rPr/>
      </w:pPr>
      <w:r>
        <w:rPr>
          <w:rFonts w:ascii="Times New Roman;sans-serif" w:hAnsi="Times New Roman;sans-serif"/>
          <w:b w:val="false"/>
          <w:color w:val="000000"/>
          <w:sz w:val="20"/>
        </w:rPr>
        <w:t>We manage our operations as</w:t>
      </w:r>
      <w:r>
        <w:rPr>
          <w:color w:val="000000"/>
          <w:shd w:fill="FFFFFF" w:val="clear"/>
        </w:rPr>
        <w:t xml:space="preserve"> </w:t>
      </w:r>
      <w:r>
        <w:rPr>
          <w:rFonts w:ascii="Times New Roman;sans-serif" w:hAnsi="Times New Roman;sans-serif"/>
          <w:b w:val="false"/>
          <w:color w:val="000000"/>
          <w:sz w:val="20"/>
        </w:rPr>
        <w:t>two</w:t>
      </w:r>
      <w:r>
        <w:rPr>
          <w:color w:val="000000"/>
          <w:shd w:fill="FFFFFF" w:val="clear"/>
        </w:rPr>
        <w:t xml:space="preserve"> </w:t>
      </w:r>
      <w:r>
        <w:rPr>
          <w:rFonts w:ascii="Times New Roman;sans-serif" w:hAnsi="Times New Roman;sans-serif"/>
          <w:b w:val="false"/>
          <w:color w:val="000000"/>
          <w:sz w:val="20"/>
          <w:shd w:fill="FFFFFF" w:val="clear"/>
        </w:rPr>
        <w:t>reportable business segments, in addition to our corporate operations, which include:</w:t>
      </w:r>
    </w:p>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rFonts w:ascii="Times New Roman;sans-serif" w:hAnsi="Times New Roman;sans-serif"/>
          <w:b w:val="false"/>
          <w:color w:val="000000"/>
          <w:sz w:val="20"/>
        </w:rPr>
        <w:t>: Represents the operations of our leasing business, which is engaged in the acquisition and construction of mission-critical communications assets and leasing them to anchor customers on either an exclusive or shared-tenant basis, in addition to the leasing of dark fiber on our existing fiber network assets that we either constructed or acquired. While the Leasing segment represents our REIT operations, certain aspects of the Leasing segment are operated through TRSs.</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rFonts w:ascii="Times New Roman;sans-serif" w:hAnsi="Times New Roman;sans-serif"/>
          <w:b w:val="false"/>
          <w:color w:val="000000"/>
          <w:sz w:val="20"/>
        </w:rPr>
        <w:t>: Represents the operations of our fiber business, which is a leading provider of infrastructure solutions, including cell site backhaul and dark fiber, to the telecommunications industry.</w:t>
      </w:r>
    </w:p>
    <w:p>
      <w:pPr>
        <w:pStyle w:val="TextBody"/>
        <w:bidi w:val="0"/>
        <w:spacing w:lineRule="auto" w:line="288" w:before="240" w:after="283"/>
        <w:jc w:val="left"/>
        <w:rPr/>
      </w:pPr>
      <w:r>
        <w:rPr>
          <w:rFonts w:ascii="Times New Roman;sans-serif" w:hAnsi="Times New Roman;sans-serif"/>
          <w:b w:val="false"/>
          <w:i/>
          <w:color w:val="000000"/>
          <w:sz w:val="20"/>
          <w:u w:val="single"/>
        </w:rPr>
        <w:t>Corporate</w:t>
      </w:r>
      <w:r>
        <w:rPr>
          <w:rFonts w:ascii="Times New Roman;sans-serif" w:hAnsi="Times New Roman;sans-serif"/>
          <w:b w:val="false"/>
          <w:color w:val="000000"/>
          <w:sz w:val="20"/>
        </w:rPr>
        <w:t xml:space="preserve">: Represents our corporate office and shared service functions. Certain costs and expenses, primarily related to headcount, information technology systems, insurance, professional fees and similar charges, that are directly attributable to operations of our business segments are allocated to the respective segments.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severance costs, costs related to the settlement with Windstream, amortization of non-cash rights-of-use assets, the write off of unamortized deferred financing costs, costs incurred as a result of the early repayment of debt, including early tender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w:t>
      </w:r>
      <w:r>
        <w:rPr>
          <w:rFonts w:ascii="Times New Roman;sans-serif" w:hAnsi="Times New Roman;sans-serif"/>
          <w:b w:val="false"/>
          <w:color w:val="000000"/>
          <w:sz w:val="20"/>
          <w:shd w:fill="FFFFFF" w:val="clear"/>
        </w:rPr>
        <w:t xml:space="preserve">. For more information on Adjusted EBITDA, see “Non-GAAP Financial Measures.” </w:t>
      </w:r>
      <w:r>
        <w:rPr>
          <w:rFonts w:ascii="Times New Roman;sans-serif" w:hAnsi="Times New Roman;sans-serif"/>
          <w:b w:val="false"/>
          <w:color w:val="000000"/>
          <w:sz w:val="20"/>
        </w:rPr>
        <w:t>Detailed information about our segments can be found in Note 11 to our accompanying Condensed Consolidated Financial Statements contained in Part I, Item 1"Financial Statements" of this Quarterly Report on Form 10-Q.</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Significant Business Developments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Amendment to Credit Agreement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On June 17, 2024, the Operating Partnership, Uniti Group Finance 2019 Inc. and CSL Capital, LLC (together the “Borrowers”), each a subsidiary of the Company, entered into Amendment No. 9 (the “Amendment”) to </w:t>
      </w:r>
      <w:r>
        <w:rPr>
          <w:rFonts w:ascii="Times New Roman;sans-serif" w:hAnsi="Times New Roman;sans-serif"/>
          <w:b w:val="false"/>
          <w:color w:val="000000"/>
          <w:sz w:val="20"/>
          <w:shd w:fill="FFFFFF" w:val="clear"/>
        </w:rPr>
        <w:t xml:space="preserve">the </w:t>
      </w:r>
      <w:r>
        <w:rPr>
          <w:rFonts w:ascii="Times New Roman;sans-serif" w:hAnsi="Times New Roman;sans-serif"/>
          <w:b w:val="false"/>
          <w:color w:val="000000"/>
          <w:sz w:val="20"/>
        </w:rPr>
        <w:t>Credit Agreement (as defined herein). Pursuant to the Amendment, the Credit Agreement’s requirement for the Operating Partnership to use commercially reasonable efforts to maintain its status as a REIT will now terminate (i) at the end of the taxable year in which the Merger is consummated or, (ii) at December 31, 2024, if the Company determines that by reason of the Merger, the Company will cease to qualify as a REIT for the year during which the Merger is consummated.</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Issuance of Senior Secured Notes</w:t>
      </w:r>
    </w:p>
    <w:p>
      <w:pPr>
        <w:pStyle w:val="TextBody"/>
        <w:bidi w:val="0"/>
        <w:spacing w:lineRule="auto" w:line="268" w:before="240" w:after="283"/>
        <w:jc w:val="left"/>
        <w:rPr/>
      </w:pPr>
      <w:r>
        <w:rPr>
          <w:rFonts w:ascii="Times New Roman;sans-serif" w:hAnsi="Times New Roman;sans-serif"/>
          <w:b w:val="false"/>
          <w:color w:val="000000"/>
          <w:sz w:val="20"/>
        </w:rPr>
        <w:t xml:space="preserve">On May 17, 2024, the Operating Partnership, CSL Capital, LLC, Uniti Group Finance 2019 Inc. and Uniti Fiber Holdings Inc. (collectively, the “Issuers”) completed a private offering of $300.0 million aggregate principal amount of the </w:t>
      </w:r>
      <w:r>
        <w:rPr>
          <w:rFonts w:ascii="Times New Roman;sans-serif" w:hAnsi="Times New Roman;sans-serif"/>
          <w:b w:val="false"/>
          <w:color w:val="000000"/>
          <w:sz w:val="20"/>
          <w:shd w:fill="FFFFFF" w:val="clear"/>
        </w:rPr>
        <w:t>10.50% Senior Secured Notes due February 15, 2028 (the "Additional February 2028 Secured Notes")</w:t>
      </w:r>
      <w:r>
        <w:rPr>
          <w:rFonts w:ascii="Times New Roman;sans-serif" w:hAnsi="Times New Roman;sans-serif"/>
          <w:b w:val="false"/>
          <w:color w:val="000000"/>
          <w:sz w:val="20"/>
        </w:rPr>
        <w:t xml:space="preserve">. The Company filed to obtain regulatory approval to enable the subsidiaries that require regulatory approval prior to guaranteeing the </w:t>
      </w:r>
      <w:r>
        <w:rPr>
          <w:rFonts w:ascii="Times New Roman;sans-serif" w:hAnsi="Times New Roman;sans-serif"/>
          <w:b w:val="false"/>
          <w:color w:val="000000"/>
          <w:sz w:val="20"/>
          <w:shd w:fill="FFFFFF" w:val="clear"/>
        </w:rPr>
        <w:t>Additional February 2028 Secured Notes</w:t>
      </w:r>
      <w:r>
        <w:rPr>
          <w:color w:val="000000"/>
        </w:rPr>
        <w:t xml:space="preserve"> </w:t>
      </w:r>
      <w:r>
        <w:rPr>
          <w:rFonts w:ascii="Times New Roman;sans-serif" w:hAnsi="Times New Roman;sans-serif"/>
          <w:b w:val="false"/>
          <w:color w:val="000000"/>
          <w:sz w:val="20"/>
        </w:rPr>
        <w:t xml:space="preserve">(the “Regulated Subsidiaries”) to guarantee the </w:t>
      </w:r>
      <w:r>
        <w:rPr>
          <w:rFonts w:ascii="Times New Roman;sans-serif" w:hAnsi="Times New Roman;sans-serif"/>
          <w:b w:val="false"/>
          <w:color w:val="000000"/>
          <w:sz w:val="20"/>
          <w:shd w:fill="FFFFFF" w:val="clear"/>
        </w:rPr>
        <w:t xml:space="preserve">Additional February 2028 Secured </w:t>
      </w:r>
      <w:r>
        <w:rPr>
          <w:rFonts w:ascii="Times New Roman;sans-serif" w:hAnsi="Times New Roman;sans-serif"/>
          <w:b w:val="false"/>
          <w:color w:val="000000"/>
          <w:sz w:val="20"/>
        </w:rPr>
        <w:t xml:space="preserve">Notes, and it will use commercially reasonable efforts to obtain such approval. Upon the guarantee of the </w:t>
      </w:r>
      <w:r>
        <w:rPr>
          <w:rFonts w:ascii="Times New Roman;sans-serif" w:hAnsi="Times New Roman;sans-serif"/>
          <w:b w:val="false"/>
          <w:color w:val="000000"/>
          <w:sz w:val="20"/>
          <w:shd w:fill="FFFFFF" w:val="clear"/>
        </w:rPr>
        <w:t xml:space="preserve">Additional February 2028 Secured </w:t>
      </w:r>
      <w:r>
        <w:rPr>
          <w:rFonts w:ascii="Times New Roman;sans-serif" w:hAnsi="Times New Roman;sans-serif"/>
          <w:b w:val="false"/>
          <w:color w:val="000000"/>
          <w:sz w:val="20"/>
        </w:rPr>
        <w:t>Notes by each of the Regulated Subsidiaries that guarantee the Company’s existing 10.50% Senior Secured Notes due 2028, the Notes are expected to be mandatorily exchanged for 10.50% Senior Secured Notes due 2028 issued as “additional notes” under the indenture dated as of February 14, 2023 among Uniti, Uniti Group Finance, Uniti Fiber Holdings, CSL Capital, the guarantors party thereto and the trustee and collateral agent party thereto (the “2023 Indenture”). Such additional notes are expected to be part of the same series as the existing 10.50% Senior Secured Notes due 2028 issued under the 2023 Indenture, and are expected to have the same CUSIP number as, and be fungible with, the existing 10.50% Senior Secured Notes due 2028 issued under the 2023 Indenture.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The </w:t>
      </w:r>
      <w:r>
        <w:rPr>
          <w:rFonts w:ascii="Times New Roman;sans-serif" w:hAnsi="Times New Roman;sans-serif"/>
          <w:b w:val="false"/>
          <w:color w:val="000000"/>
          <w:sz w:val="20"/>
          <w:shd w:fill="FFFFFF" w:val="clear"/>
        </w:rPr>
        <w:t xml:space="preserve">Additional February 2028 Secured </w:t>
      </w:r>
      <w:r>
        <w:rPr>
          <w:rFonts w:ascii="Times New Roman;sans-serif" w:hAnsi="Times New Roman;sans-serif"/>
          <w:b w:val="false"/>
          <w:color w:val="000000"/>
          <w:sz w:val="20"/>
        </w:rPr>
        <w:t xml:space="preserve">Notes were issued at an issue price of 103.00% of their principal amount plus accrued interest from March 15, 2024 to, but excluding, May 17, 2024, pursuant to an Indenture, dated as of May 17, 2024, among the Issuers, the guarantors named therein (collectively, the “Guarantors”) and Deutsche Bank Trust Company Americas, as trustee (in such capacity, the “Trustee”) and as collateral agent. The </w:t>
      </w:r>
      <w:r>
        <w:rPr>
          <w:rFonts w:ascii="Times New Roman;sans-serif" w:hAnsi="Times New Roman;sans-serif"/>
          <w:b w:val="false"/>
          <w:color w:val="000000"/>
          <w:sz w:val="20"/>
          <w:shd w:fill="FFFFFF" w:val="clear"/>
        </w:rPr>
        <w:t xml:space="preserve">Additional February 2028 Secured </w:t>
      </w:r>
      <w:r>
        <w:rPr>
          <w:rFonts w:ascii="Times New Roman;sans-serif" w:hAnsi="Times New Roman;sans-serif"/>
          <w:b w:val="false"/>
          <w:color w:val="000000"/>
          <w:sz w:val="20"/>
        </w:rPr>
        <w:t xml:space="preserve">Notes mature on February 15, 2028 and bear interest at a rate of 10.50% per year. Interest on the </w:t>
      </w:r>
      <w:r>
        <w:rPr>
          <w:rFonts w:ascii="Times New Roman;sans-serif" w:hAnsi="Times New Roman;sans-serif"/>
          <w:b w:val="false"/>
          <w:color w:val="000000"/>
          <w:sz w:val="20"/>
          <w:shd w:fill="FFFFFF" w:val="clear"/>
        </w:rPr>
        <w:t xml:space="preserve">Additional February 2028 Secured </w:t>
      </w:r>
      <w:r>
        <w:rPr>
          <w:rFonts w:ascii="Times New Roman;sans-serif" w:hAnsi="Times New Roman;sans-serif"/>
          <w:b w:val="false"/>
          <w:color w:val="000000"/>
          <w:sz w:val="20"/>
        </w:rPr>
        <w:t>Notes is payable on March 15 and September 15 of each year, beginning on September 15, 2024.</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Note 9 to our accompanying Condensed Consolidated Financial Statements contained in Part I Item 1 "Financial Statements" of this Quarterly Report on Form 10-Q for additional information.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Our Proposed Merger with Windstream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 2024, the Company entered into an Agreement and Plan of Merger with Windstream Holdings II, LLC (the “Merger Agreement”) providing for a combination of the Company and Windstream such that, following a pre-closing reorganization of Windstream and the merger of the Company into an entity formed in such reorganization (the "Merger"), both the Company and Windstream will be indirect wholly owned subsidiaries of a recently formed company that in the reorganization will become the parent company of Windstream (“New Uniti”). Following the Merger, the common stock of New Uniti (“New Uniti Common Stock”) is expected to be listed on the Nasdaq.</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Merger intends to reunite Windstream’s business with the underlying fiber infrastructure owned by the Company to create a premier digital infrastructure company with a strong platform for value creation. Upon consummation of the Merger, the board of directors of New Uniti will initially comprise nine members, including five directors to be appointed by Uniti. It is expected that Uniti’s existing officers will serve as initial officers of New Uniti.</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the effective time of the Merger, each share of Uniti’s common stock that is issued and outstanding will automatically be cancelled and retired and converted into the right to a number of shares of New Uniti Common Stock pursuant to an exchange ratio set forth in the Merger Agreement such that the Company's and Windstream's stockholders are expected to hold approximately 62% and 38%, respectively, of the combined company before giving effect to the conversion of any outstanding convertible securities or the issuance of warrants to purchase New Uniti Common Stock referenced below.</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at the closing of the Merger, we will fund an aggregate cash payment of $425 million (less certain transaction expenses) that will be distributed to Windstream equityholders on a pro-rata basis (the “Merger Cash Consideration”). Windstream equityholders will also be entitled to pro rata distributions of (i) new shares of non-voting preferred stock of New Uniti with a dividend rate of 11% per year for the first six years, subject to an additional 0.5% per year during each of the seventh and eighth year after the initial issuance and further increased by an additional 1% per year during each subsequent year, subject to a cap of 16% per year and with an aggregate liquidation preference of $575 million, and (ii) warrants to purchase New Uniti Common Stock, with an exercise price of $0.01 per share, subject to customary adjustments, representing in the aggregate approximately 6.9% of the pro forma share total of New Uniti. We intend to fund the Merger Cash Consideration with cash on hand and borrowings under the Revolving Credit Facility (as defined herein).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Merger with Windstream is subject to customary closing conditions, including, among others, approval by our</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and receipt of required regulatory approvals, including the expiration or early termination of the waiting period under the Hart-Scott Rodino Antitrust Improvements Act of 1976 and the receipt of approvals from the Federal Communications Commission and certain state public utility commissions. We currently expect our Merger with Windstream to close in 2025.</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summary of the Merger Agreement and the transactions contemplated thereby does not purport to be complete and is qualified in its entirety by reference to the terms and conditions of the Merger Agreement, a copy of which is attached as Exhibit 2.1 to the Company’s Current Report on Form 8-K, filed on May 3, 2024.</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Merger, New Uniti will become an integrated telecommunications company. Initially, the legacy Uniti and Windstream organizational structures will remain separate, and the existing agreements and arrangements presently in effect between Uniti and Windstream, such as the Windstream Leases and the settlement agreement with Windstream, which requires Uniti to fund periodic settlement payments and reimburse Windstream for certain growth capital improvements, will remain in place. In addition, we have agreed to suspend dividend payments or other distributions until the consummation of the Merger, except for the dividend paid on June 28, 2024 and those dividends reasonably required for us or our subsidiaries to maintain our status as a REIT or to avoid the payment or imposition of income or excise tax, among other customary exceptions. All Windstream debt are expected to remain obligations of Windstream and our debt obligations are expected to remain as ours, with no cross-guarantees or credit support between the Company and Windstream. For a description of the Windstream Leases and the settlement agreement with Windstream, refer to “Liquidity and Capital Resources—Windstream Leases” within Part I, Item 2 "Management’s Discussion and Analysis of Financial Condition and Results of Operations" in this Quarterly Report on Form 10-Q. Finally, it is expected that, following consummation of the Merger, Uniti will cease to be a REIT for U.S. federal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June 30, 2024 and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expressed as dollars and as a percentage of total revenues for the periods indicated:</w:t>
      </w:r>
    </w:p>
    <w:tbl>
      <w:tblPr>
        <w:tblW w:w="10205" w:type="dxa"/>
        <w:jc w:val="center"/>
        <w:tblInd w:w="0" w:type="dxa"/>
        <w:tblLayout w:type="fixed"/>
        <w:tblCellMar>
          <w:top w:w="28" w:type="dxa"/>
          <w:left w:w="28" w:type="dxa"/>
          <w:bottom w:w="28" w:type="dxa"/>
          <w:right w:w="28" w:type="dxa"/>
        </w:tblCellMar>
      </w:tblPr>
      <w:tblGrid>
        <w:gridCol w:w="1806"/>
        <w:gridCol w:w="1376"/>
        <w:gridCol w:w="1383"/>
        <w:gridCol w:w="109"/>
        <w:gridCol w:w="109"/>
        <w:gridCol w:w="109"/>
        <w:gridCol w:w="211"/>
        <w:gridCol w:w="826"/>
        <w:gridCol w:w="109"/>
        <w:gridCol w:w="109"/>
        <w:gridCol w:w="109"/>
        <w:gridCol w:w="109"/>
        <w:gridCol w:w="331"/>
        <w:gridCol w:w="331"/>
        <w:gridCol w:w="333"/>
        <w:gridCol w:w="109"/>
        <w:gridCol w:w="109"/>
        <w:gridCol w:w="109"/>
        <w:gridCol w:w="211"/>
        <w:gridCol w:w="826"/>
        <w:gridCol w:w="109"/>
        <w:gridCol w:w="109"/>
        <w:gridCol w:w="109"/>
        <w:gridCol w:w="109"/>
        <w:gridCol w:w="305"/>
        <w:gridCol w:w="305"/>
        <w:gridCol w:w="435"/>
      </w:tblGrid>
      <w:tr>
        <w:trPr/>
        <w:tc>
          <w:tcPr>
            <w:tcW w:w="180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4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4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Revenues</w:t>
            </w:r>
          </w:p>
        </w:tc>
      </w:tr>
      <w:tr>
        <w:trPr/>
        <w:tc>
          <w:tcPr>
            <w:tcW w:w="4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rentals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74.2%</w:t>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rentals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79.0%</w:t>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w:t>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w:t>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w:t>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42.2%</w:t>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27.2%</w:t>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92.7%</w:t>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 and equity in earnings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w:t>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securities' share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revenues, Adjusted EBITDA and net income of our reportable segments for the three months ended June 30, 2024 and 2023:</w:t>
      </w:r>
    </w:p>
    <w:tbl>
      <w:tblPr>
        <w:tblW w:w="10026" w:type="dxa"/>
        <w:jc w:val="center"/>
        <w:tblInd w:w="0" w:type="dxa"/>
        <w:tblLayout w:type="fixed"/>
        <w:tblCellMar>
          <w:top w:w="28" w:type="dxa"/>
          <w:left w:w="28" w:type="dxa"/>
          <w:bottom w:w="28" w:type="dxa"/>
          <w:right w:w="28" w:type="dxa"/>
        </w:tblCellMar>
      </w:tblPr>
      <w:tblGrid>
        <w:gridCol w:w="1063"/>
        <w:gridCol w:w="936"/>
        <w:gridCol w:w="941"/>
        <w:gridCol w:w="109"/>
        <w:gridCol w:w="109"/>
        <w:gridCol w:w="109"/>
        <w:gridCol w:w="211"/>
        <w:gridCol w:w="826"/>
        <w:gridCol w:w="109"/>
        <w:gridCol w:w="109"/>
        <w:gridCol w:w="109"/>
        <w:gridCol w:w="109"/>
        <w:gridCol w:w="211"/>
        <w:gridCol w:w="721"/>
        <w:gridCol w:w="109"/>
        <w:gridCol w:w="109"/>
        <w:gridCol w:w="109"/>
        <w:gridCol w:w="109"/>
        <w:gridCol w:w="211"/>
        <w:gridCol w:w="691"/>
        <w:gridCol w:w="109"/>
        <w:gridCol w:w="109"/>
        <w:gridCol w:w="109"/>
        <w:gridCol w:w="109"/>
        <w:gridCol w:w="457"/>
        <w:gridCol w:w="1790"/>
        <w:gridCol w:w="333"/>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Subtotal of Reportable Segments </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294,947 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236,659 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127,475 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78,052 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18,281 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56"/>
        <w:gridCol w:w="1122"/>
        <w:gridCol w:w="1128"/>
        <w:gridCol w:w="109"/>
        <w:gridCol w:w="109"/>
        <w:gridCol w:w="109"/>
        <w:gridCol w:w="211"/>
        <w:gridCol w:w="826"/>
        <w:gridCol w:w="109"/>
        <w:gridCol w:w="109"/>
        <w:gridCol w:w="109"/>
        <w:gridCol w:w="109"/>
        <w:gridCol w:w="211"/>
        <w:gridCol w:w="721"/>
        <w:gridCol w:w="109"/>
        <w:gridCol w:w="109"/>
        <w:gridCol w:w="109"/>
        <w:gridCol w:w="109"/>
        <w:gridCol w:w="211"/>
        <w:gridCol w:w="666"/>
        <w:gridCol w:w="109"/>
        <w:gridCol w:w="109"/>
        <w:gridCol w:w="109"/>
        <w:gridCol w:w="109"/>
        <w:gridCol w:w="357"/>
        <w:gridCol w:w="1398"/>
        <w:gridCol w:w="263"/>
      </w:tblGrid>
      <w:tr>
        <w:trPr/>
        <w:tc>
          <w:tcPr>
            <w:tcW w:w="145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3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Subtotal of Reportable Segments </w:t>
            </w:r>
          </w:p>
        </w:tc>
      </w:tr>
      <w:tr>
        <w:trPr/>
        <w:tc>
          <w:tcPr>
            <w:tcW w:w="3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283,698 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228,167 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25,638 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Summary of Operating Metrics</w:t>
      </w:r>
    </w:p>
    <w:tbl>
      <w:tblPr>
        <w:tblW w:w="7039" w:type="dxa"/>
        <w:jc w:val="center"/>
        <w:tblInd w:w="0" w:type="dxa"/>
        <w:tblLayout w:type="fixed"/>
        <w:tblCellMar>
          <w:top w:w="28" w:type="dxa"/>
          <w:left w:w="28" w:type="dxa"/>
          <w:bottom w:w="28" w:type="dxa"/>
          <w:right w:w="28" w:type="dxa"/>
        </w:tblCellMar>
      </w:tblPr>
      <w:tblGrid>
        <w:gridCol w:w="700"/>
        <w:gridCol w:w="615"/>
        <w:gridCol w:w="619"/>
        <w:gridCol w:w="109"/>
        <w:gridCol w:w="109"/>
        <w:gridCol w:w="109"/>
        <w:gridCol w:w="488"/>
        <w:gridCol w:w="488"/>
        <w:gridCol w:w="156"/>
        <w:gridCol w:w="109"/>
        <w:gridCol w:w="109"/>
        <w:gridCol w:w="109"/>
        <w:gridCol w:w="488"/>
        <w:gridCol w:w="488"/>
        <w:gridCol w:w="156"/>
        <w:gridCol w:w="109"/>
        <w:gridCol w:w="109"/>
        <w:gridCol w:w="109"/>
        <w:gridCol w:w="544"/>
        <w:gridCol w:w="544"/>
        <w:gridCol w:w="772"/>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Metrics</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 / (Decrease)</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Fiber strand miles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Copper strand miles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Fiber strand miles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connections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bl>
      <w:tblPr>
        <w:tblW w:w="9704" w:type="dxa"/>
        <w:jc w:val="center"/>
        <w:tblInd w:w="0" w:type="dxa"/>
        <w:tblLayout w:type="fixed"/>
        <w:tblCellMar>
          <w:top w:w="28" w:type="dxa"/>
          <w:left w:w="28" w:type="dxa"/>
          <w:bottom w:w="28" w:type="dxa"/>
          <w:right w:w="28" w:type="dxa"/>
        </w:tblCellMar>
      </w:tblPr>
      <w:tblGrid>
        <w:gridCol w:w="618"/>
        <w:gridCol w:w="544"/>
        <w:gridCol w:w="548"/>
        <w:gridCol w:w="109"/>
        <w:gridCol w:w="109"/>
        <w:gridCol w:w="109"/>
        <w:gridCol w:w="211"/>
        <w:gridCol w:w="826"/>
        <w:gridCol w:w="109"/>
        <w:gridCol w:w="109"/>
        <w:gridCol w:w="109"/>
        <w:gridCol w:w="109"/>
        <w:gridCol w:w="724"/>
        <w:gridCol w:w="724"/>
        <w:gridCol w:w="726"/>
        <w:gridCol w:w="109"/>
        <w:gridCol w:w="109"/>
        <w:gridCol w:w="109"/>
        <w:gridCol w:w="211"/>
        <w:gridCol w:w="826"/>
        <w:gridCol w:w="109"/>
        <w:gridCol w:w="109"/>
        <w:gridCol w:w="109"/>
        <w:gridCol w:w="109"/>
        <w:gridCol w:w="650"/>
        <w:gridCol w:w="650"/>
        <w:gridCol w:w="92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r>
      <w:tr>
        <w:trPr/>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74.9%</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25.1%</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 xml:space="preserve">Uniti Leasing revenues are primarily attributable to rental revenue from leasing our Distribution Systems to Windstream pursuant to the Windstream Leases. Under the Windstream Leases, </w:t>
      </w:r>
      <w:r>
        <w:rPr>
          <w:rFonts w:ascii="Times New Roman;sans-serif" w:hAnsi="Times New Roman;sans-serif"/>
          <w:b w:val="false"/>
          <w:color w:val="000000"/>
          <w:sz w:val="20"/>
          <w:shd w:fill="FFFFFF" w:val="clear"/>
        </w:rPr>
        <w:t xml:space="preserve">Windstream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 The initial term of the Windstream Leases expires on April 30, 2030. Annual rent under the Windstream Leases for the full year 2024 is </w:t>
      </w:r>
      <w:r>
        <w:rPr>
          <w:rFonts w:ascii="Times New Roman;sans-serif" w:hAnsi="Times New Roman;sans-serif"/>
          <w:b w:val="false"/>
          <w:color w:val="000000"/>
          <w:sz w:val="20"/>
        </w:rPr>
        <w:t>$675.6 million</w:t>
      </w:r>
      <w:r>
        <w:rPr>
          <w:color w:val="000000"/>
          <w:shd w:fill="FFFFFF" w:val="clear"/>
        </w:rPr>
        <w:t xml:space="preserve"> </w:t>
      </w:r>
      <w:r>
        <w:rPr>
          <w:rFonts w:ascii="Times New Roman;sans-serif" w:hAnsi="Times New Roman;sans-serif"/>
          <w:b w:val="false"/>
          <w:color w:val="000000"/>
          <w:sz w:val="20"/>
          <w:shd w:fill="FFFFFF" w:val="clear"/>
        </w:rPr>
        <w:t>and is subject to annual escalation at a rate of 0.5%. For a description of the Windstream Leases, see “Liquidity and Capital Resources— Windstream Leases” below.</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rent for the first year of each renewal term under the Windstream Leases will be an amount agreed to by us and Windstream. While the agreements require that the renewal rent be "Fair Market Rent," if we are unable to agree, the renewal Fair Market Rent will be determined by an independent appraisal process. Commencing with the second year of each renewal term, the renewal rent will increase at an escalation rate of </w:t>
      </w:r>
      <w:r>
        <w:rPr>
          <w:rFonts w:ascii="Times New Roman;sans-serif" w:hAnsi="Times New Roman;sans-serif"/>
          <w:b w:val="false"/>
          <w:color w:val="000000"/>
          <w:sz w:val="20"/>
        </w:rPr>
        <w:t>0.5%</w:t>
      </w:r>
      <w:r>
        <w:rPr>
          <w:rFonts w:ascii="Times New Roman;sans-serif" w:hAnsi="Times New Roman;sans-serif"/>
          <w:b w:val="false"/>
          <w:color w:val="000000"/>
          <w:sz w:val="20"/>
          <w:shd w:fill="FFFFFF" w:val="clear"/>
        </w:rPr>
        <w:t xml:space="preserve">.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Pursuant to the Windstream Leases, Windstream (or any successor tenant under a Windstream Lease) has the right to cause Uniti to reimburse up to an aggregate </w:t>
      </w:r>
      <w:r>
        <w:rPr>
          <w:rFonts w:ascii="Times New Roman;sans-serif" w:hAnsi="Times New Roman;sans-serif"/>
          <w:b w:val="false"/>
          <w:color w:val="000000"/>
          <w:sz w:val="20"/>
        </w:rPr>
        <w:t>$1.75 billion</w:t>
      </w:r>
      <w:r>
        <w:rPr>
          <w:color w:val="000000"/>
          <w:shd w:fill="FFFFFF" w:val="clear"/>
        </w:rPr>
        <w:t xml:space="preserve"> </w:t>
      </w:r>
      <w:r>
        <w:rPr>
          <w:rFonts w:ascii="Times New Roman;sans-serif" w:hAnsi="Times New Roman;sans-serif"/>
          <w:b w:val="false"/>
          <w:color w:val="000000"/>
          <w:sz w:val="20"/>
          <w:shd w:fill="FFFFFF" w:val="clear"/>
        </w:rPr>
        <w:t>for certain growth capital improvements in long-term value accretive fiber and related assets made by Windstream (or the applicable tenant under the Windstream Lease) to certain ILEC and CLEC properties (the “Growth Capital Improvements” or “GCIs”). Uniti’s total annual reimbursement commitments to Windstream for the Growth Capital Improvements is discussed below in “Liquidity and Capital Resources—Windstream Leases.”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Starting on the first anniversary of each installment of reimbursement for a Growth Capital Improvement, the rent payable by Windstream under the applicable Windstream Lease will increase by an amount equal to </w:t>
      </w:r>
      <w:r>
        <w:rPr>
          <w:rFonts w:ascii="Times New Roman;sans-serif" w:hAnsi="Times New Roman;sans-serif"/>
          <w:b w:val="false"/>
          <w:color w:val="000000"/>
          <w:sz w:val="20"/>
        </w:rPr>
        <w:t>8.0%</w:t>
      </w:r>
      <w:r>
        <w:rPr>
          <w:color w:val="000000"/>
          <w:shd w:fill="FFFFFF" w:val="clear"/>
        </w:rPr>
        <w:t xml:space="preserve"> </w:t>
      </w:r>
      <w:r>
        <w:rPr>
          <w:rFonts w:ascii="Times New Roman;sans-serif" w:hAnsi="Times New Roman;sans-serif"/>
          <w:b w:val="false"/>
          <w:color w:val="000000"/>
          <w:sz w:val="20"/>
          <w:shd w:fill="FFFFFF" w:val="clear"/>
        </w:rPr>
        <w:t xml:space="preserve">(the “Rent Rate”) of such installment of reimbursement. The Rent Rate will thereafter increase to </w:t>
      </w:r>
      <w:r>
        <w:rPr>
          <w:rFonts w:ascii="Times New Roman;sans-serif" w:hAnsi="Times New Roman;sans-serif"/>
          <w:b w:val="false"/>
          <w:color w:val="000000"/>
          <w:sz w:val="20"/>
        </w:rPr>
        <w:t>100.5%</w:t>
      </w:r>
      <w:r>
        <w:rPr>
          <w:color w:val="000000"/>
          <w:shd w:fill="FFFFFF" w:val="clear"/>
        </w:rPr>
        <w:t xml:space="preserve"> </w:t>
      </w:r>
      <w:r>
        <w:rPr>
          <w:rFonts w:ascii="Times New Roman;sans-serif" w:hAnsi="Times New Roman;sans-serif"/>
          <w:b w:val="false"/>
          <w:color w:val="000000"/>
          <w:sz w:val="20"/>
          <w:shd w:fill="FFFFFF" w:val="clear"/>
        </w:rPr>
        <w:t xml:space="preserve">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w:t>
      </w:r>
      <w:r>
        <w:rPr>
          <w:rFonts w:ascii="Times New Roman;sans-serif" w:hAnsi="Times New Roman;sans-serif"/>
          <w:b w:val="false"/>
          <w:color w:val="000000"/>
          <w:sz w:val="20"/>
        </w:rPr>
        <w:t>$20.0 million</w:t>
      </w:r>
      <w:r>
        <w:rPr>
          <w:color w:val="000000"/>
          <w:shd w:fill="FFFFFF" w:val="clear"/>
        </w:rPr>
        <w:t xml:space="preserve"> </w:t>
      </w:r>
      <w:r>
        <w:rPr>
          <w:rFonts w:ascii="Times New Roman;sans-serif" w:hAnsi="Times New Roman;sans-serif"/>
          <w:b w:val="false"/>
          <w:color w:val="000000"/>
          <w:sz w:val="20"/>
          <w:shd w:fill="FFFFFF" w:val="clear"/>
        </w:rPr>
        <w:t>per year. If Uniti fails to reimburse any Growth Capital Improvement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Windstream Leases provide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property, plant, and equipment and deferred revenue. We depreciate the property, plant, and equipment over their estimated useful lives and amortize the deferred revenue as additional leasing revenues over the same depreciable life of the TCI assets. TCIs exclude Growth Capital Improvements as and when reimbursed by Uniti.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tbl>
      <w:tblPr>
        <w:tblW w:w="9809" w:type="dxa"/>
        <w:jc w:val="center"/>
        <w:tblInd w:w="0" w:type="dxa"/>
        <w:tblLayout w:type="fixed"/>
        <w:tblCellMar>
          <w:top w:w="28" w:type="dxa"/>
          <w:left w:w="28" w:type="dxa"/>
          <w:bottom w:w="28" w:type="dxa"/>
          <w:right w:w="28" w:type="dxa"/>
        </w:tblCellMar>
      </w:tblPr>
      <w:tblGrid>
        <w:gridCol w:w="894"/>
        <w:gridCol w:w="787"/>
        <w:gridCol w:w="794"/>
        <w:gridCol w:w="109"/>
        <w:gridCol w:w="109"/>
        <w:gridCol w:w="109"/>
        <w:gridCol w:w="211"/>
        <w:gridCol w:w="826"/>
        <w:gridCol w:w="109"/>
        <w:gridCol w:w="109"/>
        <w:gridCol w:w="109"/>
        <w:gridCol w:w="109"/>
        <w:gridCol w:w="614"/>
        <w:gridCol w:w="614"/>
        <w:gridCol w:w="616"/>
        <w:gridCol w:w="109"/>
        <w:gridCol w:w="109"/>
        <w:gridCol w:w="109"/>
        <w:gridCol w:w="211"/>
        <w:gridCol w:w="826"/>
        <w:gridCol w:w="109"/>
        <w:gridCol w:w="109"/>
        <w:gridCol w:w="109"/>
        <w:gridCol w:w="109"/>
        <w:gridCol w:w="554"/>
        <w:gridCol w:w="554"/>
        <w:gridCol w:w="782"/>
      </w:tblGrid>
      <w:tr>
        <w:trPr/>
        <w:tc>
          <w:tcPr>
            <w:tcW w:w="89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r>
      <w:tr>
        <w:trPr/>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Uniti Leasing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Windstream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79.1%</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GCI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82.5%</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TCI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GCI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straight-line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non-cash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Windstream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90.7%</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Uniti Leasing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TCI revenue is attributable to continued investment by Windstream. Windstream invested $27.9 million in TCIs during the quarter ended June 30, 2024. The total amount invested in TCIs by Windstream since the inception of the Windstream Leases (including the Master Lease) was $1.2 billion as of June 30, 2024 and $1.1 billion as of June 30,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GCI revenue is attributable to Uniti’s continued reimbursement of Growth Capital Improvements. During the three months ended June 30, 2024, Uniti reimbursed $65.3 million of Growth Capital Improvements. Subsequent to June 30, 2024, Windstream requested, and we reimbursed $34.2 million of qualifying Growth Capital Improvements. As of the date of this Quarterly Report on Form 10-Q, we have reimbursed a total of $1.0 billion of Growth Capital Improvements.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$19.6 million and $19.7 million of revenues from other services including non-Windstream triple-net leasing and dark fiber indefeasible rights of use (“IRU”) arrangements for the three months ended June 30, 2024 and 2023, respectively. </w:t>
      </w:r>
    </w:p>
    <w:p>
      <w:pPr>
        <w:pStyle w:val="TextBody"/>
        <w:bidi w:val="0"/>
        <w:spacing w:lineRule="auto" w:line="288" w:before="240" w:after="283"/>
        <w:jc w:val="left"/>
        <w:rPr/>
      </w:pPr>
      <w:r>
        <w:rPr>
          <w:rFonts w:ascii="Times New Roman;sans-serif" w:hAnsi="Times New Roman;sans-serif"/>
          <w:b w:val="false"/>
          <w:color w:val="000000"/>
          <w:sz w:val="20"/>
        </w:rPr>
        <w:t xml:space="preserve">Because </w:t>
      </w:r>
      <w:r>
        <w:rPr>
          <w:rFonts w:ascii="Times New Roman;sans-serif" w:hAnsi="Times New Roman;sans-serif"/>
          <w:b w:val="false"/>
          <w:color w:val="000000"/>
          <w:sz w:val="20"/>
          <w:shd w:fill="FFFFFF" w:val="clear"/>
        </w:rPr>
        <w:t>a substantial portion of our revenue and cash flows are derived from lease payments by Windstream pursuant to the Windstream Leases, there could be a material adverse impact on our consolidated results of operations, liquidity, financial condition and/or ability to maintain our status as a REIT and service debt if Windstream were to become unable to generate sufficient cash to make payments to us</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Quarterly Report on Form 10-Q, Windstream is current on all lease payments. Moody's Investor Service's current corporate family rating for Windstream is B3 with a stable outlook. S&amp;P Global Ratings' current issuer rating for Windstream is B- with a stable outlook. In addition, in order to assist us in our continuing assessment of Windstream’s creditworthiness, we periodically receive certain confidential financial information and metrics from Windstream.</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rPr>
        <w:t xml:space="preserve"> – </w:t>
      </w:r>
      <w:r>
        <w:rPr>
          <w:rFonts w:ascii="Times New Roman;sans-serif" w:hAnsi="Times New Roman;sans-serif"/>
          <w:b w:val="false"/>
          <w:color w:val="000000"/>
          <w:sz w:val="20"/>
        </w:rPr>
        <w:t>Uniti Fiber revenues for the three months ended June 30, 2024 and 2023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tbl>
      <w:tblPr>
        <w:tblW w:w="9373" w:type="dxa"/>
        <w:jc w:val="center"/>
        <w:tblInd w:w="0" w:type="dxa"/>
        <w:tblLayout w:type="fixed"/>
        <w:tblCellMar>
          <w:top w:w="28" w:type="dxa"/>
          <w:left w:w="28" w:type="dxa"/>
          <w:bottom w:w="28" w:type="dxa"/>
          <w:right w:w="28" w:type="dxa"/>
        </w:tblCellMar>
      </w:tblPr>
      <w:tblGrid>
        <w:gridCol w:w="813"/>
        <w:gridCol w:w="716"/>
        <w:gridCol w:w="720"/>
        <w:gridCol w:w="109"/>
        <w:gridCol w:w="109"/>
        <w:gridCol w:w="109"/>
        <w:gridCol w:w="211"/>
        <w:gridCol w:w="721"/>
        <w:gridCol w:w="109"/>
        <w:gridCol w:w="109"/>
        <w:gridCol w:w="109"/>
        <w:gridCol w:w="109"/>
        <w:gridCol w:w="614"/>
        <w:gridCol w:w="614"/>
        <w:gridCol w:w="616"/>
        <w:gridCol w:w="109"/>
        <w:gridCol w:w="109"/>
        <w:gridCol w:w="109"/>
        <w:gridCol w:w="211"/>
        <w:gridCol w:w="721"/>
        <w:gridCol w:w="109"/>
        <w:gridCol w:w="109"/>
        <w:gridCol w:w="109"/>
        <w:gridCol w:w="109"/>
        <w:gridCol w:w="554"/>
        <w:gridCol w:w="554"/>
        <w:gridCol w:w="782"/>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Uniti Fiber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 backhaul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27.3%</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Enterprise and wholesale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32.9%</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E-Rate and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19.8%</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Dark fiber and small cells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19.0%</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Uniti Fiber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2024, Uniti Fiber revenues totaled $76.7 million as compared to $71.2 million for the three months ended June 30, 2023. Uniti Fiber revenues increased $5.4 million, primarily attributable to a $3.2 million increase in lit backhaul services, driven primarily by one-time cancellation revenues, a $2.0 million increase in E-rate and government, driven primarily by non-recurring equipment and installation sales, and a $0.9 million increase in enterprise and wholesale, driven primarily by increased internet services, partially offset by a $0.8 million decrease in dark fiber and small cells, driven primarily by one-time cancellation revenues.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 net</w:t>
      </w:r>
    </w:p>
    <w:tbl>
      <w:tblPr>
        <w:tblW w:w="9813" w:type="dxa"/>
        <w:jc w:val="center"/>
        <w:tblInd w:w="0" w:type="dxa"/>
        <w:tblLayout w:type="fixed"/>
        <w:tblCellMar>
          <w:top w:w="28" w:type="dxa"/>
          <w:left w:w="28" w:type="dxa"/>
          <w:bottom w:w="28" w:type="dxa"/>
          <w:right w:w="28" w:type="dxa"/>
        </w:tblCellMar>
      </w:tblPr>
      <w:tblGrid>
        <w:gridCol w:w="1770"/>
        <w:gridCol w:w="1554"/>
        <w:gridCol w:w="1566"/>
        <w:gridCol w:w="109"/>
        <w:gridCol w:w="109"/>
        <w:gridCol w:w="109"/>
        <w:gridCol w:w="211"/>
        <w:gridCol w:w="826"/>
        <w:gridCol w:w="109"/>
        <w:gridCol w:w="109"/>
        <w:gridCol w:w="109"/>
        <w:gridCol w:w="109"/>
        <w:gridCol w:w="211"/>
        <w:gridCol w:w="826"/>
        <w:gridCol w:w="109"/>
        <w:gridCol w:w="109"/>
        <w:gridCol w:w="109"/>
        <w:gridCol w:w="109"/>
        <w:gridCol w:w="355"/>
        <w:gridCol w:w="1036"/>
        <w:gridCol w:w="259"/>
      </w:tblGrid>
      <w:tr>
        <w:trPr/>
        <w:tc>
          <w:tcPr>
            <w:tcW w:w="1770"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6"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4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 - variable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7,474 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settlement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non-cash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7,786 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three months ended June 30, 2024 increased $7.8 million compared to the three months ended June 30, 2023. The increase is primarily attributable to an increase in cash interest of $7.5 million related primarily to the Additional February 2028 Secured Notes issued on May 17, 2024 and the March 1, 2024 initial drawing of $275 million on the ABS Loan Facility.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Depreciation and Amortization Expense</w:t>
      </w:r>
    </w:p>
    <w:tbl>
      <w:tblPr>
        <w:tblW w:w="9196" w:type="dxa"/>
        <w:jc w:val="center"/>
        <w:tblInd w:w="0" w:type="dxa"/>
        <w:tblLayout w:type="fixed"/>
        <w:tblCellMar>
          <w:top w:w="28" w:type="dxa"/>
          <w:left w:w="28" w:type="dxa"/>
          <w:bottom w:w="28" w:type="dxa"/>
          <w:right w:w="28" w:type="dxa"/>
        </w:tblCellMar>
      </w:tblPr>
      <w:tblGrid>
        <w:gridCol w:w="1621"/>
        <w:gridCol w:w="1424"/>
        <w:gridCol w:w="1439"/>
        <w:gridCol w:w="109"/>
        <w:gridCol w:w="109"/>
        <w:gridCol w:w="109"/>
        <w:gridCol w:w="211"/>
        <w:gridCol w:w="721"/>
        <w:gridCol w:w="109"/>
        <w:gridCol w:w="109"/>
        <w:gridCol w:w="109"/>
        <w:gridCol w:w="109"/>
        <w:gridCol w:w="211"/>
        <w:gridCol w:w="721"/>
        <w:gridCol w:w="109"/>
        <w:gridCol w:w="109"/>
        <w:gridCol w:w="109"/>
        <w:gridCol w:w="109"/>
        <w:gridCol w:w="418"/>
        <w:gridCol w:w="924"/>
        <w:gridCol w:w="307"/>
      </w:tblGrid>
      <w:tr>
        <w:trPr/>
        <w:tc>
          <w:tcPr>
            <w:tcW w:w="1621"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4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 expense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 xml:space="preserve">Uniti Leasing depreciation expense decreased $0.1 million for the three months ended June 30, 2024 compared to the three months ended June 30, 2023, primarily attributable to asset additions since June 30, 2023 of $0.2 million, offset by the decrease associated with the CableSouth network sale in the first quarter of 2024 of $0.3 million. </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rPr>
        <w:t xml:space="preserve"> – </w:t>
      </w:r>
      <w:r>
        <w:rPr>
          <w:rFonts w:ascii="Times New Roman;sans-serif" w:hAnsi="Times New Roman;sans-serif"/>
          <w:b w:val="false"/>
          <w:color w:val="000000"/>
          <w:sz w:val="20"/>
        </w:rPr>
        <w:t>Uniti Fiber depreciation expense increased $0.9 million for the three months ended June 30, 2024 compared to the three months ended June 30, 2023, primarily attributable to asset additions since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include compensation costs, including stock-based compensation awards, professional and legal services, corporate office costs and other costs associated with administrative activities of our segments.</w:t>
      </w:r>
    </w:p>
    <w:tbl>
      <w:tblPr>
        <w:tblW w:w="10205" w:type="dxa"/>
        <w:jc w:val="center"/>
        <w:tblInd w:w="0" w:type="dxa"/>
        <w:tblLayout w:type="fixed"/>
        <w:tblCellMar>
          <w:top w:w="28" w:type="dxa"/>
          <w:left w:w="28" w:type="dxa"/>
          <w:bottom w:w="28" w:type="dxa"/>
          <w:right w:w="28" w:type="dxa"/>
        </w:tblCellMar>
      </w:tblPr>
      <w:tblGrid>
        <w:gridCol w:w="1204"/>
        <w:gridCol w:w="1034"/>
        <w:gridCol w:w="973"/>
        <w:gridCol w:w="109"/>
        <w:gridCol w:w="109"/>
        <w:gridCol w:w="109"/>
        <w:gridCol w:w="211"/>
        <w:gridCol w:w="721"/>
        <w:gridCol w:w="109"/>
        <w:gridCol w:w="109"/>
        <w:gridCol w:w="109"/>
        <w:gridCol w:w="109"/>
        <w:gridCol w:w="592"/>
        <w:gridCol w:w="592"/>
        <w:gridCol w:w="593"/>
        <w:gridCol w:w="109"/>
        <w:gridCol w:w="109"/>
        <w:gridCol w:w="109"/>
        <w:gridCol w:w="211"/>
        <w:gridCol w:w="721"/>
        <w:gridCol w:w="109"/>
        <w:gridCol w:w="109"/>
        <w:gridCol w:w="109"/>
        <w:gridCol w:w="109"/>
        <w:gridCol w:w="534"/>
        <w:gridCol w:w="534"/>
        <w:gridCol w:w="759"/>
      </w:tblGrid>
      <w:tr>
        <w:trPr/>
        <w:tc>
          <w:tcPr>
            <w:tcW w:w="120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3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r>
      <w:tr>
        <w:trPr/>
        <w:tc>
          <w:tcPr>
            <w:tcW w:w="3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General and administrative expense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Uniti Leasing general and administrative expense increased $0.2 million for the three months ended June 30, 2024 compared to the three months ended June 30, 2023, primarily attributable to an increase in personnel expenses of $0.2 million.</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rPr>
        <w:t xml:space="preserve"> – </w:t>
      </w:r>
      <w:r>
        <w:rPr>
          <w:rFonts w:ascii="Times New Roman;sans-serif" w:hAnsi="Times New Roman;sans-serif"/>
          <w:b w:val="false"/>
          <w:color w:val="000000"/>
          <w:sz w:val="20"/>
        </w:rPr>
        <w:t xml:space="preserve">Uniti Fiber general and administrative expense increased $0.2 million for the three months ended June 30, 2024 compared to the three months ended June 30, 2023, primarily attributable to an increase in insurance expense of $0.2 million. </w:t>
      </w:r>
    </w:p>
    <w:p>
      <w:pPr>
        <w:pStyle w:val="TextBody"/>
        <w:bidi w:val="0"/>
        <w:spacing w:lineRule="auto" w:line="288" w:before="240" w:after="283"/>
        <w:jc w:val="left"/>
        <w:rPr/>
      </w:pPr>
      <w:r>
        <w:rPr>
          <w:rFonts w:ascii="Times New Roman;sans-serif" w:hAnsi="Times New Roman;sans-serif"/>
          <w:b w:val="false"/>
          <w:i/>
          <w:color w:val="000000"/>
          <w:sz w:val="20"/>
          <w:u w:val="single"/>
        </w:rPr>
        <w:t>Corporate</w:t>
      </w:r>
      <w:r>
        <w:rPr>
          <w:color w:val="000000"/>
        </w:rPr>
        <w:t xml:space="preserve"> – </w:t>
      </w:r>
      <w:r>
        <w:rPr>
          <w:rFonts w:ascii="Times New Roman;sans-serif" w:hAnsi="Times New Roman;sans-serif"/>
          <w:b w:val="false"/>
          <w:color w:val="000000"/>
          <w:sz w:val="20"/>
        </w:rPr>
        <w:t>Corporate general and administrative expense increased $1.9 million for the three months ended June 30, 2024 compared to the three months ended June 30, 2023, primarily attributable to an increase in legal fees of $2.5 million, partially offset by decreases in personnel expenses of $0.4 million and insurance expenses of $0.3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Operating expenses consist of network related costs, such as dark fiber and tower rents, lit service and maintenance expense and costs associated with our construction activities.</w:t>
      </w:r>
    </w:p>
    <w:tbl>
      <w:tblPr>
        <w:tblW w:w="10205" w:type="dxa"/>
        <w:jc w:val="center"/>
        <w:tblInd w:w="0" w:type="dxa"/>
        <w:tblLayout w:type="fixed"/>
        <w:tblCellMar>
          <w:top w:w="28" w:type="dxa"/>
          <w:left w:w="28" w:type="dxa"/>
          <w:bottom w:w="28" w:type="dxa"/>
          <w:right w:w="28" w:type="dxa"/>
        </w:tblCellMar>
      </w:tblPr>
      <w:tblGrid>
        <w:gridCol w:w="946"/>
        <w:gridCol w:w="824"/>
        <w:gridCol w:w="831"/>
        <w:gridCol w:w="109"/>
        <w:gridCol w:w="109"/>
        <w:gridCol w:w="109"/>
        <w:gridCol w:w="211"/>
        <w:gridCol w:w="721"/>
        <w:gridCol w:w="109"/>
        <w:gridCol w:w="109"/>
        <w:gridCol w:w="109"/>
        <w:gridCol w:w="109"/>
        <w:gridCol w:w="693"/>
        <w:gridCol w:w="693"/>
        <w:gridCol w:w="695"/>
        <w:gridCol w:w="109"/>
        <w:gridCol w:w="109"/>
        <w:gridCol w:w="109"/>
        <w:gridCol w:w="211"/>
        <w:gridCol w:w="721"/>
        <w:gridCol w:w="109"/>
        <w:gridCol w:w="109"/>
        <w:gridCol w:w="109"/>
        <w:gridCol w:w="109"/>
        <w:gridCol w:w="623"/>
        <w:gridCol w:w="623"/>
        <w:gridCol w:w="887"/>
      </w:tblGrid>
      <w:tr>
        <w:trPr/>
        <w:tc>
          <w:tcPr>
            <w:tcW w:w="94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r>
      <w:tr>
        <w:trPr/>
        <w:tc>
          <w:tcPr>
            <w:tcW w:w="2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2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c>
      </w:tr>
      <w:tr>
        <w:trPr/>
        <w:tc>
          <w:tcPr>
            <w:tcW w:w="2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 xml:space="preserve">Uniti Leasing operating expense remained consistent for the </w:t>
      </w:r>
      <w:r>
        <w:rPr>
          <w:rFonts w:ascii="Times New Roman;sans-serif" w:hAnsi="Times New Roman;sans-serif"/>
          <w:b w:val="false"/>
          <w:color w:val="000000"/>
          <w:sz w:val="20"/>
          <w:shd w:fill="FFFFFF" w:val="clear"/>
        </w:rPr>
        <w:t>three months ended June 30, 2024 as compared to the three months ended June 30, 2023. I</w:t>
      </w:r>
      <w:r>
        <w:rPr>
          <w:rFonts w:ascii="Times New Roman;sans-serif" w:hAnsi="Times New Roman;sans-serif"/>
          <w:b w:val="false"/>
          <w:color w:val="000000"/>
          <w:sz w:val="20"/>
        </w:rPr>
        <w:t>ncreases in leased asset costs of $0.3 million and repairs and maintenance expense of $0.2 million, were offset by decreases in professional fees of $0.2 million and other non-recurring operating expenses of $0.3 million.</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shd w:fill="FFFFFF" w:val="clear"/>
        </w:rPr>
        <w:t xml:space="preserve"> – </w:t>
      </w:r>
      <w:r>
        <w:rPr>
          <w:rFonts w:ascii="Times New Roman;sans-serif" w:hAnsi="Times New Roman;sans-serif"/>
          <w:b w:val="false"/>
          <w:color w:val="000000"/>
          <w:sz w:val="20"/>
          <w:shd w:fill="FFFFFF" w:val="clear"/>
        </w:rPr>
        <w:t xml:space="preserve">Uniti Fiber operating expense </w:t>
      </w:r>
      <w:r>
        <w:rPr>
          <w:rFonts w:ascii="Times New Roman;sans-serif" w:hAnsi="Times New Roman;sans-serif"/>
          <w:b w:val="false"/>
          <w:color w:val="000000"/>
          <w:sz w:val="20"/>
        </w:rPr>
        <w:t>decreased $0.4 million</w:t>
      </w:r>
      <w:r>
        <w:rPr>
          <w:color w:val="000000"/>
          <w:shd w:fill="FFFFFF" w:val="clear"/>
        </w:rPr>
        <w:t xml:space="preserve"> </w:t>
      </w:r>
      <w:r>
        <w:rPr>
          <w:rFonts w:ascii="Times New Roman;sans-serif" w:hAnsi="Times New Roman;sans-serif"/>
          <w:b w:val="false"/>
          <w:color w:val="000000"/>
          <w:sz w:val="20"/>
          <w:shd w:fill="FFFFFF" w:val="clear"/>
        </w:rPr>
        <w:t xml:space="preserve">for the three months ended June 30, 2024 compared to the three months ended June 30, 2023, primarily </w:t>
      </w:r>
      <w:r>
        <w:rPr>
          <w:rFonts w:ascii="Times New Roman;sans-serif" w:hAnsi="Times New Roman;sans-serif"/>
          <w:b w:val="false"/>
          <w:color w:val="000000"/>
          <w:sz w:val="20"/>
        </w:rPr>
        <w:t>attributable</w:t>
      </w:r>
      <w:r>
        <w:rPr>
          <w:color w:val="000000"/>
          <w:shd w:fill="FFFFFF" w:val="clear"/>
        </w:rPr>
        <w:t xml:space="preserve"> </w:t>
      </w:r>
      <w:r>
        <w:rPr>
          <w:rFonts w:ascii="Times New Roman;sans-serif" w:hAnsi="Times New Roman;sans-serif"/>
          <w:b w:val="false"/>
          <w:color w:val="000000"/>
          <w:sz w:val="20"/>
          <w:shd w:fill="FFFFFF" w:val="clear"/>
        </w:rPr>
        <w:t>to a decrease in off network expense of $1.3 million and repair and maintenance of $0.2 million, partially offset by an increase in non-recurring installation and equipment expense of $1.4 million</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Transaction Related and Other Costs</w:t>
      </w:r>
    </w:p>
    <w:p>
      <w:pPr>
        <w:pStyle w:val="TextBody"/>
        <w:bidi w:val="0"/>
        <w:spacing w:lineRule="auto" w:line="288" w:before="240" w:after="283"/>
        <w:jc w:val="left"/>
        <w:rPr/>
      </w:pPr>
      <w:r>
        <w:rPr>
          <w:rFonts w:ascii="Times New Roman;sans-serif" w:hAnsi="Times New Roman;sans-serif"/>
          <w:b w:val="false"/>
          <w:color w:val="000000"/>
          <w:sz w:val="20"/>
        </w:rPr>
        <w:t xml:space="preserve">Transaction related and other costs include incremental acquisition, pursuit, transaction and integration costs (including unsuccessful acquisition pursuit costs). For the three months ended June 30, 2024, we incurred $11.0 million of transaction related and other costs, compared to $5.6 million of such costs during the </w:t>
      </w:r>
      <w:r>
        <w:rPr>
          <w:rFonts w:ascii="Times New Roman;sans-serif" w:hAnsi="Times New Roman;sans-serif"/>
          <w:b w:val="false"/>
          <w:color w:val="000000"/>
          <w:sz w:val="20"/>
          <w:shd w:fill="FFFFFF" w:val="clear"/>
        </w:rPr>
        <w:t>three months ended June 30, 2023</w:t>
      </w:r>
      <w:r>
        <w:rPr>
          <w:rFonts w:ascii="Times New Roman;sans-serif" w:hAnsi="Times New Roman;sans-serif"/>
          <w:b w:val="false"/>
          <w:color w:val="000000"/>
          <w:sz w:val="20"/>
        </w:rPr>
        <w:t>. The increase is primarily attributable to costs associated with the Merger.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 Benefit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benefit recorded for the three months ended June 30, 2024 and 2023, respectively, is related to the tax impact of the following:</w:t>
      </w:r>
    </w:p>
    <w:tbl>
      <w:tblPr>
        <w:tblW w:w="4956" w:type="dxa"/>
        <w:jc w:val="center"/>
        <w:tblInd w:w="0" w:type="dxa"/>
        <w:tblLayout w:type="fixed"/>
        <w:tblCellMar>
          <w:top w:w="28" w:type="dxa"/>
          <w:left w:w="28" w:type="dxa"/>
          <w:bottom w:w="28" w:type="dxa"/>
          <w:right w:w="28" w:type="dxa"/>
        </w:tblCellMar>
      </w:tblPr>
      <w:tblGrid>
        <w:gridCol w:w="808"/>
        <w:gridCol w:w="711"/>
        <w:gridCol w:w="716"/>
        <w:gridCol w:w="109"/>
        <w:gridCol w:w="109"/>
        <w:gridCol w:w="109"/>
        <w:gridCol w:w="211"/>
        <w:gridCol w:w="691"/>
        <w:gridCol w:w="109"/>
        <w:gridCol w:w="109"/>
        <w:gridCol w:w="109"/>
        <w:gridCol w:w="109"/>
        <w:gridCol w:w="211"/>
        <w:gridCol w:w="691"/>
        <w:gridCol w:w="154"/>
      </w:tblGrid>
      <w:tr>
        <w:trPr/>
        <w:tc>
          <w:tcPr>
            <w:tcW w:w="8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loss (Uniti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REIT state and local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six months ended June 30, 2024 and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expressed as dollars and as a percentage of total revenues for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703"/>
        <w:gridCol w:w="1258"/>
        <w:gridCol w:w="1265"/>
        <w:gridCol w:w="109"/>
        <w:gridCol w:w="109"/>
        <w:gridCol w:w="109"/>
        <w:gridCol w:w="211"/>
        <w:gridCol w:w="826"/>
        <w:gridCol w:w="109"/>
        <w:gridCol w:w="109"/>
        <w:gridCol w:w="109"/>
        <w:gridCol w:w="109"/>
        <w:gridCol w:w="318"/>
        <w:gridCol w:w="298"/>
        <w:gridCol w:w="540"/>
        <w:gridCol w:w="109"/>
        <w:gridCol w:w="109"/>
        <w:gridCol w:w="109"/>
        <w:gridCol w:w="211"/>
        <w:gridCol w:w="826"/>
        <w:gridCol w:w="109"/>
        <w:gridCol w:w="109"/>
        <w:gridCol w:w="109"/>
        <w:gridCol w:w="109"/>
        <w:gridCol w:w="307"/>
        <w:gridCol w:w="309"/>
        <w:gridCol w:w="607"/>
      </w:tblGrid>
      <w:tr>
        <w:trPr/>
        <w:tc>
          <w:tcPr>
            <w:tcW w:w="1703"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Revenues</w:t>
            </w:r>
          </w:p>
        </w:tc>
      </w:tr>
      <w:tr>
        <w:trPr/>
        <w:tc>
          <w:tcPr>
            <w:tcW w:w="4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rentals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5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6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6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rentals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5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6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5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6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5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6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5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6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5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6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5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6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5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6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 and 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5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6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5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securities' share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5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6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5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6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revenues, Adjusted EBITDA and net income of our reportable segments for the six months ended June 30,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tbl>
      <w:tblPr>
        <w:tblW w:w="10190" w:type="dxa"/>
        <w:jc w:val="center"/>
        <w:tblInd w:w="0" w:type="dxa"/>
        <w:tblLayout w:type="fixed"/>
        <w:tblCellMar>
          <w:top w:w="28" w:type="dxa"/>
          <w:left w:w="28" w:type="dxa"/>
          <w:bottom w:w="28" w:type="dxa"/>
          <w:right w:w="28" w:type="dxa"/>
        </w:tblCellMar>
      </w:tblPr>
      <w:tblGrid>
        <w:gridCol w:w="1063"/>
        <w:gridCol w:w="936"/>
        <w:gridCol w:w="941"/>
        <w:gridCol w:w="109"/>
        <w:gridCol w:w="109"/>
        <w:gridCol w:w="109"/>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449"/>
        <w:gridCol w:w="1758"/>
        <w:gridCol w:w="327"/>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3"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Subtotal of Reportable Segments</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581,365 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465,287 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250,686 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155,537 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(18,999)</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(7,934)</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59,629 </w:t>
            </w:r>
          </w:p>
        </w:tc>
        <w:tc>
          <w:tcPr>
            <w:tcW w:w="3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18"/>
        <w:gridCol w:w="1074"/>
        <w:gridCol w:w="1080"/>
        <w:gridCol w:w="109"/>
        <w:gridCol w:w="109"/>
        <w:gridCol w:w="109"/>
        <w:gridCol w:w="211"/>
        <w:gridCol w:w="826"/>
        <w:gridCol w:w="109"/>
        <w:gridCol w:w="109"/>
        <w:gridCol w:w="109"/>
        <w:gridCol w:w="109"/>
        <w:gridCol w:w="211"/>
        <w:gridCol w:w="826"/>
        <w:gridCol w:w="109"/>
        <w:gridCol w:w="109"/>
        <w:gridCol w:w="109"/>
        <w:gridCol w:w="109"/>
        <w:gridCol w:w="211"/>
        <w:gridCol w:w="769"/>
        <w:gridCol w:w="109"/>
        <w:gridCol w:w="109"/>
        <w:gridCol w:w="109"/>
        <w:gridCol w:w="109"/>
        <w:gridCol w:w="344"/>
        <w:gridCol w:w="1347"/>
        <w:gridCol w:w="253"/>
      </w:tblGrid>
      <w:tr>
        <w:trPr/>
        <w:tc>
          <w:tcPr>
            <w:tcW w:w="141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35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Subtotal of Reportable Segments</w:t>
            </w:r>
          </w:p>
        </w:tc>
      </w:tr>
      <w:tr>
        <w:trPr/>
        <w:tc>
          <w:tcPr>
            <w:tcW w:w="35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573,520 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459,368 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268,552 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154,042 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8,364 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bl>
      <w:tblPr>
        <w:tblW w:w="9704" w:type="dxa"/>
        <w:jc w:val="center"/>
        <w:tblInd w:w="0" w:type="dxa"/>
        <w:tblLayout w:type="fixed"/>
        <w:tblCellMar>
          <w:top w:w="28" w:type="dxa"/>
          <w:left w:w="28" w:type="dxa"/>
          <w:bottom w:w="28" w:type="dxa"/>
          <w:right w:w="28" w:type="dxa"/>
        </w:tblCellMar>
      </w:tblPr>
      <w:tblGrid>
        <w:gridCol w:w="618"/>
        <w:gridCol w:w="544"/>
        <w:gridCol w:w="548"/>
        <w:gridCol w:w="109"/>
        <w:gridCol w:w="109"/>
        <w:gridCol w:w="109"/>
        <w:gridCol w:w="211"/>
        <w:gridCol w:w="826"/>
        <w:gridCol w:w="109"/>
        <w:gridCol w:w="109"/>
        <w:gridCol w:w="109"/>
        <w:gridCol w:w="109"/>
        <w:gridCol w:w="724"/>
        <w:gridCol w:w="724"/>
        <w:gridCol w:w="726"/>
        <w:gridCol w:w="109"/>
        <w:gridCol w:w="109"/>
        <w:gridCol w:w="109"/>
        <w:gridCol w:w="211"/>
        <w:gridCol w:w="826"/>
        <w:gridCol w:w="109"/>
        <w:gridCol w:w="109"/>
        <w:gridCol w:w="109"/>
        <w:gridCol w:w="109"/>
        <w:gridCol w:w="650"/>
        <w:gridCol w:w="650"/>
        <w:gridCol w:w="92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r>
      <w:tr>
        <w:trPr/>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73.8%</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26.2%</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Uniti Leasing revenues for the six months ended June 30, 2024 and 2023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tbl>
      <w:tblPr>
        <w:tblW w:w="9809" w:type="dxa"/>
        <w:jc w:val="center"/>
        <w:tblInd w:w="0" w:type="dxa"/>
        <w:tblLayout w:type="fixed"/>
        <w:tblCellMar>
          <w:top w:w="28" w:type="dxa"/>
          <w:left w:w="28" w:type="dxa"/>
          <w:bottom w:w="28" w:type="dxa"/>
          <w:right w:w="28" w:type="dxa"/>
        </w:tblCellMar>
      </w:tblPr>
      <w:tblGrid>
        <w:gridCol w:w="894"/>
        <w:gridCol w:w="787"/>
        <w:gridCol w:w="794"/>
        <w:gridCol w:w="109"/>
        <w:gridCol w:w="109"/>
        <w:gridCol w:w="109"/>
        <w:gridCol w:w="211"/>
        <w:gridCol w:w="826"/>
        <w:gridCol w:w="109"/>
        <w:gridCol w:w="109"/>
        <w:gridCol w:w="109"/>
        <w:gridCol w:w="109"/>
        <w:gridCol w:w="614"/>
        <w:gridCol w:w="614"/>
        <w:gridCol w:w="616"/>
        <w:gridCol w:w="109"/>
        <w:gridCol w:w="109"/>
        <w:gridCol w:w="109"/>
        <w:gridCol w:w="211"/>
        <w:gridCol w:w="826"/>
        <w:gridCol w:w="109"/>
        <w:gridCol w:w="109"/>
        <w:gridCol w:w="109"/>
        <w:gridCol w:w="109"/>
        <w:gridCol w:w="554"/>
        <w:gridCol w:w="554"/>
        <w:gridCol w:w="782"/>
      </w:tblGrid>
      <w:tr>
        <w:trPr/>
        <w:tc>
          <w:tcPr>
            <w:tcW w:w="89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r>
      <w:tr>
        <w:trPr/>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Uniti Leasing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Windstream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79.3%</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GCI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82.5%</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TCI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GCI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straight-line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non-cash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Windstream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90.7%</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Uniti Leasing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TCI revenue is attributable to continued investment by Windstream. As of June 30, 2024 and 2023, the total amount invested in TCIs by Windstream since the inception of the Windstream Leases and Master Lease was $1.2 billion and $1.1 billion, respectively.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GCI revenue is attributable to Uniti’s continued reimbursement of Growth Capital Improvements. During the six months ended June 30, 2024, Uniti reimbursed $196.7 million of Growth Capital Improvements. Subsequent to June 30, 2024, Windstream requested, and we reimbursed $34.2 million of qualifying Growth Capital Improvements. As of the date of this Quarterly Report on Form 10-Q, we have reimbursed a total of $1.0 billion of Growth Capital Improvements.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$40.2 million and $39.4 million of revenues from non-Windstream triple-net leasing, dark fiber IRU arrangements, and other services for the six months ended June 30, 2024 and 2023, respectively. The increase is primarily attributable to revenues from new customer arrangements.</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rPr>
        <w:t xml:space="preserve"> – </w:t>
      </w:r>
      <w:r>
        <w:rPr>
          <w:rFonts w:ascii="Times New Roman;sans-serif" w:hAnsi="Times New Roman;sans-serif"/>
          <w:b w:val="false"/>
          <w:color w:val="000000"/>
          <w:sz w:val="20"/>
        </w:rPr>
        <w:t>Uniti Fiber revenues for the six months ended June 30, 2024 and 2023 consisted of the following:</w:t>
      </w:r>
    </w:p>
    <w:tbl>
      <w:tblPr>
        <w:tblW w:w="9583" w:type="dxa"/>
        <w:jc w:val="center"/>
        <w:tblInd w:w="0" w:type="dxa"/>
        <w:tblLayout w:type="fixed"/>
        <w:tblCellMar>
          <w:top w:w="28" w:type="dxa"/>
          <w:left w:w="28" w:type="dxa"/>
          <w:bottom w:w="28" w:type="dxa"/>
          <w:right w:w="28" w:type="dxa"/>
        </w:tblCellMar>
      </w:tblPr>
      <w:tblGrid>
        <w:gridCol w:w="813"/>
        <w:gridCol w:w="716"/>
        <w:gridCol w:w="720"/>
        <w:gridCol w:w="109"/>
        <w:gridCol w:w="109"/>
        <w:gridCol w:w="109"/>
        <w:gridCol w:w="211"/>
        <w:gridCol w:w="826"/>
        <w:gridCol w:w="109"/>
        <w:gridCol w:w="109"/>
        <w:gridCol w:w="109"/>
        <w:gridCol w:w="109"/>
        <w:gridCol w:w="614"/>
        <w:gridCol w:w="614"/>
        <w:gridCol w:w="616"/>
        <w:gridCol w:w="109"/>
        <w:gridCol w:w="109"/>
        <w:gridCol w:w="109"/>
        <w:gridCol w:w="211"/>
        <w:gridCol w:w="826"/>
        <w:gridCol w:w="109"/>
        <w:gridCol w:w="109"/>
        <w:gridCol w:w="109"/>
        <w:gridCol w:w="109"/>
        <w:gridCol w:w="554"/>
        <w:gridCol w:w="554"/>
        <w:gridCol w:w="782"/>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Uniti Fiber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 backhaul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25.9%</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Enterprise and wholesale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30.6%</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E-Rate and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18.7%</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Dark fiber and small cells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23.8%</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Uniti Fiber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Uniti Fiber revenues totaled $145.5 million as compared to $150.3 million for the six months ended June 30, 2023. Uniti Fiber revenues decreased by $4.8 million, primarily attributable to a $11.0 million decrease in Dark fiber and small cells, driven primarily by one-time cancellation revenues, partially offset by a $5.2 million increase in Enterprise and wholesale, driven primarily by increased internet services, and a $1.4 million increase in Lit backhaul services, driven primarily by one-time cancellation revenues.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 net</w:t>
      </w:r>
    </w:p>
    <w:tbl>
      <w:tblPr>
        <w:tblW w:w="9812" w:type="dxa"/>
        <w:jc w:val="center"/>
        <w:tblInd w:w="0" w:type="dxa"/>
        <w:tblLayout w:type="fixed"/>
        <w:tblCellMar>
          <w:top w:w="28" w:type="dxa"/>
          <w:left w:w="28" w:type="dxa"/>
          <w:bottom w:w="28" w:type="dxa"/>
          <w:right w:w="28" w:type="dxa"/>
        </w:tblCellMar>
      </w:tblPr>
      <w:tblGrid>
        <w:gridCol w:w="1770"/>
        <w:gridCol w:w="1554"/>
        <w:gridCol w:w="1566"/>
        <w:gridCol w:w="109"/>
        <w:gridCol w:w="109"/>
        <w:gridCol w:w="109"/>
        <w:gridCol w:w="211"/>
        <w:gridCol w:w="826"/>
        <w:gridCol w:w="109"/>
        <w:gridCol w:w="109"/>
        <w:gridCol w:w="109"/>
        <w:gridCol w:w="109"/>
        <w:gridCol w:w="211"/>
        <w:gridCol w:w="826"/>
        <w:gridCol w:w="109"/>
        <w:gridCol w:w="109"/>
        <w:gridCol w:w="109"/>
        <w:gridCol w:w="109"/>
        <w:gridCol w:w="300"/>
        <w:gridCol w:w="1131"/>
        <w:gridCol w:w="218"/>
      </w:tblGrid>
      <w:tr>
        <w:trPr/>
        <w:tc>
          <w:tcPr>
            <w:tcW w:w="1770"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5"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4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(14,407)</w:t>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 - variable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w:t>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7,563</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w:t>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w:t>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 off of deferred financing costs and debt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(10,412)</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settlement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w:t>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w:t>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non-cash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(9,976)</w:t>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(17,866)</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six months ended June 30, 2024 decreased $17.9 million compared to the six months ended June 30, 2023. The decrease is primarily attributable to a loss on extinguishment of debt of $32.3 million recognized in the first quarter of 2023 related to the 7.875% senior secured notes due 2025 (the "2025 Secured Notes"), which included $10.3 million of non-cash interest expense for the write off of the unamortized discount and deferred financing costs and $22.0 million of cash interest expense for the redemption premium, partially offset by an increase in cash interest on our senior secured notes and the ABS Loan Facility of $15.2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Depreciation and Amortization Expense</w:t>
      </w:r>
    </w:p>
    <w:tbl>
      <w:tblPr>
        <w:tblW w:w="9407" w:type="dxa"/>
        <w:jc w:val="center"/>
        <w:tblInd w:w="0" w:type="dxa"/>
        <w:tblLayout w:type="fixed"/>
        <w:tblCellMar>
          <w:top w:w="28" w:type="dxa"/>
          <w:left w:w="28" w:type="dxa"/>
          <w:bottom w:w="28" w:type="dxa"/>
          <w:right w:w="28" w:type="dxa"/>
        </w:tblCellMar>
      </w:tblPr>
      <w:tblGrid>
        <w:gridCol w:w="1621"/>
        <w:gridCol w:w="1424"/>
        <w:gridCol w:w="1439"/>
        <w:gridCol w:w="109"/>
        <w:gridCol w:w="109"/>
        <w:gridCol w:w="109"/>
        <w:gridCol w:w="211"/>
        <w:gridCol w:w="826"/>
        <w:gridCol w:w="109"/>
        <w:gridCol w:w="109"/>
        <w:gridCol w:w="109"/>
        <w:gridCol w:w="109"/>
        <w:gridCol w:w="211"/>
        <w:gridCol w:w="826"/>
        <w:gridCol w:w="109"/>
        <w:gridCol w:w="109"/>
        <w:gridCol w:w="109"/>
        <w:gridCol w:w="109"/>
        <w:gridCol w:w="355"/>
        <w:gridCol w:w="1036"/>
        <w:gridCol w:w="259"/>
      </w:tblGrid>
      <w:tr>
        <w:trPr/>
        <w:tc>
          <w:tcPr>
            <w:tcW w:w="1621"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6"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4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 expense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 xml:space="preserve">Uniti Leasing depreciation expense increased $0.7 million for the six months ended June 30, 2024 compared to the six months ended June 30, 2023. The increase is primarily attributable to asset additions since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of $1.3 million, partially offset by the decrease associated with the CableSouth network sale in the first quarter of 2024 of $0.5 million.</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rPr>
        <w:t xml:space="preserve"> – </w:t>
      </w:r>
      <w:r>
        <w:rPr>
          <w:rFonts w:ascii="Times New Roman;sans-serif" w:hAnsi="Times New Roman;sans-serif"/>
          <w:b w:val="false"/>
          <w:color w:val="000000"/>
          <w:sz w:val="20"/>
        </w:rPr>
        <w:t>Uniti Fiber depreciation expense increased $0.8 million for the six months ended June 30, 2024 compared to the six months ended June 30, 2023. The increase is primarily attributable to asset additions since June 30,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include compensation costs, including stock-based compensation awards, professional and legal services, corporate office costs and other costs associated with administrative activities of our segments.</w:t>
      </w:r>
    </w:p>
    <w:tbl>
      <w:tblPr>
        <w:tblW w:w="10205" w:type="dxa"/>
        <w:jc w:val="center"/>
        <w:tblInd w:w="0" w:type="dxa"/>
        <w:tblLayout w:type="fixed"/>
        <w:tblCellMar>
          <w:top w:w="28" w:type="dxa"/>
          <w:left w:w="28" w:type="dxa"/>
          <w:bottom w:w="28" w:type="dxa"/>
          <w:right w:w="28" w:type="dxa"/>
        </w:tblCellMar>
      </w:tblPr>
      <w:tblGrid>
        <w:gridCol w:w="1204"/>
        <w:gridCol w:w="1034"/>
        <w:gridCol w:w="973"/>
        <w:gridCol w:w="109"/>
        <w:gridCol w:w="109"/>
        <w:gridCol w:w="109"/>
        <w:gridCol w:w="211"/>
        <w:gridCol w:w="721"/>
        <w:gridCol w:w="109"/>
        <w:gridCol w:w="109"/>
        <w:gridCol w:w="109"/>
        <w:gridCol w:w="109"/>
        <w:gridCol w:w="395"/>
        <w:gridCol w:w="395"/>
        <w:gridCol w:w="987"/>
        <w:gridCol w:w="109"/>
        <w:gridCol w:w="109"/>
        <w:gridCol w:w="109"/>
        <w:gridCol w:w="211"/>
        <w:gridCol w:w="721"/>
        <w:gridCol w:w="109"/>
        <w:gridCol w:w="109"/>
        <w:gridCol w:w="109"/>
        <w:gridCol w:w="109"/>
        <w:gridCol w:w="370"/>
        <w:gridCol w:w="370"/>
        <w:gridCol w:w="1087"/>
      </w:tblGrid>
      <w:tr>
        <w:trPr/>
        <w:tc>
          <w:tcPr>
            <w:tcW w:w="120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3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r>
      <w:tr>
        <w:trPr/>
        <w:tc>
          <w:tcPr>
            <w:tcW w:w="3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General and administrative expense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 xml:space="preserve">Uniti Leasing general and administrative expense decreased $0.1 million for the six months ended June 30, 2024 compared to the six months ended June 30, 2023. </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rPr>
        <w:t xml:space="preserve"> – </w:t>
      </w:r>
      <w:r>
        <w:rPr>
          <w:rFonts w:ascii="Times New Roman;sans-serif" w:hAnsi="Times New Roman;sans-serif"/>
          <w:b w:val="false"/>
          <w:color w:val="000000"/>
          <w:sz w:val="20"/>
        </w:rPr>
        <w:t>Uniti Fiber general and administrative expense increased $1.2 million for the six months ended June 30, 2024 compared to the six months ended June 30, 2023, which is primarily attributable to increases in personnel expense of $0.6 million and insurance expense of $0.5 million.</w:t>
      </w:r>
    </w:p>
    <w:p>
      <w:pPr>
        <w:pStyle w:val="TextBody"/>
        <w:bidi w:val="0"/>
        <w:spacing w:lineRule="auto" w:line="288" w:before="240" w:after="283"/>
        <w:jc w:val="left"/>
        <w:rPr/>
      </w:pPr>
      <w:r>
        <w:rPr>
          <w:rFonts w:ascii="Times New Roman;sans-serif" w:hAnsi="Times New Roman;sans-serif"/>
          <w:b w:val="false"/>
          <w:i/>
          <w:color w:val="000000"/>
          <w:sz w:val="20"/>
          <w:u w:val="single"/>
        </w:rPr>
        <w:t>Corporate</w:t>
      </w:r>
      <w:r>
        <w:rPr>
          <w:color w:val="000000"/>
        </w:rPr>
        <w:t xml:space="preserve"> – </w:t>
      </w:r>
      <w:r>
        <w:rPr>
          <w:rFonts w:ascii="Times New Roman;sans-serif" w:hAnsi="Times New Roman;sans-serif"/>
          <w:b w:val="false"/>
          <w:color w:val="000000"/>
          <w:sz w:val="20"/>
        </w:rPr>
        <w:t>Corporate general and administrative expense increased $0.9 million for the six months ended June 30, 2024 compared to the six months ended June 30, 2023, which is primarily attributable to an increase in legal fees of $2.1 million, partially offset by decreases in personnel expenses of $0.6 million and insurance expenses of $0.5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 consists of network related costs, such as dark fiber and tower rents, lit service and maintenance expense and costs associated with our construction activities.</w:t>
      </w:r>
    </w:p>
    <w:tbl>
      <w:tblPr>
        <w:tblW w:w="10205" w:type="dxa"/>
        <w:jc w:val="center"/>
        <w:tblInd w:w="0" w:type="dxa"/>
        <w:tblLayout w:type="fixed"/>
        <w:tblCellMar>
          <w:top w:w="28" w:type="dxa"/>
          <w:left w:w="28" w:type="dxa"/>
          <w:bottom w:w="28" w:type="dxa"/>
          <w:right w:w="28" w:type="dxa"/>
        </w:tblCellMar>
      </w:tblPr>
      <w:tblGrid>
        <w:gridCol w:w="946"/>
        <w:gridCol w:w="824"/>
        <w:gridCol w:w="831"/>
        <w:gridCol w:w="109"/>
        <w:gridCol w:w="109"/>
        <w:gridCol w:w="109"/>
        <w:gridCol w:w="211"/>
        <w:gridCol w:w="721"/>
        <w:gridCol w:w="109"/>
        <w:gridCol w:w="109"/>
        <w:gridCol w:w="109"/>
        <w:gridCol w:w="109"/>
        <w:gridCol w:w="693"/>
        <w:gridCol w:w="693"/>
        <w:gridCol w:w="695"/>
        <w:gridCol w:w="109"/>
        <w:gridCol w:w="109"/>
        <w:gridCol w:w="109"/>
        <w:gridCol w:w="211"/>
        <w:gridCol w:w="721"/>
        <w:gridCol w:w="109"/>
        <w:gridCol w:w="109"/>
        <w:gridCol w:w="109"/>
        <w:gridCol w:w="109"/>
        <w:gridCol w:w="623"/>
        <w:gridCol w:w="623"/>
        <w:gridCol w:w="887"/>
      </w:tblGrid>
      <w:tr>
        <w:trPr/>
        <w:tc>
          <w:tcPr>
            <w:tcW w:w="94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r>
      <w:tr>
        <w:trPr/>
        <w:tc>
          <w:tcPr>
            <w:tcW w:w="2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2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r>
      <w:tr>
        <w:trPr/>
        <w:tc>
          <w:tcPr>
            <w:tcW w:w="2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Uniti Leasing operating expense increased $0.7 million for the six months ended June 30, 2024</w:t>
      </w:r>
      <w:r>
        <w:rPr>
          <w:color w:val="000000"/>
          <w:shd w:fill="FFFFFF" w:val="clear"/>
        </w:rPr>
        <w:t xml:space="preserve"> </w:t>
      </w:r>
      <w:r>
        <w:rPr>
          <w:rFonts w:ascii="Times New Roman;sans-serif" w:hAnsi="Times New Roman;sans-serif"/>
          <w:b w:val="false"/>
          <w:color w:val="000000"/>
          <w:sz w:val="20"/>
          <w:shd w:fill="FFFFFF" w:val="clear"/>
        </w:rPr>
        <w:t xml:space="preserve">compared to the </w:t>
      </w:r>
      <w:r>
        <w:rPr>
          <w:rFonts w:ascii="Times New Roman;sans-serif" w:hAnsi="Times New Roman;sans-serif"/>
          <w:b w:val="false"/>
          <w:color w:val="000000"/>
          <w:sz w:val="20"/>
        </w:rPr>
        <w:t>six months ended June 30, 2023. The increase is primarily attributable to increases in leased asset costs of $1.2 million and repairs and maintenance expense of $0.2 million, partially offset by decreases in professional fees of $0.3 million and other non-recurring operating expenses of $0.5 million.</w:t>
      </w:r>
    </w:p>
    <w:p>
      <w:pPr>
        <w:pStyle w:val="TextBody"/>
        <w:bidi w:val="0"/>
        <w:spacing w:lineRule="auto" w:line="288" w:before="240" w:after="283"/>
        <w:jc w:val="left"/>
        <w:rPr/>
      </w:pPr>
      <w:r>
        <w:rPr>
          <w:rFonts w:ascii="Times New Roman;sans-serif" w:hAnsi="Times New Roman;sans-serif"/>
          <w:b w:val="false"/>
          <w:i/>
          <w:color w:val="000000"/>
          <w:sz w:val="20"/>
          <w:u w:val="single"/>
          <w:shd w:fill="FFFFFF" w:val="clear"/>
        </w:rPr>
        <w:t>Uniti Fiber</w:t>
      </w:r>
      <w:r>
        <w:rPr>
          <w:color w:val="000000"/>
          <w:shd w:fill="FFFFFF" w:val="clear"/>
        </w:rPr>
        <w:t xml:space="preserve"> – </w:t>
      </w:r>
      <w:r>
        <w:rPr>
          <w:rFonts w:ascii="Times New Roman;sans-serif" w:hAnsi="Times New Roman;sans-serif"/>
          <w:b w:val="false"/>
          <w:color w:val="000000"/>
          <w:sz w:val="20"/>
          <w:shd w:fill="FFFFFF" w:val="clear"/>
        </w:rPr>
        <w:t xml:space="preserve">Uniti Fiber operating expenses </w:t>
      </w:r>
      <w:r>
        <w:rPr>
          <w:rFonts w:ascii="Times New Roman;sans-serif" w:hAnsi="Times New Roman;sans-serif"/>
          <w:b w:val="false"/>
          <w:color w:val="000000"/>
          <w:sz w:val="20"/>
        </w:rPr>
        <w:t>decreased</w:t>
      </w:r>
      <w:r>
        <w:rPr>
          <w:color w:val="000000"/>
          <w:shd w:fill="FFFFFF" w:val="clear"/>
        </w:rPr>
        <w:t xml:space="preserve"> </w:t>
      </w:r>
      <w:r>
        <w:rPr>
          <w:rFonts w:ascii="Times New Roman;sans-serif" w:hAnsi="Times New Roman;sans-serif"/>
          <w:b w:val="false"/>
          <w:color w:val="000000"/>
          <w:sz w:val="20"/>
        </w:rPr>
        <w:t>$0.9 million</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six months ended June 30, 2024</w:t>
      </w:r>
      <w:r>
        <w:rPr>
          <w:color w:val="000000"/>
          <w:shd w:fill="FFFFFF" w:val="clear"/>
        </w:rPr>
        <w:t xml:space="preserve"> </w:t>
      </w:r>
      <w:r>
        <w:rPr>
          <w:rFonts w:ascii="Times New Roman;sans-serif" w:hAnsi="Times New Roman;sans-serif"/>
          <w:b w:val="false"/>
          <w:color w:val="000000"/>
          <w:sz w:val="20"/>
          <w:shd w:fill="FFFFFF" w:val="clear"/>
        </w:rPr>
        <w:t xml:space="preserve">compared to the </w:t>
      </w:r>
      <w:r>
        <w:rPr>
          <w:rFonts w:ascii="Times New Roman;sans-serif" w:hAnsi="Times New Roman;sans-serif"/>
          <w:b w:val="false"/>
          <w:color w:val="000000"/>
          <w:sz w:val="20"/>
        </w:rPr>
        <w:t xml:space="preserve">six months ended June 30, 2023, </w:t>
      </w:r>
      <w:r>
        <w:rPr>
          <w:rFonts w:ascii="Times New Roman;sans-serif" w:hAnsi="Times New Roman;sans-serif"/>
          <w:b w:val="false"/>
          <w:color w:val="000000"/>
          <w:sz w:val="20"/>
          <w:shd w:fill="FFFFFF" w:val="clear"/>
        </w:rPr>
        <w:t xml:space="preserve">which is primarily attributable to a decrease in off network expense of $2.3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partially offset by an increase in non-recurring installation and equipment expense of $1.3 million and maintenance and repairs expenses of $0.3 million.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Transaction Related and Other Costs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 during the six months ended June 30, 2024 and 2023 included acquisition, pursuit, transaction and integration costs (including unsuccessful acquisition pursuit costs). For the six months ended June 30, 2024, we incurred $16.7 million of transaction related and other costs, compared to $8.4 million of such costs during the six months ended June 30, 2023. The increase relates primarily to costs associated with the Merger.</w:t>
      </w:r>
    </w:p>
    <w:p>
      <w:pPr>
        <w:pStyle w:val="TextBody"/>
        <w:bidi w:val="0"/>
        <w:spacing w:lineRule="auto" w:line="26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changed $20.2 million for the six months ended June 30, 2024 as compared to the six months ended June 30, 2023, which included $20.6 million of costs related to the issuance of the February 2028 Secured Notes.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Income Tax Benefit</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benefit recorded for the six months ended June 30, 2024 and 2023, respectively, is related to the tax impact of the following:</w:t>
      </w:r>
    </w:p>
    <w:tbl>
      <w:tblPr>
        <w:tblW w:w="5272" w:type="dxa"/>
        <w:jc w:val="center"/>
        <w:tblInd w:w="0" w:type="dxa"/>
        <w:tblLayout w:type="fixed"/>
        <w:tblCellMar>
          <w:top w:w="28" w:type="dxa"/>
          <w:left w:w="28" w:type="dxa"/>
          <w:bottom w:w="28" w:type="dxa"/>
          <w:right w:w="28" w:type="dxa"/>
        </w:tblCellMar>
      </w:tblPr>
      <w:tblGrid>
        <w:gridCol w:w="808"/>
        <w:gridCol w:w="711"/>
        <w:gridCol w:w="716"/>
        <w:gridCol w:w="109"/>
        <w:gridCol w:w="109"/>
        <w:gridCol w:w="109"/>
        <w:gridCol w:w="362"/>
        <w:gridCol w:w="344"/>
        <w:gridCol w:w="346"/>
        <w:gridCol w:w="187"/>
        <w:gridCol w:w="187"/>
        <w:gridCol w:w="187"/>
        <w:gridCol w:w="362"/>
        <w:gridCol w:w="304"/>
        <w:gridCol w:w="431"/>
      </w:tblGrid>
      <w:tr>
        <w:trPr/>
        <w:tc>
          <w:tcPr>
            <w:tcW w:w="8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loss (Uniti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(7,555)</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REIT state and local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(7,934)</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240" w:after="283"/>
        <w:jc w:val="left"/>
        <w:rPr/>
      </w:pPr>
      <w:r>
        <w:rPr>
          <w:rFonts w:ascii="Times New Roman;sans-serif" w:hAnsi="Times New Roman;sans-serif"/>
          <w:b w:val="false"/>
          <w:color w:val="000000"/>
          <w:sz w:val="20"/>
        </w:rPr>
        <w:t xml:space="preserve">We </w:t>
      </w:r>
      <w:r>
        <w:rPr>
          <w:rFonts w:ascii="Times New Roman;sans-serif" w:hAnsi="Times New Roman;sans-serif"/>
          <w:b w:val="false"/>
          <w:color w:val="000000"/>
          <w:sz w:val="20"/>
          <w:shd w:fill="FFFFFF" w:val="clear"/>
        </w:rPr>
        <w:t>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We</w:t>
      </w:r>
      <w:r>
        <w:rPr>
          <w:color w:val="000000"/>
          <w:shd w:fill="FFFFFF" w:val="clear"/>
        </w:rPr>
        <w:t xml:space="preserve"> </w:t>
      </w:r>
      <w:r>
        <w:rPr>
          <w:rFonts w:ascii="Times New Roman;sans-serif" w:hAnsi="Times New Roman;sans-serif"/>
          <w:b w:val="false"/>
          <w:color w:val="000000"/>
          <w:sz w:val="20"/>
          <w:shd w:fill="FFFFFF" w:val="clear"/>
        </w:rPr>
        <w:t>define “EBITDA” as net income, as defined by GAAP, before interest expense, provision for income taxes and depreciation and amortization. We define “Adjusted EBITDA” as EBITDA before stock-based compensation expense and the impact, which may be recurring in nature, of incremental acquisition, pursuit, transaction and integration costs (including unsuccessful acquisition pursuit costs), costs associated with Windstream’s bankruptcy, costs associated with litigation claims made against us, and costs associated with the implementation of our enterprise resource planning system, (collectively, “Transaction Related and Other Costs”), costs related to the settlement with Windstream, goodwill impairment charges, severance costs,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and includes adjustments to reflect the Company’s share of FFO from unconsolidated entities. We compute FFO in accordance with NAREIT’s definition.</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 Company defines AFFO, as FFO excluding (i) Transaction Related and Other Costs; (ii) costs related to the litigation settlement with Windstream, accretion on our settlement obligation, and gains on prepayment of our settlement obligation as these items are not reflective of ongoing operating performance; (iii) goodwill impairment charges; (iv) certain non-cash revenues and expenses such as stock-based compensation expense, amortization of debt and equity discounts, amortization of deferred financing costs, depreciation and amortization of non-real estate assets, amortization of non-cash rights-of-use assets, straight line revenues, non-cash income taxes, and the amortization of other non-cash revenues to the extent that cash has not been received, such as revenue associated with the amortization of TCIs; and (v) the impact, which may be recurring in nature, of the write-off of unamortized deferred financing fees, additional costs incurred as a result of the early repayment of debt, including early tender and redemption premiums and costs associated with the termination of related hedging activities, severance costs, taxes associated with tax basis cancellation of debt, gains or losses on dispositions, changes in the fair value of contingent consideration and financial instruments and similar or infrequent items less maintenance capital expenditures. AFFO includes adjustments to reflect the Company’s share of AFFO from unconsolidated entities.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r>
        <w:rPr>
          <w:rFonts w:ascii="Times New Roman;sans-serif" w:hAnsi="Times New Roman;sans-serif"/>
          <w:b w:val="false"/>
          <w:color w:val="000000"/>
          <w:sz w:val="24"/>
          <w:shd w:fill="FFFFFF" w:val="clear"/>
        </w:rPr>
        <w:t xml:space="preserve">. </w:t>
      </w:r>
    </w:p>
    <w:p>
      <w:pPr>
        <w:pStyle w:val="TextBody"/>
        <w:bidi w:val="0"/>
        <w:spacing w:lineRule="auto" w:line="288" w:before="240" w:after="283"/>
        <w:jc w:val="left"/>
        <w:rPr/>
      </w:pPr>
      <w:r>
        <w:rPr>
          <w:rFonts w:ascii="Times New Roman;sans-serif" w:hAnsi="Times New Roman;sans-serif"/>
          <w:b w:val="false"/>
          <w:color w:val="000000"/>
          <w:sz w:val="20"/>
        </w:rPr>
        <w:t xml:space="preserve">Further, </w:t>
      </w:r>
      <w:r>
        <w:rPr>
          <w:rFonts w:ascii="Times New Roman;sans-serif" w:hAnsi="Times New Roman;sans-serif"/>
          <w:b w:val="false"/>
          <w:color w:val="000000"/>
          <w:sz w:val="20"/>
          <w:shd w:fill="FFFFFF" w:val="clear"/>
        </w:rPr>
        <w:t>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reconciliation of our net income to EBITDA and Adjusted EBITDA and of our net income attributable to common shareholders to FFO and AFFO for the three and six months ended June 30, 2024 and 2023 is as follows:</w:t>
      </w:r>
    </w:p>
    <w:tbl>
      <w:tblPr>
        <w:tblW w:w="10205" w:type="dxa"/>
        <w:jc w:val="center"/>
        <w:tblInd w:w="0" w:type="dxa"/>
        <w:tblLayout w:type="fixed"/>
        <w:tblCellMar>
          <w:top w:w="28" w:type="dxa"/>
          <w:left w:w="28" w:type="dxa"/>
          <w:bottom w:w="28" w:type="dxa"/>
          <w:right w:w="28" w:type="dxa"/>
        </w:tblCellMar>
      </w:tblPr>
      <w:tblGrid>
        <w:gridCol w:w="1684"/>
        <w:gridCol w:w="1447"/>
        <w:gridCol w:w="146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84"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459,368 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68"/>
        <w:gridCol w:w="1510"/>
        <w:gridCol w:w="1526"/>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768"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securities share in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securities share in FFO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 and amortization from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FFO attributable to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debt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 off of deferred financing costs and debt discount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related to the early repayment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Non-real estate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revenues and amortization of below-market lease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AFFO attributable to common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198,351 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liquidity needs are to fund operating expenses, meet debt service obligations, fund investment activities, including capital expenditures, and make dividend distributions. Furthermore, following consummation of our settlement agreement with Windstream, including entry into the Windstream Leases, we are obligated (i) to make $490.1 million of cash payments to Windstream in equal installments over 20 consecutive quarters beginning in October 2020 and (ii) to reimburse Windstream for up to an aggregate of $1.75 billion for Growth Capital Improvements in long-term value accretive fiber and related assets made by Windstream through 2029. To date, we have paid $362.4 million of the $490.1 million due to Windstream under the settlement agreement.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2022 and 2023, and are limited to $225 million per year in 2024; $175 million per year in 2025 and 2026; and $125 million per year in 2027 through 2029.</w:t>
      </w:r>
    </w:p>
    <w:p>
      <w:pPr>
        <w:pStyle w:val="TextBody"/>
        <w:bidi w:val="0"/>
        <w:spacing w:lineRule="auto" w:line="288" w:before="240" w:after="283"/>
        <w:jc w:val="left"/>
        <w:rPr/>
      </w:pPr>
      <w:r>
        <w:rPr>
          <w:rFonts w:ascii="Times New Roman;sans-serif" w:hAnsi="Times New Roman;sans-serif"/>
          <w:b w:val="false"/>
          <w:color w:val="000000"/>
          <w:sz w:val="20"/>
        </w:rPr>
        <w:t xml:space="preserve">Our </w:t>
      </w:r>
      <w:r>
        <w:rPr>
          <w:rFonts w:ascii="Times New Roman;sans-serif" w:hAnsi="Times New Roman;sans-serif"/>
          <w:b w:val="false"/>
          <w:color w:val="000000"/>
          <w:sz w:val="20"/>
          <w:shd w:fill="FFFFFF" w:val="clear"/>
        </w:rPr>
        <w:t>primary sources of liquidity and capital resources are cash on hand, cash provided by operating activities (primarily from the Windstream Leases), available borrowings under our credit agreement by and among the Operating Partnership, CSL Capital, LLC and Uniti Group Finance 2019 Inc., the guarantors party thereto, Bank of America, N.A., as administrative agent, collateral agent, swing line lender and an L/C issuer and certain other lenders named therein (the "Credit Agreement"), and proceeds from the issuance of debt and equity securities</w:t>
      </w:r>
      <w:r>
        <w:rPr>
          <w:rFonts w:ascii="Times New Roman;sans-serif" w:hAnsi="Times New Roman;sans-serif"/>
          <w:b w:val="false"/>
          <w:color w:val="000000"/>
          <w:sz w:val="20"/>
        </w:rPr>
        <w:t>.</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had total cash and cash equivalents of $131.5 million, including $12.7 million of restricted cash and cash equivalents, approximately $500.0 million of borrowing availability under our revolving credit facility maturing on September 24, 2027 under the Credit Agreement (the “Revolving Credit Facility”), and up to $75.0 million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240" w:after="283"/>
        <w:jc w:val="left"/>
        <w:rPr/>
      </w:pPr>
      <w:r>
        <w:rPr>
          <w:rFonts w:ascii="Times New Roman;sans-serif" w:hAnsi="Times New Roman;sans-serif"/>
          <w:b w:val="false"/>
          <w:color w:val="000000"/>
          <w:sz w:val="20"/>
        </w:rPr>
        <w:t xml:space="preserve">borrowing capacity under our ABS Loan Facility, subject to satisfying certain financial metrics and transferring certain additional assets into the facility as collateral, which we expect to occur within twelve months. Subsequent to June 30, 2024, other than $34.2 million of Growth Capital Improvements </w:t>
      </w:r>
      <w:r>
        <w:rPr>
          <w:rFonts w:ascii="Times New Roman;sans-serif" w:hAnsi="Times New Roman;sans-serif"/>
          <w:b w:val="false"/>
          <w:color w:val="000000"/>
          <w:sz w:val="20"/>
          <w:shd w:fill="FFFFFF" w:val="clear"/>
        </w:rPr>
        <w:t xml:space="preserve">(see </w:t>
      </w:r>
      <w:r>
        <w:rPr>
          <w:color w:val="000000"/>
          <w:shd w:fill="FFFFFF" w:val="clear"/>
        </w:rPr>
        <w:t>“</w:t>
      </w:r>
      <w:r>
        <w:rPr>
          <w:rFonts w:ascii="Times New Roman;sans-serif" w:hAnsi="Times New Roman;sans-serif"/>
          <w:b w:val="false"/>
          <w:i/>
          <w:color w:val="000000"/>
          <w:sz w:val="20"/>
          <w:shd w:fill="FFFFFF" w:val="clear"/>
        </w:rPr>
        <w:t>Result of Operations—Revenues”</w:t>
      </w:r>
      <w:r>
        <w:rPr>
          <w:color w:val="000000"/>
          <w:shd w:fill="FFFFFF" w:val="clear"/>
        </w:rPr>
        <w:t xml:space="preserve"> </w:t>
      </w:r>
      <w:r>
        <w:rPr>
          <w:rFonts w:ascii="Times New Roman;sans-serif" w:hAnsi="Times New Roman;sans-serif"/>
          <w:b w:val="false"/>
          <w:color w:val="000000"/>
          <w:sz w:val="20"/>
          <w:shd w:fill="FFFFFF" w:val="clear"/>
        </w:rPr>
        <w:t>above),</w:t>
      </w:r>
      <w:r>
        <w:rPr>
          <w:color w:val="000000"/>
        </w:rPr>
        <w:t xml:space="preserve"> </w:t>
      </w:r>
      <w:r>
        <w:rPr>
          <w:rFonts w:ascii="Times New Roman;sans-serif" w:hAnsi="Times New Roman;sans-serif"/>
          <w:b w:val="false"/>
          <w:color w:val="000000"/>
          <w:sz w:val="20"/>
        </w:rPr>
        <w:t>there have been no material outlays of funds outside of our scheduled interest and dividend payments. Availability under our Revolving Credit Facility is subject to various conditions, including a maximum secured leverage ratio of 5.0:1. In addition, if we incur debt under our Revolving Credit Facility or otherwise such that our total leverage ratio exceeds 6.5:1, our Revolving Credit Facility would impose significant restrictions on our ability to pay dividends. See “—Dividends.”</w:t>
      </w:r>
    </w:p>
    <w:tbl>
      <w:tblPr>
        <w:tblW w:w="6455" w:type="dxa"/>
        <w:jc w:val="center"/>
        <w:tblInd w:w="0" w:type="dxa"/>
        <w:tblLayout w:type="fixed"/>
        <w:tblCellMar>
          <w:top w:w="28" w:type="dxa"/>
          <w:left w:w="28" w:type="dxa"/>
          <w:bottom w:w="28" w:type="dxa"/>
          <w:right w:w="28" w:type="dxa"/>
        </w:tblCellMar>
      </w:tblPr>
      <w:tblGrid>
        <w:gridCol w:w="1253"/>
        <w:gridCol w:w="1102"/>
        <w:gridCol w:w="1109"/>
        <w:gridCol w:w="109"/>
        <w:gridCol w:w="109"/>
        <w:gridCol w:w="109"/>
        <w:gridCol w:w="211"/>
        <w:gridCol w:w="826"/>
        <w:gridCol w:w="109"/>
        <w:gridCol w:w="109"/>
        <w:gridCol w:w="109"/>
        <w:gridCol w:w="109"/>
        <w:gridCol w:w="211"/>
        <w:gridCol w:w="82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is primarily attributable to our leasing activities, which includes the leasing of mission-critical communications assets to anchor customers on either an exclusive or shared-tenant basis, in addition to the leasing of dark fiber network assets to the telecommunications industry. Cash used in operating activities includes compensation and related costs, interest payments, and other changes in working capital. Net cash provided by operating activities was $174.3 million and $199.8 million for the six months ended June 30, 2024 and 2023, respectively. The decrease in net cash provided by operating activities during the six months ended June 30, 2024 is primarily attributable to an increase in cash interest expense and changes in working capital.</w:t>
      </w:r>
    </w:p>
    <w:tbl>
      <w:tblPr>
        <w:tblW w:w="6868" w:type="dxa"/>
        <w:jc w:val="left"/>
        <w:tblInd w:w="0" w:type="dxa"/>
        <w:tblLayout w:type="fixed"/>
        <w:tblCellMar>
          <w:top w:w="28" w:type="dxa"/>
          <w:left w:w="28" w:type="dxa"/>
          <w:bottom w:w="28" w:type="dxa"/>
          <w:right w:w="28" w:type="dxa"/>
        </w:tblCellMar>
      </w:tblPr>
      <w:tblGrid>
        <w:gridCol w:w="1324"/>
        <w:gridCol w:w="1164"/>
        <w:gridCol w:w="1172"/>
        <w:gridCol w:w="109"/>
        <w:gridCol w:w="109"/>
        <w:gridCol w:w="109"/>
        <w:gridCol w:w="211"/>
        <w:gridCol w:w="901"/>
        <w:gridCol w:w="109"/>
        <w:gridCol w:w="109"/>
        <w:gridCol w:w="109"/>
        <w:gridCol w:w="109"/>
        <w:gridCol w:w="211"/>
        <w:gridCol w:w="901"/>
        <w:gridCol w:w="221"/>
      </w:tblGrid>
      <w:tr>
        <w:trPr/>
        <w:tc>
          <w:tcPr>
            <w:tcW w:w="132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(247,269)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other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unconsolidated entity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(246,100)</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Net cash used in investing activities decreased $63.8 million for the six months ended June 30, 2024 </w:t>
      </w:r>
      <w:r>
        <w:rPr>
          <w:rFonts w:ascii="Times New Roman;sans-serif" w:hAnsi="Times New Roman;sans-serif"/>
          <w:b w:val="false"/>
          <w:color w:val="000000"/>
          <w:sz w:val="20"/>
          <w:shd w:fill="FFFFFF" w:val="clear"/>
        </w:rPr>
        <w:t xml:space="preserve">compared to the </w:t>
      </w:r>
      <w:r>
        <w:rPr>
          <w:rFonts w:ascii="Times New Roman;sans-serif" w:hAnsi="Times New Roman;sans-serif"/>
          <w:b w:val="false"/>
          <w:color w:val="000000"/>
          <w:sz w:val="20"/>
        </w:rPr>
        <w:t>six months ended June 30, 2024, primarily driven by proceeds from the sale of our investment in BB Fiber Holdings LLC of $40.0 million, proceeds from the sale of the CableSouth network of $40.0 million, and a decrease in Uniti Fiber capital expenditures of $25.8 million, partially offset by an increase in Growth Capital Improvements of $37.9 million, which we classify as success-based capital expenditures. Capital expenditures are primarily related to our Uniti Fiber and Uniti Leasing businesses for deployment of network assets, as described below under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tbl>
      <w:tblPr>
        <w:tblW w:w="8811" w:type="dxa"/>
        <w:jc w:val="center"/>
        <w:tblInd w:w="0" w:type="dxa"/>
        <w:tblLayout w:type="fixed"/>
        <w:tblCellMar>
          <w:top w:w="28" w:type="dxa"/>
          <w:left w:w="28" w:type="dxa"/>
          <w:bottom w:w="28" w:type="dxa"/>
          <w:right w:w="28" w:type="dxa"/>
        </w:tblCellMar>
      </w:tblPr>
      <w:tblGrid>
        <w:gridCol w:w="1997"/>
        <w:gridCol w:w="1756"/>
        <w:gridCol w:w="1767"/>
        <w:gridCol w:w="109"/>
        <w:gridCol w:w="109"/>
        <w:gridCol w:w="109"/>
        <w:gridCol w:w="211"/>
        <w:gridCol w:w="901"/>
        <w:gridCol w:w="109"/>
        <w:gridCol w:w="109"/>
        <w:gridCol w:w="109"/>
        <w:gridCol w:w="109"/>
        <w:gridCol w:w="211"/>
        <w:gridCol w:w="1051"/>
        <w:gridCol w:w="154"/>
      </w:tblGrid>
      <w:tr>
        <w:trPr/>
        <w:tc>
          <w:tcPr>
            <w:tcW w:w="1997"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(2,263,662)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settlement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under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ABS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settlement of common stock warrant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of bond hedge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related to the early repayment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paid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Net cash provided by financing activities was $77.2 million for the six months ended June 30, 2024, which was primarily related to the $309.0 million proceeds from issuance of the Additional February 2028 Secured Notes and $275.0 million of proceeds from the ABS Loan Facility, partially offset by $122.9 million repayment of debt, </w:t>
      </w:r>
      <w:r>
        <w:rPr>
          <w:rFonts w:ascii="Times New Roman;sans-serif" w:hAnsi="Times New Roman;sans-serif"/>
          <w:b w:val="false"/>
          <w:color w:val="212529"/>
          <w:sz w:val="20"/>
          <w:shd w:fill="FFFFFF" w:val="clear"/>
        </w:rPr>
        <w:t xml:space="preserve">net payments under the Revolving Credit Facility of $208.0 million, dividend payments of </w:t>
      </w:r>
      <w:r>
        <w:rPr>
          <w:rFonts w:ascii="Times New Roman;sans-serif" w:hAnsi="Times New Roman;sans-serif"/>
          <w:b w:val="false"/>
          <w:color w:val="000000"/>
          <w:sz w:val="20"/>
        </w:rPr>
        <w:t>$108.4 million, repayments of the settlement payable of $49.0 million, and payments for financing costs of $15.8 million.</w:t>
      </w:r>
      <w:r>
        <w:rPr>
          <w:color w:val="212529"/>
          <w:shd w:fill="FFFFFF" w:val="clear"/>
        </w:rPr>
        <w:t xml:space="preserve"> </w:t>
      </w:r>
      <w:r>
        <w:rPr>
          <w:rFonts w:ascii="Times New Roman;sans-serif" w:hAnsi="Times New Roman;sans-serif"/>
          <w:b w:val="false"/>
          <w:color w:val="212529"/>
          <w:sz w:val="20"/>
          <w:shd w:fill="FFFFFF" w:val="clear"/>
        </w:rPr>
        <w:t>Net c</w:t>
      </w:r>
      <w:r>
        <w:rPr>
          <w:rFonts w:ascii="Times New Roman;sans-serif" w:hAnsi="Times New Roman;sans-serif"/>
          <w:b w:val="false"/>
          <w:color w:val="000000"/>
          <w:sz w:val="20"/>
          <w:shd w:fill="FFFFFF" w:val="clear"/>
        </w:rPr>
        <w:t xml:space="preserve">ash provided by financing activities was $40.6 million for the six months ended June 30, 2023, which was primarily related to proceeds from issuance of the February 2028 Secured Notes of </w:t>
      </w:r>
      <w:r>
        <w:rPr>
          <w:rFonts w:ascii="Times New Roman;sans-serif" w:hAnsi="Times New Roman;sans-serif"/>
          <w:b w:val="false"/>
          <w:color w:val="212529"/>
          <w:sz w:val="20"/>
          <w:shd w:fill="FFFFFF" w:val="clear"/>
        </w:rPr>
        <w:t xml:space="preserve">$2.6 billion, offset by repayment of the 2025 Secured Notes of $2.3 billion, </w:t>
      </w:r>
      <w:r>
        <w:rPr>
          <w:rFonts w:ascii="Times New Roman;sans-serif" w:hAnsi="Times New Roman;sans-serif"/>
          <w:b w:val="false"/>
          <w:color w:val="000000"/>
          <w:sz w:val="20"/>
          <w:shd w:fill="FFFFFF" w:val="clear"/>
        </w:rPr>
        <w:t xml:space="preserve">net payments under the Revolving Credit Facility of $102.0 million, </w:t>
      </w:r>
      <w:r>
        <w:rPr>
          <w:rFonts w:ascii="Times New Roman;sans-serif" w:hAnsi="Times New Roman;sans-serif"/>
          <w:b w:val="false"/>
          <w:color w:val="212529"/>
          <w:sz w:val="20"/>
          <w:shd w:fill="FFFFFF" w:val="clear"/>
        </w:rPr>
        <w:t xml:space="preserve">dividend payments of </w:t>
      </w:r>
      <w:r>
        <w:rPr>
          <w:rFonts w:ascii="Times New Roman;sans-serif" w:hAnsi="Times New Roman;sans-serif"/>
          <w:b w:val="false"/>
          <w:color w:val="000000"/>
          <w:sz w:val="20"/>
        </w:rPr>
        <w:t>$71.6 million, r</w:t>
      </w:r>
      <w:r>
        <w:rPr>
          <w:rFonts w:ascii="Times New Roman;sans-serif" w:hAnsi="Times New Roman;sans-serif"/>
          <w:b w:val="false"/>
          <w:color w:val="212529"/>
          <w:sz w:val="20"/>
          <w:shd w:fill="FFFFFF" w:val="clear"/>
        </w:rPr>
        <w:t>epayments of the settlement payable of $49.0 million, costs related to the early repayment of the 2025 Secured Notes of</w:t>
      </w:r>
      <w:r>
        <w:rPr>
          <w:color w:val="000000"/>
          <w:shd w:fill="FFFFFF" w:val="clear"/>
        </w:rPr>
        <w:t xml:space="preserve"> </w:t>
      </w:r>
      <w:r>
        <w:rPr>
          <w:rFonts w:ascii="Times New Roman;sans-serif" w:hAnsi="Times New Roman;sans-serif"/>
          <w:b w:val="false"/>
          <w:color w:val="212529"/>
          <w:sz w:val="20"/>
          <w:shd w:fill="FFFFFF" w:val="clear"/>
        </w:rPr>
        <w:t>$44.3 million, and payments for financing costs of $27.0 million.</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Windstream 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initial term of the Windstream Leases expires on April 30, 2030. The aggregate initial annual rent under the Windstream Leases is $663.0 million. The Windstream Leases contain cross-guarantees and cross-default provisions, which will remain effective as long as Windstream or an affiliate is the tenant under both of the Windstream Leases and unless and until the landlords under the ILEC MLA are different from the landlords under the CLEC MLA. The Windstream Leases permit Uniti to transfer its rights and obligations and otherwise monetize or encumber the Windstream Leases, together or separately, so long as Uniti does not transfer interests in either Windstream Lease to a Windstream competitor.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October 2020, pursuant to the Windstream Leases, Windstream (or any successor tenant under a Windstream Lease) has the right to cause Uniti to reimburse up to an aggregate $1.75 billion of Growth Capital Improvements through 2029.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2022 and 2023, and are limited to $225 million in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No such loans have been made as of June 30, 2024.</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UPREIT Operating Partnership Units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 We would expect to eliminate this structure when we complete the Windstream combination.</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Outlook</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continuing to invest in our network infrastructure across our Uniti Leasing and Uniti Fiber portfolios. We anticipate that we will partially finance these needs, as well as operating expenses (including our debt service obligations), from our cash on hand, borrowings under our Revolving Credit Facility and ABS Loan Facility, and cash flows provided by operating activities. As of June 30, 2024, we had $500.0 million in borrowing availability under our Revolving Credit Facility. Additionally, we have up to $75.0 million in borrowing availability under our ABS Loan Facility, subject to satisfying certain financial metrics and transferring certain additional assets into the facility as collateral, which we expect will occur within twelve months. However, we may need to access the capital markets to generate additional funds in an amount sufficient to fund our business operations, announced investment activities, capital expenditures, including reimbursement commitments for Growth Capital Improvements, debt service, and distributions to our shareholders. We are closely monitoring the equity and debt markets and may seek to access them promptly if and when we determine market conditions are appropriate.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exploring potential capital markets transactions, the Company regularly evaluates market conditions, its liquidity profile, and various financing alternatives for opportunities to enhance its capital structure. If opportunities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circumstances warrant, we may take measures to conserve cash as we anticipate that it will be more difficult for us to access the capital markets at attractive rates until such uncertainty is clarified.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bl>
      <w:tblPr>
        <w:tblW w:w="8296" w:type="dxa"/>
        <w:jc w:val="center"/>
        <w:tblInd w:w="0" w:type="dxa"/>
        <w:tblLayout w:type="fixed"/>
        <w:tblCellMar>
          <w:top w:w="28" w:type="dxa"/>
          <w:left w:w="28" w:type="dxa"/>
          <w:bottom w:w="28" w:type="dxa"/>
          <w:right w:w="28" w:type="dxa"/>
        </w:tblCellMar>
      </w:tblPr>
      <w:tblGrid>
        <w:gridCol w:w="910"/>
        <w:gridCol w:w="800"/>
        <w:gridCol w:w="809"/>
        <w:gridCol w:w="109"/>
        <w:gridCol w:w="109"/>
        <w:gridCol w:w="109"/>
        <w:gridCol w:w="211"/>
        <w:gridCol w:w="826"/>
        <w:gridCol w:w="109"/>
        <w:gridCol w:w="109"/>
        <w:gridCol w:w="109"/>
        <w:gridCol w:w="109"/>
        <w:gridCol w:w="233"/>
        <w:gridCol w:w="681"/>
        <w:gridCol w:w="122"/>
        <w:gridCol w:w="109"/>
        <w:gridCol w:w="109"/>
        <w:gridCol w:w="109"/>
        <w:gridCol w:w="294"/>
        <w:gridCol w:w="649"/>
        <w:gridCol w:w="153"/>
        <w:gridCol w:w="109"/>
        <w:gridCol w:w="109"/>
        <w:gridCol w:w="109"/>
        <w:gridCol w:w="211"/>
        <w:gridCol w:w="826"/>
        <w:gridCol w:w="154"/>
      </w:tblGrid>
      <w:tr>
        <w:trPr/>
        <w:tc>
          <w:tcPr>
            <w:tcW w:w="91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Success 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Maintenance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Non-Network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 capital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We categorize our capital expenditures as either (i) success-based, (ii) maintenance, or (iii) non-network. We define success-based capital expenditures as those related to installing existing or anticipated contractual customer service orders. Maintenance capital expenditures are those necessary to keep existing network elements fully operational. We anticipate continuing to invest in our network infrastructure across our Uniti Leasing and Uniti Fiber businesses and expect that cash on hand and cash flows provided by operating activities will be sufficient to support these investments. </w:t>
      </w:r>
      <w:r>
        <w:rPr>
          <w:rFonts w:ascii="Times New Roman;sans-serif" w:hAnsi="Times New Roman;sans-serif"/>
          <w:b w:val="false"/>
          <w:color w:val="000000"/>
          <w:sz w:val="20"/>
          <w:shd w:fill="FFFFFF" w:val="clear"/>
        </w:rPr>
        <w:t xml:space="preserve">We have the right, but not the obligation (except for Growth Capital Improvements), to </w:t>
      </w:r>
      <w:r>
        <w:rPr>
          <w:rFonts w:ascii="Times New Roman;sans-serif" w:hAnsi="Times New Roman;sans-serif"/>
          <w:b w:val="false"/>
          <w:color w:val="000000"/>
          <w:sz w:val="20"/>
        </w:rPr>
        <w:t>reimburse</w:t>
      </w:r>
      <w:r>
        <w:rPr>
          <w:color w:val="000000"/>
          <w:shd w:fill="FFFFFF" w:val="clear"/>
        </w:rPr>
        <w:t xml:space="preserve"> </w:t>
      </w:r>
      <w:r>
        <w:rPr>
          <w:rFonts w:ascii="Times New Roman;sans-serif" w:hAnsi="Times New Roman;sans-serif"/>
          <w:b w:val="false"/>
          <w:color w:val="000000"/>
          <w:sz w:val="20"/>
          <w:shd w:fill="FFFFFF" w:val="clear"/>
        </w:rPr>
        <w:t>growth capital expenditures in certain of our lease arrangements where we are the lessor.</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Uniti’s total annual reimbursement commitments to Windstream for the Growth Capital Improvements is discussed above in this Part I, Item 2 “Management’s Discussion and Analysis of Financial Condition and Results of Operations” in “Liquidity and Capital Resources—Windstream Leases.” Growth Capital Improvements are treated as success-based capital improvements based on the rents paid with respect to such amounts.</w:t>
      </w:r>
    </w:p>
    <w:p>
      <w:pPr>
        <w:pStyle w:val="TextBody"/>
        <w:bidi w:val="0"/>
        <w:spacing w:lineRule="auto" w:line="288" w:before="240" w:after="283"/>
        <w:jc w:val="left"/>
        <w:rPr/>
      </w:pPr>
      <w:r>
        <w:rPr>
          <w:rFonts w:ascii="Times New Roman;sans-serif" w:hAnsi="Times New Roman;sans-serif"/>
          <w:b w:val="false"/>
          <w:color w:val="000000"/>
          <w:sz w:val="20"/>
        </w:rPr>
        <w:t xml:space="preserve">If circumstances warrant, </w:t>
      </w:r>
      <w:r>
        <w:rPr>
          <w:rFonts w:ascii="Times New Roman;sans-serif" w:hAnsi="Times New Roman;sans-serif"/>
          <w:b w:val="false"/>
          <w:color w:val="000000"/>
          <w:sz w:val="20"/>
          <w:shd w:fill="FFFFFF" w:val="clear"/>
        </w:rPr>
        <w:t xml:space="preserve">we may need to take measures to conserve cash, which may include a suspension, delay or reduction in success-based capital expenditures.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240" w:after="283"/>
        <w:jc w:val="left"/>
        <w:rPr/>
      </w:pPr>
      <w:r>
        <w:rPr>
          <w:rFonts w:ascii="Times New Roman;sans-serif" w:hAnsi="Times New Roman;sans-serif"/>
          <w:b w:val="false"/>
          <w:color w:val="000000"/>
          <w:sz w:val="20"/>
        </w:rPr>
        <w:t xml:space="preserve">We </w:t>
      </w:r>
      <w:r>
        <w:rPr>
          <w:rFonts w:ascii="Times New Roman;sans-serif" w:hAnsi="Times New Roman;sans-serif"/>
          <w:b w:val="false"/>
          <w:color w:val="000000"/>
          <w:sz w:val="20"/>
          <w:shd w:fill="FFFFFF" w:val="clear"/>
        </w:rPr>
        <w:t>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below sets out details regarding our cash dividends on our common stock:</w:t>
      </w:r>
    </w:p>
    <w:tbl>
      <w:tblPr>
        <w:tblW w:w="8387" w:type="dxa"/>
        <w:jc w:val="center"/>
        <w:tblInd w:w="0" w:type="dxa"/>
        <w:tblLayout w:type="fixed"/>
        <w:tblCellMar>
          <w:top w:w="28" w:type="dxa"/>
          <w:left w:w="28" w:type="dxa"/>
          <w:bottom w:w="28" w:type="dxa"/>
          <w:right w:w="28" w:type="dxa"/>
        </w:tblCellMar>
      </w:tblPr>
      <w:tblGrid>
        <w:gridCol w:w="1032"/>
        <w:gridCol w:w="903"/>
        <w:gridCol w:w="914"/>
        <w:gridCol w:w="109"/>
        <w:gridCol w:w="109"/>
        <w:gridCol w:w="109"/>
        <w:gridCol w:w="429"/>
        <w:gridCol w:w="429"/>
        <w:gridCol w:w="431"/>
        <w:gridCol w:w="109"/>
        <w:gridCol w:w="109"/>
        <w:gridCol w:w="109"/>
        <w:gridCol w:w="464"/>
        <w:gridCol w:w="1125"/>
        <w:gridCol w:w="240"/>
        <w:gridCol w:w="109"/>
        <w:gridCol w:w="109"/>
        <w:gridCol w:w="109"/>
        <w:gridCol w:w="421"/>
        <w:gridCol w:w="421"/>
        <w:gridCol w:w="597"/>
      </w:tblGrid>
      <w:tr>
        <w:trPr/>
        <w:tc>
          <w:tcPr>
            <w:tcW w:w="103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Cash 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Record Date</w:t>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2024 -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2024 -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14, 2024</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Merger Agreement with Windstream, we have agreed to suspend dividend payments or other distributions until the consummation of the Merger, except for the dividend paid on June 28, 2024 and those dividends reasonably required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 xml:space="preserve">for us or our subsidiaries to maintain its status as a REIT or to avoid the payment or imposition of income or excise tax, among other customary exceptions. Any </w:t>
      </w:r>
      <w:r>
        <w:rPr>
          <w:rFonts w:ascii="Times New Roman;sans-serif" w:hAnsi="Times New Roman;sans-serif"/>
          <w:b w:val="false"/>
          <w:color w:val="000000"/>
          <w:sz w:val="20"/>
          <w:shd w:fill="FFFFFF" w:val="clear"/>
        </w:rPr>
        <w:t xml:space="preserve">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make certain judgments and use certain estimates and assumptions when applying accounting principles in the preparation of our Condensed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the impairment of property, plant and equipment, goodwill impairment and business combinations as critical accounting estimates, as they are the most important to our financial statement presentation and require difficult, subjective and complex judgments.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current assumptions and other considerations used to estimate amounts reflected in our accompanying Condensed Consolidated Financial Statements are appropriate. However, if actual experience differs from the assumptions and other considerations used in estimating amounts reflected in our Condensed Consolidated Financial Statements, the resulting changes could have a material adverse effect on our consolidated results of operations and, in certain situations, could have a material adverse effect on our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information on our critical accounting estimates, see “Management’s Discussion and Analysis of Financial Condition and Results of Operations” and the notes to our audited financial statements included in our Annual Report. As of June 30, 2024, there has been no material change to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Guidance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accounting rules and disclosures can impact our reported results and comparability of our financial statements. See Note 2 to our accompanying Condensed Consolidated Financial Statements contained in Part I, Item 1 "Financial Statements"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information reported under Part II, Item 7A "Quantitative and Qualitative Disclosures About Market Risk" of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Disclosure Controls and Procedures</w:t>
      </w:r>
    </w:p>
    <w:p>
      <w:pPr>
        <w:pStyle w:val="TextBody"/>
        <w:bidi w:val="0"/>
        <w:spacing w:lineRule="auto" w:line="288" w:before="240" w:after="283"/>
        <w:jc w:val="left"/>
        <w:rPr/>
      </w:pPr>
      <w:r>
        <w:rPr>
          <w:rFonts w:ascii="Times New Roman;sans-serif" w:hAnsi="Times New Roman;sans-serif"/>
          <w:b w:val="false"/>
          <w:color w:val="000000"/>
          <w:sz w:val="20"/>
        </w:rPr>
        <w:t xml:space="preserve">We </w:t>
      </w:r>
      <w:r>
        <w:rPr>
          <w:rFonts w:ascii="Times New Roman;sans-serif" w:hAnsi="Times New Roman;sans-serif"/>
          <w:b w:val="false"/>
          <w:color w:val="000000"/>
          <w:sz w:val="20"/>
          <w:shd w:fill="FFFFFF" w:val="clear"/>
        </w:rPr>
        <w:t>have established disclosure controls and procedures, as such term is defined in Rule 13a-15(e)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r>
        <w:rPr>
          <w:rFonts w:ascii="Times New Roman;sans-serif" w:hAnsi="Times New Roman;sans-serif"/>
          <w:b w:val="false"/>
          <w:color w:val="000000"/>
          <w:sz w:val="20"/>
        </w:rPr>
        <w:t>.</w:t>
      </w:r>
    </w:p>
    <w:p>
      <w:pPr>
        <w:pStyle w:val="TextBody"/>
        <w:bidi w:val="0"/>
        <w:spacing w:lineRule="auto" w:line="288" w:before="240" w:after="283"/>
        <w:jc w:val="left"/>
        <w:rPr/>
      </w:pPr>
      <w:r>
        <w:rPr>
          <w:rFonts w:ascii="Times New Roman;sans-serif" w:hAnsi="Times New Roman;sans-serif"/>
          <w:b w:val="false"/>
          <w:color w:val="000000"/>
          <w:sz w:val="20"/>
        </w:rPr>
        <w:t xml:space="preserve">Our </w:t>
      </w:r>
      <w:r>
        <w:rPr>
          <w:rFonts w:ascii="Times New Roman;sans-serif" w:hAnsi="Times New Roman;sans-serif"/>
          <w:b w:val="false"/>
          <w:color w:val="000000"/>
          <w:sz w:val="20"/>
          <w:shd w:fill="FFFFFF" w:val="clear"/>
        </w:rPr>
        <w:t>management, with the participation of our principal executive officer and principal financial officer, evaluated the effectiveness of our disclosure controls and procedures as of June 30, 2024, and based on this evaluation, our principal executive officer and principal financial officer concluded that our disclosure controls and procedures were effective as of June 30, 2024.</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Remediation of Previously Disclosed Material Weakness in Internal Control Over Financial Reporting</w:t>
      </w:r>
    </w:p>
    <w:p>
      <w:pPr>
        <w:pStyle w:val="TextBody"/>
        <w:bidi w:val="0"/>
        <w:spacing w:lineRule="auto" w:line="26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disclosed in Part II, Item 9A "Controls and Procedures” in our Annual Report, during the fourth quarter of 2023, we identified a material weakness in our internal control over financial reporting due to ineffective controls over the annual goodwill impairment assessment. Specifically, the Company did not have a sufficient complement of personnel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appropriate technical expertise to perform an effective risk assessment related to determining the income tax impact of goodwill impairments. As a result, certain control activities in the goodwill and tax processes were not designed and implemented effectively. Management initiated a plan to remediate the material weakness, and implemented improvements to the design and operation of control activities and procedures associated with the annual goodwill impairment assessment.</w:t>
      </w:r>
    </w:p>
    <w:p>
      <w:pPr>
        <w:pStyle w:val="TextBody"/>
        <w:bidi w:val="0"/>
        <w:spacing w:lineRule="auto" w:line="26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quarter ended June 30, 2024, we completed our testing of the design of the actions discussed above. We have concluded that the enhanced control processes have now been designed so as to provide reasonable assurance as to their operating effectiveness, and, as a result, we believe that the material weakness described above was remediated as of June 30, 2024.</w:t>
      </w:r>
    </w:p>
    <w:p>
      <w:pPr>
        <w:pStyle w:val="TextBody"/>
        <w:bidi w:val="0"/>
        <w:spacing w:lineRule="auto" w:line="26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Management believes that our Condensed Consolidated Financial Statements included in this Quarterly Report on Form 10-Q have been prepared in accordance with US GAAP. Our principal executive officer and principal financial officer have certified that, based on such officer’s knowledge, the Condensed Consolidated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240" w:after="283"/>
        <w:jc w:val="left"/>
        <w:rPr/>
      </w:pPr>
      <w:r>
        <w:rPr>
          <w:rFonts w:ascii="Times New Roman;sans-serif" w:hAnsi="Times New Roman;sans-serif"/>
          <w:b w:val="false"/>
          <w:color w:val="000000"/>
          <w:sz w:val="20"/>
        </w:rPr>
        <w:t xml:space="preserve">Other than the changes made in response to the material weakness as described above, there </w:t>
      </w:r>
      <w:r>
        <w:rPr>
          <w:rFonts w:ascii="Times New Roman;sans-serif" w:hAnsi="Times New Roman;sans-serif"/>
          <w:b w:val="false"/>
          <w:color w:val="000000"/>
          <w:sz w:val="20"/>
          <w:shd w:fill="FFFFFF" w:val="clear"/>
        </w:rPr>
        <w:t>were no changes in our internal control over financial reporting, as such term is defined in Rule 13a-15(f) under the Exchange Act, that occurred during the quarter ended June 30, 2024 that has materially affected, or is reasonably likely to materially affect, our internal control over financial reporting</w:t>
      </w:r>
      <w:r>
        <w:rPr>
          <w:rFonts w:ascii="Times New Roman;sans-serif" w:hAnsi="Times New Roman;sans-serif"/>
          <w:b w:val="false"/>
          <w:color w:val="000000"/>
          <w:sz w:val="20"/>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A </w:t>
      </w:r>
      <w:r>
        <w:rPr>
          <w:rFonts w:ascii="Times New Roman;sans-serif" w:hAnsi="Times New Roman;sans-serif"/>
          <w:b w:val="false"/>
          <w:color w:val="000000"/>
          <w:sz w:val="20"/>
        </w:rPr>
        <w:t xml:space="preserve">description of legal proceedings can be found in Note 12 </w:t>
      </w:r>
      <w:r>
        <w:rPr>
          <w:rFonts w:ascii="Times New Roman;sans-serif" w:hAnsi="Times New Roman;sans-serif"/>
          <w:b w:val="false"/>
          <w:color w:val="000000"/>
          <w:sz w:val="20"/>
          <w:shd w:fill="FFFFFF" w:val="clear"/>
        </w:rPr>
        <w:t>- Commitments and Contingencies</w:t>
      </w:r>
      <w:r>
        <w:rPr>
          <w:color w:val="000000"/>
        </w:rPr>
        <w:t xml:space="preserve"> </w:t>
      </w:r>
      <w:r>
        <w:rPr>
          <w:rFonts w:ascii="Times New Roman;sans-serif" w:hAnsi="Times New Roman;sans-serif"/>
          <w:b w:val="false"/>
          <w:color w:val="000000"/>
          <w:sz w:val="20"/>
        </w:rPr>
        <w:t>to our Condensed Consolidated Financial Statements, included in Part I, Item 1" Financial Statements" of this Quarterly Report on Form 10-Q, and is incorporated by reference into this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affecting our business that were discussed in Part II, Item 1A "Risk Factors” in our Quarterly Report on Form 10-Q filed with the SEC on May 3,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2</w:t>
      </w:r>
      <w:r>
        <w:rPr>
          <w:rFonts w:ascii="Times New Roman;sans-serif" w:hAnsi="Times New Roman;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428"/>
        <w:gridCol w:w="374"/>
        <w:gridCol w:w="378"/>
        <w:gridCol w:w="109"/>
        <w:gridCol w:w="109"/>
        <w:gridCol w:w="109"/>
        <w:gridCol w:w="460"/>
        <w:gridCol w:w="460"/>
        <w:gridCol w:w="461"/>
        <w:gridCol w:w="109"/>
        <w:gridCol w:w="109"/>
        <w:gridCol w:w="109"/>
        <w:gridCol w:w="327"/>
        <w:gridCol w:w="793"/>
        <w:gridCol w:w="168"/>
        <w:gridCol w:w="109"/>
        <w:gridCol w:w="109"/>
        <w:gridCol w:w="109"/>
        <w:gridCol w:w="834"/>
        <w:gridCol w:w="834"/>
        <w:gridCol w:w="836"/>
        <w:gridCol w:w="109"/>
        <w:gridCol w:w="109"/>
        <w:gridCol w:w="109"/>
        <w:gridCol w:w="743"/>
        <w:gridCol w:w="743"/>
        <w:gridCol w:w="1058"/>
      </w:tblGrid>
      <w:tr>
        <w:trPr/>
        <w:tc>
          <w:tcPr>
            <w:tcW w:w="42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Average Price Paid per Share</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Number of Shares that May Yet Be Purchased Under the Plans or Programs</w:t>
            </w:r>
          </w:p>
        </w:tc>
      </w:tr>
      <w:tr>
        <w:trPr/>
        <w:tc>
          <w:tcPr>
            <w:tcW w:w="1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2024 to April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2024 to May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 2024 to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240" w:after="283"/>
        <w:jc w:val="left"/>
        <w:rPr/>
      </w:pPr>
      <w:r>
        <w:rPr>
          <w:rFonts w:ascii="Times New Roman;sans-serif" w:hAnsi="Times New Roman;sans-serif"/>
          <w:b w:val="false"/>
          <w:color w:val="000000"/>
          <w:sz w:val="16"/>
          <w:shd w:fill="FFFFFF" w:val="clear"/>
        </w:rPr>
        <w:t>(1)</w:t>
      </w:r>
      <w:r>
        <w:rPr>
          <w:color w:val="000000"/>
          <w:shd w:fill="FFFFFF" w:val="clear"/>
        </w:rPr>
        <w:t xml:space="preserve"> </w:t>
      </w:r>
      <w:r>
        <w:rPr>
          <w:rFonts w:ascii="Times New Roman;sans-serif" w:hAnsi="Times New Roman;sans-serif"/>
          <w:b w:val="false"/>
          <w:color w:val="000000"/>
          <w:sz w:val="20"/>
          <w:shd w:fill="FFFFFF" w:val="clear"/>
        </w:rPr>
        <w:t>The average price paid per share is the weighted average of the fair market prices at which we calculated the number of shares withheld to cover tax withholdings for the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None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 None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 During the three months ended June 30, 2024, none of the Company’s directors or officers (as defined in Rule 16a-1(f) under the Exchange Act) adopted or terminated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2009"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285"/>
        <w:gridCol w:w="285"/>
        <w:gridCol w:w="40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0"/>
              <w:jc w:val="left"/>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76" w:before="0" w:after="0"/>
              <w:jc w:val="left"/>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11"/>
        <w:gridCol w:w="156"/>
        <w:gridCol w:w="134"/>
        <w:gridCol w:w="109"/>
        <w:gridCol w:w="109"/>
        <w:gridCol w:w="109"/>
        <w:gridCol w:w="3006"/>
        <w:gridCol w:w="2638"/>
        <w:gridCol w:w="3733"/>
      </w:tblGrid>
      <w:tr>
        <w:trPr/>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6"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33" w:type="dxa"/>
            <w:tcBorders/>
            <w:vAlign w:val="center"/>
          </w:tcPr>
          <w:p>
            <w:pPr>
              <w:pStyle w:val="TableContents"/>
              <w:bidi w:val="0"/>
              <w:spacing w:before="0" w:after="283"/>
              <w:jc w:val="left"/>
              <w:rPr>
                <w:sz w:val="4"/>
                <w:szCs w:val="4"/>
              </w:rPr>
            </w:pPr>
            <w:r>
              <w:rPr>
                <w:sz w:val="4"/>
                <w:szCs w:val="4"/>
              </w:rPr>
            </w:r>
          </w:p>
        </w:tc>
      </w:tr>
      <w:tr>
        <w:trPr/>
        <w:tc>
          <w:tcPr>
            <w:tcW w:w="5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ans-serif" w:hAnsi="Times New Roman;sans-serif"/>
                  <w:b w:val="false"/>
                  <w:color w:val="0000FF"/>
                  <w:sz w:val="20"/>
                  <w:u w:val="single"/>
                </w:rPr>
                <w:t>Agreement and Plan of Merger, dated as of May 3, 2024, by and between Uniti Group Inc. and Windstream Holdings II, LLC (incorporated by reference to Exhibit 2.1 to the Company’s Current Report on Form 8-K dated and filed with the SEC as of May 3, 2024 (File No. 001-36708))</w:t>
              </w:r>
            </w:hyperlink>
          </w:p>
        </w:tc>
      </w:tr>
      <w:tr>
        <w:trPr/>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unit-ex22.htm">
              <w:r>
                <w:rPr>
                  <w:rStyle w:val="InternetLink"/>
                  <w:rFonts w:ascii="Times New Roman;sans-serif" w:hAnsi="Times New Roman;sans-serif"/>
                  <w:b w:val="false"/>
                  <w:color w:val="0000FF"/>
                  <w:sz w:val="20"/>
                  <w:u w:val="single"/>
                </w:rPr>
                <w:t>Amendment No. 1 to Agreement and Plan of Merger, dated July 17, 2024, by and between Uniti Group Inc. and Windstream Holdings II, LLC</w:t>
              </w:r>
            </w:hyperlink>
          </w:p>
        </w:tc>
      </w:tr>
      <w:tr>
        <w:trPr/>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ans-serif" w:hAnsi="Times New Roman;sans-serif"/>
                  <w:b w:val="false"/>
                  <w:color w:val="0000FF"/>
                  <w:sz w:val="20"/>
                  <w:u w:val="single"/>
                </w:rPr>
                <w:t>Indenture, dated May 17, 2024, by and among Uniti Group LP, Uniti Group Finance 2019 Inc., Uniti Fiber Holdings Inc. and CSL Capital, LLC, as Issuers, the guarantors party thereto and Deutsche Bank Trust Company Americas, as trustee and collateral agent, governing the 10.50% Senior Secured Notes due 2028 (incorporated by reference to Exhibit 4.1 to the Company’s Current Report on Form 8-K dated and filed with the SEC as of May 17, 2024 (File No. 001-36708))</w:t>
              </w:r>
            </w:hyperlink>
          </w:p>
        </w:tc>
      </w:tr>
      <w:tr>
        <w:trPr/>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ans-serif" w:hAnsi="Times New Roman;sans-serif"/>
                  <w:b w:val="false"/>
                  <w:color w:val="0000FF"/>
                  <w:sz w:val="20"/>
                  <w:u w:val="single"/>
                </w:rPr>
                <w:t>Form of 10.50% Senior Secured Notes due 2028 (included in Exhibit 4.1) (incorporated by reference to Exhibit 4.2 to the Company’s Current Report on Form 8-K dated and filed with the SEC as of May 17, 2024 (File No. 001-36708))</w:t>
              </w:r>
            </w:hyperlink>
          </w:p>
        </w:tc>
      </w:tr>
      <w:tr>
        <w:trPr/>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ans-serif" w:hAnsi="Times New Roman;sans-serif"/>
                  <w:b w:val="false"/>
                  <w:color w:val="0000FF"/>
                  <w:sz w:val="20"/>
                  <w:u w:val="single"/>
                </w:rPr>
                <w:t>Voting Agreement, dated as of May 3, 2024, between Uniti Group Inc., Elliott Investment Management L.P., Elliott Associates, L.P., Elliott International, L.P. and DEVONIAN II ICAV (incorporated by reference to Exhibit 10.1 to the Company’s Current Report on Form 8-K dated and filed with the SEC as of May 3, 2024 (File No. 001-36708))</w:t>
              </w:r>
            </w:hyperlink>
          </w:p>
        </w:tc>
      </w:tr>
      <w:tr>
        <w:trPr/>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ans-serif" w:hAnsi="Times New Roman;sans-serif"/>
                  <w:b w:val="false"/>
                  <w:color w:val="0000FF"/>
                  <w:sz w:val="20"/>
                  <w:u w:val="single"/>
                </w:rPr>
                <w:t>Unitholder Agreement, dated as of May 3. 2024, by and between Uniti Group Inc., Elliott Investment Management L.P., Elliott Associates, L.P., Elliott International, L.P., Nexus Aggregator L.P. and, solely for purposes of Section 2(b), Windstream Holdings II, LLC (incorporated by reference to Exhibit 10.2 to the Company’s Current Report on Form 8-K dated and filed with the SEC as of May 3, 2024 (File No. 001-36708))</w:t>
              </w:r>
            </w:hyperlink>
          </w:p>
        </w:tc>
      </w:tr>
      <w:tr>
        <w:trPr/>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imes New Roman;sans-serif" w:hAnsi="Times New Roman;sans-serif"/>
                  <w:b w:val="false"/>
                  <w:color w:val="0000FF"/>
                  <w:sz w:val="20"/>
                  <w:u w:val="single"/>
                </w:rPr>
                <w:t>Unitholder Agreement, dated as of May 3. 2024, by and between Uniti Group Inc. and certain Windstream investors (incorporated by reference to Exhibit 10.3 to the Company’s Current Report on Form 8-K dated and filed with the SEC as of May 3, 2024 (File No. 001-36708))</w:t>
              </w:r>
            </w:hyperlink>
          </w:p>
        </w:tc>
      </w:tr>
      <w:tr>
        <w:trPr/>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Times New Roman;sans-serif" w:hAnsi="Times New Roman;sans-serif"/>
                  <w:b w:val="false"/>
                  <w:color w:val="0000FF"/>
                  <w:sz w:val="20"/>
                  <w:u w:val="single"/>
                </w:rPr>
                <w:t>Form Stockholder Agreement, to be entered into by and among New Uniti, Elliott Investment Management L.P., Elliott Associates, L.P., Elliott International, L.P., Nexus Aggregator L.P. and DEVONIAN II ICAV (incorporated by reference to Exhibit 10.4 to the Company’s Current Report on Form 8-K dated and filed with the SEC as of May 3, 2024 (File No. 001-36708))</w:t>
              </w:r>
            </w:hyperlink>
          </w:p>
        </w:tc>
      </w:tr>
      <w:tr>
        <w:trPr/>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ans-serif" w:hAnsi="Times New Roman;sans-serif"/>
                  <w:b w:val="false"/>
                  <w:color w:val="0000FF"/>
                  <w:sz w:val="20"/>
                  <w:u w:val="single"/>
                </w:rPr>
                <w:t>Form Stockholder Agreement, to be entered into by and among New Uniti and certain Windstream investors (incorporated by reference to Exhibit 10.5 to the Company’s Current Report on Form 8-K dated and filed with the SEC as of May 3, 2024 (File No. 001-36708))</w:t>
              </w:r>
            </w:hyperlink>
          </w:p>
        </w:tc>
      </w:tr>
      <w:tr>
        <w:trPr/>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ans-serif" w:hAnsi="Times New Roman;sans-serif"/>
                  <w:b w:val="false"/>
                  <w:color w:val="0000FF"/>
                  <w:sz w:val="20"/>
                  <w:u w:val="single"/>
                </w:rPr>
                <w:t>Form of Performance-Based Restricted Stock Unit Agreement for executive officers (incorporated by reference to Exhibit 10.1 to the Company’s Current Report on Form 8-K dated May 16, 2024 and filed with the SEC as of May 20, 2024 (File No. 001-36708))</w:t>
              </w:r>
            </w:hyperlink>
          </w:p>
        </w:tc>
      </w:tr>
      <w:tr>
        <w:trPr/>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Times New Roman;sans-serif" w:hAnsi="Times New Roman;sans-serif"/>
                  <w:b w:val="false"/>
                  <w:color w:val="0000FF"/>
                  <w:sz w:val="20"/>
                  <w:u w:val="single"/>
                </w:rPr>
                <w:t>Form of Restricted Shares Agreement for executive officers (incorporated by reference to Exhibit 10.2 to the Company’s Current Report on Form 8-K dated May 16, 2024 and filed with the SEC as of May 20, 2024 (File No. 001-36708))</w:t>
              </w:r>
            </w:hyperlink>
          </w:p>
        </w:tc>
      </w:tr>
      <w:tr>
        <w:trPr/>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28"/>
        <w:gridCol w:w="180"/>
        <w:gridCol w:w="181"/>
        <w:gridCol w:w="109"/>
        <w:gridCol w:w="109"/>
        <w:gridCol w:w="109"/>
        <w:gridCol w:w="2778"/>
        <w:gridCol w:w="2697"/>
        <w:gridCol w:w="3814"/>
      </w:tblGrid>
      <w:tr>
        <w:trPr/>
        <w:tc>
          <w:tcPr>
            <w:tcW w:w="22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Times New Roman;sans-serif" w:hAnsi="Times New Roman;sans-serif"/>
                  <w:b w:val="false"/>
                  <w:color w:val="0000FF"/>
                  <w:sz w:val="20"/>
                  <w:u w:val="single"/>
                </w:rPr>
                <w:t>Amendment No. 9 to the Credit Agreement, dated as of June 17, 2024, among Uniti Group LP, Uniti Group Finance Inc. and CSL Capital LLC, as borrowers, the guarantor party thereto, the lenders party thereto, and Bank of America, N.A., as administrative agent and collateral agent (incorporated by reference to Exhibit 10.1 to the Company’s Current Report on Form 8-K dated June 17, 2024 and filed with the SEC as of June 18, 2024 (File No. 001-36708))</w:t>
              </w:r>
            </w:hyperlink>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unit-exx3112q24.htm">
              <w:r>
                <w:rPr>
                  <w:rStyle w:val="InternetLink"/>
                  <w:rFonts w:ascii="Times New Roman;sans-serif" w:hAnsi="Times New Roman;sans-serif"/>
                  <w:b w:val="false"/>
                  <w:color w:val="0000EE"/>
                  <w:sz w:val="20"/>
                  <w:u w:val="single"/>
                </w:rPr>
                <w:t>Certification of Principal Executive Officer Pursuant to Rules 13a-14(a) and 15d-14(a) under the Securities Exchange Act of 1934, as Adopted Pursuant to Section 302 of the Sarbanes-Oxley Act of 2002.</w:t>
              </w:r>
            </w:hyperlink>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unit-exx3122q24.htm">
              <w:r>
                <w:rPr>
                  <w:rStyle w:val="InternetLink"/>
                  <w:rFonts w:ascii="Times New Roman;sans-serif" w:hAnsi="Times New Roman;sans-serif"/>
                  <w:b w:val="false"/>
                  <w:color w:val="0000EE"/>
                  <w:sz w:val="20"/>
                  <w:u w:val="single"/>
                </w:rPr>
                <w:t>Certification of Principal Financial Officer Pursuant to Rules 13a-14(a) and 15d-14(a) under the Securities Exchange Act of 1934, as Adopted Pursuant to Section 302 of the Sarbanes-Oxley Act of 2002.</w:t>
              </w:r>
            </w:hyperlink>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unit-exx3212q24.htm">
              <w:r>
                <w:rPr>
                  <w:rStyle w:val="InternetLink"/>
                  <w:rFonts w:ascii="Times New Roman;sans-serif" w:hAnsi="Times New Roman;sans-serif"/>
                  <w:b w:val="false"/>
                  <w:color w:val="0000EE"/>
                  <w:sz w:val="20"/>
                  <w:u w:val="single"/>
                </w:rPr>
                <w:t>Certification of Principal Executive Officer Pursuant to 18 U.S.C. Section 1350, as Adopted Pursuant to Section 906 of the Sarbanes-Oxley Act of 2002.</w:t>
              </w:r>
            </w:hyperlink>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5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unit-exx3222q24.htm">
              <w:r>
                <w:rPr>
                  <w:rStyle w:val="InternetLink"/>
                  <w:rFonts w:ascii="Times New Roman;sans-serif" w:hAnsi="Times New Roman;sans-serif"/>
                  <w:b w:val="false"/>
                  <w:color w:val="0000EE"/>
                  <w:sz w:val="20"/>
                  <w:u w:val="single"/>
                </w:rPr>
                <w:t>Certification of Principal Financial Officer Pursuant to 18 U.S.C. Section 1350, as Adopted Pursuant to Section 906 of the Sarbanes-Oxley Act of 2002.</w:t>
              </w:r>
            </w:hyperlink>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5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XBRL tags are embedded within the Inline XBRL document.</w:t>
            </w:r>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5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5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5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5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5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1"/>
        <w:gridCol w:w="2901"/>
        <w:gridCol w:w="40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40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Schedules and similar attachments have been omitted from this filing pursuant to Item 601(a)(5) of Regulation S-K. A copy of any omitted schedule or similar attachment will be furnished to the Securities and Exchange Commission upon request.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240" w:after="283"/>
        <w:jc w:val="left"/>
        <w:rPr/>
      </w:pPr>
      <w:hyperlink w:anchor="i610e843df81b4079b099dcecd0058f2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613"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838"/>
        <w:gridCol w:w="838"/>
        <w:gridCol w:w="838"/>
        <w:gridCol w:w="838"/>
        <w:gridCol w:w="838"/>
        <w:gridCol w:w="119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UNITI GROUP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E. Bullington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Paul E. Bullington</w:t>
              <w:br/>
              <w:t>Senior Vice President – Chief Financial Officer and Treasurer</w:t>
              <w:b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T. Black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Travis T. Black</w:t>
              <w:br/>
              <w:t>Senior Vice President – Chief Accounting Officer</w:t>
              <w:b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2.2</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40" w:before="0" w:after="0"/>
        <w:jc w:val="right"/>
        <w:rPr>
          <w:rFonts w:ascii="Times New Roman;sans-serif" w:hAnsi="Times New Roman;sans-serif"/>
          <w:b/>
          <w:i/>
          <w:color w:val="000000"/>
          <w:sz w:val="24"/>
        </w:rPr>
      </w:pPr>
      <w:r>
        <w:rPr>
          <w:rFonts w:ascii="Times New Roman;sans-serif" w:hAnsi="Times New Roman;sans-serif"/>
          <w:b/>
          <w:i/>
          <w:color w:val="000000"/>
          <w:sz w:val="24"/>
        </w:rPr>
        <w:t>Execution Version</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AMENDMENT NO. 1 TO AGREEMENT AND PLAN OF MERGER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AMENDMENT NO. 1 TO AGREEMENT AND PLAN OF MERGER (this “</w:t>
      </w:r>
      <w:r>
        <w:rPr>
          <w:rFonts w:ascii="Times New Roman;sans-serif" w:hAnsi="Times New Roman;sans-serif"/>
          <w:b/>
          <w:color w:val="000000"/>
          <w:sz w:val="24"/>
        </w:rPr>
        <w:t>Amendment</w:t>
      </w:r>
      <w:r>
        <w:rPr>
          <w:color w:val="000000"/>
        </w:rPr>
        <w:t>”</w:t>
      </w:r>
      <w:r>
        <w:rPr>
          <w:rFonts w:ascii="Times New Roman;sans-serif" w:hAnsi="Times New Roman;sans-serif"/>
          <w:b w:val="false"/>
          <w:color w:val="000000"/>
          <w:sz w:val="24"/>
        </w:rPr>
        <w:t>), is made and entered into as of July 17, 2024, by and between Uniti Group Inc., a Maryland corporation (“</w:t>
      </w:r>
      <w:r>
        <w:rPr>
          <w:rFonts w:ascii="Times New Roman;sans-serif" w:hAnsi="Times New Roman;sans-serif"/>
          <w:b/>
          <w:color w:val="000000"/>
          <w:sz w:val="24"/>
        </w:rPr>
        <w:t>Uniti</w:t>
      </w:r>
      <w:r>
        <w:rPr>
          <w:color w:val="000000"/>
        </w:rPr>
        <w:t>”</w:t>
      </w:r>
      <w:r>
        <w:rPr>
          <w:rFonts w:ascii="Times New Roman;sans-serif" w:hAnsi="Times New Roman;sans-serif"/>
          <w:b w:val="false"/>
          <w:color w:val="000000"/>
          <w:sz w:val="24"/>
        </w:rPr>
        <w:t>), and Windstream Holdings II, LLC, a Delaware limited liability company (“</w:t>
      </w:r>
      <w:r>
        <w:rPr>
          <w:rFonts w:ascii="Times New Roman;sans-serif" w:hAnsi="Times New Roman;sans-serif"/>
          <w:b/>
          <w:color w:val="000000"/>
          <w:sz w:val="24"/>
        </w:rPr>
        <w:t>Windstream</w:t>
      </w:r>
      <w:r>
        <w:rPr>
          <w:color w:val="000000"/>
        </w:rPr>
        <w:t>”</w:t>
      </w:r>
      <w:r>
        <w:rPr>
          <w:rFonts w:ascii="Times New Roman;sans-serif" w:hAnsi="Times New Roman;sans-serif"/>
          <w:b w:val="false"/>
          <w:color w:val="000000"/>
          <w:sz w:val="24"/>
        </w:rPr>
        <w:t>). Capitalized terms used but not defined in this Amendment have the meanings given to such terms in the Merger Agreement (as defined below).</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 I T N E S S E T H:</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WHEREAS the parties hereto have entered into that certain Agreement and Plan of Merger, dated as of May 3, 2024, (the “</w:t>
      </w:r>
      <w:r>
        <w:rPr>
          <w:rFonts w:ascii="Times New Roman;sans-serif" w:hAnsi="Times New Roman;sans-serif"/>
          <w:b/>
          <w:color w:val="000000"/>
          <w:sz w:val="24"/>
        </w:rPr>
        <w:t>Merger Agreement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pursuant to Section 12.03(a) of the Merger Agreement, the provisions of the Merger Agreement may be amended if in writing and signed by Uniti and Windstream;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parties hereto wish to amend the Merger Agreement as set forth in this Amendment.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and the mutual representations, warranties, covenants, agreements and conditions set forth herein, and for other good and valuable consideration, the receipt and sufficiency of which are hereby acknowledged, the parties hereto, intending to be legally bound, hereby agree as follows:</w:t>
      </w:r>
    </w:p>
    <w:p>
      <w:pPr>
        <w:pStyle w:val="TextBody"/>
        <w:bidi w:val="0"/>
        <w:spacing w:lineRule="auto" w:line="288" w:before="0" w:after="240"/>
        <w:ind w:left="0" w:right="0" w:firstLine="720"/>
        <w:jc w:val="left"/>
        <w:rPr/>
      </w:pPr>
      <w:r>
        <w:rPr>
          <w:rFonts w:ascii="Times New Roman;sans-serif" w:hAnsi="Times New Roman;sans-serif"/>
          <w:b w:val="false"/>
          <w:color w:val="000000"/>
          <w:sz w:val="24"/>
        </w:rPr>
        <w:t xml:space="preserve">1. </w:t>
      </w:r>
      <w:r>
        <w:rPr>
          <w:rFonts w:ascii="Times New Roman;sans-serif" w:hAnsi="Times New Roman;sans-serif"/>
          <w:b w:val="false"/>
          <w:color w:val="000000"/>
          <w:sz w:val="24"/>
          <w:u w:val="single"/>
        </w:rPr>
        <w:t>Amendments to Merger Agreement</w:t>
      </w:r>
      <w:r>
        <w:rPr>
          <w:rFonts w:ascii="Times New Roman;sans-serif" w:hAnsi="Times New Roman;sans-serif"/>
          <w:b w:val="false"/>
          <w:color w:val="000000"/>
          <w:sz w:val="24"/>
        </w:rPr>
        <w:t>. From and after the date of this Amendment, the Merger Agreement is hereby amended as follows:</w:t>
      </w:r>
    </w:p>
    <w:p>
      <w:pPr>
        <w:pStyle w:val="TextBody"/>
        <w:bidi w:val="0"/>
        <w:spacing w:lineRule="auto" w:line="288" w:before="0" w:after="0"/>
        <w:ind w:left="0" w:right="0" w:firstLine="720"/>
        <w:jc w:val="both"/>
        <w:rPr/>
      </w:pPr>
      <w:r>
        <w:rPr>
          <w:rFonts w:ascii="Times New Roman;sans-serif" w:hAnsi="Times New Roman;sans-serif"/>
          <w:b/>
          <w:color w:val="000000"/>
          <w:sz w:val="24"/>
        </w:rPr>
        <w:t>(A)</w:t>
      </w:r>
      <w:r>
        <w:rPr>
          <w:color w:val="000000"/>
        </w:rPr>
        <w:t xml:space="preserve"> </w:t>
      </w:r>
      <w:r>
        <w:rPr>
          <w:rFonts w:ascii="Times New Roman;sans-serif" w:hAnsi="Times New Roman;sans-serif"/>
          <w:b w:val="false"/>
          <w:color w:val="000000"/>
          <w:sz w:val="24"/>
        </w:rPr>
        <w:t xml:space="preserve">Exhibit J to the Merger Agreement is hereby deleted in its entirety and replaced with the form set forth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to this Amendment.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4"/>
        </w:rPr>
        <w:t>(B)</w:t>
      </w:r>
      <w:r>
        <w:rPr>
          <w:color w:val="000000"/>
        </w:rPr>
        <w:t xml:space="preserve"> </w:t>
      </w:r>
      <w:r>
        <w:rPr>
          <w:rFonts w:ascii="Times New Roman;sans-serif" w:hAnsi="Times New Roman;sans-serif"/>
          <w:b w:val="false"/>
          <w:color w:val="000000"/>
          <w:sz w:val="24"/>
        </w:rPr>
        <w:t xml:space="preserve">Exhibit K to the Merger Agreement is hereby deleted in its entirety and replaced with the form set forth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to this Amendment.</w:t>
      </w:r>
    </w:p>
    <w:p>
      <w:pPr>
        <w:pStyle w:val="TextBody"/>
        <w:bidi w:val="0"/>
        <w:spacing w:before="0" w:after="0"/>
        <w:jc w:val="both"/>
        <w:rPr/>
      </w:pPr>
      <w:r>
        <w:rPr/>
      </w:r>
    </w:p>
    <w:p>
      <w:pPr>
        <w:pStyle w:val="TextBody"/>
        <w:bidi w:val="0"/>
        <w:spacing w:lineRule="auto" w:line="288" w:before="0" w:after="240"/>
        <w:ind w:left="0" w:right="0" w:firstLine="720"/>
        <w:jc w:val="left"/>
        <w:rPr/>
      </w:pPr>
      <w:r>
        <w:rPr>
          <w:rFonts w:ascii="Times New Roman;sans-serif" w:hAnsi="Times New Roman;sans-serif"/>
          <w:b/>
          <w:color w:val="000000"/>
          <w:sz w:val="24"/>
        </w:rPr>
        <w:t>(C)</w:t>
      </w:r>
      <w:r>
        <w:rPr>
          <w:color w:val="000000"/>
        </w:rPr>
        <w:t xml:space="preserve"> </w:t>
      </w:r>
      <w:r>
        <w:rPr>
          <w:rFonts w:ascii="Times New Roman;sans-serif" w:hAnsi="Times New Roman;sans-serif"/>
          <w:b w:val="false"/>
          <w:color w:val="000000"/>
          <w:sz w:val="24"/>
        </w:rPr>
        <w:t xml:space="preserve">Exhibit N to the Merger Agreement is hereby deleted in its entirety and replaced with the form set forth as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to this Amendment.</w:t>
      </w:r>
    </w:p>
    <w:p>
      <w:pPr>
        <w:pStyle w:val="TextBody"/>
        <w:bidi w:val="0"/>
        <w:spacing w:lineRule="auto" w:line="288" w:before="0" w:after="240"/>
        <w:ind w:left="0" w:right="0" w:firstLine="720"/>
        <w:jc w:val="left"/>
        <w:rPr/>
      </w:pPr>
      <w:r>
        <w:rPr>
          <w:rFonts w:ascii="Times New Roman;sans-serif" w:hAnsi="Times New Roman;sans-serif"/>
          <w:b/>
          <w:color w:val="000000"/>
          <w:sz w:val="24"/>
        </w:rPr>
        <w:t>(D)</w:t>
      </w:r>
      <w:r>
        <w:rPr>
          <w:color w:val="000000"/>
        </w:rPr>
        <w:t xml:space="preserve"> </w:t>
      </w:r>
      <w:r>
        <w:rPr>
          <w:rFonts w:ascii="Times New Roman;sans-serif" w:hAnsi="Times New Roman;sans-serif"/>
          <w:b w:val="false"/>
          <w:color w:val="000000"/>
          <w:sz w:val="24"/>
        </w:rPr>
        <w:t>Sections 7.03(a) – (e) are hereby deleted in their entirety and replaced as follows:</w:t>
      </w:r>
    </w:p>
    <w:p>
      <w:pPr>
        <w:pStyle w:val="TextBody"/>
        <w:bidi w:val="0"/>
        <w:spacing w:lineRule="auto" w:line="288" w:before="0" w:after="0"/>
        <w:ind w:left="0" w:right="0" w:firstLine="720"/>
        <w:jc w:val="left"/>
        <w:rPr>
          <w:color w:val="000000"/>
        </w:rPr>
      </w:pPr>
      <w:r>
        <w:rPr>
          <w:color w:val="000000"/>
        </w:rPr>
        <w:t>“</w:t>
      </w:r>
      <w:r>
        <w:rPr>
          <w:rFonts w:ascii="Times New Roman;sans-serif" w:hAnsi="Times New Roman;sans-serif"/>
          <w:b w:val="false"/>
          <w:color w:val="000000"/>
          <w:sz w:val="24"/>
        </w:rPr>
        <w:t>Windstream shall cause New Uniti to, and New Uniti shall, do the following:</w:t>
      </w:r>
    </w:p>
    <w:p>
      <w:pPr>
        <w:pStyle w:val="TextBody"/>
        <w:bidi w:val="0"/>
        <w:spacing w:before="0" w:after="0"/>
        <w:ind w:left="0" w:right="0" w:firstLine="720"/>
        <w:jc w:val="left"/>
        <w:rPr/>
      </w:pPr>
      <w:r>
        <w:rPr/>
      </w:r>
    </w:p>
    <w:p>
      <w:pPr>
        <w:pStyle w:val="TextBody"/>
        <w:bidi w:val="0"/>
        <w:spacing w:lineRule="auto" w:line="288"/>
        <w:ind w:left="0" w:right="0" w:firstLine="720"/>
        <w:jc w:val="left"/>
        <w:rPr/>
      </w:pPr>
      <w:r>
        <w:rPr>
          <w:rFonts w:ascii="Times New Roman;sans-serif" w:hAnsi="Times New Roman;sans-serif"/>
          <w:b w:val="false"/>
          <w:color w:val="000000"/>
          <w:sz w:val="24"/>
        </w:rPr>
        <w:t>(a)    For six years after the Effective Time, New Uniti shall, or shall cause each of Windstream and the Surviving Corporation, as applicable, to, indemnify and hold harmless the present and former directors, managers, officers, employees, fiduciaries and agents of Windstream, Uniti and their respective Subsidiaries and any individuals serving in such capacity at or with respect to other Persons at Windstream’s, Uniti’s or its Subsidiaries request (each, an “</w:t>
      </w:r>
      <w:r>
        <w:rPr>
          <w:rFonts w:ascii="Times New Roman;sans-serif" w:hAnsi="Times New Roman;sans-serif"/>
          <w:b/>
          <w:color w:val="000000"/>
          <w:sz w:val="24"/>
        </w:rPr>
        <w:t>Indemnified Person</w:t>
      </w:r>
      <w:r>
        <w:rPr>
          <w:color w:val="000000"/>
        </w:rPr>
        <w:t>”</w:t>
      </w:r>
      <w:r>
        <w:rPr>
          <w:rFonts w:ascii="Times New Roman;sans-serif" w:hAnsi="Times New Roman;sans-serif"/>
          <w:b w:val="false"/>
          <w:color w:val="000000"/>
          <w:sz w:val="24"/>
        </w:rPr>
        <w:t xml:space="preserve">) from and against any losses, damages, liabilities, costs, expenses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25780"/>
                <wp:effectExtent l="0" t="0" r="0" b="0"/>
                <wp:wrapNone/>
                <wp:docPr id="64" name="Frame6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24"/>
        </w:rPr>
        <w:t xml:space="preserve">(including attorneys’ fees), judgments, fines, penalties and amounts paid in settlement (including all interest, assessments and other charges paid or payable in connection with or in respect of any thereof) in respect of the Indemnified Persons’ having served in such capacity prior to the Effective Time, in each case to the fullest extent permitted by the DGCL, MGCL or any other Applicable Law or provided under Windstream’s or its Subsidiaries’ organizational documents or Uniti’s charter and bylaws or other organizational documents of Uniti or any of its Subsidiaries, as applicable, in effect on the date hereof;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such indemnification shall be subject to any limitation imposed from time to time under Applicable Law. If any Indemnified Person is made party to any Proceeding or investigation arising out of or relating to matters that would be indemnifiable pursuant to the immediately preceding sentence, New Uniti shall, or shall cause the Surviving Corporation and/or Windstream, as applicable, to, advance fees, costs and expenses (including attorneys’ fees and disbursements) as incurred by such Indemnified Person in connection with and prior to the final disposition of such Proceeding or investigation, in each case, on the same terms as provided in the applicable organizational documents in effect on the date hereof;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any Indemnified Person wishing to claim indemnification or advancement of expenses under this Section 7.03, upon learning of any such Proceeding, shall notify New Uniti (but the failure so to notify shall not relieve a party from any obligations that it may have under this Section 7.03 except to the extent such failure materially prejudices such party’s position with respect to such claims).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    For six years after the Effective Time, New Uniti shall cause to be maintained in effect provisions in the charter, bylaws or other organizational documents of New Uniti, Windstream, the Surviving Corporation and their respective Subsidiaries (or in such documents of any successor to the business of Windstream, the Surviving Corporation or any such Subsidiary) regarding limitation of liability of directors, indemnification of directors, officers, employees, fiduciaries and agents and advancement of fees, costs and expenses that are no less advantageous to the intended beneficiaries than the corresponding provisions in existence on the date of this Agreement.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    From and after the Effective Time, New Uniti shall, and shall cause the Surviving Corporation, Windstream and their respective Subsidiaries to, honor and comply with their respective obligations under any indemnification agreement with any Indemnified Person prior to the date hereof, and not amend, repeal or otherwise modify any such agreement in any manner that would adversely affect any right of any Indemnified Person thereunder. </w:t>
      </w:r>
    </w:p>
    <w:p>
      <w:pPr>
        <w:pStyle w:val="TextBody"/>
        <w:bidi w:val="0"/>
        <w:spacing w:before="0" w:after="0"/>
        <w:ind w:left="0" w:right="0" w:firstLine="720"/>
        <w:jc w:val="left"/>
        <w:rPr/>
      </w:pPr>
      <w:r>
        <w:rPr/>
      </w:r>
    </w:p>
    <w:p>
      <w:pPr>
        <w:pStyle w:val="TextBody"/>
        <w:bidi w:val="0"/>
        <w:spacing w:lineRule="auto" w:line="288"/>
        <w:ind w:left="0" w:right="0" w:firstLine="720"/>
        <w:jc w:val="left"/>
        <w:rPr/>
      </w:pPr>
      <w:r>
        <w:rPr>
          <w:rFonts w:ascii="Times New Roman;sans-serif" w:hAnsi="Times New Roman;sans-serif"/>
          <w:b w:val="false"/>
          <w:color w:val="000000"/>
          <w:sz w:val="24"/>
        </w:rPr>
        <w:t>(d)    Prior to the Effective Time, New Uniti shall obtain and fully pay the premiums for the non-cancellable extension of the directors’ and officers’ liability coverage of Windstream and Uniti’s existing directors’ and officers’ insurance policies and Windstream and Uniti’s existing fiduciary liability insurance policies (collectively, “</w:t>
      </w:r>
      <w:r>
        <w:rPr>
          <w:rFonts w:ascii="Times New Roman;sans-serif" w:hAnsi="Times New Roman;sans-serif"/>
          <w:b/>
          <w:color w:val="000000"/>
          <w:sz w:val="24"/>
        </w:rPr>
        <w:t>D&amp;O Insurance</w:t>
      </w:r>
      <w:r>
        <w:rPr>
          <w:color w:val="000000"/>
        </w:rPr>
        <w:t>”</w:t>
      </w:r>
      <w:r>
        <w:rPr>
          <w:rFonts w:ascii="Times New Roman;sans-serif" w:hAnsi="Times New Roman;sans-serif"/>
          <w:b w:val="false"/>
          <w:color w:val="000000"/>
          <w:sz w:val="24"/>
        </w:rPr>
        <w:t xml:space="preserve">), which D&amp;O Insurance shall (i) be for a claims reporting or discovery period of at least six (6) years from and after the Effective Time with respect to any claim related to any period of time at or prior to the Effective Time; (ii) be from an insurance carrier with the same or better credit rating as Windstream or Uniti’s respective current insurance carrier with respect to D&amp;O Insurance and (iii) have terms, conditions, retentions and limits of liability that are, in the aggregate, no less favorable than the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35965"/>
                <wp:effectExtent l="0" t="0" r="0" b="0"/>
                <wp:wrapNone/>
                <wp:docPr id="65" name="Frame65"/>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24"/>
        </w:rPr>
        <w:t xml:space="preserve">coverage provided under Windstream and Uniti’s, as applicable, existing policies with respect to any actual or alleged error, misstatement, misleading statement, act, omission, neglect, breach of duty or any matter claimed against an Indemnified Person by reason of his or her having served in such capacity that existed or occurred at or prior to the Effective Time (including in connection with this Agreement or the Transactions or actions contemplated hereby);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New Uniti shall provide Uniti a reasonable opportunity to participate in the selection of such tail policy and the cost of any such tail policy shall not exceed 300% of the aggregate annual premium paid by the applicable party in respect of the D&amp;O Insurance (which amount is set forth in Section 7.03(d) of the Uniti Disclosure Schedule);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that if the aggregate premium of such tail policy exceeds such amount, New Uniti shall obtain a policy with the greatest coverage available, with respect to matters occurring prior to the Effective Time, for a cost not exceeding such amount.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If New Uniti, Windstream, the Surviving Corporation or any of their respective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to the extent necessary, proper provision shall be made so that the successors and assigns of New Uniti, Windstream or the Surviving Corporation, as the case may be, shall assume the obligations set forth in this Section 7.03.”</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left"/>
        <w:rPr/>
      </w:pPr>
      <w:r>
        <w:rPr>
          <w:rFonts w:ascii="Times New Roman;sans-serif" w:hAnsi="Times New Roman;sans-serif"/>
          <w:b/>
          <w:color w:val="000000"/>
          <w:sz w:val="24"/>
        </w:rPr>
        <w:t>(E)</w:t>
      </w:r>
      <w:r>
        <w:rPr>
          <w:color w:val="000000"/>
        </w:rPr>
        <w:t xml:space="preserve"> </w:t>
      </w:r>
      <w:r>
        <w:rPr>
          <w:rFonts w:ascii="Times New Roman;sans-serif" w:hAnsi="Times New Roman;sans-serif"/>
          <w:b w:val="false"/>
          <w:color w:val="000000"/>
          <w:sz w:val="24"/>
        </w:rPr>
        <w:t>Section 8.11 is hereby amended to delete each reference to “the Surviving Corporation” and replace each such reference with “New Uniti”.</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Binding Effect</w:t>
      </w:r>
      <w:r>
        <w:rPr>
          <w:rFonts w:ascii="Times New Roman;sans-serif" w:hAnsi="Times New Roman;sans-serif"/>
          <w:b w:val="false"/>
          <w:color w:val="000000"/>
          <w:sz w:val="24"/>
        </w:rPr>
        <w:t>. This Amendment will be binding upon, inure to the benefit of, and be enforceable by, the parties hereto and their respective successors and permitted assigns.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Entire Agreement; Integration; References</w:t>
      </w:r>
      <w:r>
        <w:rPr>
          <w:rFonts w:ascii="Times New Roman;sans-serif" w:hAnsi="Times New Roman;sans-serif"/>
          <w:b w:val="false"/>
          <w:color w:val="000000"/>
          <w:sz w:val="24"/>
        </w:rPr>
        <w:t xml:space="preserve">. The Merger Agreement, as amended by this Amendment, together with the other Transaction Agreements constitute the entire agreement between the parties with respect to the subject matter hereof and thereof and supersede all prior agreements and understandings, both oral and written, between the parties with respect to the subject matter hereof and thereof. The provisions set forth in this Amendment shall be deemed to be and shall be construed as part of the Merger Agreement to the same extent as if fully set forth verbatim therein.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Except to the extent expressly modified hereby, the provisions of the Merger Agreement remain unmodified and are hereby confirmed as being in full force and effect. The headings in this Amendment are inserted for convenience of reference only and shall not be a part of or control or affect the meaning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xml:space="preserve">. Except to the extent the provisions of the MGCL and/or the Maryland Limited Liability Company Act are applicable to the Merger or to the standard of conduct of the members of the Uniti Board under Applicable Law, this Amendment and all Actions arising out of or relating to this Amendment shall be governed by and construed in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35965"/>
                <wp:effectExtent l="0" t="0" r="0" b="0"/>
                <wp:wrapNone/>
                <wp:docPr id="66" name="Frame66"/>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accordance with the law of the State of Delaware, without regard to the conflicts of law rules of such state.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xml:space="preserve">. This Amendment may be signed in any number of counterparts, each of which shall be an original, with the same effect as if the signatures thereto and hereto were upon the same instrument. This Amendment shall become effective when each party hereto shall have received a counterpart hereof signed by all of the other parties hereto. Until and unless each party has received a counterpart hereof signed by each other party hereto, this Amendment shall have no effect and no party shall have any right or obligation hereunder (whether by virtue of any other oral or written agreement or other communication).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i/>
          <w:color w:val="000000"/>
          <w:sz w:val="24"/>
        </w:rPr>
      </w:pPr>
      <w:r>
        <w:rPr>
          <w:rFonts w:ascii="Times New Roman;sans-serif" w:hAnsi="Times New Roman;sans-serif"/>
          <w:b/>
          <w:i/>
          <w:color w:val="000000"/>
          <w:sz w:val="24"/>
        </w:rPr>
        <w:t>Execution Version</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35965"/>
                <wp:effectExtent l="0" t="0" r="0" b="0"/>
                <wp:wrapNone/>
                <wp:docPr id="67" name="Frame67"/>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38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duly executed this Amendment as of the date first written above.</w:t>
      </w:r>
    </w:p>
    <w:tbl>
      <w:tblPr>
        <w:tblW w:w="6397" w:type="dxa"/>
        <w:jc w:val="left"/>
        <w:tblInd w:w="0" w:type="dxa"/>
        <w:tblLayout w:type="fixed"/>
        <w:tblCellMar>
          <w:top w:w="28" w:type="dxa"/>
          <w:left w:w="28" w:type="dxa"/>
          <w:bottom w:w="28" w:type="dxa"/>
          <w:right w:w="28" w:type="dxa"/>
        </w:tblCellMar>
      </w:tblPr>
      <w:tblGrid>
        <w:gridCol w:w="198"/>
        <w:gridCol w:w="174"/>
        <w:gridCol w:w="175"/>
        <w:gridCol w:w="149"/>
        <w:gridCol w:w="149"/>
        <w:gridCol w:w="149"/>
        <w:gridCol w:w="149"/>
        <w:gridCol w:w="149"/>
        <w:gridCol w:w="149"/>
        <w:gridCol w:w="438"/>
        <w:gridCol w:w="438"/>
        <w:gridCol w:w="438"/>
        <w:gridCol w:w="790"/>
        <w:gridCol w:w="790"/>
        <w:gridCol w:w="790"/>
        <w:gridCol w:w="372"/>
        <w:gridCol w:w="372"/>
        <w:gridCol w:w="528"/>
      </w:tblGrid>
      <w:tr>
        <w:trPr/>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6397" w:type="dxa"/>
            <w:gridSpan w:val="18"/>
            <w:tcBorders/>
            <w:tcMar>
              <w:top w:w="0" w:type="dxa"/>
              <w:left w:w="0" w:type="dxa"/>
              <w:bottom w:w="0" w:type="dxa"/>
              <w:right w:w="0" w:type="dxa"/>
            </w:tcMar>
            <w:vAlign w:val="center"/>
          </w:tcPr>
          <w:p>
            <w:pPr>
              <w:pStyle w:val="TableContents"/>
              <w:bidi w:val="0"/>
              <w:spacing w:lineRule="auto" w:line="288" w:before="0" w:after="48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UNITI GROUP INC.</w:t>
            </w:r>
          </w:p>
        </w:tc>
      </w:tr>
      <w:tr>
        <w:trPr/>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5850" w:type="dxa"/>
            <w:gridSpan w:val="15"/>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Daniel Heard</w:t>
            </w:r>
          </w:p>
        </w:tc>
      </w:tr>
      <w:tr>
        <w:trPr/>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4956"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Daniel Heard</w:t>
            </w:r>
          </w:p>
        </w:tc>
      </w:tr>
      <w:tr>
        <w:trPr/>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49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EVP, General Counsel &amp; Secretary</w:t>
            </w:r>
          </w:p>
        </w:tc>
      </w:tr>
      <w:tr>
        <w:trPr/>
        <w:tc>
          <w:tcPr>
            <w:tcW w:w="5125" w:type="dxa"/>
            <w:gridSpan w:val="15"/>
            <w:tcBorders/>
            <w:tcMar>
              <w:top w:w="0" w:type="dxa"/>
              <w:left w:w="0" w:type="dxa"/>
              <w:bottom w:w="0" w:type="dxa"/>
              <w:right w:w="0" w:type="dxa"/>
            </w:tcMar>
            <w:vAlign w:val="center"/>
          </w:tcPr>
          <w:p>
            <w:pPr>
              <w:pStyle w:val="TableContents"/>
              <w:bidi w:val="0"/>
              <w:spacing w:before="0" w:after="480"/>
              <w:ind w:left="0" w:right="0" w:hanging="360"/>
              <w:jc w:val="left"/>
              <w:rPr/>
            </w:pPr>
            <w:r>
              <w:rPr/>
            </w:r>
          </w:p>
          <w:p>
            <w:pPr>
              <w:pStyle w:val="TableContents"/>
              <w:bidi w:val="0"/>
              <w:spacing w:lineRule="auto" w:line="288" w:before="0" w:after="48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WINDSTREAM HOLDINGS II, LLC</w:t>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1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Paul H. Sunu</w:t>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3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Paul H. Sunu</w:t>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85445"/>
                <wp:effectExtent l="0" t="0" r="0" b="0"/>
                <wp:wrapNone/>
                <wp:docPr id="68" name="Frame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Kenneth A. Gunderman,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Uniti Group Inc.;</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577" w:type="dxa"/>
        <w:jc w:val="center"/>
        <w:tblInd w:w="0" w:type="dxa"/>
        <w:tblLayout w:type="fixed"/>
        <w:tblCellMar>
          <w:top w:w="28" w:type="dxa"/>
          <w:left w:w="28" w:type="dxa"/>
          <w:bottom w:w="28" w:type="dxa"/>
          <w:right w:w="28" w:type="dxa"/>
        </w:tblCellMar>
      </w:tblPr>
      <w:tblGrid>
        <w:gridCol w:w="667"/>
        <w:gridCol w:w="587"/>
        <w:gridCol w:w="590"/>
        <w:gridCol w:w="134"/>
        <w:gridCol w:w="134"/>
        <w:gridCol w:w="136"/>
        <w:gridCol w:w="975"/>
        <w:gridCol w:w="975"/>
        <w:gridCol w:w="137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/s/Kenneth A. Gunderman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Kenneth A. Gunderman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0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Paul E. Bullington,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Uniti Group Inc.;</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313" w:type="dxa"/>
        <w:jc w:val="center"/>
        <w:tblInd w:w="0" w:type="dxa"/>
        <w:tblLayout w:type="fixed"/>
        <w:tblCellMar>
          <w:top w:w="28" w:type="dxa"/>
          <w:left w:w="28" w:type="dxa"/>
          <w:bottom w:w="28" w:type="dxa"/>
          <w:right w:w="28" w:type="dxa"/>
        </w:tblCellMar>
      </w:tblPr>
      <w:tblGrid>
        <w:gridCol w:w="667"/>
        <w:gridCol w:w="587"/>
        <w:gridCol w:w="590"/>
        <w:gridCol w:w="134"/>
        <w:gridCol w:w="134"/>
        <w:gridCol w:w="136"/>
        <w:gridCol w:w="1187"/>
        <w:gridCol w:w="1187"/>
        <w:gridCol w:w="169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Paul E. Bullington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Paul E. Bullington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Senior Vice President –Chief Financial Officer</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40" w:after="283"/>
        <w:ind w:left="0" w:right="0" w:firstLine="556"/>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Uniti Group Inc. (the “Company”) for the period ending June 30, 2024 as filed with the Securities and Exchange Commission on the date hereof (the “Report”), I certify, pursuant to 18 U.S.C. § 1350, as adopted pursuant to § 906 of the Sarbanes-Oxley Act of 2002, to my knowledge, that: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578" w:type="dxa"/>
        <w:jc w:val="center"/>
        <w:tblInd w:w="0" w:type="dxa"/>
        <w:tblLayout w:type="fixed"/>
        <w:tblCellMar>
          <w:top w:w="28" w:type="dxa"/>
          <w:left w:w="28" w:type="dxa"/>
          <w:bottom w:w="28" w:type="dxa"/>
          <w:right w:w="28" w:type="dxa"/>
        </w:tblCellMar>
      </w:tblPr>
      <w:tblGrid>
        <w:gridCol w:w="667"/>
        <w:gridCol w:w="587"/>
        <w:gridCol w:w="590"/>
        <w:gridCol w:w="134"/>
        <w:gridCol w:w="134"/>
        <w:gridCol w:w="136"/>
        <w:gridCol w:w="975"/>
        <w:gridCol w:w="975"/>
        <w:gridCol w:w="138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Kenneth A. Gunderman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Kenneth A. Gunderman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Uniti Group Inc. (the “Company”) for the period ending June 30, 2024 as filed with the Securities and Exchange Commission on the date hereof (the “Report”), I certify, pursuant to 18 U.S.C. § 1350, as adopted pursuant to § 906 of the Sarbanes-Oxley Act of 2002, to my knowledge, that: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6358" w:type="dxa"/>
        <w:jc w:val="center"/>
        <w:tblInd w:w="0" w:type="dxa"/>
        <w:tblLayout w:type="fixed"/>
        <w:tblCellMar>
          <w:top w:w="28" w:type="dxa"/>
          <w:left w:w="28" w:type="dxa"/>
          <w:bottom w:w="28" w:type="dxa"/>
          <w:right w:w="28" w:type="dxa"/>
        </w:tblCellMar>
      </w:tblPr>
      <w:tblGrid>
        <w:gridCol w:w="667"/>
        <w:gridCol w:w="587"/>
        <w:gridCol w:w="590"/>
        <w:gridCol w:w="134"/>
        <w:gridCol w:w="134"/>
        <w:gridCol w:w="136"/>
        <w:gridCol w:w="1200"/>
        <w:gridCol w:w="1200"/>
        <w:gridCol w:w="171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c>
        <w:tc>
          <w:tcPr>
            <w:tcW w:w="404"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imes New Roman;sans-serif" w:hAnsi="Times New Roman;sans-serif"/>
                <w:b w:val="false"/>
                <w:color w:val="000000"/>
                <w:sz w:val="20"/>
              </w:rPr>
              <w:t>By</w:t>
            </w:r>
            <w:r>
              <w:rPr>
                <w:rFonts w:ascii="Arial;sans-serif" w:hAnsi="Arial;sans-serif"/>
                <w:b w:val="false"/>
                <w:color w:val="222222"/>
                <w:sz w:val="20"/>
              </w:rPr>
              <w:t>:</w:t>
            </w:r>
          </w:p>
        </w:tc>
        <w:tc>
          <w:tcPr>
            <w:tcW w:w="41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Paul E. Bullington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Paul E. Bullington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Senior Vice President – Chief Financial Officer</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and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0280/000095010324006323/dp210423_ex0201.htm" TargetMode="External"/><Relationship Id="rId3" Type="http://schemas.openxmlformats.org/officeDocument/2006/relationships/hyperlink" Target="https://www.sec.gov/Archives/edgar/data/1620280/000095010324006836/dp211353_ex0401.htm" TargetMode="External"/><Relationship Id="rId4" Type="http://schemas.openxmlformats.org/officeDocument/2006/relationships/hyperlink" Target="https://www.sec.gov/Archives/edgar/data/1620280/000095010324006836/dp211353_ex0401.htm" TargetMode="External"/><Relationship Id="rId5" Type="http://schemas.openxmlformats.org/officeDocument/2006/relationships/hyperlink" Target="https://www.sec.gov/Archives/edgar/data/1620280/000095010324006323/dp210423_ex1001.htm" TargetMode="External"/><Relationship Id="rId6" Type="http://schemas.openxmlformats.org/officeDocument/2006/relationships/hyperlink" Target="https://www.sec.gov/Archives/edgar/data/1620280/000095010324006323/dp210423_ex1002.htm" TargetMode="External"/><Relationship Id="rId7" Type="http://schemas.openxmlformats.org/officeDocument/2006/relationships/hyperlink" Target="https://www.sec.gov/Archives/edgar/data/1620280/000095010324006323/dp210423_ex1003.htm" TargetMode="External"/><Relationship Id="rId8" Type="http://schemas.openxmlformats.org/officeDocument/2006/relationships/hyperlink" Target="https://www.sec.gov/Archives/edgar/data/1620280/000095010324006323/dp210423_ex1004.htm" TargetMode="External"/><Relationship Id="rId9" Type="http://schemas.openxmlformats.org/officeDocument/2006/relationships/hyperlink" Target="https://www.sec.gov/Archives/edgar/data/1620280/000095010324006323/dp210423_ex1005.htm" TargetMode="External"/><Relationship Id="rId10" Type="http://schemas.openxmlformats.org/officeDocument/2006/relationships/hyperlink" Target="https://www.sec.gov/Archives/edgar/data/1620280/000110465924063535/tm2414862d1_ex10-1.htm" TargetMode="External"/><Relationship Id="rId11" Type="http://schemas.openxmlformats.org/officeDocument/2006/relationships/hyperlink" Target="https://www.sec.gov/Archives/edgar/data/1620280/000110465924063535/tm2414862d1_ex10-2.htm" TargetMode="External"/><Relationship Id="rId12" Type="http://schemas.openxmlformats.org/officeDocument/2006/relationships/hyperlink" Target="https://www.sec.gov/Archives/edgar/data/1620280/000095010324008500/dp213025_ex100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31683</Words>
  <Characters>175977</Characters>
  <CharactersWithSpaces>205484</CharactersWithSpaces>
  <Paragraphs>4598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