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Uniti Group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001-42779</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85-2262564</w:t>
            </w:r>
          </w:p>
        </w:tc>
      </w:tr>
      <w:tr>
        <w:trPr>
          <w:trHeight w:val="146"/>
        </w:trPr>
        <w:tc>
          <w:tcPr>
            <w:tcW w:w="180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4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tc>
        <w:tc>
          <w:tcPr>
            <w:tcW w:w="142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5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Little Rock, AR, 72202</w:t>
            </w:r>
          </w:p>
        </w:tc>
        <w:tc>
          <w:tcPr>
            <w:tcW w:w="142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6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442"/>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(501) 850-0820</w:t>
            </w:r>
          </w:p>
        </w:tc>
        <w:tc>
          <w:tcPr>
            <w:tcW w:w="1420" w:type="dxa"/>
            <w:vAlign w:val="bottom"/>
          </w:tcPr>
          <w:p>
            <w:pPr>
              <w:spacing w:after="0"/>
              <w:rPr>
                <w:sz w:val="24"/>
                <w:szCs w:val="24"/>
                <w:color w:val="auto"/>
              </w:rPr>
            </w:pPr>
          </w:p>
        </w:tc>
      </w:tr>
      <w:tr>
        <w:trPr>
          <w:trHeight w:val="299"/>
        </w:trPr>
        <w:tc>
          <w:tcPr>
            <w:tcW w:w="180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00" w:type="dxa"/>
            <w:vAlign w:val="bottom"/>
          </w:tcPr>
          <w:p>
            <w:pPr>
              <w:spacing w:after="0"/>
              <w:rPr>
                <w:sz w:val="16"/>
                <w:szCs w:val="16"/>
                <w:color w:val="auto"/>
              </w:rPr>
            </w:pPr>
          </w:p>
        </w:tc>
        <w:tc>
          <w:tcPr>
            <w:tcW w:w="56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0" w:lineRule="exact"/>
        <w:rPr>
          <w:sz w:val="24"/>
          <w:szCs w:val="24"/>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7"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May 11, 2026, Uniti Group Inc. (the “Company”) issued a press release announcing the Company’s results for its fiscal quarter ended March 31, 2026. A copy of the Company’s press release is attached to this Current Report on Form 8-K as Exhibit 99.1 and is incorporated herein solely for purposes of this Item 2.02 disclosure.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attached hereto, is being “furnished” and shall not be deemed “filed” for purposes of Section 18 of the Securities Exchange Act of 1934, as amended (the “Exchange Act”), or otherwise subject to the liabilities of Section 18 of the Exchange Act.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240" w:type="dxa"/>
            <w:vAlign w:val="bottom"/>
          </w:tcPr>
          <w:p>
            <w:pPr>
              <w:spacing w:after="0"/>
              <w:rPr>
                <w:sz w:val="17"/>
                <w:szCs w:val="17"/>
                <w:color w:val="auto"/>
              </w:rPr>
            </w:pPr>
          </w:p>
        </w:tc>
      </w:tr>
      <w:tr>
        <w:trPr>
          <w:trHeight w:val="265"/>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24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360" w:type="dxa"/>
            <w:vAlign w:val="bottom"/>
            <w:tcBorders>
              <w:top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Press Release issued May 11, 2026</w:t>
            </w:r>
          </w:p>
        </w:tc>
        <w:tc>
          <w:tcPr>
            <w:tcW w:w="7240" w:type="dxa"/>
            <w:vAlign w:val="bottom"/>
            <w:tcBorders>
              <w:top w:val="single" w:sz="8" w:color="auto"/>
            </w:tcBorders>
          </w:tcPr>
          <w:p>
            <w:pPr>
              <w:spacing w:after="0"/>
              <w:rPr>
                <w:sz w:val="15"/>
                <w:szCs w:val="15"/>
                <w:color w:val="auto"/>
              </w:rPr>
            </w:pPr>
          </w:p>
        </w:tc>
      </w:tr>
      <w:tr>
        <w:trPr>
          <w:trHeight w:val="520"/>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0"/>
        </w:trPr>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4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UNITI GROUP INC.</w:t>
            </w:r>
          </w:p>
        </w:tc>
      </w:tr>
      <w:tr>
        <w:trPr>
          <w:trHeight w:val="486"/>
        </w:trPr>
        <w:tc>
          <w:tcPr>
            <w:tcW w:w="3280" w:type="dxa"/>
            <w:vAlign w:val="bottom"/>
          </w:tcPr>
          <w:p>
            <w:pPr>
              <w:spacing w:after="0"/>
              <w:rPr>
                <w:sz w:val="24"/>
                <w:szCs w:val="24"/>
                <w:color w:val="auto"/>
              </w:rPr>
            </w:pPr>
          </w:p>
        </w:tc>
        <w:tc>
          <w:tcPr>
            <w:tcW w:w="7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Daniel L. Heard</w:t>
            </w:r>
          </w:p>
        </w:tc>
      </w:tr>
      <w:tr>
        <w:trPr>
          <w:trHeight w:val="218"/>
        </w:trPr>
        <w:tc>
          <w:tcPr>
            <w:tcW w:w="3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Daniel L. Heard</w:t>
            </w:r>
          </w:p>
        </w:tc>
      </w:tr>
      <w:tr>
        <w:trPr>
          <w:trHeight w:val="234"/>
        </w:trPr>
        <w:tc>
          <w:tcPr>
            <w:tcW w:w="3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Executive Vice President, General Counsel &amp; Secretary</w:t>
            </w:r>
          </w:p>
        </w:tc>
      </w:tr>
    </w:tbl>
    <w:p>
      <w:pPr>
        <w:sectPr>
          <w:pgSz w:w="11900" w:h="16838" w:orient="portrait"/>
          <w:cols w:equalWidth="0" w:num="1">
            <w:col w:w="11240"/>
          </w:cols>
          <w:pgMar w:left="320" w:top="119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197993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99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Press Release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Release date: May 11, 2026</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Uniti Group Inc. Reports First Quarter 2026 Results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Reiterates Full Year 2026 Outlook</w:t>
      </w: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Loss of $70.3 Million for the First Quarter</w:t>
      </w:r>
    </w:p>
    <w:p>
      <w:pPr>
        <w:spacing w:after="0" w:line="19" w:lineRule="exact"/>
        <w:rPr>
          <w:rFonts w:ascii="Arial" w:cs="Arial" w:eastAsia="Arial" w:hAnsi="Arial"/>
          <w:sz w:val="20"/>
          <w:szCs w:val="20"/>
          <w:b w:val="1"/>
          <w:bCs w:val="1"/>
          <w:color w:val="auto"/>
        </w:rPr>
      </w:pPr>
    </w:p>
    <w:p>
      <w:pPr>
        <w:ind w:left="240" w:hanging="232"/>
        <w:spacing w:after="0"/>
        <w:tabs>
          <w:tab w:leader="none" w:pos="2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Revenue and Adjusted EBITDA of $987.5 Million and $441.6 Million, Respectively, for the First Quarter</w:t>
      </w:r>
    </w:p>
    <w:p>
      <w:pPr>
        <w:spacing w:after="0" w:line="200" w:lineRule="exact"/>
        <w:rPr>
          <w:sz w:val="20"/>
          <w:szCs w:val="20"/>
          <w:color w:val="auto"/>
        </w:rPr>
      </w:pPr>
    </w:p>
    <w:p>
      <w:pPr>
        <w:spacing w:after="0" w:line="263" w:lineRule="exact"/>
        <w:rPr>
          <w:sz w:val="20"/>
          <w:szCs w:val="20"/>
          <w:color w:val="auto"/>
        </w:rPr>
      </w:pPr>
    </w:p>
    <w:p>
      <w:pPr>
        <w:spacing w:after="0" w:line="293" w:lineRule="auto"/>
        <w:rPr>
          <w:sz w:val="20"/>
          <w:szCs w:val="20"/>
          <w:color w:val="auto"/>
        </w:rPr>
      </w:pPr>
      <w:r>
        <w:rPr>
          <w:rFonts w:ascii="Arial" w:cs="Arial" w:eastAsia="Arial" w:hAnsi="Arial"/>
          <w:sz w:val="20"/>
          <w:szCs w:val="20"/>
          <w:color w:val="auto"/>
        </w:rPr>
        <w:t xml:space="preserve">LITTLE ROCK, Ark., </w:t>
      </w:r>
      <w:r>
        <w:rPr>
          <w:rFonts w:ascii="Arial" w:cs="Arial" w:eastAsia="Arial" w:hAnsi="Arial"/>
          <w:sz w:val="21"/>
          <w:szCs w:val="21"/>
          <w:color w:val="auto"/>
        </w:rPr>
        <w:t>May 11, 2026</w:t>
      </w:r>
      <w:r>
        <w:rPr>
          <w:rFonts w:ascii="Arial" w:cs="Arial" w:eastAsia="Arial" w:hAnsi="Arial"/>
          <w:sz w:val="20"/>
          <w:szCs w:val="20"/>
          <w:color w:val="auto"/>
        </w:rPr>
        <w:t xml:space="preserve"> (GLOBE NEWSWIRE) – Uniti Group Inc. (“Uniti” or the “Company”) (Nasdaq: UNIT) today announced its results for the first quarter 2026.</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Key highlights during the quarter on a pro forma basis included:</w:t>
      </w:r>
    </w:p>
    <w:p>
      <w:pPr>
        <w:spacing w:after="0" w:line="25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Fiber Revenue Grew 15% Year-over-Year in the First Quarter</w:t>
      </w:r>
    </w:p>
    <w:p>
      <w:pPr>
        <w:spacing w:after="0" w:line="19"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Fiber Infrastructure Fiber Revenue Grew 13%Year-over-Year in the First Quarter</w:t>
      </w:r>
    </w:p>
    <w:p>
      <w:pPr>
        <w:spacing w:after="0" w:line="13"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Kinetic Consumer Fiber Revenue Grew 26% Year-over-Year in the First Quarter</w:t>
      </w:r>
    </w:p>
    <w:p>
      <w:pPr>
        <w:spacing w:after="0" w:line="13"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Kinetic Consumer Fiber Gross Adds of ~39,000; Highest Ever on Record</w:t>
      </w: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Fiber Infrastructure New Bookings Monthly Recurring Revenue of $1.6 Million</w:t>
      </w:r>
    </w:p>
    <w:p>
      <w:pPr>
        <w:spacing w:after="0" w:line="238"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“2026 is off to a great start at Uniti, fueled by the continued strong demand from hyperscalers and the significant progress we have made to-date on our fiber-to-the-home build. We saw consolidated revenue and Adjusted EBITDA year-over-year growth during the first quarter for the first time as a combined company, which is a significant first step in our goal to achieve full year year-over-year growth by 2027. We also had another strong quarter of new bookings at Fiber Infrastructure, the third highest quarter on record. At Kinetic, we had our highest number of consumer fiber gross adds ever and fiber churn was the best quarter on record. We also had the highest number of new consumer fiber premises constructed in almost four years and we remain on track to pass 3.5 million homes with fiber by the end of 2029. Finally, our balance sheet is as strong as it has ever been and we expect to be opportunistically active in the capital markets this year, including potentially pursuing additional asset securitizations,” commented Kenny Gunderman, President and Chief Executive Officer of Uniti.</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RESULTS</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Consolidated revenues for the first quarter of 2026 were $987.5 million. Consolidated net loss and Adjusted EBITDA were $70.3 million and $441.6 million, respectively, for the same period, achieving Adjusted EBITDA margins of approximately 45%.</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Kinetic contributed $548.0 million of revenues and $235.5 million of contribution margin for the first quarter of 2026, achieving margins of approximately 43%. Kinetic’s capital expenditures during the quarter were $251.9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20"/>
          <w:szCs w:val="20"/>
          <w:color w:val="auto"/>
        </w:rPr>
        <w:t>Fiber Infrastructure contributed $294.8 million of revenues and $192.7 million of contribution margin for the first quarter of 2026, achieving margins of approximately 65%. Fiber Infrastructure’s capital expenditures during the quarter were $70.4 million and upfront payments received from customers were $152.4 million.</w:t>
      </w:r>
    </w:p>
    <w:p>
      <w:pPr>
        <w:spacing w:after="0" w:line="205" w:lineRule="exact"/>
        <w:rPr>
          <w:sz w:val="20"/>
          <w:szCs w:val="20"/>
          <w:color w:val="auto"/>
        </w:rPr>
      </w:pPr>
    </w:p>
    <w:p>
      <w:pPr>
        <w:ind w:right="620"/>
        <w:spacing w:after="0" w:line="298" w:lineRule="auto"/>
        <w:rPr>
          <w:sz w:val="20"/>
          <w:szCs w:val="20"/>
          <w:color w:val="auto"/>
        </w:rPr>
      </w:pPr>
      <w:r>
        <w:rPr>
          <w:rFonts w:ascii="Arial" w:cs="Arial" w:eastAsia="Arial" w:hAnsi="Arial"/>
          <w:sz w:val="19"/>
          <w:szCs w:val="19"/>
          <w:color w:val="auto"/>
        </w:rPr>
        <w:t>Uniti Solutions contributed $191.8 million of revenues and $95.8 million of contribution margin for the first quarter of 2026, achieving margins of approximately 50%. Uniti Solutions’ capital expenditures during the quarter were $6.5 million.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CONSOLIDATED 2026 OUTLOOK</w:t>
      </w:r>
    </w:p>
    <w:p>
      <w:pPr>
        <w:spacing w:after="0" w:line="258" w:lineRule="exact"/>
        <w:rPr>
          <w:sz w:val="20"/>
          <w:szCs w:val="20"/>
          <w:color w:val="auto"/>
        </w:rPr>
      </w:pPr>
    </w:p>
    <w:p>
      <w:pPr>
        <w:ind w:right="400"/>
        <w:spacing w:after="0" w:line="262" w:lineRule="auto"/>
        <w:rPr>
          <w:sz w:val="20"/>
          <w:szCs w:val="20"/>
          <w:color w:val="auto"/>
        </w:rPr>
      </w:pPr>
      <w:r>
        <w:rPr>
          <w:rFonts w:ascii="Arial" w:cs="Arial" w:eastAsia="Arial" w:hAnsi="Arial"/>
          <w:sz w:val="20"/>
          <w:szCs w:val="20"/>
          <w:color w:val="auto"/>
        </w:rPr>
        <w:t>The Company is updating its 2026 outlook primarily for business unit level revisions, and transaction related and other costs incurred to date. This outlook excludes any impact from other future acquisitions, capital market transactions, and future transaction-related and other costs not mentioned herein.</w:t>
      </w:r>
    </w:p>
    <w:p>
      <w:pPr>
        <w:spacing w:after="0" w:line="192" w:lineRule="exact"/>
        <w:rPr>
          <w:sz w:val="20"/>
          <w:szCs w:val="20"/>
          <w:color w:val="auto"/>
        </w:rPr>
      </w:pPr>
    </w:p>
    <w:p>
      <w:pPr>
        <w:ind w:right="840"/>
        <w:spacing w:after="0" w:line="286" w:lineRule="auto"/>
        <w:rPr>
          <w:sz w:val="20"/>
          <w:szCs w:val="20"/>
          <w:color w:val="auto"/>
        </w:rPr>
      </w:pPr>
      <w:r>
        <w:rPr>
          <w:rFonts w:ascii="Arial" w:cs="Arial" w:eastAsia="Arial" w:hAnsi="Arial"/>
          <w:sz w:val="20"/>
          <w:szCs w:val="20"/>
          <w:color w:val="auto"/>
        </w:rPr>
        <w:t>The Company’s 2026 outlook is based on management’s current expectations and beliefs but is subject to change as it continues the integration of Uniti and Windstream.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80" w:type="dxa"/>
            <w:vAlign w:val="bottom"/>
          </w:tcPr>
          <w:p>
            <w:pPr>
              <w:spacing w:after="0"/>
              <w:rPr>
                <w:sz w:val="20"/>
                <w:szCs w:val="20"/>
                <w:color w:val="auto"/>
              </w:rPr>
            </w:pPr>
            <w:r>
              <w:rPr>
                <w:rFonts w:ascii="Arial" w:cs="Arial" w:eastAsia="Arial" w:hAnsi="Arial"/>
                <w:sz w:val="20"/>
                <w:szCs w:val="20"/>
                <w:color w:val="auto"/>
              </w:rPr>
              <w:t>The Company’s consolidated outlook for 2026 is as follows (in millions):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86"/>
        </w:trPr>
        <w:tc>
          <w:tcPr>
            <w:tcW w:w="68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20"/>
                <w:szCs w:val="20"/>
                <w:b w:val="1"/>
                <w:bCs w:val="1"/>
                <w:color w:val="auto"/>
              </w:rPr>
              <w:t>Full Year 2026</w:t>
            </w:r>
          </w:p>
        </w:tc>
        <w:tc>
          <w:tcPr>
            <w:tcW w:w="1040" w:type="dxa"/>
            <w:vAlign w:val="bottom"/>
            <w:tcBorders>
              <w:bottom w:val="single" w:sz="8" w:color="auto"/>
            </w:tcBorders>
          </w:tcPr>
          <w:p>
            <w:pPr>
              <w:spacing w:after="0"/>
              <w:rPr>
                <w:sz w:val="24"/>
                <w:szCs w:val="24"/>
                <w:color w:val="auto"/>
              </w:rPr>
            </w:pPr>
          </w:p>
        </w:tc>
      </w:tr>
      <w:tr>
        <w:trPr>
          <w:trHeight w:val="25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72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3,605</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3,655</w:t>
            </w:r>
          </w:p>
        </w:tc>
      </w:tr>
      <w:tr>
        <w:trPr>
          <w:trHeight w:val="257"/>
        </w:trPr>
        <w:tc>
          <w:tcPr>
            <w:tcW w:w="6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72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(450)</w:t>
            </w:r>
          </w:p>
        </w:tc>
        <w:tc>
          <w:tcPr>
            <w:tcW w:w="1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r>
      <w:tr>
        <w:trPr>
          <w:trHeight w:val="257"/>
        </w:trPr>
        <w:tc>
          <w:tcPr>
            <w:tcW w:w="688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1,425</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1,475</w:t>
            </w:r>
          </w:p>
        </w:tc>
      </w:tr>
      <w:tr>
        <w:trPr>
          <w:trHeight w:val="258"/>
        </w:trPr>
        <w:tc>
          <w:tcPr>
            <w:tcW w:w="6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net</w:t>
            </w:r>
          </w:p>
        </w:tc>
        <w:tc>
          <w:tcPr>
            <w:tcW w:w="720" w:type="dxa"/>
            <w:vAlign w:val="bottom"/>
          </w:tcPr>
          <w:p>
            <w:pPr>
              <w:spacing w:after="0"/>
              <w:rPr>
                <w:sz w:val="22"/>
                <w:szCs w:val="22"/>
                <w:color w:val="auto"/>
              </w:rPr>
            </w:pP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785</w:t>
            </w:r>
          </w:p>
        </w:tc>
        <w:tc>
          <w:tcPr>
            <w:tcW w:w="1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1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“Non-GAAP Financial Measures” below.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Uniti will hold a conference call today to discuss this earnings release at 8:30 AM Eastern Time (7:30 AM Central Time). The conference call will be webcast live on Uniti’s Investor Relations website at investor.uniti.com. Those parties interested in participating via telephone may register on the Company’s Investor Relations website or by clicking here. A replay of the call will also be made available on the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UNITI</w:t>
      </w:r>
    </w:p>
    <w:p>
      <w:pPr>
        <w:spacing w:after="0" w:line="258"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color w:val="auto"/>
        </w:rPr>
        <w:t>Uniti (Nasdaq: UNIT)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 Visit us online at www.uniti.com.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i w:val="1"/>
          <w:iCs w:val="1"/>
          <w:color w:val="auto"/>
        </w:rPr>
        <w:t>This press release contains forward-looking statements within the meaning of the Private Securities Litigation Reform Act of 1995. Forward-looking statements are based on assumptions and management’s current expectations with respect to the future, involve certain risks and uncertainties, and are not guarantees. These forward-looking statements include, but are not limited to,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82" w:right="33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20"/>
          <w:szCs w:val="20"/>
          <w:i w:val="1"/>
          <w:iCs w:val="1"/>
          <w:color w:val="auto"/>
        </w:rPr>
        <w:t>regarding Uniti’s fiber build strategy, the businesses growth potential, and 2026 outlook. The words “anticipates,” “believes,” “could,” “estimates,” “expects,” “intends,” “may,” “plans,” “projects,” “will,” “would,” “predicts” and similar expressions are intended to identify forward-looking statements, although not all forward-looking statements contain these identifying words. Uniti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Uniti makes. These forward-looking statements involve risks and uncertainties, known and unknown, that could cause events and results to differ materially from those in the forward-looking statements, including, without limitation: unanticipated difficulties or expenditures relating to the merger of Uniti and Windstream; competition and overbuilding in consumer service areas and general competition in business markets; risks related to the Company’s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the Company’s most recently filed periodic reports on Form 10-K and Form 10-Q and subsequent filings with the U.S. Securities and Exchange Commission as well as the Company’s predecessor’s registration statement on Form S-4 dated February 12, 2025. The discussion of such risks is not an indication that any such risks have occurred at the time of this filing. Uniti does not assume any obligation to update any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PRESENTATION</w:t>
      </w:r>
    </w:p>
    <w:p>
      <w:pPr>
        <w:spacing w:after="0" w:line="245"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i w:val="1"/>
          <w:iCs w:val="1"/>
          <w:color w:val="auto"/>
        </w:rPr>
        <w:t>This release and today’s conference call contain certain supplemental measures of performance that are not required by, or presented in accordance with, accounting principles generally accepted in the United States (“GAAP”). Such measures should not be considered as alternatives to GAAP. Further information with respect to and reconciliations of such measures to the nearest GAAP measure can be found herein.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66" w:right="359" w:bottom="1440" w:gutter="0" w:footer="0" w:header="0"/>
        </w:sectPr>
      </w:pPr>
    </w:p>
    <w:bookmarkStart w:id="6" w:name="page7"/>
    <w:bookmarkEnd w:id="6"/>
    <w:p>
      <w:pPr>
        <w:ind w:left="4880"/>
        <w:spacing w:after="0"/>
        <w:rPr>
          <w:sz w:val="20"/>
          <w:szCs w:val="20"/>
          <w:color w:val="auto"/>
        </w:rPr>
      </w:pPr>
      <w:r>
        <w:rPr>
          <w:rFonts w:ascii="Arial" w:cs="Arial" w:eastAsia="Arial" w:hAnsi="Arial"/>
          <w:sz w:val="20"/>
          <w:szCs w:val="20"/>
          <w:b w:val="1"/>
          <w:bCs w:val="1"/>
          <w:color w:val="auto"/>
        </w:rPr>
        <w:t>Uniti Group Inc.</w:t>
      </w:r>
    </w:p>
    <w:p>
      <w:pPr>
        <w:spacing w:after="0" w:line="33"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March 31,</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December 31,</w:t>
            </w:r>
          </w:p>
        </w:tc>
      </w:tr>
      <w:tr>
        <w:trPr>
          <w:trHeight w:val="210"/>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33"/>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r>
      <w:tr>
        <w:trPr>
          <w:trHeight w:val="33"/>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2"/>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r>
      <w:tr>
        <w:trPr>
          <w:trHeight w:val="204"/>
        </w:trPr>
        <w:tc>
          <w:tcPr>
            <w:tcW w:w="8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1,158.3</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w:t>
            </w:r>
          </w:p>
        </w:tc>
      </w:tr>
      <w:tr>
        <w:trPr>
          <w:trHeight w:val="210"/>
        </w:trPr>
        <w:tc>
          <w:tcPr>
            <w:tcW w:w="8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r>
      <w:tr>
        <w:trPr>
          <w:trHeight w:val="210"/>
        </w:trPr>
        <w:tc>
          <w:tcPr>
            <w:tcW w:w="8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33"/>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13,111.4</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12,036.7</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notes and other debt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taxes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r>
      <w:tr>
        <w:trPr>
          <w:trHeight w:val="33"/>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2"/>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r>
      <w:tr>
        <w:trPr>
          <w:trHeight w:val="204"/>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Notes and other debt, net</w:t>
            </w: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10,636.6</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9,529.4</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33"/>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12,791.7</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11,656.3</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175"/>
        </w:trPr>
        <w:tc>
          <w:tcPr>
            <w:tcW w:w="818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Preferred stock, $0.0001 par value, 0.6 million shares issued and outstanding at March 31, 2026 and December 31,</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5"/>
        </w:trPr>
        <w:tc>
          <w:tcPr>
            <w:tcW w:w="818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Common stock, $0.0001 par value, 5,550.0 million shares authorized, 235.0 million and 234.0 million issued and</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2,790.1</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Uniti shareholders'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13,111.4</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12,036.7</w:t>
            </w:r>
          </w:p>
        </w:tc>
      </w:tr>
      <w:tr>
        <w:trPr>
          <w:trHeight w:val="31"/>
        </w:trPr>
        <w:tc>
          <w:tcPr>
            <w:tcW w:w="8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42"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142" w:right="339" w:bottom="1440" w:gutter="0" w:footer="0" w:header="0"/>
          <w:type w:val="continuous"/>
        </w:sectPr>
      </w:pPr>
    </w:p>
    <w:bookmarkStart w:id="7" w:name="page8"/>
    <w:bookmarkEnd w:id="7"/>
    <w:p>
      <w:pPr>
        <w:ind w:left="4880"/>
        <w:spacing w:after="0"/>
        <w:rPr>
          <w:sz w:val="20"/>
          <w:szCs w:val="20"/>
          <w:color w:val="auto"/>
        </w:rPr>
      </w:pPr>
      <w:r>
        <w:rPr>
          <w:rFonts w:ascii="Arial" w:cs="Arial" w:eastAsia="Arial" w:hAnsi="Arial"/>
          <w:sz w:val="20"/>
          <w:szCs w:val="20"/>
          <w:b w:val="1"/>
          <w:bCs w:val="1"/>
          <w:color w:val="auto"/>
        </w:rPr>
        <w:t>Uniti Group Inc.</w:t>
      </w:r>
    </w:p>
    <w:p>
      <w:pPr>
        <w:spacing w:after="0" w:line="33"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7"/>
                <w:szCs w:val="17"/>
                <w:color w:val="auto"/>
              </w:rPr>
            </w:pPr>
          </w:p>
        </w:tc>
      </w:tr>
      <w:tr>
        <w:trPr>
          <w:trHeight w:val="241"/>
        </w:trPr>
        <w:tc>
          <w:tcPr>
            <w:tcW w:w="5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Borders>
              <w:bottom w:val="single" w:sz="8" w:color="auto"/>
            </w:tcBorders>
          </w:tcPr>
          <w:p>
            <w:pPr>
              <w:spacing w:after="0"/>
              <w:rPr>
                <w:sz w:val="20"/>
                <w:szCs w:val="20"/>
                <w:color w:val="auto"/>
              </w:rPr>
            </w:pPr>
          </w:p>
        </w:tc>
      </w:tr>
      <w:tr>
        <w:trPr>
          <w:trHeight w:val="250"/>
        </w:trPr>
        <w:tc>
          <w:tcPr>
            <w:tcW w:w="5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5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revenues</w:t>
            </w:r>
          </w:p>
        </w:tc>
        <w:tc>
          <w:tcPr>
            <w:tcW w:w="3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4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revenues</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1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3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11"/>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services (exclusive of depreciation and</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included below)</w:t>
            </w: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8"/>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(exclusive of depreciation and</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48"/>
        </w:trPr>
        <w:tc>
          <w:tcPr>
            <w:tcW w:w="5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included below)</w:t>
            </w:r>
          </w:p>
        </w:tc>
        <w:tc>
          <w:tcPr>
            <w:tcW w:w="3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57"/>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57"/>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5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6"/>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declared on preferred stock</w:t>
            </w:r>
          </w:p>
        </w:tc>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3620" w:type="dxa"/>
            <w:vAlign w:val="bottom"/>
            <w:tcBorders>
              <w:bottom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shareholders - Basic</w:t>
            </w:r>
          </w:p>
        </w:tc>
        <w:tc>
          <w:tcPr>
            <w:tcW w:w="3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declared on preferred stock</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 of if-converted dilutive securities</w:t>
            </w:r>
          </w:p>
        </w:tc>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shareholders - Diluted</w:t>
            </w:r>
          </w:p>
        </w:tc>
        <w:tc>
          <w:tcPr>
            <w:tcW w:w="3620" w:type="dxa"/>
            <w:vAlign w:val="bottom"/>
            <w:tcBorders>
              <w:bottom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earnings per common share:</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6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6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50"/>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895"/>
        </w:trPr>
        <w:tc>
          <w:tcPr>
            <w:tcW w:w="5120" w:type="dxa"/>
            <w:vAlign w:val="bottom"/>
          </w:tcPr>
          <w:p>
            <w:pPr>
              <w:spacing w:after="0"/>
              <w:rPr>
                <w:sz w:val="24"/>
                <w:szCs w:val="24"/>
                <w:color w:val="auto"/>
              </w:rPr>
            </w:pPr>
          </w:p>
        </w:tc>
        <w:tc>
          <w:tcPr>
            <w:tcW w:w="3020" w:type="dxa"/>
            <w:vAlign w:val="bottom"/>
          </w:tcPr>
          <w:p>
            <w:pPr>
              <w:jc w:val="right"/>
              <w:ind w:right="237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240"/>
          </w:cols>
          <w:pgMar w:left="320" w:top="1142" w:right="339" w:bottom="1440" w:gutter="0" w:footer="0" w:header="0"/>
        </w:sectPr>
      </w:pPr>
    </w:p>
    <w:bookmarkStart w:id="8" w:name="page9"/>
    <w:bookmarkEnd w:id="8"/>
    <w:p>
      <w:pPr>
        <w:ind w:left="4880"/>
        <w:spacing w:after="0"/>
        <w:rPr>
          <w:sz w:val="20"/>
          <w:szCs w:val="20"/>
          <w:color w:val="auto"/>
        </w:rPr>
      </w:pPr>
      <w:r>
        <w:rPr>
          <w:rFonts w:ascii="Arial" w:cs="Arial" w:eastAsia="Arial" w:hAnsi="Arial"/>
          <w:sz w:val="20"/>
          <w:szCs w:val="20"/>
          <w:b w:val="1"/>
          <w:bCs w:val="1"/>
          <w:color w:val="auto"/>
        </w:rPr>
        <w:t>Uniti Group Inc.</w:t>
      </w:r>
    </w:p>
    <w:p>
      <w:pPr>
        <w:spacing w:after="0" w:line="33"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1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r>
      <w:tr>
        <w:trPr>
          <w:trHeight w:val="33"/>
        </w:trPr>
        <w:tc>
          <w:tcPr>
            <w:tcW w:w="8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 debt discount and premium</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Straight-line revenues and amortization of below-market lease intangibles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estimated credit losses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taxes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assets and lease obligations</w:t>
            </w: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from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funded by government grants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 funds received for broadband expansion</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settlement obligation</w:t>
            </w: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4"/>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provided from 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1,099.4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33"/>
        </w:trPr>
        <w:tc>
          <w:tcPr>
            <w:tcW w:w="8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restricted cash and cash equivalents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at beginning of period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at end of period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6"/>
        </w:trPr>
        <w:tc>
          <w:tcPr>
            <w:tcW w:w="8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paid, net of interest capitalized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r>
      <w:tr>
        <w:trPr>
          <w:trHeight w:val="210"/>
        </w:trPr>
        <w:tc>
          <w:tcPr>
            <w:tcW w:w="8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taxes paid, net of refunded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75"/>
        </w:trPr>
        <w:tc>
          <w:tcPr>
            <w:tcW w:w="81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Change in accounts payable and other current liabilities for purchases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0"/>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capital improvements</w:t>
            </w: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r>
      <w:tr>
        <w:trPr>
          <w:trHeight w:val="20"/>
        </w:trPr>
        <w:tc>
          <w:tcPr>
            <w:tcW w:w="8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2" w:right="339" w:bottom="608"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42" w:right="339" w:bottom="608" w:gutter="0" w:footer="0" w:header="0"/>
          <w:type w:val="continuous"/>
        </w:sectPr>
      </w:pPr>
    </w:p>
    <w:bookmarkStart w:id="9" w:name="page10"/>
    <w:bookmarkEnd w:id="9"/>
    <w:p>
      <w:pPr>
        <w:ind w:left="4880"/>
        <w:spacing w:after="0"/>
        <w:rPr>
          <w:sz w:val="20"/>
          <w:szCs w:val="20"/>
          <w:color w:val="auto"/>
        </w:rPr>
      </w:pPr>
      <w:r>
        <w:rPr>
          <w:rFonts w:ascii="Arial" w:cs="Arial" w:eastAsia="Arial" w:hAnsi="Arial"/>
          <w:sz w:val="20"/>
          <w:szCs w:val="20"/>
          <w:b w:val="1"/>
          <w:bCs w:val="1"/>
          <w:color w:val="auto"/>
        </w:rPr>
        <w:t>Uniti Group Inc.</w:t>
      </w:r>
    </w:p>
    <w:p>
      <w:pPr>
        <w:spacing w:after="0" w:line="33"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Reconciliation of EBITDA and Adjusted EBITDA</w:t>
      </w:r>
    </w:p>
    <w:p>
      <w:pPr>
        <w:jc w:val="center"/>
        <w:ind w:right="-59"/>
        <w:spacing w:after="0"/>
        <w:rPr>
          <w:sz w:val="20"/>
          <w:szCs w:val="20"/>
          <w:color w:val="auto"/>
        </w:rPr>
      </w:pPr>
      <w:r>
        <w:rPr>
          <w:rFonts w:ascii="Arial" w:cs="Arial" w:eastAsia="Arial" w:hAnsi="Arial"/>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3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62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13335</wp:posOffset>
            </wp:positionV>
            <wp:extent cx="2219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5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7"/>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56"/>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 of non-cash rights-of-use assets</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6"/>
        </w:trPr>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asset retirements and dispositions</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other, net</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Kinetic</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Uniti Solutions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Fiber Infrastructure</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50"/>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Contribution Margin</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142"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1"/>
                <w:szCs w:val="21"/>
                <w:color w:val="auto"/>
              </w:rPr>
            </w:pPr>
          </w:p>
        </w:tc>
        <w:tc>
          <w:tcPr>
            <w:tcW w:w="7680" w:type="dxa"/>
            <w:vAlign w:val="bottom"/>
            <w:gridSpan w:val="2"/>
          </w:tcPr>
          <w:p>
            <w:pPr>
              <w:jc w:val="center"/>
              <w:ind w:right="3430"/>
              <w:spacing w:after="0"/>
              <w:rPr>
                <w:sz w:val="20"/>
                <w:szCs w:val="20"/>
                <w:color w:val="auto"/>
              </w:rPr>
            </w:pPr>
            <w:r>
              <w:rPr>
                <w:rFonts w:ascii="Arial" w:cs="Arial" w:eastAsia="Arial" w:hAnsi="Arial"/>
                <w:sz w:val="20"/>
                <w:szCs w:val="20"/>
                <w:b w:val="1"/>
                <w:bCs w:val="1"/>
                <w:color w:val="auto"/>
                <w:w w:val="98"/>
              </w:rPr>
              <w:t>Uniti Group Inc.</w:t>
            </w:r>
          </w:p>
        </w:tc>
      </w:tr>
      <w:tr>
        <w:trPr>
          <w:trHeight w:val="229"/>
        </w:trPr>
        <w:tc>
          <w:tcPr>
            <w:tcW w:w="3540" w:type="dxa"/>
            <w:vAlign w:val="bottom"/>
          </w:tcPr>
          <w:p>
            <w:pPr>
              <w:spacing w:after="0"/>
              <w:rPr>
                <w:sz w:val="19"/>
                <w:szCs w:val="19"/>
                <w:color w:val="auto"/>
              </w:rPr>
            </w:pPr>
          </w:p>
        </w:tc>
        <w:tc>
          <w:tcPr>
            <w:tcW w:w="7680" w:type="dxa"/>
            <w:vAlign w:val="bottom"/>
            <w:gridSpan w:val="2"/>
          </w:tcPr>
          <w:p>
            <w:pPr>
              <w:jc w:val="center"/>
              <w:ind w:right="3410"/>
              <w:spacing w:after="0"/>
              <w:rPr>
                <w:sz w:val="20"/>
                <w:szCs w:val="20"/>
                <w:color w:val="auto"/>
              </w:rPr>
            </w:pPr>
            <w:r>
              <w:rPr>
                <w:rFonts w:ascii="Arial" w:cs="Arial" w:eastAsia="Arial" w:hAnsi="Arial"/>
                <w:sz w:val="20"/>
                <w:szCs w:val="20"/>
                <w:b w:val="1"/>
                <w:bCs w:val="1"/>
                <w:color w:val="auto"/>
                <w:w w:val="99"/>
              </w:rPr>
              <w:t xml:space="preserve">Projected Future Results </w:t>
            </w:r>
            <w:r>
              <w:rPr>
                <w:rFonts w:ascii="Arial" w:cs="Arial" w:eastAsia="Arial" w:hAnsi="Arial"/>
                <w:sz w:val="11"/>
                <w:szCs w:val="11"/>
                <w:color w:val="auto"/>
                <w:w w:val="99"/>
              </w:rPr>
              <w:t>(1)</w:t>
            </w:r>
          </w:p>
        </w:tc>
      </w:tr>
      <w:tr>
        <w:trPr>
          <w:trHeight w:val="273"/>
        </w:trPr>
        <w:tc>
          <w:tcPr>
            <w:tcW w:w="3540" w:type="dxa"/>
            <w:vAlign w:val="bottom"/>
          </w:tcPr>
          <w:p>
            <w:pPr>
              <w:spacing w:after="0"/>
              <w:rPr>
                <w:sz w:val="23"/>
                <w:szCs w:val="23"/>
                <w:color w:val="auto"/>
              </w:rPr>
            </w:pPr>
          </w:p>
        </w:tc>
        <w:tc>
          <w:tcPr>
            <w:tcW w:w="7680" w:type="dxa"/>
            <w:vAlign w:val="bottom"/>
            <w:gridSpan w:val="2"/>
          </w:tcPr>
          <w:p>
            <w:pPr>
              <w:jc w:val="center"/>
              <w:ind w:right="3430"/>
              <w:spacing w:after="0"/>
              <w:rPr>
                <w:sz w:val="20"/>
                <w:szCs w:val="20"/>
                <w:color w:val="auto"/>
              </w:rPr>
            </w:pPr>
            <w:r>
              <w:rPr>
                <w:rFonts w:ascii="Arial" w:cs="Arial" w:eastAsia="Arial" w:hAnsi="Arial"/>
                <w:sz w:val="20"/>
                <w:szCs w:val="20"/>
                <w:b w:val="1"/>
                <w:bCs w:val="1"/>
                <w:color w:val="auto"/>
                <w:w w:val="99"/>
              </w:rPr>
              <w:t>(In millions)</w:t>
            </w:r>
          </w:p>
        </w:tc>
      </w:tr>
      <w:tr>
        <w:trPr>
          <w:trHeight w:val="466"/>
        </w:trPr>
        <w:tc>
          <w:tcPr>
            <w:tcW w:w="354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2026</w:t>
            </w:r>
          </w:p>
        </w:tc>
      </w:tr>
      <w:tr>
        <w:trPr>
          <w:trHeight w:val="223"/>
        </w:trPr>
        <w:tc>
          <w:tcPr>
            <w:tcW w:w="3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23"/>
                <w:szCs w:val="23"/>
                <w:b w:val="1"/>
                <w:bCs w:val="1"/>
                <w:color w:val="auto"/>
                <w:vertAlign w:val="superscript"/>
              </w:rPr>
              <w:t>(2)</w:t>
            </w:r>
          </w:p>
        </w:tc>
        <w:tc>
          <w:tcPr>
            <w:tcW w:w="514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to ($400)</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7680" w:type="dxa"/>
            <w:vAlign w:val="bottom"/>
            <w:gridSpan w:val="2"/>
          </w:tcPr>
          <w:p>
            <w:pPr>
              <w:jc w:val="center"/>
              <w:ind w:left="5047"/>
              <w:spacing w:after="0"/>
              <w:rPr>
                <w:sz w:val="20"/>
                <w:szCs w:val="20"/>
                <w:color w:val="auto"/>
              </w:rPr>
            </w:pPr>
            <w:r>
              <w:rPr>
                <w:rFonts w:ascii="Times New Roman" w:cs="Times New Roman" w:eastAsia="Times New Roman" w:hAnsi="Times New Roman"/>
                <w:sz w:val="18"/>
                <w:szCs w:val="18"/>
                <w:color w:val="auto"/>
                <w:w w:val="96"/>
              </w:rPr>
              <w:t>785</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80" w:type="dxa"/>
            <w:vAlign w:val="bottom"/>
            <w:gridSpan w:val="2"/>
            <w:shd w:val="clear" w:color="auto" w:fill="CCEEFF"/>
          </w:tcPr>
          <w:p>
            <w:pPr>
              <w:jc w:val="center"/>
              <w:ind w:left="5047"/>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680" w:type="dxa"/>
            <w:vAlign w:val="bottom"/>
            <w:gridSpan w:val="2"/>
          </w:tcPr>
          <w:p>
            <w:pPr>
              <w:jc w:val="center"/>
              <w:ind w:left="5047"/>
              <w:spacing w:after="0"/>
              <w:rPr>
                <w:sz w:val="20"/>
                <w:szCs w:val="20"/>
                <w:color w:val="auto"/>
              </w:rPr>
            </w:pPr>
            <w:r>
              <w:rPr>
                <w:rFonts w:ascii="Times New Roman" w:cs="Times New Roman" w:eastAsia="Times New Roman" w:hAnsi="Times New Roman"/>
                <w:sz w:val="18"/>
                <w:szCs w:val="18"/>
                <w:color w:val="auto"/>
                <w:w w:val="97"/>
              </w:rPr>
              <w:t>(110)</w:t>
            </w:r>
          </w:p>
        </w:tc>
      </w:tr>
      <w:tr>
        <w:trPr>
          <w:trHeight w:val="223"/>
        </w:trPr>
        <w:tc>
          <w:tcPr>
            <w:tcW w:w="35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23"/>
                <w:szCs w:val="23"/>
                <w:b w:val="1"/>
                <w:bCs w:val="1"/>
                <w:color w:val="auto"/>
                <w:vertAlign w:val="superscript"/>
              </w:rPr>
              <w:t>(2)</w:t>
            </w:r>
          </w:p>
        </w:tc>
        <w:tc>
          <w:tcPr>
            <w:tcW w:w="514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1,355 to 1,405</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80" w:type="dxa"/>
            <w:vAlign w:val="bottom"/>
            <w:gridSpan w:val="2"/>
          </w:tcPr>
          <w:p>
            <w:pPr>
              <w:jc w:val="center"/>
              <w:ind w:left="5047"/>
              <w:spacing w:after="0"/>
              <w:rPr>
                <w:sz w:val="20"/>
                <w:szCs w:val="20"/>
                <w:color w:val="auto"/>
              </w:rPr>
            </w:pPr>
            <w:r>
              <w:rPr>
                <w:rFonts w:ascii="Times New Roman" w:cs="Times New Roman" w:eastAsia="Times New Roman" w:hAnsi="Times New Roman"/>
                <w:sz w:val="18"/>
                <w:szCs w:val="18"/>
                <w:color w:val="auto"/>
                <w:w w:val="99"/>
              </w:rPr>
              <w:t>30</w:t>
            </w:r>
          </w:p>
        </w:tc>
      </w:tr>
      <w:tr>
        <w:trPr>
          <w:trHeight w:val="229"/>
        </w:trPr>
        <w:tc>
          <w:tcPr>
            <w:tcW w:w="3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 related and other costs </w:t>
            </w:r>
            <w:r>
              <w:rPr>
                <w:rFonts w:ascii="Times New Roman" w:cs="Times New Roman" w:eastAsia="Times New Roman" w:hAnsi="Times New Roman"/>
                <w:sz w:val="23"/>
                <w:szCs w:val="23"/>
                <w:color w:val="auto"/>
                <w:vertAlign w:val="superscript"/>
              </w:rPr>
              <w:t>(3)</w:t>
            </w:r>
          </w:p>
        </w:tc>
        <w:tc>
          <w:tcPr>
            <w:tcW w:w="7680" w:type="dxa"/>
            <w:vAlign w:val="bottom"/>
            <w:gridSpan w:val="2"/>
            <w:shd w:val="clear" w:color="auto" w:fill="CCEEFF"/>
          </w:tcPr>
          <w:p>
            <w:pPr>
              <w:jc w:val="center"/>
              <w:ind w:left="5047"/>
              <w:spacing w:after="0"/>
              <w:rPr>
                <w:sz w:val="20"/>
                <w:szCs w:val="20"/>
                <w:color w:val="auto"/>
              </w:rPr>
            </w:pPr>
            <w:r>
              <w:rPr>
                <w:rFonts w:ascii="Times New Roman" w:cs="Times New Roman" w:eastAsia="Times New Roman" w:hAnsi="Times New Roman"/>
                <w:sz w:val="18"/>
                <w:szCs w:val="18"/>
                <w:color w:val="auto"/>
                <w:w w:val="99"/>
              </w:rPr>
              <w:t>40</w:t>
            </w:r>
          </w:p>
        </w:tc>
      </w:tr>
      <w:tr>
        <w:trPr>
          <w:trHeight w:val="223"/>
        </w:trPr>
        <w:tc>
          <w:tcPr>
            <w:tcW w:w="35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(2)</w:t>
            </w:r>
          </w:p>
        </w:tc>
        <w:tc>
          <w:tcPr>
            <w:tcW w:w="5140" w:type="dxa"/>
            <w:vAlign w:val="bottom"/>
          </w:tcPr>
          <w:p>
            <w:pPr>
              <w:spacing w:after="0"/>
              <w:rPr>
                <w:sz w:val="19"/>
                <w:szCs w:val="19"/>
                <w:color w:val="auto"/>
              </w:rPr>
            </w:pPr>
          </w:p>
        </w:tc>
        <w:tc>
          <w:tcPr>
            <w:tcW w:w="2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$1,425 to $1,475</w:t>
            </w:r>
          </w:p>
        </w:tc>
      </w:tr>
      <w:tr>
        <w:trPr>
          <w:trHeight w:val="20"/>
        </w:trPr>
        <w:tc>
          <w:tcPr>
            <w:tcW w:w="3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right="220" w:hanging="332"/>
        <w:spacing w:after="0" w:line="234" w:lineRule="auto"/>
        <w:tabs>
          <w:tab w:leader="none" w:pos="33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These ranges represent management’s best estimates based on the underlying assumptions as of the date of this press release. Future acquisitions, capital market transactions, changes in market conditions, and other factors are excluded from our projections. There can be no assurance that our actual results will not differ materially from the estimates set forth above.</w:t>
      </w:r>
    </w:p>
    <w:p>
      <w:pPr>
        <w:spacing w:after="0" w:line="2" w:lineRule="exact"/>
        <w:rPr>
          <w:rFonts w:ascii="Arial" w:cs="Arial" w:eastAsia="Arial" w:hAnsi="Arial"/>
          <w:sz w:val="21"/>
          <w:szCs w:val="21"/>
          <w:color w:val="auto"/>
          <w:vertAlign w:val="superscript"/>
        </w:rPr>
      </w:pP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components of projected future results may not add due to rounding.</w:t>
      </w:r>
    </w:p>
    <w:p>
      <w:pPr>
        <w:ind w:left="320" w:hanging="312"/>
        <w:spacing w:after="0" w:line="197"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Future transaction related costs not mentioned herein are not included in our current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142"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NON-GAAP FINANCIAL MEASURES</w:t>
      </w:r>
    </w:p>
    <w:p>
      <w:pPr>
        <w:spacing w:after="0" w:line="25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We refer to EBITDA and Adjusted EBITDA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and Adjusted EBITDA are important non-GAAP supplemental measures of our operating performance.</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We define “EBITDA” as net income, as defined by GAAP, before interest expense, provision for income taxes, depreciation and amortization, and costs incurred as a result of the early repayment of debt, including early tender and redemption premiums and the write off of unamortized deferred financing costs.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goodwill impairment charges, gains or losses on retirements and dispositions of assets, gain on settlement of preexisting relationships in connection with our merger with Windstream, severance costs, amortization of non-cash rights-of-use assets, costs associated with the termination of related hedging activities, changes in the fair value of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Further, our computations of EBITDA and Adjusted EBITDA may not be comparable to that reported by other companies.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Paul Bullington</w:t>
      </w:r>
    </w:p>
    <w:p>
      <w:pPr>
        <w:spacing w:after="0" w:line="31" w:lineRule="exact"/>
        <w:rPr>
          <w:sz w:val="20"/>
          <w:szCs w:val="20"/>
          <w:color w:val="auto"/>
        </w:rPr>
      </w:pPr>
    </w:p>
    <w:p>
      <w:pPr>
        <w:ind w:left="180" w:right="5120"/>
        <w:spacing w:after="0" w:line="246" w:lineRule="auto"/>
        <w:rPr>
          <w:sz w:val="20"/>
          <w:szCs w:val="20"/>
          <w:color w:val="auto"/>
        </w:rPr>
      </w:pPr>
      <w:r>
        <w:rPr>
          <w:rFonts w:ascii="Arial" w:cs="Arial" w:eastAsia="Arial" w:hAnsi="Arial"/>
          <w:sz w:val="20"/>
          <w:szCs w:val="20"/>
          <w:color w:val="auto"/>
        </w:rPr>
        <w:t>Senior Executive Vice President, Chief Financial Officer &amp; Treasurer 251-662-1512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0000FF"/>
        </w:rPr>
        <w:t>paul.bullington@uniti.com</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Bill DiTullio</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Senior Vice President, Investor Relations &amp; Treasury</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501-850-0872</w:t>
      </w:r>
    </w:p>
    <w:p>
      <w:pPr>
        <w:ind w:left="180"/>
        <w:spacing w:after="0"/>
        <w:rPr>
          <w:sz w:val="20"/>
          <w:szCs w:val="20"/>
          <w:color w:val="auto"/>
        </w:rPr>
      </w:pPr>
      <w:r>
        <w:rPr>
          <w:rFonts w:ascii="Arial" w:cs="Arial" w:eastAsia="Arial" w:hAnsi="Arial"/>
          <w:sz w:val="20"/>
          <w:szCs w:val="20"/>
          <w:u w:val="single" w:color="auto"/>
          <w:color w:val="0000FF"/>
        </w:rPr>
        <w:t>bill.ditullio@uniti.com</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MEDIA CONTACTS: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Scott L. Morris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Associate Director, Media &amp; External Communications</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501-580-4759</w:t>
      </w:r>
    </w:p>
    <w:p>
      <w:pPr>
        <w:ind w:left="180"/>
        <w:spacing w:after="0"/>
        <w:rPr>
          <w:sz w:val="20"/>
          <w:szCs w:val="20"/>
          <w:color w:val="auto"/>
        </w:rPr>
      </w:pPr>
      <w:r>
        <w:rPr>
          <w:rFonts w:ascii="Arial" w:cs="Arial" w:eastAsia="Arial" w:hAnsi="Arial"/>
          <w:sz w:val="20"/>
          <w:szCs w:val="20"/>
          <w:color w:val="auto"/>
        </w:rPr>
        <w:t>scott.l.morris@uniti.com</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Brandi Stafford</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Vice President, Corporate Communications</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501-351-0067</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2"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brandi.stafford@uniti.com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sectPr>
      <w:pgSz w:w="11900" w:h="16838" w:orient="portrait"/>
      <w:cols w:equalWidth="0" w:num="1">
        <w:col w:w="9959"/>
      </w:cols>
      <w:pgMar w:left="500" w:top="9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2026-05-11T07:12:12Z</dcterms:created>
  <dcterms:modified xsi:type="dcterms:W3CDTF">2026-05-11T07:12:12Z</dcterms:modified>
</cp:coreProperties>
</file>