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Uniti Group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001-42779</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85-2262564</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2101 Riverfront Drive, Suite A</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Little Rock, AR, 72202</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(501) 850-0820</w:t>
            </w:r>
          </w:p>
        </w:tc>
        <w:tc>
          <w:tcPr>
            <w:tcW w:w="1660" w:type="dxa"/>
            <w:vAlign w:val="bottom"/>
          </w:tcPr>
          <w:p>
            <w:pPr>
              <w:spacing w:after="0"/>
              <w:rPr>
                <w:sz w:val="24"/>
                <w:szCs w:val="24"/>
                <w:color w:val="auto"/>
              </w:rPr>
            </w:pP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6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11"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6"/>
        </w:trPr>
        <w:tc>
          <w:tcPr>
            <w:tcW w:w="4520" w:type="dxa"/>
            <w:vAlign w:val="bottom"/>
            <w:tcBorders>
              <w:top w:val="single" w:sz="8" w:color="auto"/>
              <w:left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5, 2025, Uniti Group Inc. (the “Company”) issued a press release announcing the Company’s results for its fiscal quarter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 copy of the Company’s press release is attached to this Current Report on Form 8-K as Exhibit 99.1 and is incorporated herein solely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this Item 2.02 disclosure.</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attached hereto, is being “furnished” and shall not be deemed “filed” for purposes of Section 18 of the Securities Exchange Act of 1934, as amended (the “Exchange Act”), or otherwise subject to the liabilities of Section 18 of the Exchange Act.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410"/>
        </w:trPr>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238"/>
        </w:trPr>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5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7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August 5, 2025</w:t>
            </w: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453"/>
        </w:trPr>
        <w:tc>
          <w:tcPr>
            <w:tcW w:w="5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5, 2025</w:t>
      </w:r>
      <w:r>
        <w:rPr>
          <w:sz w:val="20"/>
          <w:szCs w:val="20"/>
          <w:color w:val="auto"/>
        </w:rPr>
        <w:tab/>
      </w:r>
      <w:r>
        <w:rPr>
          <w:rFonts w:ascii="Times New Roman" w:cs="Times New Roman" w:eastAsia="Times New Roman" w:hAnsi="Times New Roman"/>
          <w:sz w:val="17"/>
          <w:szCs w:val="17"/>
          <w:color w:val="auto"/>
        </w:rPr>
        <w:t>UNITI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Daniel L. Heard</w:t>
      </w:r>
    </w:p>
    <w:p>
      <w:pPr>
        <w:spacing w:after="0" w:line="23" w:lineRule="exact"/>
        <w:rPr>
          <w:sz w:val="20"/>
          <w:szCs w:val="20"/>
          <w:color w:val="auto"/>
        </w:rPr>
      </w:pPr>
    </w:p>
    <w:p>
      <w:pPr>
        <w:jc w:val="right"/>
        <w:spacing w:after="0"/>
        <w:tabs>
          <w:tab w:leader="none" w:pos="4520" w:val="left"/>
        </w:tabs>
        <w:rPr>
          <w:sz w:val="20"/>
          <w:szCs w:val="20"/>
          <w:color w:val="auto"/>
        </w:rPr>
      </w:pPr>
      <w:r>
        <w:rPr>
          <w:rFonts w:ascii="Times New Roman" w:cs="Times New Roman" w:eastAsia="Times New Roman" w:hAnsi="Times New Roman"/>
          <w:sz w:val="18"/>
          <w:szCs w:val="18"/>
          <w:color w:val="auto"/>
        </w:rPr>
        <w:t>Title:</w:t>
        <w:tab/>
        <w:t>Senior Executive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169735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97355" cy="4883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Release date: August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 Reports Second Quarter 2025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Completes Previously Announced Merger with Windstream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Provides Consolidated 2025 Outlook for Combined Company</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 of $10.7 Million for the Second Quarter</w:t>
      </w:r>
    </w:p>
    <w:p>
      <w:pPr>
        <w:spacing w:after="0" w:line="3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 of $0.04 Per Diluted Common Share for the Second Quarter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AFFO of $0.36 Per Diluted Common Share for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LITTLE ROCK, Ark., August 5, 2025 (GLOBE NEWSWIRE) – Uniti Group Inc. (“Uniti” or the “Company”) (Nasdaq: UNIT) today announced its results for the second quarter 2025. The second quarter results and highlights presented in this release are for legacy Uniti Group Inc. (now known as Uniti Group LLC and a subsidiary of the Company) prior to the previously announced business combination with Windstream, which closed August 1, 2025, as discussed in greater detail below.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is an exciting time for Uniti as we enter a new chapter in the Company’s history with the completion of our merger with Windstream. The combination creates a premier insurgent fiber provider with approximately 240,000 route miles that is uniquely positioned to benefit from many favorable tailwinds driving the communications infrastructure industry, including convergence and Generative AI,” commented Kenny Gunderman, President and Chief Executive Officer of Uniti.</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Gunderman continued, “We saw another quarter of solid results at Uniti and continue to successfully execute on our priorities we set out earlier this year. Our core recurring strategic fiber revenue grew approximately 5% in the second quarter of 2025 when compared to the second quarter of 2024, consolidated bookings were consistent with levels in recent quarters, and the capital intensity of our fiber business continues to become more efficient. We also successfully issued unsecured debt recently for the first time within the past four years and redeemed a portion of our most expensive current outstanding debt while at the same time substantially reducing our secured leverage. We are well positioned to now accelerate our already impressive fiber to home build engine and ultimately grow our mission critical fiber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revenues for the second quarter of 2025 were $300.7 million. Net loss and Adjusted EBITDA were $10.7 million and $242.6 million, respectively, for the same period, achieving Adjusted EBITDA margins of approximately 81%. Net loss attributable to common shares was $10.7 million for the period. AFFO attributable to common shareholders was $96.5 million, or $0.36 per diluted common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Uniti Fiber contributed $74.3 million of revenues and $28.8 million of Adjusted EBITDA for the second quarter of 2025, achieving Adjusted EBITDA margins of approximately 39%. Uniti Fiber’s net success-based capital expenditures during the quarter were $20.6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Uniti Leasing contributed revenues of $226.5 million and Adjusted EBITDA of $220.1 million for the second quarter. Uniti Leasing’s net success-based capital expenditures during the quarter were $1.8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24, 2025, Uniti closed its offering of $600 million aggregate principal amount of 8.625% Senior Unsecured Notes due 2032. Uniti used the net proceeds from the offering to fund the partial redemption of $500 million aggregate principal amount of its outstanding 10.50% Senior Secured Notes due 2028 and for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quarter-end, the Company had approximately $740.7 million of unrestricted cash and cash equivalents, and undrawn borrowing availability under its revolving credit agreement. The Company’s leverage ratio at quarter-end was 5.75x based on net debt to second quarter 2025 annualized Adjusted EBITDA, excluding the debt and the net contributions from our ABS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WINDSTREAM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2025, Uniti successfully completed the previously announced merger (the “Merger”) of Uniti Group LLC (formerly known as Uniti Group Inc.) (“Legacy Uniti”) with New Windstream Merger Sub, LLC, and the merger of New Windstream, LLC (together with its subsidiaries, “Windstream”) with and into the Company (formerly known as Windstream Parent, Inc.). As a result of the mergers, both Legacy Uniti and Windstream have become indirect, wholly owned subsidiaries of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announced, as a result of this Merger, Legacy Uniti shareholders received 0.6029 shares of Uniti common stock per share of Legacy Uniti common stock held at the closing of the Merger, which resulted in Legacy Uniti shareholders collectively holding approximately 62% of the outstanding common stock of the Company. Windstream shareholders received approximately $371 million of cash, the Company’s preferred stock with $575 million in aggregate initial liquidation preference and approximately 38% of the outstanding common stock of the Company. Windstream shareholders additionally received non-voting warrants to acquire up to 6.9% of common stock of the Company. The cash portion of the consideration was financed using available funds under Legacy Uniti’s revolving credit facility and cash on hand.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the closing of the Merger, Uniti recently completed the necessary steps to combine the Legacy Uniti senior indebtedness and legacy Windstream indebtedness under a single organizational silo that includes both Uniti and Windstream and their respective subsidiaries, thereby effectively eliminating any debt covenants limiting the ability of Legacy Uniti and Windstream to operate together efficiently.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CONSOLIDATED 2025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2025 outlook reflects the consolidation of Windstream’s expected results for the five-month period following the closing of the Merger on August 1, 2025. We expect this transaction to contribute additional revenues and Adjusted EBITDA of approximately $1.0 billion and $160 million, respectively, during such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updating its 2025 outlook primarily for business unit level revisions, the impact from the issuance of the 8.625% senior unsecured notes due 2032 and partial redemption of the 10.50% senior secured notes due 2028, and transaction related and other costs incurred to date. Our outlook excludes any impact from other future acquisitions, capital market transactions, and future transaction-related and other costs not mentioned herein.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2025 outlook is based on management’s current expectations and beliefs but is subject to change as we continue the integration of Windstream and Legacy Uniti.</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consolidated outlook for 2025 is as follows (in millions):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2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Full Year 2025</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2,215</w:t>
            </w: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w:t>
            </w:r>
          </w:p>
        </w:tc>
        <w:tc>
          <w:tcPr>
            <w:tcW w:w="4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56"/>
        </w:trPr>
        <w:tc>
          <w:tcPr>
            <w:tcW w:w="6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(1)</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w:t>
            </w: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w:t>
            </w:r>
          </w:p>
        </w:tc>
        <w:tc>
          <w:tcPr>
            <w:tcW w:w="4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1,160</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1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w:t>
            </w:r>
          </w:p>
        </w:tc>
        <w:tc>
          <w:tcPr>
            <w:tcW w:w="4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“Non-GAAP Financial Measures”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Uniti will hold a conference call today to discuss this earnings release at 8:30 AM Eastern Time (7:30 AM Central Time). The conference call will be webcast live on Uniti’s Investor Relations website at </w:t>
      </w:r>
      <w:r>
        <w:rPr>
          <w:rFonts w:ascii="Times New Roman" w:cs="Times New Roman" w:eastAsia="Times New Roman" w:hAnsi="Times New Roman"/>
          <w:sz w:val="18"/>
          <w:szCs w:val="18"/>
          <w:u w:val="single" w:color="auto"/>
          <w:color w:val="auto"/>
        </w:rPr>
        <w:t>investor.uniti.com</w:t>
      </w:r>
      <w:r>
        <w:rPr>
          <w:rFonts w:ascii="Times New Roman" w:cs="Times New Roman" w:eastAsia="Times New Roman" w:hAnsi="Times New Roman"/>
          <w:sz w:val="18"/>
          <w:szCs w:val="18"/>
          <w:color w:val="auto"/>
        </w:rPr>
        <w:t xml:space="preserve">. Those parties interested in participating via telephone may register on the Company’s Investor Relations website or by clicking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A replay of the call will also be made available on the Investor Relations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UNITI</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 xml:space="preserve">Uniti (NASDAQ: UNIT) is a premier insurgent fiber provider dedicated to enabling mission-critical connectivity across the United States. We build, operate, and deliver fast and reliable communications services, empowering more than a million consumers and businesses in the digital economy. Our broad portfolio of services is offered through a suite of brands: Uniti Wholesale, Kinetic, Uniti Fiber, and Uniti Solutions. Visit us online at </w:t>
      </w:r>
      <w:r>
        <w:rPr>
          <w:rFonts w:ascii="Times New Roman" w:cs="Times New Roman" w:eastAsia="Times New Roman" w:hAnsi="Times New Roman"/>
          <w:sz w:val="17"/>
          <w:szCs w:val="17"/>
          <w:u w:val="single" w:color="auto"/>
          <w:color w:val="auto"/>
        </w:rPr>
        <w:t>www.uniti.com</w:t>
      </w:r>
      <w:r>
        <w:rPr>
          <w:rFonts w:ascii="Times New Roman" w:cs="Times New Roman" w:eastAsia="Times New Roman" w:hAnsi="Times New Roman"/>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Forward-looking statements are based on assumptions with respect to the future and Uniti management’s current expectations, involve certain risks and uncertainties, and are not guarantees. These forward-looking statements include, but are not limited to, statements regarding Uniti’s fiber build strategy, the businesses growth potential, efficiencies from the debt silos combination, and Uniti’s 2025 outlook. The words “anticipates,” “believes,” “could,” “estimates,” “expects,” “intends,” “may,” “plans,” “projects,” “will,” “would,” “predicts” and similar expressions are intended to identify forward-looking statements, although not all forward-looking statements contain these identifying words. Uniti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Uniti makes. These forward-looking statements involve risks and uncertainties, known and unknown, that could cause events and results to differ materially from those in the forward-looking statements, including, without limitation: unanticipated difficulties or expenditures relating to the merger of Uniti and Windstream; competition and overbuilding in consumer service areas and general competition in business markets; risks related to Uniti’s indebtedness, which could reduce funds available for business purposes and operational flexibility; rapid changes in technology, which could affect its ability to compete; risks relating to information technology system failures, network disruptions, and failure to protect, loss of, or unauthorized access to, or release of, data; risks related to various forms of regulation from the Federal Communications Commission, state regulatory commissions and other government entities and effects of unfavorable legal proceedings, government investigations, and complex and changing laws; risks inherent in the communications industry and associated with general economic conditions; and additional risks set forth in the “Risk Factors” and “Management’s Discussion and Analysis of Financial Condition and Results of Operations” sections of the Company and its predecessors’ most recently filed periodic reports on Form 10-K and Form 10-Q and subsequent filings with the U.S. Securities and Exchange Commission as well as the Company’s predecessor’s registration statement on Form S-4 dated February 12, 2025. The discussion of such risks is not an indication that any such risks have occurred at the time of this filing. Uniti does not assume any obligation to update any forward-looking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PRESENTATION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release and today’s conference call contain certain supplemental measures of performance that are not required by, or presented in accordance with, accounting principles generally accepted in the United States (“GAAP”). Such measures should not be considered as alternatives to GAAP. Further information with respect to and reconciliations of such measures to the nearest GAAP measure can be found herein.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4,366,790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4,209,747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240,727</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155,593</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57,866</w:t>
            </w:r>
          </w:p>
        </w:tc>
        <w:tc>
          <w:tcPr>
            <w:tcW w:w="4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28,254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40,677</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51,418</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157,380</w:t>
            </w:r>
          </w:p>
        </w:tc>
        <w:tc>
          <w:tcPr>
            <w:tcW w:w="4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157,380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260,563</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275,414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Straight-line revenue receivable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114,609</w:t>
            </w:r>
          </w:p>
        </w:tc>
        <w:tc>
          <w:tcPr>
            <w:tcW w:w="4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108,870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127,938</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126,791</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40,396</w:t>
            </w:r>
          </w:p>
        </w:tc>
        <w:tc>
          <w:tcPr>
            <w:tcW w:w="4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40,633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136,585</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128,045</w:t>
            </w:r>
          </w:p>
        </w:tc>
        <w:tc>
          <w:tcPr>
            <w:tcW w:w="0" w:type="dxa"/>
            <w:vAlign w:val="bottom"/>
          </w:tcPr>
          <w:p>
            <w:pPr>
              <w:spacing w:after="0"/>
              <w:rPr>
                <w:sz w:val="1"/>
                <w:szCs w:val="1"/>
                <w:color w:val="auto"/>
              </w:rPr>
            </w:pPr>
          </w:p>
        </w:tc>
      </w:tr>
      <w:tr>
        <w:trPr>
          <w:trHeight w:val="263"/>
        </w:trPr>
        <w:tc>
          <w:tcPr>
            <w:tcW w:w="7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5,543,531</w:t>
            </w:r>
          </w:p>
        </w:tc>
        <w:tc>
          <w:tcPr>
            <w:tcW w:w="2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5,282,145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88,302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89,688</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Settlement payable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24,215</w:t>
            </w:r>
          </w:p>
        </w:tc>
        <w:tc>
          <w:tcPr>
            <w:tcW w:w="4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71,785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liabilities,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140,356</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145,703</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133,226</w:t>
            </w:r>
          </w:p>
        </w:tc>
        <w:tc>
          <w:tcPr>
            <w:tcW w:w="4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143,901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1,430,722</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1,400,952</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82,601</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80,504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23,344</w:t>
            </w:r>
          </w:p>
        </w:tc>
        <w:tc>
          <w:tcPr>
            <w:tcW w:w="4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17,190</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and other debt,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6,064,751</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5,783,597</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7,987,519</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7,733,985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50,000 shares authorized, no shares issued and outstanding</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 shares authorized, issued and outstanding: 238,568 shares at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June 30, 2025 and 237,513 shares at December 31,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1,241,569</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1,236,045</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4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in excess of accumulated earnings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(3,685,664)</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(3,687,808)</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Uniti shareholders' deficit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(2,444,238)</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Operating partnership units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98"/>
        </w:trPr>
        <w:tc>
          <w:tcPr>
            <w:tcW w:w="7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non-voting convertible preferred stock, $0.01 par value, 6 shares authorized, 3 issued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250</w:t>
            </w: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9"/>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(2,443,988</w:t>
            </w:r>
          </w:p>
        </w:tc>
        <w:tc>
          <w:tcPr>
            <w:tcW w:w="22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(2,451,840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5,543,531</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5,282,145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60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from rentals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Uniti Leasing</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225,014</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216,640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445,927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432,633</w:t>
            </w:r>
          </w:p>
        </w:tc>
        <w:tc>
          <w:tcPr>
            <w:tcW w:w="0" w:type="dxa"/>
            <w:vAlign w:val="bottom"/>
          </w:tcPr>
          <w:p>
            <w:pPr>
              <w:spacing w:after="0"/>
              <w:rPr>
                <w:sz w:val="1"/>
                <w:szCs w:val="1"/>
                <w:color w:val="auto"/>
              </w:rPr>
            </w:pPr>
          </w:p>
        </w:tc>
      </w:tr>
      <w:tr>
        <w:trPr>
          <w:trHeight w:val="229"/>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Uniti Fiber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12,663</w:t>
            </w: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24,826</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 from rentals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revenues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Uniti Leasing</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29"/>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Uniti Fiber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63,998</w:t>
            </w: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116,644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120,632</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service revenues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160,784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127,475</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298,771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250,686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79,663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78,052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159,346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155,537</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25,716</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56,147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53,849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 (exclusive of depreciation, accretion and amortization)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34,765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37,036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67,146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72,234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10,977</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(18,999)</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317,639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279,237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(Loss) income before income taxes and equity in earnings from</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(16,907)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15,710</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(9,205)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51,695</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(2,571)</w:t>
            </w: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(7,934)</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shareholders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common shareholders - Basic</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(10,734)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17,550</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58,438</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if-converted dilutive securities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 attributable to common shareholders - Diluted</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per common share: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238,567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237,347</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238,318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237,121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238,567</w:t>
            </w:r>
          </w:p>
        </w:tc>
        <w:tc>
          <w:tcPr>
            <w:tcW w:w="2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237,347</w:t>
            </w:r>
          </w:p>
        </w:tc>
        <w:tc>
          <w:tcPr>
            <w:tcW w:w="220" w:type="dxa"/>
            <w:vAlign w:val="bottom"/>
            <w:vMerge w:val="continue"/>
          </w:tcPr>
          <w:p>
            <w:pPr>
              <w:spacing w:after="0"/>
              <w:rPr>
                <w:sz w:val="17"/>
                <w:szCs w:val="17"/>
                <w:color w:val="auto"/>
              </w:rPr>
            </w:pPr>
          </w:p>
        </w:tc>
        <w:tc>
          <w:tcPr>
            <w:tcW w:w="1220" w:type="dxa"/>
            <w:vAlign w:val="bottom"/>
            <w:tcBorders>
              <w:bottom w:val="single" w:sz="8" w:color="auto"/>
            </w:tcBorders>
          </w:tcPr>
          <w:p>
            <w:pPr>
              <w:ind w:left="640"/>
              <w:spacing w:after="0" w:line="196" w:lineRule="exact"/>
              <w:rPr>
                <w:sz w:val="20"/>
                <w:szCs w:val="20"/>
                <w:color w:val="auto"/>
              </w:rPr>
            </w:pPr>
            <w:r>
              <w:rPr>
                <w:rFonts w:ascii="Times New Roman" w:cs="Times New Roman" w:eastAsia="Times New Roman" w:hAnsi="Times New Roman"/>
                <w:sz w:val="18"/>
                <w:szCs w:val="18"/>
                <w:color w:val="auto"/>
                <w:w w:val="95"/>
              </w:rPr>
              <w:t>238,318</w:t>
            </w: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237,121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59,629</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159,346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155,537</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10,950</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 amortization</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(8,652)</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 rate cap</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(2,200)</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Straight-line revenues and amortization of below-market lease intangibles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(17,038)</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6,745</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asset disposals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(18,999)</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settlement obligation</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3,660</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(10,296)</w:t>
            </w: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7,264</w:t>
            </w:r>
          </w:p>
        </w:tc>
      </w:tr>
      <w:tr>
        <w:trPr>
          <w:trHeight w:val="230"/>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(13,228)</w:t>
            </w: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174,338</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(246,198)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(262,758)</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other equipment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40,039</w:t>
            </w:r>
          </w:p>
        </w:tc>
      </w:tr>
      <w:tr>
        <w:trPr>
          <w:trHeight w:val="23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unconsolidated entity</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(182,284)</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debt</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(122,942)</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309,000</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(108,445)</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settlement obligation</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(49,011)</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(333,000)</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ABS Loan Facility and Notes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589,000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275,000</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payments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(1,265)</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(15,778)</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the early repayment of debt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paid to noncontrolling interests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for noncontrolling interest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(1,583)</w:t>
            </w:r>
          </w:p>
        </w:tc>
      </w:tr>
      <w:tr>
        <w:trPr>
          <w:trHeight w:val="210"/>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77,173</w:t>
            </w:r>
          </w:p>
        </w:tc>
        <w:tc>
          <w:tcPr>
            <w:tcW w:w="100" w:type="dxa"/>
            <w:vAlign w:val="bottom"/>
            <w:tcBorders>
              <w:bottom w:val="single" w:sz="8" w:color="CCEEFF"/>
            </w:tcBorders>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restricted cash and cash equivalents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69,227</w:t>
            </w:r>
          </w:p>
        </w:tc>
        <w:tc>
          <w:tcPr>
            <w:tcW w:w="10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at beginning of period</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183,847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62,264</w:t>
            </w:r>
          </w:p>
        </w:tc>
      </w:tr>
      <w:tr>
        <w:trPr>
          <w:trHeight w:val="223"/>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at end of period</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acquired but not yet paid</w:t>
            </w: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11,450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7,074</w:t>
            </w: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Tenant capital improvements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222,025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94,049</w:t>
            </w:r>
          </w:p>
        </w:tc>
      </w:tr>
      <w:tr>
        <w:trPr>
          <w:trHeight w:val="648"/>
        </w:trPr>
        <w:tc>
          <w:tcPr>
            <w:tcW w:w="714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Net Income to FFO and AFFO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60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8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 depreciation and amortization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55,615</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116,441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111,545</w:t>
            </w: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real estate, net of tax</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(18,951)</w:t>
            </w:r>
          </w:p>
        </w:tc>
      </w:tr>
      <w:tr>
        <w:trPr>
          <w:trHeight w:val="21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w:t>
            </w: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Participating securities share in FFO</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(2,295)</w:t>
            </w:r>
          </w:p>
        </w:tc>
      </w:tr>
      <w:tr>
        <w:trPr>
          <w:trHeight w:val="229"/>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for noncontrolling interests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5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FFO attributable to common shareholders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10,977</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16,664</w:t>
            </w: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10,950</w:t>
            </w:r>
          </w:p>
        </w:tc>
      </w:tr>
      <w:tr>
        <w:trPr>
          <w:trHeight w:val="21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Write off of deferred financing costs and debt discount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the early repayment of debt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3,397</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6,745</w:t>
            </w: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Non-real estate depreciation and amortization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22,437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43,992</w:t>
            </w:r>
          </w:p>
        </w:tc>
      </w:tr>
      <w:tr>
        <w:trPr>
          <w:trHeight w:val="198"/>
        </w:trPr>
        <w:tc>
          <w:tcPr>
            <w:tcW w:w="53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Straight-line revenues and amortization of below-market lease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(8,216)</w:t>
            </w:r>
          </w:p>
        </w:tc>
        <w:tc>
          <w:tcPr>
            <w:tcW w:w="1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(11,661)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(17,038)</w:t>
            </w: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(3,998)</w:t>
            </w:r>
          </w:p>
        </w:tc>
      </w:tr>
      <w:tr>
        <w:trPr>
          <w:trHeight w:val="216"/>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TCI revenue amortization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(12,214)</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(24,458)</w:t>
            </w:r>
          </w:p>
        </w:tc>
      </w:tr>
      <w:tr>
        <w:trPr>
          <w:trHeight w:val="216"/>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(2,840)</w:t>
            </w:r>
          </w:p>
        </w:tc>
      </w:tr>
      <w:tr>
        <w:trPr>
          <w:trHeight w:val="230"/>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for noncontrolling interests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AFFO attributable to common shareholders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8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Diluted FFO and AFFO:</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FFO Attributable to common shareholders - Basic</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46,301</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72,409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114,571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149,871</w:t>
            </w:r>
          </w:p>
        </w:tc>
      </w:tr>
      <w:tr>
        <w:trPr>
          <w:trHeight w:val="230"/>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if-converted dilutive securities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6,878</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13,900</w:t>
            </w:r>
          </w:p>
        </w:tc>
      </w:tr>
      <w:tr>
        <w:trPr>
          <w:trHeight w:val="263"/>
        </w:trPr>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FFO Attributable to common shareholders - Diluted</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52,287</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79,287</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126,534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163,771</w:t>
            </w:r>
          </w:p>
        </w:tc>
        <w:tc>
          <w:tcPr>
            <w:tcW w:w="100" w:type="dxa"/>
            <w:vAlign w:val="bottom"/>
            <w:tcBorders>
              <w:bottom w:val="single" w:sz="8" w:color="CCEEFF"/>
            </w:tcBorders>
          </w:tcPr>
          <w:p>
            <w:pPr>
              <w:spacing w:after="0"/>
              <w:rPr>
                <w:sz w:val="22"/>
                <w:szCs w:val="22"/>
                <w:color w:val="auto"/>
              </w:rPr>
            </w:pPr>
          </w:p>
        </w:tc>
      </w:tr>
      <w:tr>
        <w:trPr>
          <w:trHeight w:val="196"/>
        </w:trPr>
        <w:tc>
          <w:tcPr>
            <w:tcW w:w="28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AFFO Attributable to common shareholders - Basic</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96,483</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92,254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188,784</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179,880</w:t>
            </w:r>
          </w:p>
        </w:tc>
      </w:tr>
      <w:tr>
        <w:trPr>
          <w:trHeight w:val="230"/>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if-converted dilutive securities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6,807</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13,783</w:t>
            </w:r>
          </w:p>
        </w:tc>
      </w:tr>
      <w:tr>
        <w:trPr>
          <w:trHeight w:val="263"/>
        </w:trPr>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AFFO Attributable to common shareholders - Diluted</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102,230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99,061</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200,278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193,663</w:t>
            </w:r>
          </w:p>
        </w:tc>
        <w:tc>
          <w:tcPr>
            <w:tcW w:w="100" w:type="dxa"/>
            <w:vAlign w:val="bottom"/>
            <w:tcBorders>
              <w:bottom w:val="single" w:sz="8" w:color="CCEEFF"/>
            </w:tcBorders>
          </w:tcPr>
          <w:p>
            <w:pPr>
              <w:spacing w:after="0"/>
              <w:rPr>
                <w:sz w:val="22"/>
                <w:szCs w:val="22"/>
                <w:color w:val="auto"/>
              </w:rPr>
            </w:pPr>
          </w:p>
        </w:tc>
      </w:tr>
      <w:tr>
        <w:trPr>
          <w:trHeight w:val="196"/>
        </w:trPr>
        <w:tc>
          <w:tcPr>
            <w:tcW w:w="28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53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Weighted average common shares used to calculate basic earnings per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530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 xml:space="preserve">common share </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238,567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237,347</w:t>
            </w:r>
          </w:p>
        </w:tc>
        <w:tc>
          <w:tcPr>
            <w:tcW w:w="18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238,318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237,121</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dilutive non-participating securities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Impact of if-converted dilutive securities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52,911</w:t>
            </w: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54,070</w:t>
            </w:r>
          </w:p>
        </w:tc>
      </w:tr>
      <w:tr>
        <w:trPr>
          <w:trHeight w:val="181"/>
        </w:trPr>
        <w:tc>
          <w:tcPr>
            <w:tcW w:w="530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Weighted average common shares used to calculate diluted FFO and</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98"/>
        </w:trPr>
        <w:tc>
          <w:tcPr>
            <w:tcW w:w="5300" w:type="dxa"/>
            <w:vAlign w:val="bottom"/>
            <w:gridSpan w:val="2"/>
            <w:shd w:val="clear" w:color="auto" w:fill="CCEEFF"/>
          </w:tcPr>
          <w:p>
            <w:pPr>
              <w:spacing w:after="0" w:line="298" w:lineRule="exact"/>
              <w:rPr>
                <w:sz w:val="20"/>
                <w:szCs w:val="20"/>
                <w:color w:val="auto"/>
              </w:rPr>
            </w:pPr>
            <w:r>
              <w:rPr>
                <w:rFonts w:ascii="Times New Roman" w:cs="Times New Roman" w:eastAsia="Times New Roman" w:hAnsi="Times New Roman"/>
                <w:sz w:val="18"/>
                <w:szCs w:val="18"/>
                <w:color w:val="auto"/>
              </w:rPr>
              <w:t xml:space="preserve">AFFO per common share </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280,611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290,258</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280,362</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291,191</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28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diluted common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FFO</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AFFO</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0.36</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0.67</w:t>
            </w:r>
          </w:p>
        </w:tc>
      </w:tr>
      <w:tr>
        <w:trPr>
          <w:trHeight w:val="216"/>
        </w:trPr>
        <w:tc>
          <w:tcPr>
            <w:tcW w:w="28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0"/>
        </w:trPr>
        <w:tc>
          <w:tcPr>
            <w:tcW w:w="2820" w:type="dxa"/>
            <w:vAlign w:val="bottom"/>
            <w:tcBorders>
              <w:bottom w:val="single" w:sz="8" w:color="auto"/>
            </w:tcBorders>
          </w:tcPr>
          <w:p>
            <w:pPr>
              <w:spacing w:after="0"/>
              <w:rPr>
                <w:sz w:val="23"/>
                <w:szCs w:val="23"/>
                <w:color w:val="auto"/>
              </w:rPr>
            </w:pPr>
          </w:p>
        </w:tc>
        <w:tc>
          <w:tcPr>
            <w:tcW w:w="2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49" w:lineRule="exact"/>
        <w:rPr>
          <w:sz w:val="20"/>
          <w:szCs w:val="20"/>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periods in which FFO to common shareholders is a loss, the weighted average common shares used to calculate diluted FFO per common share is equal to the weighted average common shares used to calculate basic earnings per share.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 based compensation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Transaction related and other costs</w:t>
      </w:r>
    </w:p>
    <w:p>
      <w:pPr>
        <w:spacing w:after="0" w:line="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Gain on sale of real estate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auto"/>
        </w:rPr>
        <w:t>Reconciliation of EBITDA and Adjusted EBITDA</w:t>
      </w:r>
    </w:p>
    <w:p>
      <w:pPr>
        <w:spacing w:after="0" w:line="21"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18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56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(10,729)</w:t>
            </w:r>
          </w:p>
        </w:tc>
        <w:tc>
          <w:tcPr>
            <w:tcW w:w="24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18,281</w:t>
            </w:r>
          </w:p>
        </w:tc>
        <w:tc>
          <w:tcPr>
            <w:tcW w:w="220" w:type="dxa"/>
            <w:vAlign w:val="bottom"/>
          </w:tcPr>
          <w:p>
            <w:pPr>
              <w:spacing w:after="0"/>
              <w:rPr>
                <w:sz w:val="16"/>
                <w:szCs w:val="16"/>
                <w:color w:val="auto"/>
              </w:rPr>
            </w:pP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1,491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59,629</w:t>
            </w:r>
          </w:p>
        </w:tc>
        <w:tc>
          <w:tcPr>
            <w:tcW w:w="60" w:type="dxa"/>
            <w:vAlign w:val="bottom"/>
            <w:gridSpan w:val="2"/>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79,663</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78,052</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159,346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155,537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160,784</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127,475</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298,771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250,686</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(6,178)</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(2,571)</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(10,696)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(7,934)</w:t>
            </w:r>
          </w:p>
        </w:tc>
      </w:tr>
      <w:tr>
        <w:trPr>
          <w:trHeight w:val="191"/>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223,540</w:t>
            </w:r>
          </w:p>
        </w:tc>
        <w:tc>
          <w:tcPr>
            <w:tcW w:w="240" w:type="dxa"/>
            <w:vAlign w:val="bottom"/>
          </w:tcPr>
          <w:p>
            <w:pPr>
              <w:spacing w:after="0"/>
              <w:rPr>
                <w:sz w:val="16"/>
                <w:szCs w:val="16"/>
                <w:color w:val="auto"/>
              </w:rPr>
            </w:pPr>
          </w:p>
        </w:tc>
        <w:tc>
          <w:tcPr>
            <w:tcW w:w="260" w:type="dxa"/>
            <w:vAlign w:val="bottom"/>
            <w:tcBorders>
              <w:top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221,237</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448,912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457,918</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3,584</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3,397</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13,462</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10,977</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16,664</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(18,999)</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1,977</w:t>
            </w: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2,959</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242,563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236,659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465,287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-1447800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-1165225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-882015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-599440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-325120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60" w:space="720"/>
            <w:col w:w="756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Uniti Leasing</w:t>
            </w:r>
          </w:p>
        </w:tc>
        <w:tc>
          <w:tcPr>
            <w:tcW w:w="1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220,111</w:t>
            </w:r>
          </w:p>
        </w:tc>
        <w:tc>
          <w:tcPr>
            <w:tcW w:w="4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210,853</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435,237</w:t>
            </w: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421,530</w:t>
            </w: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Uniti Fiber</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31,091</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57,519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54,929</w:t>
            </w:r>
          </w:p>
        </w:tc>
      </w:tr>
      <w:tr>
        <w:trPr>
          <w:trHeight w:val="22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(5,285)</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(11,172)</w:t>
            </w:r>
          </w:p>
        </w:tc>
      </w:tr>
      <w:tr>
        <w:trPr>
          <w:trHeight w:val="263"/>
        </w:trPr>
        <w:tc>
          <w:tcPr>
            <w:tcW w:w="432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242,563</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236,659</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480,393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465,287</w:t>
            </w:r>
          </w:p>
        </w:tc>
        <w:tc>
          <w:tcPr>
            <w:tcW w:w="100" w:type="dxa"/>
            <w:vAlign w:val="bottom"/>
            <w:tcBorders>
              <w:bottom w:val="single" w:sz="8" w:color="CCEEFF"/>
            </w:tcBorders>
          </w:tcPr>
          <w:p>
            <w:pPr>
              <w:spacing w:after="0"/>
              <w:rPr>
                <w:sz w:val="22"/>
                <w:szCs w:val="22"/>
                <w:color w:val="auto"/>
              </w:rPr>
            </w:pPr>
          </w:p>
        </w:tc>
      </w:tr>
      <w:tr>
        <w:trPr>
          <w:trHeight w:val="197"/>
        </w:trPr>
        <w:tc>
          <w:tcPr>
            <w:tcW w:w="4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23"/>
        </w:trPr>
        <w:tc>
          <w:tcPr>
            <w:tcW w:w="4320" w:type="dxa"/>
            <w:vAlign w:val="bottom"/>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 xml:space="preserve">Annualized Adjusted EBITDA </w:t>
            </w:r>
            <w:r>
              <w:rPr>
                <w:rFonts w:ascii="Times New Roman" w:cs="Times New Roman" w:eastAsia="Times New Roman" w:hAnsi="Times New Roman"/>
                <w:sz w:val="29"/>
                <w:szCs w:val="29"/>
                <w:b w:val="1"/>
                <w:bCs w:val="1"/>
                <w:color w:val="auto"/>
                <w:vertAlign w:val="superscript"/>
              </w:rPr>
              <w:t>(1)</w:t>
            </w: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929,931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9"/>
                <w:szCs w:val="29"/>
                <w:color w:val="auto"/>
                <w:vertAlign w:val="superscript"/>
              </w:rPr>
              <w:t>(2)</w:t>
            </w:r>
          </w:p>
        </w:tc>
        <w:tc>
          <w:tcPr>
            <w:tcW w:w="15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5,584,844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240,727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5,344,117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Debt/Annualized Adjusted EBITDA</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5.75x</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Adjusted EBITDA for the most recently reported three-month period, excluding the Adjusted EBITDA of $10.1 million contributed from the ABS Loan Facility subsidiaries, multiplied by four. Annualized Adjusted EBITDA has not been prepared on a pro forma basis in accordance with Article 11 of Regulation S-X.</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$23.3 million of finance leases, but excludes $85.7 million of unamortized discounts and deferred financing costs and excludes the principal balance from the $589.0 million ABS loan facility.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24"/>
        </w:trPr>
        <w:tc>
          <w:tcPr>
            <w:tcW w:w="3640" w:type="dxa"/>
            <w:vAlign w:val="bottom"/>
          </w:tcPr>
          <w:p>
            <w:pPr>
              <w:spacing w:after="0"/>
              <w:rPr>
                <w:sz w:val="19"/>
                <w:szCs w:val="19"/>
                <w:color w:val="auto"/>
              </w:rPr>
            </w:pPr>
          </w:p>
        </w:tc>
        <w:tc>
          <w:tcPr>
            <w:tcW w:w="7600" w:type="dxa"/>
            <w:vAlign w:val="bottom"/>
            <w:gridSpan w:val="3"/>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Uniti Group Inc.</w:t>
            </w:r>
          </w:p>
        </w:tc>
      </w:tr>
      <w:tr>
        <w:trPr>
          <w:trHeight w:val="249"/>
        </w:trPr>
        <w:tc>
          <w:tcPr>
            <w:tcW w:w="3640" w:type="dxa"/>
            <w:vAlign w:val="bottom"/>
          </w:tcPr>
          <w:p>
            <w:pPr>
              <w:spacing w:after="0"/>
              <w:rPr>
                <w:sz w:val="21"/>
                <w:szCs w:val="21"/>
                <w:color w:val="auto"/>
              </w:rPr>
            </w:pPr>
          </w:p>
        </w:tc>
        <w:tc>
          <w:tcPr>
            <w:tcW w:w="7600" w:type="dxa"/>
            <w:vAlign w:val="bottom"/>
            <w:gridSpan w:val="3"/>
          </w:tcPr>
          <w:p>
            <w:pPr>
              <w:jc w:val="center"/>
              <w:ind w:right="3680"/>
              <w:spacing w:after="0" w:line="249" w:lineRule="exact"/>
              <w:rPr>
                <w:sz w:val="20"/>
                <w:szCs w:val="20"/>
                <w:color w:val="auto"/>
              </w:rPr>
            </w:pPr>
            <w:r>
              <w:rPr>
                <w:rFonts w:ascii="Times New Roman" w:cs="Times New Roman" w:eastAsia="Times New Roman" w:hAnsi="Times New Roman"/>
                <w:sz w:val="17"/>
                <w:szCs w:val="17"/>
                <w:b w:val="1"/>
                <w:bCs w:val="1"/>
                <w:color w:val="auto"/>
              </w:rPr>
              <w:t xml:space="preserve">Projected Future Results </w:t>
            </w:r>
            <w:r>
              <w:rPr>
                <w:rFonts w:ascii="Times New Roman" w:cs="Times New Roman" w:eastAsia="Times New Roman" w:hAnsi="Times New Roman"/>
                <w:sz w:val="28"/>
                <w:szCs w:val="28"/>
                <w:color w:val="auto"/>
                <w:vertAlign w:val="superscript"/>
              </w:rPr>
              <w:t>(1)</w:t>
            </w:r>
          </w:p>
        </w:tc>
      </w:tr>
      <w:tr>
        <w:trPr>
          <w:trHeight w:val="238"/>
        </w:trPr>
        <w:tc>
          <w:tcPr>
            <w:tcW w:w="3640" w:type="dxa"/>
            <w:vAlign w:val="bottom"/>
          </w:tcPr>
          <w:p>
            <w:pPr>
              <w:spacing w:after="0"/>
              <w:rPr>
                <w:sz w:val="20"/>
                <w:szCs w:val="20"/>
                <w:color w:val="auto"/>
              </w:rPr>
            </w:pPr>
          </w:p>
        </w:tc>
        <w:tc>
          <w:tcPr>
            <w:tcW w:w="7600" w:type="dxa"/>
            <w:vAlign w:val="bottom"/>
            <w:gridSpan w:val="3"/>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410"/>
        </w:trPr>
        <w:tc>
          <w:tcPr>
            <w:tcW w:w="36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3640" w:type="dxa"/>
            <w:vAlign w:val="bottom"/>
            <w:tcBorders>
              <w:bottom w:val="single" w:sz="8" w:color="CCEEFF"/>
            </w:tcBorders>
          </w:tcPr>
          <w:p>
            <w:pPr>
              <w:spacing w:after="0"/>
              <w:rPr>
                <w:sz w:val="20"/>
                <w:szCs w:val="20"/>
                <w:color w:val="auto"/>
              </w:rPr>
            </w:pPr>
          </w:p>
        </w:tc>
        <w:tc>
          <w:tcPr>
            <w:tcW w:w="604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Borders>
              <w:bottom w:val="single" w:sz="8" w:color="CCEEFF"/>
            </w:tcBorders>
          </w:tcPr>
          <w:p>
            <w:pPr>
              <w:spacing w:after="0"/>
              <w:rPr>
                <w:sz w:val="20"/>
                <w:szCs w:val="20"/>
                <w:color w:val="auto"/>
              </w:rPr>
            </w:pPr>
          </w:p>
        </w:tc>
      </w:tr>
      <w:tr>
        <w:trPr>
          <w:trHeight w:val="236"/>
        </w:trPr>
        <w:tc>
          <w:tcPr>
            <w:tcW w:w="36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 xml:space="preserve">Net loss </w:t>
            </w:r>
            <w:r>
              <w:rPr>
                <w:rFonts w:ascii="Times New Roman" w:cs="Times New Roman" w:eastAsia="Times New Roman" w:hAnsi="Times New Roman"/>
                <w:sz w:val="27"/>
                <w:szCs w:val="27"/>
                <w:b w:val="1"/>
                <w:bCs w:val="1"/>
                <w:color w:val="auto"/>
                <w:vertAlign w:val="superscript"/>
              </w:rPr>
              <w:t>(2)</w:t>
            </w:r>
          </w:p>
        </w:tc>
        <w:tc>
          <w:tcPr>
            <w:tcW w:w="60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($125) to ($75)</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500" w:type="dxa"/>
            <w:vAlign w:val="bottom"/>
            <w:gridSpan w:val="2"/>
          </w:tcPr>
          <w:p>
            <w:pPr>
              <w:jc w:val="center"/>
              <w:ind w:left="6070"/>
              <w:spacing w:after="0"/>
              <w:rPr>
                <w:sz w:val="20"/>
                <w:szCs w:val="20"/>
                <w:color w:val="auto"/>
              </w:rPr>
            </w:pPr>
            <w:r>
              <w:rPr>
                <w:rFonts w:ascii="Times New Roman" w:cs="Times New Roman" w:eastAsia="Times New Roman" w:hAnsi="Times New Roman"/>
                <w:sz w:val="18"/>
                <w:szCs w:val="18"/>
                <w:color w:val="auto"/>
                <w:w w:val="96"/>
              </w:rPr>
              <w:t>665</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500" w:type="dxa"/>
            <w:vAlign w:val="bottom"/>
            <w:gridSpan w:val="2"/>
            <w:shd w:val="clear" w:color="auto" w:fill="CCEEFF"/>
          </w:tcPr>
          <w:p>
            <w:pPr>
              <w:jc w:val="center"/>
              <w:ind w:left="6070"/>
              <w:spacing w:after="0"/>
              <w:rPr>
                <w:sz w:val="20"/>
                <w:szCs w:val="20"/>
                <w:color w:val="auto"/>
              </w:rPr>
            </w:pPr>
            <w:r>
              <w:rPr>
                <w:rFonts w:ascii="Times New Roman" w:cs="Times New Roman" w:eastAsia="Times New Roman" w:hAnsi="Times New Roman"/>
                <w:sz w:val="18"/>
                <w:szCs w:val="18"/>
                <w:color w:val="auto"/>
                <w:w w:val="96"/>
              </w:rPr>
              <w:t>590</w:t>
            </w:r>
          </w:p>
        </w:tc>
        <w:tc>
          <w:tcPr>
            <w:tcW w:w="100" w:type="dxa"/>
            <w:vAlign w:val="bottom"/>
            <w:shd w:val="clear" w:color="auto" w:fill="CCEEFF"/>
          </w:tcPr>
          <w:p>
            <w:pPr>
              <w:spacing w:after="0"/>
              <w:rPr>
                <w:sz w:val="18"/>
                <w:szCs w:val="18"/>
                <w:color w:val="auto"/>
              </w:rPr>
            </w:pPr>
          </w:p>
        </w:tc>
      </w:tr>
      <w:tr>
        <w:trPr>
          <w:trHeight w:val="229"/>
        </w:trPr>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60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CCEEFF"/>
            </w:tcBorders>
          </w:tcPr>
          <w:p>
            <w:pPr>
              <w:spacing w:after="0"/>
              <w:rPr>
                <w:sz w:val="19"/>
                <w:szCs w:val="19"/>
                <w:color w:val="auto"/>
              </w:rPr>
            </w:pPr>
          </w:p>
        </w:tc>
      </w:tr>
      <w:tr>
        <w:trPr>
          <w:trHeight w:val="237"/>
        </w:trPr>
        <w:tc>
          <w:tcPr>
            <w:tcW w:w="36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27"/>
                <w:szCs w:val="27"/>
                <w:b w:val="1"/>
                <w:bCs w:val="1"/>
                <w:color w:val="auto"/>
                <w:vertAlign w:val="superscript"/>
              </w:rPr>
              <w:t>(2)</w:t>
            </w:r>
          </w:p>
        </w:tc>
        <w:tc>
          <w:tcPr>
            <w:tcW w:w="60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1,066 to 1,116</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500" w:type="dxa"/>
            <w:vAlign w:val="bottom"/>
            <w:gridSpan w:val="2"/>
          </w:tcPr>
          <w:p>
            <w:pPr>
              <w:jc w:val="center"/>
              <w:ind w:left="607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8"/>
                <w:szCs w:val="18"/>
                <w:color w:val="auto"/>
              </w:rPr>
            </w:pPr>
          </w:p>
        </w:tc>
      </w:tr>
      <w:tr>
        <w:trPr>
          <w:trHeight w:val="270"/>
        </w:trPr>
        <w:tc>
          <w:tcPr>
            <w:tcW w:w="36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Transaction related and other costs </w:t>
            </w:r>
            <w:r>
              <w:rPr>
                <w:rFonts w:ascii="Times New Roman" w:cs="Times New Roman" w:eastAsia="Times New Roman" w:hAnsi="Times New Roman"/>
                <w:sz w:val="29"/>
                <w:szCs w:val="29"/>
                <w:color w:val="auto"/>
                <w:vertAlign w:val="superscript"/>
              </w:rPr>
              <w:t>(3)</w:t>
            </w:r>
          </w:p>
        </w:tc>
        <w:tc>
          <w:tcPr>
            <w:tcW w:w="604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shd w:val="clear" w:color="auto" w:fill="CCEEFF"/>
          </w:tcPr>
          <w:p>
            <w:pPr>
              <w:spacing w:after="0"/>
              <w:rPr>
                <w:sz w:val="23"/>
                <w:szCs w:val="23"/>
                <w:color w:val="auto"/>
              </w:rPr>
            </w:pPr>
          </w:p>
        </w:tc>
      </w:tr>
      <w:tr>
        <w:trPr>
          <w:trHeight w:val="263"/>
        </w:trPr>
        <w:tc>
          <w:tcPr>
            <w:tcW w:w="3640" w:type="dxa"/>
            <w:vAlign w:val="bottom"/>
          </w:tcPr>
          <w:p>
            <w:pPr>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9"/>
                <w:szCs w:val="29"/>
                <w:b w:val="1"/>
                <w:bCs w:val="1"/>
                <w:color w:val="auto"/>
                <w:vertAlign w:val="superscript"/>
              </w:rPr>
              <w:t>(2)</w:t>
            </w:r>
          </w:p>
        </w:tc>
        <w:tc>
          <w:tcPr>
            <w:tcW w:w="6040" w:type="dxa"/>
            <w:vAlign w:val="bottom"/>
          </w:tcPr>
          <w:p>
            <w:pPr>
              <w:spacing w:after="0"/>
              <w:rPr>
                <w:sz w:val="22"/>
                <w:szCs w:val="22"/>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$ 1,110 to $ 1,160</w:t>
            </w:r>
          </w:p>
        </w:tc>
      </w:tr>
      <w:tr>
        <w:trPr>
          <w:trHeight w:val="20"/>
        </w:trPr>
        <w:tc>
          <w:tcPr>
            <w:tcW w:w="36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5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ranges represent management’s best estimates based on the underlying assumptions as of the date of this press release. Future acquisitions, capital market transactions, changes in market conditions, and other factors are excluded from our projections. There can be no assurance that our actual results will not differ materially from the estimates set forth above.</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components of projected future results may not add due to rounding.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transaction related costs not mentioned herein are not included in our current outlook.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as well as FFO and AFFO for a real estate investment trust (“REIT”), are important non-GAAP supplemental measures. Following the Merger, Legacy Uniti ceased to be a REIT, and the Company does not qualify as a REIT for U.S. federal income tax purposes. The Company does not expect to report FFO and AFFO in future periods.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litigation claims made against us, and costs associated with the implementation of our enterprise resource planning system, (collectively, “Transaction Related and Other Costs”), costs related to the settlement with Windstream, goodwill impairment charges,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alternatives to net income determined in accordance with GAAP.</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defines AFFO, as FFO excluding (i) Transaction Related and Other Costs; (ii) costs related to the litigation settlement with Windstream, accretion on our settlement obligation, and gains on the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tenant capital improvements;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Bullington, 251-662-1512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Executive Vice President, Chief Financial Officer &amp;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paul.bullington@uniti.com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DiTullio, 501-850-0872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Investor Relations &amp;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bill.ditullio@uniti.com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2025-08-05T07:09:21Z</dcterms:created>
  <dcterms:modified xsi:type="dcterms:W3CDTF">2025-08-05T07:09:21Z</dcterms:modified>
</cp:coreProperties>
</file>