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Uniti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001-36708</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46-5230630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380" w:space="720"/>
            <w:col w:w="2920" w:space="720"/>
            <w:col w:w="2500"/>
          </w:cols>
          <w:pgMar w:left="320" w:top="736"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73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(501) 850-0820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5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April 16, 2025, the Compensation Committee (the “Committee”) of the Board of Directors (the “Board”) of Uniti Group Inc. (the “Company”) approved new form grant agreements (the “New Grant Agreements”) for time-based restricted shares (“RSAs”) and performance-based restricted stock unit awards (“PBRSUs”), pursuant to which awards may be granted to eligible employees of the Company and its subsidiaries under the Uniti Group 2015 Equity Incentive Plan (the “Plan”). In addition, the Committee approved the amendment and restatement of all existing grant agreements under the Plan pursuant to which awards remain outstanding to reflect the terms of and conditions of the New Grant Agreements, except for those certain grant agreements dated as of May 16, 2024, covering the </w:t>
      </w:r>
      <w:r>
        <w:rPr>
          <w:rFonts w:ascii="Times New Roman" w:cs="Times New Roman" w:eastAsia="Times New Roman" w:hAnsi="Times New Roman"/>
          <w:sz w:val="18"/>
          <w:szCs w:val="18"/>
          <w:color w:val="212529"/>
        </w:rPr>
        <w:t>special grant of awards of RSAs and PBRSUs (the “Special Awards”) granted in connection with the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Plan of Merger dated as of May 3, 2024 by and between the Company and Windstream Holdings II, LLC, a Delaware limited liability company (the transactions contemplated by such agreement, collectively, the “Merger”)</w:t>
      </w:r>
      <w:r>
        <w:rPr>
          <w:rFonts w:ascii="Times New Roman" w:cs="Times New Roman" w:eastAsia="Times New Roman" w:hAnsi="Times New Roman"/>
          <w:sz w:val="18"/>
          <w:szCs w:val="18"/>
          <w:color w:val="000000"/>
        </w:rPr>
        <w:t>. The grant agreements underlying the Special Awards will be amended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restated to reflect the terms of and conditions of the New Grant Agreements following closing of the Merger. The amendments to the existing grant agreements primarily update the terms regarding the vesting of equity awards upon retirement, death, disability and in connection with a change in control in order to align them with the New Grant Agreements. The Committee also approved an amendment to that certain Performance-Based Restricted Stock Unit Agreement dated as of February 23, 2022 by and between the Company and Ronald Mudry, in order to extend the performance period for the awards granted thereunder from February 23, 2025 to February 23, 2028.</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Grant Agreements is only a summary and does not purport to be complete and is qualified in its entirety by the complete text of such documents, copies of which are attached as Exhibits 10.1 and 10.2 to this Current Report.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16, 2025, the Board, on the recommendation of the Governance Committee of the Board, nominated Harold Zeitz for election to the Board as an independent director at the 2025 annual meeting of stockholders (the “Annual Meeting”). The Board also nominated current directors, Francis X. “Skip” Frantz, Scott Bruce, Carmen Perez-Carlton, and Kenny Gunderman for re-election to the Board. Current director Jennifer Banner will not stand for re-election at, and her current term as a director will end, at the Annual Meeting. On April 17, 2025, the Company issued a press release announcing the slate of director nominees for election at the Annual Meeting and recognizing Ms. Banner’s service on the Board. A copy of the press release is attached hereto as Exhibit 99.1 and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0"/>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8"/>
        </w:trPr>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80" w:type="dxa"/>
            <w:vAlign w:val="bottom"/>
            <w:gridSpan w:val="2"/>
          </w:tcPr>
          <w:p>
            <w:pPr>
              <w:jc w:val="center"/>
              <w:ind w:left="27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EE"/>
              </w:rPr>
              <w:t>Form of Restricted Shares Agreement for executive officers.</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Form of Performance-Based Restricted Stock Unit Agreement for executive officers.</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Press Release issued April 17, 2025.</w:t>
            </w:r>
          </w:p>
        </w:tc>
      </w:tr>
      <w:tr>
        <w:trPr>
          <w:trHeight w:val="20"/>
        </w:trPr>
        <w:tc>
          <w:tcPr>
            <w:tcW w:w="3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r>
      <w:tr>
        <w:trPr>
          <w:trHeight w:val="453"/>
        </w:trPr>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Heard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L. Heard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 General Counsel and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SHARES AGREEMENT - TIME-BASED VESTING ONLY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Restricted Share Grant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Uniti Group Inc., a Maryland corporation (the “Company”), grants to the Grantee named below, in accordance with the terms of the Uniti Group Inc. 2015 Equity Incentive Plan (the “Plan”), and this Restricted Shares Agreement (the “Agreement”), the following number of Restricted Shares covered by this Agreement (the “Restricted Shares”), on the Date of Grant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Restricted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Agreement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            Grant of Restricted Shares</w:t>
      </w:r>
      <w:r>
        <w:rPr>
          <w:rFonts w:ascii="Times New Roman" w:cs="Times New Roman" w:eastAsia="Times New Roman" w:hAnsi="Times New Roman"/>
          <w:sz w:val="18"/>
          <w:szCs w:val="18"/>
          <w:color w:val="auto"/>
        </w:rPr>
        <w:t>. Subject to and upon the terms, conditions, and restrictions set forth in this Agreement and in the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hereby grants to the Grantee as of the Date of Grant, the total number of Restricted Shares (the “Restricted Shares”) set forth above. The Restricted Shares shall be fully paid and nonassessable.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Vesting of Restricted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Restricted Shares shall become vested and nonforfeitable (“Vested”) if the Grantee shall have remained in the continuous employ of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or a Subsidiary through the vesting dates set forth below with respect to the percentage of Restricted Shares set forth next to such date:</w:t>
      </w:r>
    </w:p>
    <w:p>
      <w:pPr>
        <w:spacing w:after="0" w:line="203" w:lineRule="exact"/>
        <w:rPr>
          <w:sz w:val="20"/>
          <w:szCs w:val="20"/>
          <w:color w:val="auto"/>
        </w:rPr>
      </w:pPr>
    </w:p>
    <w:p>
      <w:pPr>
        <w:ind w:left="68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Vesting Date</w:t>
      </w:r>
      <w:r>
        <w:rPr>
          <w:sz w:val="20"/>
          <w:szCs w:val="20"/>
          <w:color w:val="auto"/>
        </w:rPr>
        <w:tab/>
      </w:r>
      <w:r>
        <w:rPr>
          <w:rFonts w:ascii="Times New Roman" w:cs="Times New Roman" w:eastAsia="Times New Roman" w:hAnsi="Times New Roman"/>
          <w:sz w:val="17"/>
          <w:szCs w:val="17"/>
          <w:b w:val="1"/>
          <w:bCs w:val="1"/>
          <w:color w:val="auto"/>
        </w:rPr>
        <w:t>Percentage of Restricted Shares Vesting on such Vesting Date</w:t>
      </w:r>
    </w:p>
    <w:p>
      <w:pPr>
        <w:spacing w:after="0" w:line="229"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(b)           Notwithstanding the provisions of Section 2(a), in the event the Grantee experiences a Company-approved retirement (as determined in the sole discretion of the Committee), the Grantee shall immediately become Vested in a pro rata portion of his or her Restricted Shares based on the number of days the Grantee was employed by the Company between the Date of Grant and the final Vesting Date; provided, however, that if such retirement occurs during the two-year period following a Change in Control, then the Restricted Shares shall become immediately vested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           Notwithstanding the provisions of Section 2(a) or 2(b), all of the Restricted Shares covered by this Agreement shall immediately become Vested if, during the vesting period, the Grantee’s employment with the Company and its Subsidiaries is terminated without Cause (as such term is defined in any employment or severance agreement by and between the Grantee and the Company (the “Applicable Agreement”) or, if no such agreement, by the Plan), the Grantee terminates his or her employment with the Company or a Subsidiary for Good Reason (as defined in the Applicable Agreement, or if not such agreement, by the Plan), or the Grantee dies or becomes permanently disabled (as determined by the Committee) while in the employ of the Company or a Subsidiary.</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           Notwithstanding anything contained in this Agreement to the contrary, the Committee may, in its sole discretion, at any time declare the Restricted Shares vested and nonforfeitable on such terms and conditions as it deems appropriate.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Forfeiture of Shares</w:t>
      </w:r>
      <w:r>
        <w:rPr>
          <w:rFonts w:ascii="Times New Roman" w:cs="Times New Roman" w:eastAsia="Times New Roman" w:hAnsi="Times New Roman"/>
          <w:sz w:val="18"/>
          <w:szCs w:val="18"/>
          <w:color w:val="auto"/>
        </w:rPr>
        <w:t>. The Restricted Shares that have not yet Vested pursuant to Section 2 (including without limitation any cash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distributions and any non-cash proceeds related to the Restricted Shares for which the record date occurs on or after the date of forfeiture) shall be forfeited automatically without further action or notice if the Grantee ceases to be employed by the Company or a Subsidiary (other than as provided in Section 2(b) or 2(c)) . In the event of a forfeiture of the Restricted Shares, the stock book entry account representing the Restricted Shares covered by this Agreement shall be cancelled and all Restricted Shares shall be returned to the Company.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The Restricted Shares may not be sold, exchanged, assigned, transferred, pledged, encumbered or otherwise disposed of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except to the Company, until the Restricted Shares have become nonforfeitable as provided in Section 2. Any purported transfer or encumbrance in violation of the provisions of this Section 4 shall be void, and the other party to any such purported transaction shall not obtain any rights to or interest in such Restricted Shares. The Committee, in its sole discretion, when and as is permitted by the Plan, may waive the restrictions on transferability with respect to all or a portion of the Restricted Shares, provided that any permitted transferee (other than the Company) shall remain subject to all the terms and conditions applicable to the Restricted Shares prior to such transfer.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            Dividend, Voting and Other Rights</w:t>
      </w:r>
      <w:r>
        <w:rPr>
          <w:rFonts w:ascii="Times New Roman" w:cs="Times New Roman" w:eastAsia="Times New Roman" w:hAnsi="Times New Roman"/>
          <w:sz w:val="18"/>
          <w:szCs w:val="18"/>
          <w:color w:val="auto"/>
        </w:rPr>
        <w:t>. Except as otherwise provided herein, from and after the Date of Grant, the Grantee shall have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of a stockholder with respect to the Restricted Shares, including the right to vote the Restricted Shares and receive any cash dividends that may be paid thereon (which such dividends shall be paid no later than the end of the calendar year in which the dividends are paid to the holders of the Common Shares or, if later, the 15th day of the third month following the date the dividends are paid to the holders of the Common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additional Common Shares or other securities that the Grantee may become entitled to receive pursuant to a stock dividend, stock split, combination of shares, recapitalization, merger, consolidation, separation or reorganization or any other change in the capital structure of the Company shall be considered Restricted Shares and shall be subject to the same restrictions as the Restricted Shares covered by this Agreement. Any cash dividends paid with respect to the Restricted Shares shall be reported on the Grantee’s annual wage and tax statement (Form W-2) as compensation and shall be subject to all applicable tax withholdings as provided in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Custody of Restricted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Power. </w:t>
      </w:r>
      <w:r>
        <w:rPr>
          <w:rFonts w:ascii="Times New Roman" w:cs="Times New Roman" w:eastAsia="Times New Roman" w:hAnsi="Times New Roman"/>
          <w:sz w:val="18"/>
          <w:szCs w:val="18"/>
          <w:color w:val="auto"/>
        </w:rPr>
        <w:t>Until the Restricted Shares have become Vested as provided in Section 2,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shall be issued in book-entry only form and shall not be represented by a certificate. The restrictions set forth in this Agreement shall be reflected on the stock transfer records maintained by or on behalf of the Company. By execution of this Agreement and effective until the Restricted Shares have become Vested as provided in Section 2, the Grantee hereby irrevocably constitute and appoint a person or persons of the Company’s choosing, or any of them, attorneys-in-fact to transfer the Restricted Shares on the stock transfer records of the Company with full power of substitution. The Grantee agrees to take any and all other actions (including without limitation executing, delivering, performing and filing such other agreements, instruments and documents) as the Company may deem necessary or appropriate to carry out and give effect to the provisions of this Agreement.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            Continuous Employment</w:t>
      </w:r>
      <w:r>
        <w:rPr>
          <w:rFonts w:ascii="Times New Roman" w:cs="Times New Roman" w:eastAsia="Times New Roman" w:hAnsi="Times New Roman"/>
          <w:sz w:val="18"/>
          <w:szCs w:val="18"/>
          <w:color w:val="auto"/>
        </w:rPr>
        <w:t>. For purposes of this Agreement, the continuous employment of the Grantee with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shall not be deemed to have been interrupted, and the Grantee shall not be deemed to have ceased to be an employee of the Company and its Subsidiaries, by reason of the transfer of his or her employment among the Company and its Subsidiaries or a leave of absence approved by the Committee.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            No Employment Contract; Disclaimer</w:t>
      </w:r>
      <w:r>
        <w:rPr>
          <w:rFonts w:ascii="Times New Roman" w:cs="Times New Roman" w:eastAsia="Times New Roman" w:hAnsi="Times New Roman"/>
          <w:sz w:val="18"/>
          <w:szCs w:val="18"/>
          <w:color w:val="auto"/>
        </w:rPr>
        <w:t>. Nothing contained in this Agreement shall confer upon the Grantee any right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employment by the Company and its Subsidiaries, nor limit or affect in any manner the right of the Company and its Subsidiaries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their respective officers, directors, employees, agents or contractors.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            Relation to Other Benefits</w:t>
      </w:r>
      <w:r>
        <w:rPr>
          <w:rFonts w:ascii="Times New Roman" w:cs="Times New Roman" w:eastAsia="Times New Roman" w:hAnsi="Times New Roman"/>
          <w:sz w:val="18"/>
          <w:szCs w:val="18"/>
          <w:color w:val="auto"/>
        </w:rPr>
        <w:t>. Any economic or other benefit to the Grantee under this Agreement or the Plan shall not be taken into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determining any benefits to which the Grantee may be entitled under any profit-sharing, retirement or other benefit or compensation plan maintained by the Company or a Subsidiary and shall not affect the amount of any life insurance coverage available to any beneficiary under any life insurance plan covering employees of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          Taxes and Withholding</w:t>
      </w:r>
      <w:r>
        <w:rPr>
          <w:rFonts w:ascii="Times New Roman" w:cs="Times New Roman" w:eastAsia="Times New Roman" w:hAnsi="Times New Roman"/>
          <w:sz w:val="18"/>
          <w:szCs w:val="18"/>
          <w:color w:val="auto"/>
        </w:rPr>
        <w:t>. The Grantee is responsible for any federal, state, local or other taxes with respect to the 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grant, the Vesting, the receipt of Common Shares, the sale of Common Shares and the receipt of dividends or distributions, if any). The Company does not guarantee any particular tax treatment or results in connection with the grant or Vesting of the Restricted Shares or the payment of dividends or distributions. If the Company or any Subsidiary is required to withhold any federal, state, local or other taxes in connection with the delivery or vesting of the Restricted Shares, the Grantee shall pay the tax or make provisions that are satisfactory to the Company or such Subsidiary for the payment thereof. The Grantee may elect to satisfy all or any portion of any such withholding obligation by surrendering to the Company or such Subsidiary a portion of the Common Shares that become Vested hereunder, and the Common Shares so surrendered by the Grantee shall be credited against any such withholding obligation at the Market Value per Share of such Common Shares on the date of such surrender.</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Section 83(b) Election Prohibited. </w:t>
      </w:r>
      <w:r>
        <w:rPr>
          <w:rFonts w:ascii="Times New Roman" w:cs="Times New Roman" w:eastAsia="Times New Roman" w:hAnsi="Times New Roman"/>
          <w:sz w:val="18"/>
          <w:szCs w:val="18"/>
          <w:color w:val="auto"/>
        </w:rPr>
        <w:t>As a condition to receiving this award, the Grantee acknowledges and agrees that he or she shall not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election under Section 83(b) of the Code with respect to all or any portion of the Restricted Shares.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          Compliance with Law</w:t>
      </w:r>
      <w:r>
        <w:rPr>
          <w:rFonts w:ascii="Times New Roman" w:cs="Times New Roman" w:eastAsia="Times New Roman" w:hAnsi="Times New Roman"/>
          <w:sz w:val="18"/>
          <w:szCs w:val="18"/>
          <w:color w:val="auto"/>
        </w:rPr>
        <w:t>. The Company shall make reasonable efforts to comply with all applicable federal and state securities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listing requirements of the NASDAQ or any national securities exchange with respect to the Restricted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any other provision of this Agreement, the Restricted Shares shall not be delivered or become Vested if the delivery or vesting thereof would result in a violation of any such law or listing requirement.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13.          Amendments</w:t>
      </w:r>
      <w:r>
        <w:rPr>
          <w:rFonts w:ascii="Times New Roman" w:cs="Times New Roman" w:eastAsia="Times New Roman" w:hAnsi="Times New Roman"/>
          <w:sz w:val="18"/>
          <w:szCs w:val="18"/>
          <w:color w:val="auto"/>
        </w:rPr>
        <w:t>. Subject to the terms of the Plan, the Committee may modify this Agreement upon written notice to the Grantee.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Plan shall be deemed to be an amendment to this Agreement to the extent that the amendment is applicable hereto. Notwithstanding the foregoing, no amendment of the Plan or this Agreement shall adversely affect the rights of the Grantee under this Agreement regarding Restricted Shares that are then vested under the Plan without the Grantee’s consent.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14.          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any provision so invalidated shall be deemed to be separable from the other provisions hereof, and the remaining provisions hereof shall continue to be valid and fully enforceable.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15.          Relation to Plan</w:t>
      </w:r>
      <w:r>
        <w:rPr>
          <w:rFonts w:ascii="Times New Roman" w:cs="Times New Roman" w:eastAsia="Times New Roman" w:hAnsi="Times New Roman"/>
          <w:sz w:val="18"/>
          <w:szCs w:val="18"/>
          <w:color w:val="auto"/>
        </w:rPr>
        <w:t>. This Agreement is subject to the terms and conditions of the Plan. This Agreement and the Plan contain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16.          Successors and Assigns</w:t>
      </w:r>
      <w:r>
        <w:rPr>
          <w:rFonts w:ascii="Times New Roman" w:cs="Times New Roman" w:eastAsia="Times New Roman" w:hAnsi="Times New Roman"/>
          <w:sz w:val="18"/>
          <w:szCs w:val="18"/>
          <w:color w:val="auto"/>
        </w:rPr>
        <w:t>. Without limiting Section 4, the provisions of this Agreement shall inure to the benefit of, and be binding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administrators, heirs, legal representatives and assigns of the Grantee, and the successors and assigns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17.          Governing Law</w:t>
      </w:r>
      <w:r>
        <w:rPr>
          <w:rFonts w:ascii="Times New Roman" w:cs="Times New Roman" w:eastAsia="Times New Roman" w:hAnsi="Times New Roman"/>
          <w:sz w:val="18"/>
          <w:szCs w:val="18"/>
          <w:color w:val="auto"/>
        </w:rPr>
        <w:t>. The interpretation, performance, and enforcement of this Agreement shall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Maryland, without giving effect to the principles of conflict of laws thereof.</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18.          Electronic Delivery. </w:t>
      </w:r>
      <w:r>
        <w:rPr>
          <w:rFonts w:ascii="Times New Roman" w:cs="Times New Roman" w:eastAsia="Times New Roman" w:hAnsi="Times New Roman"/>
          <w:sz w:val="18"/>
          <w:szCs w:val="18"/>
          <w:color w:val="auto"/>
        </w:rPr>
        <w:t>The Grantee hereby consents and agrees to electronic delivery of any documents that the Company may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on its behalf by its duly authorized officer and the Grantee has also executed this Agreement, as of the Date of Grant.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UNITI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Kenny A. Gunderman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By clicking the </w:t>
      </w:r>
      <w:r>
        <w:rPr>
          <w:rFonts w:ascii="Times New Roman" w:cs="Times New Roman" w:eastAsia="Times New Roman" w:hAnsi="Times New Roman"/>
          <w:sz w:val="18"/>
          <w:szCs w:val="18"/>
          <w:b w:val="1"/>
          <w:bCs w:val="1"/>
          <w:color w:val="auto"/>
        </w:rPr>
        <w:t>Approve</w:t>
      </w:r>
      <w:r>
        <w:rPr>
          <w:rFonts w:ascii="Times New Roman" w:cs="Times New Roman" w:eastAsia="Times New Roman" w:hAnsi="Times New Roman"/>
          <w:sz w:val="18"/>
          <w:szCs w:val="18"/>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as soon as you click the </w:t>
      </w:r>
      <w:r>
        <w:rPr>
          <w:rFonts w:ascii="Times New Roman" w:cs="Times New Roman" w:eastAsia="Times New Roman" w:hAnsi="Times New Roman"/>
          <w:sz w:val="18"/>
          <w:szCs w:val="18"/>
          <w:b w:val="1"/>
          <w:bCs w:val="1"/>
          <w:color w:val="auto"/>
        </w:rPr>
        <w:t>Approve</w:t>
      </w:r>
      <w:r>
        <w:rPr>
          <w:rFonts w:ascii="Times New Roman" w:cs="Times New Roman" w:eastAsia="Times New Roman" w:hAnsi="Times New Roman"/>
          <w:sz w:val="18"/>
          <w:szCs w:val="18"/>
          <w:color w:val="auto"/>
        </w:rPr>
        <w:t xml:space="preserve"> button.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Restricted Stock Unit Award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Grant set forth below, Uniti Group Inc., a Maryland corporation (the “Company”), grants to the Grantee named below, in accordance with the terms of the Uniti Group Inc. 2015 Equity Incentive Plan (the “Plan”), and this Restricted Stock Unit Agreement (the “Agreement”), the contingent right to receive all, a portion or a multiple of the Target Number of Restricted Stock Units set forth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Target Number of Restricted Stock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Agreement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Grant of Restricted Stock Units</w:t>
      </w:r>
      <w:r>
        <w:rPr>
          <w:rFonts w:ascii="Times New Roman" w:cs="Times New Roman" w:eastAsia="Times New Roman" w:hAnsi="Times New Roman"/>
          <w:sz w:val="18"/>
          <w:szCs w:val="18"/>
          <w:color w:val="auto"/>
        </w:rPr>
        <w:t>. Subject to and upon the terms, conditions, and restrictions set forth in this Agreement and in the Plan, the Company hereby grants to the Grantee as of the Date of Grant this Performance-Based Restricted Stock Unit Award, which represents the contingent right to receive all, a portion, or a multiple of the Target Number of Restricted Stock Units (the “Restricted Stock Units”) set forth herein. Except as otherwise provided herein, each Restricted Stock Unit shall represent the right to receive one Common Share and shall at all times be equal in value to one Common Share.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Right to Receive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 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The Grantee shall vest in all or a portion, or a multiple, of the Target Number of Restricted Stock Units on [Date] (the “Vesting Date”), in accordance with the performance matrix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(the “Performance Matrix”, and the performance goals set forth therein, the “Performance Goals”); provided that the Grantee shall have remained in the continuous employ of the Company or any Subsidiary through the Vesting Date. The “Performance Period” within which the Performance Matrix is measured shall be the period of time from the Date of Grant to the Vesting Date, subject to a 20-day trailing average following the beginning and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           Notwithstanding the provisions of Section 2(a)(i), in the event the Grantee’s employment with the Company and its Subsidiaries is terminated without Cause (as such term is defined in any employment or severance agreement by and between the Grantee and the Company (the “Applicable Agreement”) or, if no such agreement, by the Plan), the Grantee terminates his or her employment with the Company or a Subsidiary for Good Reason (as defined in the Applicable Agreement, or if no such agreement, by the Plan), the Grantee experiences a Company-approved retirement (as determined in the sole discretion of the Committee), or the Grantee dies or becomes permanently disabled (as determined by the Committee) while in the employ of the Company or any Subsidiary, the Grantee shall remain eligible to vest in his or her Restricted Stock Units on the Vesting Date subject to the Performance Matrix and actual performance achieved. On the Vesting Date following such termination of employment, the Grantee shall vest (x) in the case of the Grantee’s death or disability, the number of the Restricted Stock Units which Grantee would have been entitled had such termination of employment not occurred and (y) in the case of any other termination of employment set forth in this Section 2(a)(ii), in a pro-rated portion of the Restricted Stock Units which Grantee would have been entitled had such termination of employment not occurred, based on the number of days the Grantee was employed by the Company between the Date of Grant and the Vesting Date.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Notwithstanding anything contained in this Agreement, in the event of a Change in Control, the Restricted Stock Units covered by this Agreement (and not previously forfeited under Section 3) shall be deemed earned in an amount equal to 200% of the Target Number of Restricted Stock Units but shall otherwise remain subject to the service vesting conditions set forth in Section 2(a)(i) and 2(a)(ii). Notwithstanding the foregoing, if, prior to the Vesting Date, the Grantee’s employment with the Company or any Subsidiary is terminated without Cause or the Grantee terminates his or her employment with the Company or any Subsidiary for Good Reason, the Grantee experiences a Company-approved retirement (as determined in the sole discretion of the Committee), or the Grantee dies or becomes permanently disabled (as determined by the Committee) while in the employ of the Company or any Subsidiary, in each case within the two year period immediately following a Change in Control, then the Restricted Stock Units covered by this Agreement (and not previously forfeited under Section 3) shall immediately become vested in an amount equal to 200% of the Target Number of Restricted Stock Units.</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(iv)          Notwithstanding anything contained in this Agreement to the contrary, the Committee may, in its sole discretion, at any time declare the Restricted Stock Units vested and nonforfeitable on such terms and conditions as it deems appropriate.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Adjustment of Performance Goals</w:t>
      </w:r>
      <w:r>
        <w:rPr>
          <w:rFonts w:ascii="Times New Roman" w:cs="Times New Roman" w:eastAsia="Times New Roman" w:hAnsi="Times New Roman"/>
          <w:sz w:val="18"/>
          <w:szCs w:val="18"/>
          <w:color w:val="auto"/>
        </w:rPr>
        <w:t>. If the Committee determines that a change in the business, operations, corporate structure or capital structure of the Company or any Subsidiary, the manner in which it conducts business or other events or circumstances render any of the Performance Goals to be unsuitable, the Committee may modify such Performance Goal or the level of achievement, in whole or in part, as the Committee deems appropriate.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Forfeiture</w:t>
      </w:r>
      <w:r>
        <w:rPr>
          <w:rFonts w:ascii="Times New Roman" w:cs="Times New Roman" w:eastAsia="Times New Roman" w:hAnsi="Times New Roman"/>
          <w:sz w:val="18"/>
          <w:szCs w:val="18"/>
          <w:color w:val="auto"/>
        </w:rPr>
        <w:t>. The Restricted Stock Units that have not yet vested pursuant to Section 2(a) (and any right to unpaid Dividend Equivalents under Section 7 with respect to the Restricted Stock Units) shall be forfeited automatically without further action or notice (i) to the extent that the Performance Goal for a fiscal year has not been achieved, but only with respect to the percentage of the Target Number of Restricted Stock Units allocated to such fiscal year; or (ii) in the event the Grantee ceases to be employed by the Company or any Subsidiary other than as provided in Section 2(a)(ii) or 2(a)(iii).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Payment of Restricted Stock Units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 General</w:t>
      </w:r>
      <w:r>
        <w:rPr>
          <w:rFonts w:ascii="Times New Roman" w:cs="Times New Roman" w:eastAsia="Times New Roman" w:hAnsi="Times New Roman"/>
          <w:sz w:val="18"/>
          <w:szCs w:val="18"/>
          <w:color w:val="auto"/>
        </w:rPr>
        <w:t>. The Company shall deliver to the Grantee (or the Grantee’s estate in the event of death) the Shares underlying the vested Restricted Stock Units within sixty (60) days after the date that they become vested in accordance with Section 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Special Payment Terms</w:t>
      </w:r>
      <w:r>
        <w:rPr>
          <w:rFonts w:ascii="Times New Roman" w:cs="Times New Roman" w:eastAsia="Times New Roman" w:hAnsi="Times New Roman"/>
          <w:sz w:val="18"/>
          <w:szCs w:val="18"/>
          <w:color w:val="auto"/>
        </w:rPr>
        <w:t>. To the extent that the Grantee’s right to receive payment of the Restricted Stock Units constitutes a “deferral of compensation” within the meaning of Section 409A of the Code, then notwithstanding Section 4(a), the Shares underlying the Restricted Stock Units that become vested pursuant to Section 2(a), if any, shall be subject to the following rules:</w:t>
      </w:r>
    </w:p>
    <w:p>
      <w:pPr>
        <w:spacing w:after="0" w:line="176" w:lineRule="exact"/>
        <w:rPr>
          <w:sz w:val="20"/>
          <w:szCs w:val="20"/>
          <w:color w:val="auto"/>
        </w:rPr>
      </w:pPr>
    </w:p>
    <w:p>
      <w:pPr>
        <w:ind w:left="660" w:firstLine="1944"/>
        <w:spacing w:after="0" w:line="261" w:lineRule="auto"/>
        <w:rPr>
          <w:sz w:val="20"/>
          <w:szCs w:val="20"/>
          <w:color w:val="auto"/>
        </w:rPr>
      </w:pPr>
      <w:r>
        <w:rPr>
          <w:rFonts w:ascii="Times New Roman" w:cs="Times New Roman" w:eastAsia="Times New Roman" w:hAnsi="Times New Roman"/>
          <w:sz w:val="18"/>
          <w:szCs w:val="18"/>
          <w:color w:val="auto"/>
        </w:rPr>
        <w:t>(i)            Except as provided in Section 4(b)(ii), the Shares underlying the Restricted Stock Units that become vested pursuant to Section 2(a) shall be delivered to the Grantee (or the Grantee’s estate in the event of death) within sixty (60) days after the earlier of</w:t>
      </w:r>
    </w:p>
    <w:p>
      <w:pPr>
        <w:ind w:left="660" w:hanging="4"/>
        <w:spacing w:after="0" w:line="260" w:lineRule="auto"/>
        <w:tabs>
          <w:tab w:leader="none" w:pos="9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“separation from service” within the meaning of Section 409A of the Code; or (y) the Vesting Date next following the date that the Restricted Stock Units become vested pursuant to Section 2(a).</w:t>
      </w:r>
    </w:p>
    <w:p>
      <w:pPr>
        <w:spacing w:after="0" w:line="181" w:lineRule="exact"/>
        <w:rPr>
          <w:sz w:val="20"/>
          <w:szCs w:val="20"/>
          <w:color w:val="auto"/>
        </w:rPr>
      </w:pPr>
    </w:p>
    <w:p>
      <w:pPr>
        <w:jc w:val="both"/>
        <w:ind w:left="660" w:firstLine="1944"/>
        <w:spacing w:after="0" w:line="268" w:lineRule="auto"/>
        <w:rPr>
          <w:sz w:val="20"/>
          <w:szCs w:val="20"/>
          <w:color w:val="auto"/>
        </w:rPr>
      </w:pPr>
      <w:r>
        <w:rPr>
          <w:rFonts w:ascii="Times New Roman" w:cs="Times New Roman" w:eastAsia="Times New Roman" w:hAnsi="Times New Roman"/>
          <w:sz w:val="17"/>
          <w:szCs w:val="17"/>
          <w:color w:val="auto"/>
        </w:rPr>
        <w:t>(ii)           If the Restricted Stock Units would otherwise become payable as a result of Section 4(b)(i)(x) but the Grantee is a “specified employee” at that time within the meaning of Section 409A of the Code (as determined pursuant to Company’s policy for identifying specified employees), then to the extent required to comply with Section 409A of the Code, payment of the Restricted Stock Units shall not be made as described Section 4(b)(i) and (x) in the case of a separation from service pursuant to Section 2(a)(ii) the Shares shall instead be delivered to the Grantee within sixty (60) days after the first business day that is more than six months after the date of his or her separation from service or, if the Grantee dies during such six-month period, within ninety (90) days after the Grantee’s death (such date the “409A Settlement Date”) and</w:t>
      </w:r>
    </w:p>
    <w:p>
      <w:pPr>
        <w:spacing w:after="0" w:line="5" w:lineRule="exact"/>
        <w:rPr>
          <w:sz w:val="20"/>
          <w:szCs w:val="20"/>
          <w:color w:val="auto"/>
        </w:rPr>
      </w:pPr>
    </w:p>
    <w:p>
      <w:pPr>
        <w:jc w:val="both"/>
        <w:ind w:left="660" w:hanging="4"/>
        <w:spacing w:after="0" w:line="253" w:lineRule="auto"/>
        <w:tabs>
          <w:tab w:leader="none" w:pos="9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separation from service pursuant to Section 2(a)(iii) payment of the Restricted Stock Units shall be made on the 409A Settlement Date in cash (in lieu of payment in Shares) with a value equal to the number of Shares that otherwise would have been paid multiplied by the Market Value per Share as of the date of such separation from service, together with interest from the date of such separation from service until the 409A Settlement Date at the applicable Federal short-term rate, compounded semi-annually, in effect under 1274(d) of the Code as of the date of such separation from service.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Satisfaction of the Company’s Obligations</w:t>
      </w:r>
      <w:r>
        <w:rPr>
          <w:rFonts w:ascii="Times New Roman" w:cs="Times New Roman" w:eastAsia="Times New Roman" w:hAnsi="Times New Roman"/>
          <w:sz w:val="18"/>
          <w:szCs w:val="18"/>
          <w:color w:val="auto"/>
        </w:rPr>
        <w:t>. The Company’s obligations with respect to the Restricted Stock Units shall be satisfied in full upon the delivery of the Shares underlying the vested Restricted Stock Units or the cash payment described in Section 4(b)(ii)(y).</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The Restricted Stock Units or the right to the cash payment described in Section 4(b)(ii)(y) may not be sold, exchanged, assigned, transferred, pledged, encumbered or otherwise disposed of by the Grantee, unless otherwise provided under the Plan. Any purported transfer or encumbrance in violation of the provisions of this Section 5 shall be void, and the other party to any such purported transaction shall not obtain any rights to or interest in such Restricted Stock Units or cash payment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color w:val="auto"/>
        </w:rPr>
        <w:t>No Dividend, Voting or Other Rights</w:t>
      </w:r>
      <w:r>
        <w:rPr>
          <w:rFonts w:ascii="Times New Roman" w:cs="Times New Roman" w:eastAsia="Times New Roman" w:hAnsi="Times New Roman"/>
          <w:sz w:val="18"/>
          <w:szCs w:val="18"/>
          <w:color w:val="auto"/>
        </w:rPr>
        <w:t>. The Grantee shall not possess any incidents of ownership (including, without limitation, dividend and voting rights) in the Common Shares underlying the Restricted Stock Units credited to his or her account until such Common Shares have been delivered to the Grantee in accordance with Section 4. The obligations of the Company under this Agreement will be merely that of an unfunded and unsecured promise of the Company to deliver Common Shares or cash as the case may be (and pay Dividend Equivalents as defined in Section 7) in the future, and the rights of the Grantee will be no greater than that of an unsecured general creditor. No assets of the Company or any Subsidiary will be held or set aside as security for the obligations of the Company under this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Upon payment of a vested Restricted Stock Unit, the Grantee shall be entitled to a cash payment equal to the aggregate cash dividends declared and paid or payable with respect to one (1) Common Share for each record date that occurs during the period beginning on the Date of Grant and ending on the date the vested Restricted Stock Unit is paid or, in the case of a separation from service pursuant to Section 2(a), the date of the separation from service (the “Dividend Equivalent”). The Dividend Equivalents shall be forfeited to the extent that the underlying Restricted Stock Unit is forfeited and shall be paid to the Grantee, if at all, at the same time that the related vested Restricted Stock Unit is paid to the Grantee in accordance with Section 4.</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color w:val="auto"/>
        </w:rPr>
        <w:t>Continuous Employment</w:t>
      </w:r>
      <w:r>
        <w:rPr>
          <w:rFonts w:ascii="Times New Roman" w:cs="Times New Roman" w:eastAsia="Times New Roman" w:hAnsi="Times New Roman"/>
          <w:sz w:val="18"/>
          <w:szCs w:val="18"/>
          <w:color w:val="auto"/>
        </w:rPr>
        <w:t>. For purposes of this Agreement, the continuous employment of the Grantee with the Company or any Subsidiary shall not be deemed to have been interrupted, and the Grantee shall not be deemed to have ceased to be an employee of the Company or any Subsidiary, by reason of the transfer of his or her employment among the Company and any Subsidiary, or a leave of absence approved by the Committee.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color w:val="auto"/>
        </w:rPr>
        <w:t>No Employment Contract; Disclaimer</w:t>
      </w:r>
      <w:r>
        <w:rPr>
          <w:rFonts w:ascii="Times New Roman" w:cs="Times New Roman" w:eastAsia="Times New Roman" w:hAnsi="Times New Roman"/>
          <w:sz w:val="18"/>
          <w:szCs w:val="18"/>
          <w:color w:val="auto"/>
        </w:rPr>
        <w:t>. Nothing contained in this Agreement shall confer upon the Grantee any right with respect to continuance of employment by the Company or any Subsidiary, nor limit or affect in any manner the right of the Company and any Subsidiary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its respective officers, directors, employees, agents or contractors.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b w:val="1"/>
          <w:bCs w:val="1"/>
          <w:color w:val="auto"/>
        </w:rPr>
        <w:t>Relation to Other Benefits</w:t>
      </w:r>
      <w:r>
        <w:rPr>
          <w:rFonts w:ascii="Times New Roman" w:cs="Times New Roman" w:eastAsia="Times New Roman" w:hAnsi="Times New Roman"/>
          <w:sz w:val="18"/>
          <w:szCs w:val="18"/>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Subsidiary and shall not affect the amount of any life insurance coverage available to any beneficiary under any life insurance plan covering employees of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Taxes and Withholding</w:t>
      </w:r>
      <w:r>
        <w:rPr>
          <w:rFonts w:ascii="Times New Roman" w:cs="Times New Roman" w:eastAsia="Times New Roman" w:hAnsi="Times New Roman"/>
          <w:sz w:val="18"/>
          <w:szCs w:val="18"/>
          <w:color w:val="auto"/>
        </w:rPr>
        <w:t>. The Grantee is responsible for any federal, state, local or other taxes with respect to the Restricted Stock Units (including the vesting of the Restricted Stock Units, the receipt of Common Shares or cash and the receipt of Dividend Equivalents). The Company does not guarantee any particular tax treatment or results in connection with the grant or vesting of the Restricted Stock Units, the delivery of Common Shares or cash or the payment of Dividend Equivalents. To the extent the Company or any Subsidiary of the Company is required to withhold any federal, state, local, foreign or other taxes in connection with the delivery of Common Shares or cash under this Agreement, the Grantee shall pay the tax or make provisions that are satisfactory to the Company or such Subsidiary for the payment thereof. The Grantee may elect (on a form provided by the Company) for the Company or any Subsidiary (as applicable) to retain a number of Common Shares otherwise deliverable hereunder (to the extent any cash otherwise payable is insufficient) with a value equal to the required withholding (based on the Market Value of the Common Shares on the date of delivery) in order to satisfy the withholding obligation; provided that in no event shall the value of the Common Shares together with any cash retained exceed the minimum amount of taxes required to be withheld or such other amount that will not result in a negative accounting impact. If the Company or any Subsidiary is required to withhold any federal, state, local or other taxes at any time other than upon delivery of Common Shares or cash under this Agreement, then the Company or the Subsidiary (as applicable) shall have the right in its sole discretion to (a) require the Grantee to pay or provide for payment of the required tax withholding, or (b) deduct the required tax withholding from any amount of salary, bonus, incentive compensation or other amounts otherwise payable in cash to the Grantee (other than deferred compensation subject to Section 409A of the Code). If the Company or any Subsidiary is required to withhold any federal, state, local or other taxes with respect to Dividend Equivalents, then the Company or Subsidiary (as applicable) shall have the right in its sole discretion to reduce the cash payment related to the Dividend Equivalent by the applicable tax withholding. The Restricted Stock Units and any Dividend Equivalents are intended to be exempt from Section 409A of the Code pursuant to the short-term deferral rule set forth in Treasury Regulation Section 1.409A-1(b)(4), and this Agreement shall be interpreted and administered in all respects in a manner consistent with the foregoing. Notwithstanding the foregoing, in no event whatsoever shall the Company or any of its affiliates be liable for any additional tax, interest or penalties that may be imposed on the Grantee as a result of Section 409A of the Code or any damages for failing to comply with Section 409A of the Code (other than for withholding obligations or other obligations applicable to employers, if any, under Section 409A of the Code).</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The Company shall make reasonable efforts to comply with all applicable federal and state securities laws and listing requirements of the NASDAQ or any national securities exchange with respect to the Restricted Stock Units; provided, however, notwithstanding any other provision of this Agreement, the Restricted Stock Units shall not be delivered if the delivery thereof would result in a violation of any such law or listing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Subject to the terms of the Plan, the Committee may modify this Agreement upon written notice to the Grantee. Any amendment to the Plan shall be deemed to be an amendment to this Agreement to the extent that the amendment is applicable hereto. Notwithstanding the foregoing, no amendment of the Plan or this Agreement shall adversely affect the rights of the Grantee under this Agreement regarding vested Restricted Share Units under the Plan and this Agreement without the Grantee’s consent.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Notwithstanding any provision contained herein to the contrary, this Agreement, the Restricted Stock Units and any Common Shares that the Grantee may receive pursuant to this Agreement, are subject to the Uniti Group Inc. Claw-Back Policy then in affect (the “Policy”), and the Claw-Back Policy Acknowledgement and Agreement that the Grantee signed in accordance with the Policy (the “Claw-Back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Relation to Plan</w:t>
      </w:r>
      <w:r>
        <w:rPr>
          <w:rFonts w:ascii="Times New Roman" w:cs="Times New Roman" w:eastAsia="Times New Roman" w:hAnsi="Times New Roman"/>
          <w:sz w:val="18"/>
          <w:szCs w:val="18"/>
          <w:color w:val="auto"/>
        </w:rPr>
        <w:t>. This Agreement is subject to the terms and conditions of the Plan. This Agreement, the Policy, the Claw-Back Agreement and the Plan 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Stock Units.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Without limiting Section 5, the provisions of this Agreement shall inure to the benefit of, and be binding upon, the successors, administrators, heirs, legal representatives and assigns of the Grantee, and the successors and assigns of the Company and its affiliates.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interpretation, performance, and enforcement of this Agreement shall be governed by the laws of the State of Maryland, without giving effect to the principles of conflict of laws thereof.</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xml:space="preserve"> The Grantee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or any Subsidiary to provide administrative services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on its behalf by its duly authorized officer and the Grantee has also executed this Agreement, as of the Date of Grant.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UNITI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Kenny A. Gunderman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By clicking the </w:t>
      </w:r>
      <w:r>
        <w:rPr>
          <w:rFonts w:ascii="Times New Roman" w:cs="Times New Roman" w:eastAsia="Times New Roman" w:hAnsi="Times New Roman"/>
          <w:sz w:val="18"/>
          <w:szCs w:val="18"/>
          <w:b w:val="1"/>
          <w:bCs w:val="1"/>
          <w:color w:val="auto"/>
        </w:rPr>
        <w:t>Approve</w:t>
      </w:r>
      <w:r>
        <w:rPr>
          <w:rFonts w:ascii="Times New Roman" w:cs="Times New Roman" w:eastAsia="Times New Roman" w:hAnsi="Times New Roman"/>
          <w:sz w:val="18"/>
          <w:szCs w:val="18"/>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as soon as you click the </w:t>
      </w:r>
      <w:r>
        <w:rPr>
          <w:rFonts w:ascii="Times New Roman" w:cs="Times New Roman" w:eastAsia="Times New Roman" w:hAnsi="Times New Roman"/>
          <w:sz w:val="18"/>
          <w:szCs w:val="18"/>
          <w:b w:val="1"/>
          <w:bCs w:val="1"/>
          <w:color w:val="auto"/>
        </w:rPr>
        <w:t>Approve</w:t>
      </w:r>
      <w:r>
        <w:rPr>
          <w:rFonts w:ascii="Times New Roman" w:cs="Times New Roman" w:eastAsia="Times New Roman" w:hAnsi="Times New Roman"/>
          <w:sz w:val="18"/>
          <w:szCs w:val="18"/>
          <w:color w:val="auto"/>
        </w:rPr>
        <w:t xml:space="preserve"> button.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00225"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225" cy="5657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Release Date: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Nominates Harold Zeitz for Election to its Board of Directors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Jennifer Banner Recognized for Her 10 Years of Dedicated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155575</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LITTLE ROCK, Ark. – Uniti Group Inc. (“Uniti” or the “Company”) (Nasdaq: UNIT) today announced that its Board of Directors (the “Board”) has nominated Harold Zeitz for election to the Board as an independent director at the 2025 annual meeting of stockholders (the “Annual Meeting”). The Board also nominated current directors, Francis X. “Skip” Frantz (Chairman of the Board), Scott Bruce, Carmen Perez-Carlton, and Kenny Gunderman (President and CEO of Uniti) for re-election to the Board. The Company also announced that Jennifer Banner will not stand for re-election, and her current term as a director will end at the Annual Meeting following a decade of service. The Board acknowledges with gratitude Ms. Banner’s service on the Board and her contributions to Uniti and its management team.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Zeitz currently serves as CEO of Ziply Fiber, the leading fiber internet provider in the Pacific Northwest. He will bring to the Board over 30 years of experience in leading companies that deliver superior experiences to customers in the broadband, telecom, wireless, financial services, gaming and web services industries.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delighted to announce the nomination of Harold to the Uniti Board at this exciting time for our company,” said Mr. Frantz, Chairman of the Board. “Harold is a highly respected leader with deep expertise in our industry. His strategic insights and experience will be invaluable as we continue to execute our strategy to create a national fiber powerhouse and drive long-term growth and value creation.”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delighted to have the opportunity to join Uniti’s Board,” said Zeitz. “Uniti is at an exciting point in its journey, and I am looking forward to working with the Board and the management team to help drive its strategic goals forward, fulfill its enormous potential, and create long-term value for Uniti’s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very grateful for Jenny’s impactful and lasting service to Uniti,” added Frantz. “We have benefited greatly from her thoughtful counsel and leadership over the past ten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HAROLD ZEITZ</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Harold Zeitz serves as Chief Executive Officer of Ziply Fiber. Prior to joining Ziply Fiber, Mr. Zeitz served as President and COO of Wave Broadband, a leading broadband data company in WA, OR and CA. He also served in executive and leadership roles at Classmates, IGT, RealNetworks, Sharebuilder, AT&amp;T Wireless and McCaw Cellular. Mr. Zeitz holds a BA in Economics from Northwestern University and an MBA from the Stanford Graduate School of Business. He is a Board Trustee at Horizon House and a Board Member of Race Communications.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ABOUT UNITI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Uniti, an internally managed real estate investment trust, is engaged in the acquisition and construction of mission critical communications infrastructure, and is a leading provider of fiber and other wireless solutions for the communications industry. As of December 31, 2024, Uniti owns approximately 145,000 fiber route miles, 8.8 million fiber strand miles, and other communications real estate throughout the United States. Additional information about Uniti can be found on its website at </w:t>
      </w:r>
      <w:r>
        <w:rPr>
          <w:rFonts w:ascii="Times New Roman" w:cs="Times New Roman" w:eastAsia="Times New Roman" w:hAnsi="Times New Roman"/>
          <w:sz w:val="18"/>
          <w:szCs w:val="18"/>
          <w:u w:val="single" w:color="auto"/>
          <w:color w:val="auto"/>
        </w:rPr>
        <w:t>www.uniti.com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file a proxy statement and proxy card (the “2025 Proxy Statement”) with the SEC in connection with the solicitation of proxies for the Annual Meeting. This communication is not intended to be, and is not, a substitute for the 2025 Proxy Statement or any other document that the Company may file with the SEC in connection with the Annual Meeting. The 2025 Proxy Statement will contain important information about the Company, the Annual Meeting, and related matters.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BEFORE MAKING ANY VOTING DECISION, INVESTORS AND STOCKHOLDERS OF THE COMPANY ARE URGED TO READ ALL RELEVANT DOCUMENTS FILED WITH OR FURNISHED TO THE SEC, INCLUDING THE 2025 PROXY STATEMENT AND ANY AMENDMENTS AND SUPPLEMENTS THERETO BECAUSE THEY WILL CONTAIN IMPORTANT INFORMATION. These documents, including the definitive 2025 Proxy Statement (and any amendments or supplements thereto) and other documents filed by the Company with the SEC, are available for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at the Company’s investor relations website at </w:t>
      </w:r>
      <w:r>
        <w:rPr>
          <w:rFonts w:ascii="Times New Roman" w:cs="Times New Roman" w:eastAsia="Times New Roman" w:hAnsi="Times New Roman"/>
          <w:sz w:val="18"/>
          <w:szCs w:val="18"/>
          <w:u w:val="single" w:color="auto"/>
          <w:color w:val="auto"/>
        </w:rPr>
        <w:t>https://investor.uniti.com/financial-information/sec-filings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will be participants in the solicitation of proxies from stockholders in respect of the Annual Meeting. Information regarding the names of the Company’s directors and executive officers and their respective interests in the Company by security holdings or otherwise is set forth in the Company’s proxy statement for the 2024 Annual Meeting of stockholders, filed with the SEC on April 11, 2024 (the “2024 Proxy Statement”) and will be set forth in the 2025 Proxy Statement and accompanying solicitation materials. To the extent holdings of such participants in the Company’s securities have changed since the amounts described in the 2024 Proxy Statement, such changes have been reflected on Statements of Change in Ownership on Form 4 filed with the SEC (these documents may be obtained as indicated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Bullington, 251-662-1512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paul.bullington@uniti.com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DiTullio, 501-850-0872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 &amp;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bill.ditullio@uniti.com</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0"/>
    </w:lvl>
  </w:abstractNum>
  <w:abstractNum w:abstractNumId="4">
    <w:nsid w:val="46E87CCD"/>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2025-04-17T08:33:09Z</dcterms:created>
  <dcterms:modified xsi:type="dcterms:W3CDTF">2025-04-17T08:33:09Z</dcterms:modified>
</cp:coreProperties>
</file>