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FRILOUX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2101 RIVERFRONT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Uniti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SEVP &amp; Chief Tech.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8"/>
        <w:gridCol w:w="900"/>
        <w:gridCol w:w="771"/>
        <w:gridCol w:w="598"/>
        <w:gridCol w:w="345"/>
        <w:gridCol w:w="965"/>
        <w:gridCol w:w="446"/>
        <w:gridCol w:w="662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356,747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satisfy the reporting person's tax obligations that arose when time-based restricted stock belonging to the reporting person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FRILOUX BY: DANIEL L. HEARD,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3995" TargetMode="External"/><Relationship Id="rId5" Type="http://schemas.openxmlformats.org/officeDocument/2006/relationships/hyperlink" Target="http://www.sec.gov/cgi-bin/browse-edgar?action=getcompany&amp;CIK=0002020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3240</Characters>
  <CharactersWithSpaces>3766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