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54"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43180</wp:posOffset>
            </wp:positionV>
            <wp:extent cx="16871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7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52705</wp:posOffset>
            </wp:positionV>
            <wp:extent cx="16871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80"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26"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 the fiscal year ended December 31, 2018</w:t>
      </w:r>
    </w:p>
    <w:p>
      <w:pPr>
        <w:spacing w:after="0" w:line="16"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OR</w:t>
      </w:r>
    </w:p>
    <w:p>
      <w:pPr>
        <w:spacing w:after="0" w:line="13" w:lineRule="exact"/>
        <w:rPr>
          <w:sz w:val="24"/>
          <w:szCs w:val="24"/>
          <w:color w:val="auto"/>
        </w:rPr>
      </w:pPr>
    </w:p>
    <w:p>
      <w:pPr>
        <w:ind w:left="588" w:hanging="588"/>
        <w:spacing w:after="0"/>
        <w:tabs>
          <w:tab w:leader="none" w:pos="588"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 xml:space="preserve">TRANSITION REPORT PURSUANT TO SECTION 13 OR 15(d) OF THE SECURITIES EXCHANGE ACT OF 1934 </w:t>
      </w:r>
      <w:r>
        <w:rPr>
          <w:rFonts w:ascii="Arial" w:cs="Arial" w:eastAsia="Arial" w:hAnsi="Arial"/>
          <w:sz w:val="10"/>
          <w:szCs w:val="10"/>
          <w:b w:val="1"/>
          <w:bCs w:val="1"/>
          <w:color w:val="auto"/>
        </w:rPr>
        <w:t>For the transition period from _____ to _____</w:t>
      </w:r>
    </w:p>
    <w:p>
      <w:pPr>
        <w:spacing w:after="0" w:line="35" w:lineRule="exact"/>
        <w:rPr>
          <w:rFonts w:ascii="MS PGothic" w:cs="MS PGothic" w:eastAsia="MS PGothic" w:hAnsi="MS PGothic"/>
          <w:sz w:val="12"/>
          <w:szCs w:val="12"/>
          <w:color w:val="auto"/>
        </w:rPr>
      </w:pPr>
    </w:p>
    <w:p>
      <w:pPr>
        <w:ind w:left="4948"/>
        <w:spacing w:after="0"/>
        <w:rPr>
          <w:rFonts w:ascii="MS PGothic" w:cs="MS PGothic" w:eastAsia="MS PGothic" w:hAnsi="MS PGothic"/>
          <w:sz w:val="12"/>
          <w:szCs w:val="12"/>
          <w:color w:val="auto"/>
        </w:rPr>
      </w:pPr>
      <w:r>
        <w:rPr>
          <w:rFonts w:ascii="Arial" w:cs="Arial" w:eastAsia="Arial" w:hAnsi="Arial"/>
          <w:sz w:val="10"/>
          <w:szCs w:val="10"/>
          <w:b w:val="1"/>
          <w:bCs w:val="1"/>
          <w:color w:val="auto"/>
        </w:rPr>
        <w:t>Commission File Number 001-36708</w:t>
      </w:r>
    </w:p>
    <w:p>
      <w:pPr>
        <w:spacing w:after="0" w:line="47" w:lineRule="exact"/>
        <w:rPr>
          <w:sz w:val="24"/>
          <w:szCs w:val="24"/>
          <w:color w:val="auto"/>
        </w:rPr>
      </w:pPr>
    </w:p>
    <w:tbl>
      <w:tblPr>
        <w:tblLayout w:type="fixed"/>
        <w:tblInd w:w="8" w:type="dxa"/>
        <w:tblCellMar>
          <w:top w:w="0" w:type="dxa"/>
          <w:left w:w="0" w:type="dxa"/>
          <w:bottom w:w="0" w:type="dxa"/>
          <w:right w:w="0" w:type="dxa"/>
        </w:tblCellMar>
      </w:tblPr>
      <w:tr>
        <w:trPr>
          <w:trHeight w:val="259"/>
        </w:trPr>
        <w:tc>
          <w:tcPr>
            <w:tcW w:w="2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gridSpan w:val="3"/>
          </w:tcPr>
          <w:p>
            <w:pPr>
              <w:jc w:val="center"/>
              <w:ind w:right="450"/>
              <w:spacing w:after="0"/>
              <w:rPr>
                <w:sz w:val="20"/>
                <w:szCs w:val="20"/>
                <w:color w:val="auto"/>
              </w:rPr>
            </w:pPr>
            <w:r>
              <w:rPr>
                <w:rFonts w:ascii="Arial" w:cs="Arial" w:eastAsia="Arial" w:hAnsi="Arial"/>
                <w:sz w:val="22"/>
                <w:szCs w:val="22"/>
                <w:b w:val="1"/>
                <w:bCs w:val="1"/>
                <w:color w:val="auto"/>
                <w:w w:val="93"/>
              </w:rPr>
              <w:t>Uniti Group Inc.</w:t>
            </w:r>
          </w:p>
        </w:tc>
        <w:tc>
          <w:tcPr>
            <w:tcW w:w="22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80" w:type="dxa"/>
            <w:vAlign w:val="bottom"/>
            <w:gridSpan w:val="7"/>
          </w:tcPr>
          <w:p>
            <w:pPr>
              <w:jc w:val="center"/>
              <w:ind w:right="2149"/>
              <w:spacing w:after="0"/>
              <w:rPr>
                <w:sz w:val="20"/>
                <w:szCs w:val="20"/>
                <w:color w:val="auto"/>
              </w:rPr>
            </w:pPr>
            <w:r>
              <w:rPr>
                <w:rFonts w:ascii="Arial" w:cs="Arial" w:eastAsia="Arial" w:hAnsi="Arial"/>
                <w:sz w:val="10"/>
                <w:szCs w:val="10"/>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51"/>
        </w:trPr>
        <w:tc>
          <w:tcPr>
            <w:tcW w:w="2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440" w:type="dxa"/>
            <w:vAlign w:val="bottom"/>
          </w:tcPr>
          <w:p>
            <w:pPr>
              <w:spacing w:after="0"/>
              <w:rPr>
                <w:sz w:val="9"/>
                <w:szCs w:val="9"/>
                <w:color w:val="auto"/>
              </w:rPr>
            </w:pPr>
          </w:p>
        </w:tc>
        <w:tc>
          <w:tcPr>
            <w:tcW w:w="2460" w:type="dxa"/>
            <w:vAlign w:val="bottom"/>
            <w:gridSpan w:val="3"/>
          </w:tcPr>
          <w:p>
            <w:pPr>
              <w:jc w:val="center"/>
              <w:ind w:right="1569"/>
              <w:spacing w:after="0" w:line="110" w:lineRule="exact"/>
              <w:rPr>
                <w:sz w:val="20"/>
                <w:szCs w:val="20"/>
                <w:color w:val="auto"/>
              </w:rPr>
            </w:pPr>
            <w:r>
              <w:rPr>
                <w:rFonts w:ascii="Arial" w:cs="Arial" w:eastAsia="Arial" w:hAnsi="Arial"/>
                <w:sz w:val="10"/>
                <w:szCs w:val="10"/>
                <w:b w:val="1"/>
                <w:bCs w:val="1"/>
                <w:color w:val="auto"/>
              </w:rPr>
              <w:t>Maryland</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40" w:type="dxa"/>
            <w:vAlign w:val="bottom"/>
            <w:gridSpan w:val="3"/>
          </w:tcPr>
          <w:p>
            <w:pPr>
              <w:jc w:val="right"/>
              <w:ind w:right="12"/>
              <w:spacing w:after="0" w:line="110" w:lineRule="exact"/>
              <w:rPr>
                <w:sz w:val="20"/>
                <w:szCs w:val="20"/>
                <w:color w:val="auto"/>
              </w:rPr>
            </w:pPr>
            <w:r>
              <w:rPr>
                <w:rFonts w:ascii="Arial" w:cs="Arial" w:eastAsia="Arial" w:hAnsi="Arial"/>
                <w:sz w:val="10"/>
                <w:szCs w:val="10"/>
                <w:b w:val="1"/>
                <w:bCs w:val="1"/>
                <w:color w:val="auto"/>
              </w:rPr>
              <w:t>46-5230630</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900" w:type="dxa"/>
            <w:vAlign w:val="bottom"/>
            <w:gridSpan w:val="4"/>
          </w:tcPr>
          <w:p>
            <w:pPr>
              <w:jc w:val="center"/>
              <w:ind w:left="790"/>
              <w:spacing w:after="0" w:line="99" w:lineRule="exact"/>
              <w:rPr>
                <w:sz w:val="20"/>
                <w:szCs w:val="20"/>
                <w:color w:val="auto"/>
              </w:rPr>
            </w:pPr>
            <w:r>
              <w:rPr>
                <w:rFonts w:ascii="Arial" w:cs="Arial" w:eastAsia="Arial" w:hAnsi="Arial"/>
                <w:sz w:val="10"/>
                <w:szCs w:val="10"/>
                <w:b w:val="1"/>
                <w:bCs w:val="1"/>
                <w:color w:val="auto"/>
                <w:w w:val="87"/>
              </w:rPr>
              <w:t>( State or other jurisdiction of</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gridSpan w:val="2"/>
          </w:tcPr>
          <w:p>
            <w:pPr>
              <w:jc w:val="center"/>
              <w:ind w:right="169"/>
              <w:spacing w:after="0" w:line="99"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03"/>
        </w:trPr>
        <w:tc>
          <w:tcPr>
            <w:tcW w:w="4900" w:type="dxa"/>
            <w:vAlign w:val="bottom"/>
            <w:gridSpan w:val="4"/>
          </w:tcPr>
          <w:p>
            <w:pPr>
              <w:jc w:val="center"/>
              <w:ind w:left="790"/>
              <w:spacing w:after="0" w:line="103" w:lineRule="exact"/>
              <w:rPr>
                <w:sz w:val="20"/>
                <w:szCs w:val="20"/>
                <w:color w:val="auto"/>
              </w:rPr>
            </w:pPr>
            <w:r>
              <w:rPr>
                <w:rFonts w:ascii="Arial" w:cs="Arial" w:eastAsia="Arial" w:hAnsi="Arial"/>
                <w:sz w:val="10"/>
                <w:szCs w:val="10"/>
                <w:b w:val="1"/>
                <w:bCs w:val="1"/>
                <w:color w:val="auto"/>
                <w:w w:val="88"/>
              </w:rPr>
              <w:t>incorporation or organization)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gridSpan w:val="2"/>
          </w:tcPr>
          <w:p>
            <w:pPr>
              <w:jc w:val="center"/>
              <w:ind w:right="169"/>
              <w:spacing w:after="0" w:line="103" w:lineRule="exact"/>
              <w:rPr>
                <w:sz w:val="20"/>
                <w:szCs w:val="20"/>
                <w:color w:val="auto"/>
              </w:rPr>
            </w:pPr>
            <w:r>
              <w:rPr>
                <w:rFonts w:ascii="Arial" w:cs="Arial" w:eastAsia="Arial" w:hAnsi="Arial"/>
                <w:sz w:val="10"/>
                <w:szCs w:val="10"/>
                <w:b w:val="1"/>
                <w:bCs w:val="1"/>
                <w:color w:val="auto"/>
                <w:w w:val="87"/>
              </w:rPr>
              <w:t>Identification No.)</w:t>
            </w:r>
          </w:p>
        </w:tc>
        <w:tc>
          <w:tcPr>
            <w:tcW w:w="0" w:type="dxa"/>
            <w:vAlign w:val="bottom"/>
          </w:tcPr>
          <w:p>
            <w:pPr>
              <w:spacing w:after="0"/>
              <w:rPr>
                <w:sz w:val="1"/>
                <w:szCs w:val="1"/>
                <w:color w:val="auto"/>
              </w:rPr>
            </w:pPr>
          </w:p>
        </w:tc>
      </w:tr>
      <w:tr>
        <w:trPr>
          <w:trHeight w:val="108"/>
        </w:trPr>
        <w:tc>
          <w:tcPr>
            <w:tcW w:w="4900" w:type="dxa"/>
            <w:vAlign w:val="bottom"/>
            <w:gridSpan w:val="4"/>
          </w:tcPr>
          <w:p>
            <w:pPr>
              <w:jc w:val="center"/>
              <w:ind w:left="790"/>
              <w:spacing w:after="0" w:line="108" w:lineRule="exact"/>
              <w:rPr>
                <w:sz w:val="20"/>
                <w:szCs w:val="20"/>
                <w:color w:val="auto"/>
              </w:rPr>
            </w:pPr>
            <w:r>
              <w:rPr>
                <w:rFonts w:ascii="Arial" w:cs="Arial" w:eastAsia="Arial" w:hAnsi="Arial"/>
                <w:sz w:val="10"/>
                <w:szCs w:val="10"/>
                <w:b w:val="1"/>
                <w:bCs w:val="1"/>
                <w:color w:val="auto"/>
                <w:w w:val="93"/>
              </w:rPr>
              <w:t>10802 Executive Center Drive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00" w:type="dxa"/>
            <w:vAlign w:val="bottom"/>
            <w:gridSpan w:val="4"/>
          </w:tcPr>
          <w:p>
            <w:pPr>
              <w:jc w:val="center"/>
              <w:ind w:left="790"/>
              <w:spacing w:after="0" w:line="108" w:lineRule="exact"/>
              <w:rPr>
                <w:sz w:val="20"/>
                <w:szCs w:val="20"/>
                <w:color w:val="auto"/>
              </w:rPr>
            </w:pPr>
            <w:r>
              <w:rPr>
                <w:rFonts w:ascii="Arial" w:cs="Arial" w:eastAsia="Arial" w:hAnsi="Arial"/>
                <w:sz w:val="10"/>
                <w:szCs w:val="10"/>
                <w:b w:val="1"/>
                <w:bCs w:val="1"/>
                <w:color w:val="auto"/>
                <w:w w:val="91"/>
              </w:rPr>
              <w:t>Benton Building Suite 300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900" w:type="dxa"/>
            <w:vAlign w:val="bottom"/>
            <w:gridSpan w:val="4"/>
          </w:tcPr>
          <w:p>
            <w:pPr>
              <w:jc w:val="center"/>
              <w:ind w:left="770"/>
              <w:spacing w:after="0" w:line="104" w:lineRule="exact"/>
              <w:rPr>
                <w:sz w:val="20"/>
                <w:szCs w:val="20"/>
                <w:color w:val="auto"/>
              </w:rPr>
            </w:pPr>
            <w:r>
              <w:rPr>
                <w:rFonts w:ascii="Arial" w:cs="Arial" w:eastAsia="Arial" w:hAnsi="Arial"/>
                <w:sz w:val="10"/>
                <w:szCs w:val="10"/>
                <w:b w:val="1"/>
                <w:bCs w:val="1"/>
                <w:color w:val="auto"/>
                <w:w w:val="94"/>
              </w:rPr>
              <w:t>Little Rock, Arkansas</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40" w:type="dxa"/>
            <w:vAlign w:val="bottom"/>
            <w:gridSpan w:val="3"/>
          </w:tcPr>
          <w:p>
            <w:pPr>
              <w:jc w:val="right"/>
              <w:ind w:right="132"/>
              <w:spacing w:after="0" w:line="104" w:lineRule="exact"/>
              <w:rPr>
                <w:sz w:val="20"/>
                <w:szCs w:val="20"/>
                <w:color w:val="auto"/>
              </w:rPr>
            </w:pPr>
            <w:r>
              <w:rPr>
                <w:rFonts w:ascii="Arial" w:cs="Arial" w:eastAsia="Arial" w:hAnsi="Arial"/>
                <w:sz w:val="10"/>
                <w:szCs w:val="10"/>
                <w:b w:val="1"/>
                <w:bCs w:val="1"/>
                <w:color w:val="auto"/>
              </w:rPr>
              <w:t>72211</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4900" w:type="dxa"/>
            <w:vAlign w:val="bottom"/>
            <w:gridSpan w:val="4"/>
          </w:tcPr>
          <w:p>
            <w:pPr>
              <w:jc w:val="center"/>
              <w:ind w:left="790"/>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gridSpan w:val="2"/>
          </w:tcPr>
          <w:p>
            <w:pPr>
              <w:jc w:val="center"/>
              <w:ind w:right="189"/>
              <w:spacing w:after="0"/>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r>
        <w:trPr>
          <w:trHeight w:val="137"/>
        </w:trPr>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140" w:type="dxa"/>
            <w:vAlign w:val="bottom"/>
            <w:gridSpan w:val="8"/>
          </w:tcPr>
          <w:p>
            <w:pPr>
              <w:jc w:val="center"/>
              <w:ind w:right="909"/>
              <w:spacing w:after="0"/>
              <w:rPr>
                <w:sz w:val="20"/>
                <w:szCs w:val="20"/>
                <w:color w:val="auto"/>
              </w:rPr>
            </w:pPr>
            <w:r>
              <w:rPr>
                <w:rFonts w:ascii="Arial" w:cs="Arial" w:eastAsia="Arial" w:hAnsi="Arial"/>
                <w:sz w:val="10"/>
                <w:szCs w:val="10"/>
                <w:b w:val="1"/>
                <w:bCs w:val="1"/>
                <w:color w:val="auto"/>
                <w:w w:val="91"/>
              </w:rPr>
              <w:t>Registrant’s telephone number, including area code: (501) 850-0820</w:t>
            </w:r>
          </w:p>
        </w:tc>
        <w:tc>
          <w:tcPr>
            <w:tcW w:w="0" w:type="dxa"/>
            <w:vAlign w:val="bottom"/>
          </w:tcPr>
          <w:p>
            <w:pPr>
              <w:spacing w:after="0"/>
              <w:rPr>
                <w:sz w:val="1"/>
                <w:szCs w:val="1"/>
                <w:color w:val="auto"/>
              </w:rPr>
            </w:pPr>
          </w:p>
        </w:tc>
      </w:tr>
      <w:tr>
        <w:trPr>
          <w:trHeight w:val="42"/>
        </w:trPr>
        <w:tc>
          <w:tcPr>
            <w:tcW w:w="2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900" w:type="dxa"/>
            <w:vAlign w:val="bottom"/>
            <w:gridSpan w:val="4"/>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20" w:type="dxa"/>
            <w:vAlign w:val="bottom"/>
            <w:gridSpan w:val="3"/>
          </w:tcPr>
          <w:p>
            <w:pPr>
              <w:jc w:val="center"/>
              <w:ind w:left="690"/>
              <w:spacing w:after="0" w:line="102" w:lineRule="exact"/>
              <w:rPr>
                <w:sz w:val="20"/>
                <w:szCs w:val="20"/>
                <w:color w:val="auto"/>
              </w:rPr>
            </w:pPr>
            <w:r>
              <w:rPr>
                <w:rFonts w:ascii="Arial" w:cs="Arial" w:eastAsia="Arial" w:hAnsi="Arial"/>
                <w:sz w:val="10"/>
                <w:szCs w:val="10"/>
                <w:color w:val="auto"/>
                <w:w w:val="84"/>
              </w:rPr>
              <w:t>Name of each exchange</w:t>
            </w:r>
          </w:p>
        </w:tc>
        <w:tc>
          <w:tcPr>
            <w:tcW w:w="0" w:type="dxa"/>
            <w:vAlign w:val="bottom"/>
          </w:tcPr>
          <w:p>
            <w:pPr>
              <w:spacing w:after="0"/>
              <w:rPr>
                <w:sz w:val="1"/>
                <w:szCs w:val="1"/>
                <w:color w:val="auto"/>
              </w:rPr>
            </w:pPr>
          </w:p>
        </w:tc>
      </w:tr>
      <w:tr>
        <w:trPr>
          <w:trHeight w:val="103"/>
        </w:trPr>
        <w:tc>
          <w:tcPr>
            <w:tcW w:w="2440" w:type="dxa"/>
            <w:vAlign w:val="bottom"/>
          </w:tcPr>
          <w:p>
            <w:pPr>
              <w:spacing w:after="0"/>
              <w:rPr>
                <w:sz w:val="8"/>
                <w:szCs w:val="8"/>
                <w:color w:val="auto"/>
              </w:rPr>
            </w:pPr>
          </w:p>
        </w:tc>
        <w:tc>
          <w:tcPr>
            <w:tcW w:w="70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color w:val="auto"/>
                <w:w w:val="87"/>
              </w:rPr>
              <w:t>Title of each class</w:t>
            </w:r>
          </w:p>
        </w:tc>
        <w:tc>
          <w:tcPr>
            <w:tcW w:w="17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color w:val="auto"/>
                <w:w w:val="87"/>
              </w:rPr>
              <w:t>on which registered</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40" w:type="dxa"/>
            <w:vAlign w:val="bottom"/>
          </w:tcPr>
          <w:p>
            <w:pPr>
              <w:ind w:left="2080"/>
              <w:spacing w:after="0" w:line="109" w:lineRule="exact"/>
              <w:rPr>
                <w:sz w:val="20"/>
                <w:szCs w:val="20"/>
                <w:color w:val="auto"/>
              </w:rPr>
            </w:pPr>
            <w:r>
              <w:rPr>
                <w:rFonts w:ascii="Arial" w:cs="Arial" w:eastAsia="Arial" w:hAnsi="Arial"/>
                <w:sz w:val="10"/>
                <w:szCs w:val="10"/>
                <w:color w:val="auto"/>
                <w:w w:val="83"/>
              </w:rPr>
              <w:t>Common</w:t>
            </w:r>
          </w:p>
        </w:tc>
        <w:tc>
          <w:tcPr>
            <w:tcW w:w="700" w:type="dxa"/>
            <w:vAlign w:val="bottom"/>
          </w:tcPr>
          <w:p>
            <w:pPr>
              <w:jc w:val="center"/>
              <w:spacing w:after="0" w:line="114" w:lineRule="exact"/>
              <w:rPr>
                <w:sz w:val="20"/>
                <w:szCs w:val="20"/>
                <w:color w:val="auto"/>
              </w:rPr>
            </w:pPr>
            <w:r>
              <w:rPr>
                <w:rFonts w:ascii="Arial" w:cs="Arial" w:eastAsia="Arial" w:hAnsi="Arial"/>
                <w:sz w:val="10"/>
                <w:szCs w:val="10"/>
                <w:color w:val="auto"/>
                <w:w w:val="92"/>
              </w:rPr>
              <w:t>Stock, $0.0001</w:t>
            </w:r>
          </w:p>
        </w:tc>
        <w:tc>
          <w:tcPr>
            <w:tcW w:w="1760" w:type="dxa"/>
            <w:vAlign w:val="bottom"/>
            <w:gridSpan w:val="2"/>
          </w:tcPr>
          <w:p>
            <w:pPr>
              <w:spacing w:after="0" w:line="109" w:lineRule="exact"/>
              <w:rPr>
                <w:sz w:val="20"/>
                <w:szCs w:val="20"/>
                <w:color w:val="auto"/>
              </w:rPr>
            </w:pPr>
            <w:r>
              <w:rPr>
                <w:rFonts w:ascii="Arial" w:cs="Arial" w:eastAsia="Arial" w:hAnsi="Arial"/>
                <w:sz w:val="10"/>
                <w:szCs w:val="10"/>
                <w:color w:val="auto"/>
              </w:rPr>
              <w:t>Par Value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gridSpan w:val="2"/>
          </w:tcPr>
          <w:p>
            <w:pPr>
              <w:ind w:left="720"/>
              <w:spacing w:after="0" w:line="114" w:lineRule="exact"/>
              <w:rPr>
                <w:sz w:val="20"/>
                <w:szCs w:val="20"/>
                <w:color w:val="auto"/>
              </w:rPr>
            </w:pPr>
            <w:r>
              <w:rPr>
                <w:rFonts w:ascii="Arial" w:cs="Arial" w:eastAsia="Arial" w:hAnsi="Arial"/>
                <w:sz w:val="10"/>
                <w:szCs w:val="10"/>
                <w:color w:val="auto"/>
                <w:w w:val="89"/>
              </w:rPr>
              <w:t>The NASDAQ Global Select</w:t>
            </w:r>
          </w:p>
        </w:tc>
        <w:tc>
          <w:tcPr>
            <w:tcW w:w="360" w:type="dxa"/>
            <w:vAlign w:val="bottom"/>
          </w:tcPr>
          <w:p>
            <w:pPr>
              <w:ind w:left="80"/>
              <w:spacing w:after="0" w:line="109" w:lineRule="exact"/>
              <w:rPr>
                <w:sz w:val="20"/>
                <w:szCs w:val="20"/>
                <w:color w:val="auto"/>
              </w:rPr>
            </w:pPr>
            <w:r>
              <w:rPr>
                <w:rFonts w:ascii="Arial" w:cs="Arial" w:eastAsia="Arial" w:hAnsi="Arial"/>
                <w:sz w:val="10"/>
                <w:szCs w:val="10"/>
                <w:color w:val="auto"/>
                <w:w w:val="84"/>
              </w:rPr>
              <w:t>Market</w:t>
            </w:r>
          </w:p>
        </w:tc>
        <w:tc>
          <w:tcPr>
            <w:tcW w:w="0" w:type="dxa"/>
            <w:vAlign w:val="bottom"/>
          </w:tcPr>
          <w:p>
            <w:pPr>
              <w:spacing w:after="0"/>
              <w:rPr>
                <w:sz w:val="1"/>
                <w:szCs w:val="1"/>
                <w:color w:val="auto"/>
              </w:rPr>
            </w:pPr>
          </w:p>
        </w:tc>
      </w:tr>
      <w:tr>
        <w:trPr>
          <w:trHeight w:val="128"/>
        </w:trPr>
        <w:tc>
          <w:tcPr>
            <w:tcW w:w="4900" w:type="dxa"/>
            <w:vAlign w:val="bottom"/>
            <w:gridSpan w:val="4"/>
          </w:tcPr>
          <w:p>
            <w:pPr>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tc>
        <w:tc>
          <w:tcPr>
            <w:tcW w:w="200" w:type="dxa"/>
            <w:vAlign w:val="bottom"/>
          </w:tcPr>
          <w:p>
            <w:pPr>
              <w:spacing w:after="0"/>
              <w:rPr>
                <w:sz w:val="11"/>
                <w:szCs w:val="11"/>
                <w:color w:val="auto"/>
              </w:rPr>
            </w:pPr>
          </w:p>
        </w:tc>
        <w:tc>
          <w:tcPr>
            <w:tcW w:w="180" w:type="dxa"/>
            <w:vAlign w:val="bottom"/>
            <w:vMerge w:val="restart"/>
          </w:tcPr>
          <w:p>
            <w:pPr>
              <w:ind w:left="60"/>
              <w:spacing w:after="0" w:line="101" w:lineRule="exact"/>
              <w:rPr>
                <w:sz w:val="20"/>
                <w:szCs w:val="20"/>
                <w:color w:val="auto"/>
              </w:rPr>
            </w:pPr>
            <w:r>
              <w:rPr>
                <w:rFonts w:ascii="MS PGothic" w:cs="MS PGothic" w:eastAsia="MS PGothic" w:hAnsi="MS PGothic"/>
                <w:sz w:val="10"/>
                <w:szCs w:val="10"/>
                <w:color w:val="auto"/>
                <w:w w:val="99"/>
              </w:rPr>
              <w:t>☒</w:t>
            </w:r>
          </w:p>
        </w:tc>
        <w:tc>
          <w:tcPr>
            <w:tcW w:w="4000" w:type="dxa"/>
            <w:vAlign w:val="bottom"/>
            <w:gridSpan w:val="4"/>
            <w:vMerge w:val="restart"/>
          </w:tcPr>
          <w:p>
            <w:pPr>
              <w:ind w:left="8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9"/>
                <w:szCs w:val="9"/>
                <w:color w:val="auto"/>
              </w:rPr>
              <w:t>☐</w:t>
            </w:r>
          </w:p>
        </w:tc>
        <w:tc>
          <w:tcPr>
            <w:tcW w:w="0" w:type="dxa"/>
            <w:vAlign w:val="bottom"/>
          </w:tcPr>
          <w:p>
            <w:pPr>
              <w:spacing w:after="0"/>
              <w:rPr>
                <w:sz w:val="1"/>
                <w:szCs w:val="1"/>
                <w:color w:val="auto"/>
              </w:rPr>
            </w:pPr>
          </w:p>
        </w:tc>
      </w:tr>
      <w:tr>
        <w:trPr>
          <w:trHeight w:val="132"/>
        </w:trPr>
        <w:tc>
          <w:tcPr>
            <w:tcW w:w="4900" w:type="dxa"/>
            <w:vAlign w:val="bottom"/>
            <w:gridSpan w:val="4"/>
          </w:tcPr>
          <w:p>
            <w:pPr>
              <w:spacing w:after="0"/>
              <w:rPr>
                <w:sz w:val="20"/>
                <w:szCs w:val="20"/>
                <w:color w:val="auto"/>
              </w:rPr>
            </w:pPr>
            <w:r>
              <w:rPr>
                <w:rFonts w:ascii="Arial" w:cs="Arial" w:eastAsia="Arial" w:hAnsi="Arial"/>
                <w:sz w:val="10"/>
                <w:szCs w:val="10"/>
                <w:color w:val="auto"/>
                <w:w w:val="93"/>
              </w:rPr>
              <w:t>Indicate by check mark if the Registrant is a well-known seasoned issuer, as defined in Rule 405 of the Securities Act.</w:t>
            </w:r>
          </w:p>
        </w:tc>
        <w:tc>
          <w:tcPr>
            <w:tcW w:w="200" w:type="dxa"/>
            <w:vAlign w:val="bottom"/>
          </w:tcPr>
          <w:p>
            <w:pPr>
              <w:ind w:left="20"/>
              <w:spacing w:after="0"/>
              <w:rPr>
                <w:sz w:val="20"/>
                <w:szCs w:val="20"/>
                <w:color w:val="auto"/>
              </w:rPr>
            </w:pPr>
            <w:r>
              <w:rPr>
                <w:rFonts w:ascii="Arial" w:cs="Arial" w:eastAsia="Arial" w:hAnsi="Arial"/>
                <w:sz w:val="10"/>
                <w:szCs w:val="10"/>
                <w:color w:val="auto"/>
                <w:w w:val="79"/>
              </w:rPr>
              <w:t>YES</w:t>
            </w:r>
          </w:p>
        </w:tc>
        <w:tc>
          <w:tcPr>
            <w:tcW w:w="180" w:type="dxa"/>
            <w:vAlign w:val="bottom"/>
            <w:vMerge w:val="continue"/>
          </w:tcPr>
          <w:p>
            <w:pPr>
              <w:spacing w:after="0"/>
              <w:rPr>
                <w:sz w:val="11"/>
                <w:szCs w:val="11"/>
                <w:color w:val="auto"/>
              </w:rPr>
            </w:pPr>
          </w:p>
        </w:tc>
        <w:tc>
          <w:tcPr>
            <w:tcW w:w="40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gridSpan w:val="4"/>
          </w:tcPr>
          <w:p>
            <w:pPr>
              <w:spacing w:after="0"/>
              <w:rPr>
                <w:sz w:val="20"/>
                <w:szCs w:val="20"/>
                <w:color w:val="auto"/>
              </w:rPr>
            </w:pPr>
            <w:r>
              <w:rPr>
                <w:rFonts w:ascii="Arial" w:cs="Arial" w:eastAsia="Arial" w:hAnsi="Arial"/>
                <w:sz w:val="10"/>
                <w:szCs w:val="10"/>
                <w:color w:val="auto"/>
                <w:w w:val="94"/>
              </w:rPr>
              <w:t>Indicate by check mark if the Registrant is not required to file reports pursuant to Section 13 or 15(d) of the Act.  YES</w:t>
            </w:r>
          </w:p>
        </w:tc>
        <w:tc>
          <w:tcPr>
            <w:tcW w:w="200" w:type="dxa"/>
            <w:vAlign w:val="bottom"/>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180" w:type="dxa"/>
            <w:vAlign w:val="bottom"/>
          </w:tcPr>
          <w:p>
            <w:pPr>
              <w:ind w:left="20"/>
              <w:spacing w:after="0"/>
              <w:rPr>
                <w:sz w:val="20"/>
                <w:szCs w:val="20"/>
                <w:color w:val="auto"/>
              </w:rPr>
            </w:pPr>
            <w:r>
              <w:rPr>
                <w:rFonts w:ascii="Arial" w:cs="Arial" w:eastAsia="Arial" w:hAnsi="Arial"/>
                <w:sz w:val="10"/>
                <w:szCs w:val="10"/>
                <w:color w:val="auto"/>
                <w:w w:val="93"/>
              </w:rPr>
              <w:t>NO</w:t>
            </w:r>
          </w:p>
        </w:tc>
        <w:tc>
          <w:tcPr>
            <w:tcW w:w="4000" w:type="dxa"/>
            <w:vAlign w:val="bottom"/>
            <w:gridSpan w:val="4"/>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bl>
    <w:p>
      <w:pPr>
        <w:ind w:left="8" w:right="160"/>
        <w:spacing w:after="0" w:line="122"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8" w:lineRule="exact"/>
        <w:rPr>
          <w:sz w:val="24"/>
          <w:szCs w:val="24"/>
          <w:color w:val="auto"/>
        </w:rPr>
      </w:pPr>
    </w:p>
    <w:p>
      <w:pPr>
        <w:ind w:left="8" w:right="140"/>
        <w:spacing w:after="0" w:line="123"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8" w:lineRule="exact"/>
        <w:rPr>
          <w:sz w:val="24"/>
          <w:szCs w:val="24"/>
          <w:color w:val="auto"/>
        </w:rPr>
      </w:pPr>
    </w:p>
    <w:p>
      <w:pPr>
        <w:ind w:left="8" w:right="300"/>
        <w:spacing w:after="0" w:line="123" w:lineRule="exact"/>
        <w:rPr>
          <w:sz w:val="20"/>
          <w:szCs w:val="20"/>
          <w:color w:val="auto"/>
        </w:rPr>
      </w:pPr>
      <w:r>
        <w:rPr>
          <w:rFonts w:ascii="Arial" w:cs="Arial" w:eastAsia="Arial" w:hAnsi="Arial"/>
          <w:sz w:val="10"/>
          <w:szCs w:val="10"/>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9"/>
          <w:szCs w:val="9"/>
          <w:color w:val="auto"/>
        </w:rPr>
        <w:t>☐</w:t>
      </w:r>
    </w:p>
    <w:p>
      <w:pPr>
        <w:spacing w:after="0" w:line="1" w:lineRule="exact"/>
        <w:rPr>
          <w:sz w:val="24"/>
          <w:szCs w:val="24"/>
          <w:color w:val="auto"/>
        </w:rPr>
      </w:pPr>
    </w:p>
    <w:p>
      <w:pPr>
        <w:ind w:left="8"/>
        <w:spacing w:after="0" w:line="245"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 w:type="dxa"/>
        <w:tblCellMar>
          <w:top w:w="0" w:type="dxa"/>
          <w:left w:w="0" w:type="dxa"/>
          <w:bottom w:w="0" w:type="dxa"/>
          <w:right w:w="0" w:type="dxa"/>
        </w:tblCellMar>
      </w:tblPr>
      <w:tr>
        <w:trPr>
          <w:trHeight w:val="138"/>
        </w:trPr>
        <w:tc>
          <w:tcPr>
            <w:tcW w:w="144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280" w:type="dxa"/>
            <w:vAlign w:val="bottom"/>
          </w:tcPr>
          <w:p>
            <w:pPr>
              <w:ind w:left="540"/>
              <w:spacing w:after="0" w:line="101" w:lineRule="exact"/>
              <w:rPr>
                <w:sz w:val="20"/>
                <w:szCs w:val="20"/>
                <w:color w:val="auto"/>
              </w:rPr>
            </w:pPr>
            <w:r>
              <w:rPr>
                <w:rFonts w:ascii="MS PGothic" w:cs="MS PGothic" w:eastAsia="MS PGothic" w:hAnsi="MS PGothic"/>
                <w:sz w:val="10"/>
                <w:szCs w:val="10"/>
                <w:color w:val="auto"/>
              </w:rPr>
              <w:t>☒</w:t>
            </w:r>
          </w:p>
        </w:tc>
        <w:tc>
          <w:tcPr>
            <w:tcW w:w="6100" w:type="dxa"/>
            <w:vAlign w:val="bottom"/>
          </w:tcPr>
          <w:p>
            <w:pPr>
              <w:ind w:left="4100"/>
              <w:spacing w:after="0"/>
              <w:rPr>
                <w:sz w:val="20"/>
                <w:szCs w:val="20"/>
                <w:color w:val="auto"/>
              </w:rPr>
            </w:pPr>
            <w:r>
              <w:rPr>
                <w:rFonts w:ascii="Arial" w:cs="Arial" w:eastAsia="Arial" w:hAnsi="Arial"/>
                <w:sz w:val="10"/>
                <w:szCs w:val="10"/>
                <w:color w:val="auto"/>
              </w:rPr>
              <w:t>Accelerated filer</w:t>
            </w:r>
          </w:p>
        </w:tc>
        <w:tc>
          <w:tcPr>
            <w:tcW w:w="500" w:type="dxa"/>
            <w:vAlign w:val="bottom"/>
          </w:tcPr>
          <w:p>
            <w:pPr>
              <w:ind w:left="420"/>
              <w:spacing w:after="0" w:line="81" w:lineRule="exact"/>
              <w:rPr>
                <w:sz w:val="20"/>
                <w:szCs w:val="20"/>
                <w:color w:val="auto"/>
              </w:rPr>
            </w:pPr>
            <w:r>
              <w:rPr>
                <w:rFonts w:ascii="MS PGothic" w:cs="MS PGothic" w:eastAsia="MS PGothic" w:hAnsi="MS PGothic"/>
                <w:sz w:val="8"/>
                <w:szCs w:val="8"/>
                <w:color w:val="auto"/>
                <w:w w:val="74"/>
              </w:rPr>
              <w:t>☐</w:t>
            </w:r>
          </w:p>
        </w:tc>
      </w:tr>
      <w:tr>
        <w:trPr>
          <w:trHeight w:val="117"/>
        </w:trPr>
        <w:tc>
          <w:tcPr>
            <w:tcW w:w="1440" w:type="dxa"/>
            <w:vAlign w:val="bottom"/>
          </w:tcPr>
          <w:p>
            <w:pPr>
              <w:spacing w:after="0"/>
              <w:rPr>
                <w:sz w:val="20"/>
                <w:szCs w:val="20"/>
                <w:color w:val="auto"/>
              </w:rPr>
            </w:pPr>
            <w:r>
              <w:rPr>
                <w:rFonts w:ascii="Arial" w:cs="Arial" w:eastAsia="Arial" w:hAnsi="Arial"/>
                <w:sz w:val="10"/>
                <w:szCs w:val="10"/>
                <w:color w:val="auto"/>
              </w:rPr>
              <w:t>Non-accelerated filer</w:t>
            </w:r>
          </w:p>
        </w:tc>
        <w:tc>
          <w:tcPr>
            <w:tcW w:w="3280" w:type="dxa"/>
            <w:vAlign w:val="bottom"/>
          </w:tcPr>
          <w:p>
            <w:pPr>
              <w:ind w:left="540"/>
              <w:spacing w:after="0" w:line="101" w:lineRule="exact"/>
              <w:rPr>
                <w:sz w:val="20"/>
                <w:szCs w:val="20"/>
                <w:color w:val="auto"/>
              </w:rPr>
            </w:pPr>
            <w:r>
              <w:rPr>
                <w:rFonts w:ascii="MS PGothic" w:cs="MS PGothic" w:eastAsia="MS PGothic" w:hAnsi="MS PGothic"/>
                <w:sz w:val="10"/>
                <w:szCs w:val="10"/>
                <w:color w:val="auto"/>
              </w:rPr>
              <w:t>☐</w:t>
            </w:r>
          </w:p>
        </w:tc>
        <w:tc>
          <w:tcPr>
            <w:tcW w:w="6100" w:type="dxa"/>
            <w:vAlign w:val="bottom"/>
          </w:tcPr>
          <w:p>
            <w:pPr>
              <w:ind w:left="4100"/>
              <w:spacing w:after="0"/>
              <w:rPr>
                <w:sz w:val="20"/>
                <w:szCs w:val="20"/>
                <w:color w:val="auto"/>
              </w:rPr>
            </w:pPr>
            <w:r>
              <w:rPr>
                <w:rFonts w:ascii="Arial" w:cs="Arial" w:eastAsia="Arial" w:hAnsi="Arial"/>
                <w:sz w:val="10"/>
                <w:szCs w:val="10"/>
                <w:color w:val="auto"/>
              </w:rPr>
              <w:t>Smaller reporting company</w:t>
            </w:r>
          </w:p>
        </w:tc>
        <w:tc>
          <w:tcPr>
            <w:tcW w:w="500" w:type="dxa"/>
            <w:vAlign w:val="bottom"/>
          </w:tcPr>
          <w:p>
            <w:pPr>
              <w:ind w:left="420"/>
              <w:spacing w:after="0" w:line="81" w:lineRule="exact"/>
              <w:rPr>
                <w:sz w:val="20"/>
                <w:szCs w:val="20"/>
                <w:color w:val="auto"/>
              </w:rPr>
            </w:pPr>
            <w:r>
              <w:rPr>
                <w:rFonts w:ascii="MS PGothic" w:cs="MS PGothic" w:eastAsia="MS PGothic" w:hAnsi="MS PGothic"/>
                <w:sz w:val="8"/>
                <w:szCs w:val="8"/>
                <w:color w:val="auto"/>
                <w:w w:val="74"/>
              </w:rPr>
              <w:t>☐</w:t>
            </w:r>
          </w:p>
        </w:tc>
      </w:tr>
      <w:tr>
        <w:trPr>
          <w:trHeight w:val="146"/>
        </w:trPr>
        <w:tc>
          <w:tcPr>
            <w:tcW w:w="14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100" w:type="dxa"/>
            <w:vAlign w:val="bottom"/>
          </w:tcPr>
          <w:p>
            <w:pPr>
              <w:ind w:left="4100"/>
              <w:spacing w:after="0"/>
              <w:rPr>
                <w:sz w:val="20"/>
                <w:szCs w:val="20"/>
                <w:color w:val="auto"/>
              </w:rPr>
            </w:pPr>
            <w:r>
              <w:rPr>
                <w:rFonts w:ascii="Arial" w:cs="Arial" w:eastAsia="Arial" w:hAnsi="Arial"/>
                <w:sz w:val="10"/>
                <w:szCs w:val="10"/>
                <w:color w:val="auto"/>
              </w:rPr>
              <w:t>Emerging growth company</w:t>
            </w:r>
          </w:p>
        </w:tc>
        <w:tc>
          <w:tcPr>
            <w:tcW w:w="500" w:type="dxa"/>
            <w:vAlign w:val="bottom"/>
          </w:tcPr>
          <w:p>
            <w:pPr>
              <w:ind w:left="420"/>
              <w:spacing w:after="0" w:line="81" w:lineRule="exact"/>
              <w:rPr>
                <w:sz w:val="20"/>
                <w:szCs w:val="20"/>
                <w:color w:val="auto"/>
              </w:rPr>
            </w:pPr>
            <w:r>
              <w:rPr>
                <w:rFonts w:ascii="MS PGothic" w:cs="MS PGothic" w:eastAsia="MS PGothic" w:hAnsi="MS PGothic"/>
                <w:sz w:val="8"/>
                <w:szCs w:val="8"/>
                <w:color w:val="auto"/>
                <w:w w:val="74"/>
              </w:rPr>
              <w:t>☐</w:t>
            </w:r>
          </w:p>
        </w:tc>
      </w:tr>
      <w:tr>
        <w:trPr>
          <w:trHeight w:val="125"/>
        </w:trPr>
        <w:tc>
          <w:tcPr>
            <w:tcW w:w="10820" w:type="dxa"/>
            <w:vAlign w:val="bottom"/>
            <w:gridSpan w:val="3"/>
          </w:tcPr>
          <w:p>
            <w:pPr>
              <w:spacing w:after="0" w:line="115" w:lineRule="exact"/>
              <w:rPr>
                <w:sz w:val="20"/>
                <w:szCs w:val="20"/>
                <w:color w:val="auto"/>
              </w:rPr>
            </w:pPr>
            <w:r>
              <w:rPr>
                <w:rFonts w:ascii="Arial" w:cs="Arial" w:eastAsia="Arial" w:hAnsi="Arial"/>
                <w:sz w:val="10"/>
                <w:szCs w:val="10"/>
                <w:color w:val="auto"/>
                <w:w w:val="9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w w:val="96"/>
              </w:rPr>
              <w:t>☐</w:t>
            </w:r>
          </w:p>
        </w:tc>
        <w:tc>
          <w:tcPr>
            <w:tcW w:w="500" w:type="dxa"/>
            <w:vAlign w:val="bottom"/>
          </w:tcPr>
          <w:p>
            <w:pPr>
              <w:spacing w:after="0"/>
              <w:rPr>
                <w:sz w:val="10"/>
                <w:szCs w:val="10"/>
                <w:color w:val="auto"/>
              </w:rPr>
            </w:pPr>
          </w:p>
        </w:tc>
      </w:tr>
      <w:tr>
        <w:trPr>
          <w:trHeight w:val="149"/>
        </w:trPr>
        <w:tc>
          <w:tcPr>
            <w:tcW w:w="4720" w:type="dxa"/>
            <w:vAlign w:val="bottom"/>
            <w:gridSpan w:val="2"/>
          </w:tcPr>
          <w:p>
            <w:pPr>
              <w:spacing w:after="0" w:line="115" w:lineRule="exact"/>
              <w:rPr>
                <w:sz w:val="20"/>
                <w:szCs w:val="20"/>
                <w:color w:val="auto"/>
              </w:rPr>
            </w:pPr>
            <w:r>
              <w:rPr>
                <w:rFonts w:ascii="Arial" w:cs="Arial" w:eastAsia="Arial" w:hAnsi="Arial"/>
                <w:sz w:val="10"/>
                <w:szCs w:val="10"/>
                <w:color w:val="auto"/>
                <w:w w:val="95"/>
              </w:rPr>
              <w:t xml:space="preserve">Indicate by check mark whether the Registrant is a shell company (as defined in Rule 12b-2 of the Act).  YES </w:t>
            </w:r>
            <w:r>
              <w:rPr>
                <w:rFonts w:ascii="MS PGothic" w:cs="MS PGothic" w:eastAsia="MS PGothic" w:hAnsi="MS PGothic"/>
                <w:sz w:val="9"/>
                <w:szCs w:val="9"/>
                <w:color w:val="auto"/>
                <w:w w:val="95"/>
              </w:rPr>
              <w:t>☐</w:t>
            </w:r>
          </w:p>
        </w:tc>
        <w:tc>
          <w:tcPr>
            <w:tcW w:w="6100" w:type="dxa"/>
            <w:vAlign w:val="bottom"/>
          </w:tcPr>
          <w:p>
            <w:pPr>
              <w:ind w:left="4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9"/>
                <w:szCs w:val="9"/>
                <w:color w:val="auto"/>
              </w:rPr>
              <w:t>☒</w:t>
            </w:r>
          </w:p>
        </w:tc>
        <w:tc>
          <w:tcPr>
            <w:tcW w:w="500" w:type="dxa"/>
            <w:vAlign w:val="bottom"/>
          </w:tcPr>
          <w:p>
            <w:pPr>
              <w:spacing w:after="0"/>
              <w:rPr>
                <w:sz w:val="12"/>
                <w:szCs w:val="12"/>
                <w:color w:val="auto"/>
              </w:rPr>
            </w:pPr>
          </w:p>
        </w:tc>
      </w:tr>
    </w:tbl>
    <w:p>
      <w:pPr>
        <w:spacing w:after="0" w:line="7" w:lineRule="exact"/>
        <w:rPr>
          <w:sz w:val="24"/>
          <w:szCs w:val="24"/>
          <w:color w:val="auto"/>
        </w:rPr>
      </w:pPr>
    </w:p>
    <w:p>
      <w:pPr>
        <w:ind w:left="8" w:right="1260"/>
        <w:spacing w:after="0" w:line="275" w:lineRule="auto"/>
        <w:rPr>
          <w:sz w:val="20"/>
          <w:szCs w:val="20"/>
          <w:color w:val="auto"/>
        </w:rPr>
      </w:pPr>
      <w:r>
        <w:rPr>
          <w:rFonts w:ascii="Arial" w:cs="Arial" w:eastAsia="Arial" w:hAnsi="Arial"/>
          <w:sz w:val="10"/>
          <w:szCs w:val="10"/>
          <w:color w:val="auto"/>
        </w:rPr>
        <w:t>The aggregate market value of the voting and non-voting common equity held by non-affiliates of the Registrant, based on the closing price of the shares of common stock on The NASDAQ Global Select Market on June 30, 2018, was $2,842,783,509 The number of shares of the Registrant’s common stock outstanding as of March 6, 2019 was 183,103,947.</w:t>
      </w:r>
    </w:p>
    <w:p>
      <w:pPr>
        <w:spacing w:after="0" w:line="1" w:lineRule="exact"/>
        <w:rPr>
          <w:sz w:val="24"/>
          <w:szCs w:val="24"/>
          <w:color w:val="auto"/>
        </w:rPr>
      </w:pPr>
    </w:p>
    <w:p>
      <w:pPr>
        <w:ind w:left="4628"/>
        <w:spacing w:after="0"/>
        <w:rPr>
          <w:sz w:val="20"/>
          <w:szCs w:val="20"/>
          <w:color w:val="auto"/>
        </w:rPr>
      </w:pPr>
      <w:r>
        <w:rPr>
          <w:rFonts w:ascii="Arial" w:cs="Arial" w:eastAsia="Arial" w:hAnsi="Arial"/>
          <w:sz w:val="10"/>
          <w:szCs w:val="10"/>
          <w:color w:val="auto"/>
        </w:rPr>
        <w:t>DOCUMENTS INCORPORATED BY REFERENCE</w:t>
      </w:r>
    </w:p>
    <w:p>
      <w:pPr>
        <w:spacing w:after="0" w:line="17" w:lineRule="exact"/>
        <w:rPr>
          <w:sz w:val="24"/>
          <w:szCs w:val="24"/>
          <w:color w:val="auto"/>
        </w:rPr>
      </w:pPr>
    </w:p>
    <w:p>
      <w:pPr>
        <w:ind w:left="8"/>
        <w:spacing w:after="0"/>
        <w:rPr>
          <w:sz w:val="20"/>
          <w:szCs w:val="20"/>
          <w:color w:val="auto"/>
        </w:rPr>
      </w:pPr>
      <w:r>
        <w:rPr>
          <w:rFonts w:ascii="Arial" w:cs="Arial" w:eastAsia="Arial" w:hAnsi="Arial"/>
          <w:sz w:val="10"/>
          <w:szCs w:val="10"/>
          <w:color w:val="auto"/>
        </w:rPr>
        <w:t>Portions of the Registrant’s definitive proxy statement relating to the 2019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114300</wp:posOffset>
            </wp:positionV>
            <wp:extent cx="7329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03" w:right="199" w:bottom="1440" w:gutter="0" w:footer="0" w:header="0"/>
        </w:sectPr>
      </w:pPr>
    </w:p>
    <w:bookmarkStart w:id="1" w:name="page2"/>
    <w:bookmarkEnd w:id="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60" w:type="dxa"/>
            <w:vAlign w:val="bottom"/>
            <w:gridSpan w:val="5"/>
          </w:tcPr>
          <w:p>
            <w:pPr>
              <w:ind w:left="520"/>
              <w:spacing w:after="0"/>
              <w:rPr>
                <w:sz w:val="20"/>
                <w:szCs w:val="20"/>
                <w:color w:val="auto"/>
              </w:rPr>
            </w:pPr>
            <w:r>
              <w:rPr>
                <w:rFonts w:ascii="Arial" w:cs="Arial" w:eastAsia="Arial" w:hAnsi="Arial"/>
                <w:sz w:val="12"/>
                <w:szCs w:val="12"/>
                <w:b w:val="1"/>
                <w:bCs w:val="1"/>
                <w:color w:val="auto"/>
              </w:rPr>
              <w:t>Table of Contents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42"/>
        </w:trPr>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w:t>
            </w:r>
          </w:p>
        </w:tc>
        <w:tc>
          <w:tcPr>
            <w:tcW w:w="280" w:type="dxa"/>
            <w:vAlign w:val="bottom"/>
          </w:tcPr>
          <w:p>
            <w:pPr>
              <w:spacing w:after="0"/>
              <w:rPr>
                <w:sz w:val="10"/>
                <w:szCs w:val="10"/>
                <w:color w:val="auto"/>
              </w:rPr>
            </w:pPr>
          </w:p>
        </w:tc>
        <w:tc>
          <w:tcPr>
            <w:tcW w:w="440" w:type="dxa"/>
            <w:vAlign w:val="bottom"/>
            <w:tcBorders>
              <w:bottom w:val="single" w:sz="8" w:color="0000EE"/>
            </w:tcBorders>
          </w:tcPr>
          <w:p>
            <w:pPr>
              <w:spacing w:after="0" w:line="126" w:lineRule="exact"/>
              <w:rPr>
                <w:rFonts w:ascii="Arial" w:cs="Arial" w:eastAsia="Arial" w:hAnsi="Arial"/>
                <w:sz w:val="12"/>
                <w:szCs w:val="12"/>
                <w:color w:val="0000EE"/>
                <w:w w:val="86"/>
              </w:rPr>
            </w:pPr>
            <w:hyperlink w:anchor="page5">
              <w:r>
                <w:rPr>
                  <w:rFonts w:ascii="Arial" w:cs="Arial" w:eastAsia="Arial" w:hAnsi="Arial"/>
                  <w:sz w:val="12"/>
                  <w:szCs w:val="12"/>
                  <w:color w:val="0000EE"/>
                  <w:w w:val="86"/>
                </w:rPr>
                <w:t>Business</w:t>
              </w:r>
            </w:hyperlink>
          </w:p>
        </w:tc>
        <w:tc>
          <w:tcPr>
            <w:tcW w:w="9260" w:type="dxa"/>
            <w:vAlign w:val="bottom"/>
            <w:gridSpan w:val="20"/>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1A.</w:t>
            </w:r>
          </w:p>
        </w:tc>
        <w:tc>
          <w:tcPr>
            <w:tcW w:w="280" w:type="dxa"/>
            <w:vAlign w:val="bottom"/>
          </w:tcPr>
          <w:p>
            <w:pPr>
              <w:spacing w:after="0"/>
              <w:rPr>
                <w:sz w:val="11"/>
                <w:szCs w:val="11"/>
                <w:color w:val="auto"/>
              </w:rPr>
            </w:pPr>
          </w:p>
        </w:tc>
        <w:tc>
          <w:tcPr>
            <w:tcW w:w="620" w:type="dxa"/>
            <w:vAlign w:val="bottom"/>
            <w:tcBorders>
              <w:bottom w:val="single" w:sz="8" w:color="0000EE"/>
            </w:tcBorders>
            <w:gridSpan w:val="3"/>
          </w:tcPr>
          <w:p>
            <w:pPr>
              <w:spacing w:after="0" w:line="133" w:lineRule="exact"/>
              <w:rPr>
                <w:rFonts w:ascii="Arial" w:cs="Arial" w:eastAsia="Arial" w:hAnsi="Arial"/>
                <w:sz w:val="12"/>
                <w:szCs w:val="12"/>
                <w:color w:val="0000EE"/>
                <w:w w:val="89"/>
              </w:rPr>
            </w:pPr>
            <w:hyperlink w:anchor="page13">
              <w:r>
                <w:rPr>
                  <w:rFonts w:ascii="Arial" w:cs="Arial" w:eastAsia="Arial" w:hAnsi="Arial"/>
                  <w:sz w:val="12"/>
                  <w:szCs w:val="12"/>
                  <w:color w:val="0000EE"/>
                  <w:w w:val="89"/>
                </w:rPr>
                <w:t>Risk Factors</w:t>
              </w:r>
            </w:hyperlink>
          </w:p>
        </w:tc>
        <w:tc>
          <w:tcPr>
            <w:tcW w:w="9080" w:type="dxa"/>
            <w:vAlign w:val="bottom"/>
            <w:gridSpan w:val="18"/>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1B.</w:t>
            </w:r>
          </w:p>
        </w:tc>
        <w:tc>
          <w:tcPr>
            <w:tcW w:w="280" w:type="dxa"/>
            <w:vAlign w:val="bottom"/>
          </w:tcPr>
          <w:p>
            <w:pPr>
              <w:spacing w:after="0"/>
              <w:rPr>
                <w:sz w:val="11"/>
                <w:szCs w:val="11"/>
                <w:color w:val="auto"/>
              </w:rPr>
            </w:pPr>
          </w:p>
        </w:tc>
        <w:tc>
          <w:tcPr>
            <w:tcW w:w="1380" w:type="dxa"/>
            <w:vAlign w:val="bottom"/>
            <w:tcBorders>
              <w:bottom w:val="single" w:sz="8" w:color="0000EE"/>
            </w:tcBorders>
            <w:gridSpan w:val="10"/>
          </w:tcPr>
          <w:p>
            <w:pPr>
              <w:spacing w:after="0" w:line="133" w:lineRule="exact"/>
              <w:rPr>
                <w:rFonts w:ascii="Arial" w:cs="Arial" w:eastAsia="Arial" w:hAnsi="Arial"/>
                <w:sz w:val="12"/>
                <w:szCs w:val="12"/>
                <w:color w:val="0000EE"/>
                <w:w w:val="90"/>
              </w:rPr>
            </w:pPr>
            <w:hyperlink w:anchor="page22">
              <w:r>
                <w:rPr>
                  <w:rFonts w:ascii="Arial" w:cs="Arial" w:eastAsia="Arial" w:hAnsi="Arial"/>
                  <w:sz w:val="12"/>
                  <w:szCs w:val="12"/>
                  <w:color w:val="0000EE"/>
                  <w:w w:val="90"/>
                </w:rPr>
                <w:t>Unresolved Staff Comments</w:t>
              </w:r>
            </w:hyperlink>
          </w:p>
        </w:tc>
        <w:tc>
          <w:tcPr>
            <w:tcW w:w="8320" w:type="dxa"/>
            <w:vAlign w:val="bottom"/>
            <w:gridSpan w:val="11"/>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2.</w:t>
            </w:r>
          </w:p>
        </w:tc>
        <w:tc>
          <w:tcPr>
            <w:tcW w:w="280" w:type="dxa"/>
            <w:vAlign w:val="bottom"/>
          </w:tcPr>
          <w:p>
            <w:pPr>
              <w:spacing w:after="0"/>
              <w:rPr>
                <w:sz w:val="11"/>
                <w:szCs w:val="11"/>
                <w:color w:val="auto"/>
              </w:rPr>
            </w:pPr>
          </w:p>
        </w:tc>
        <w:tc>
          <w:tcPr>
            <w:tcW w:w="500" w:type="dxa"/>
            <w:vAlign w:val="bottom"/>
            <w:tcBorders>
              <w:bottom w:val="single" w:sz="8" w:color="0000EE"/>
            </w:tcBorders>
            <w:gridSpan w:val="2"/>
          </w:tcPr>
          <w:p>
            <w:pPr>
              <w:spacing w:after="0" w:line="133" w:lineRule="exact"/>
              <w:rPr>
                <w:rFonts w:ascii="Arial" w:cs="Arial" w:eastAsia="Arial" w:hAnsi="Arial"/>
                <w:sz w:val="12"/>
                <w:szCs w:val="12"/>
                <w:color w:val="0000EE"/>
                <w:w w:val="87"/>
              </w:rPr>
            </w:pPr>
            <w:hyperlink w:anchor="page22">
              <w:r>
                <w:rPr>
                  <w:rFonts w:ascii="Arial" w:cs="Arial" w:eastAsia="Arial" w:hAnsi="Arial"/>
                  <w:sz w:val="12"/>
                  <w:szCs w:val="12"/>
                  <w:color w:val="0000EE"/>
                  <w:w w:val="87"/>
                </w:rPr>
                <w:t>Properties</w:t>
              </w:r>
            </w:hyperlink>
          </w:p>
        </w:tc>
        <w:tc>
          <w:tcPr>
            <w:tcW w:w="9200" w:type="dxa"/>
            <w:vAlign w:val="bottom"/>
            <w:gridSpan w:val="19"/>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3.</w:t>
            </w:r>
          </w:p>
        </w:tc>
        <w:tc>
          <w:tcPr>
            <w:tcW w:w="280" w:type="dxa"/>
            <w:vAlign w:val="bottom"/>
          </w:tcPr>
          <w:p>
            <w:pPr>
              <w:spacing w:after="0"/>
              <w:rPr>
                <w:sz w:val="11"/>
                <w:szCs w:val="11"/>
                <w:color w:val="auto"/>
              </w:rPr>
            </w:pPr>
          </w:p>
        </w:tc>
        <w:tc>
          <w:tcPr>
            <w:tcW w:w="900" w:type="dxa"/>
            <w:vAlign w:val="bottom"/>
            <w:tcBorders>
              <w:bottom w:val="single" w:sz="8" w:color="0000EE"/>
            </w:tcBorders>
            <w:gridSpan w:val="5"/>
          </w:tcPr>
          <w:p>
            <w:pPr>
              <w:spacing w:after="0" w:line="133" w:lineRule="exact"/>
              <w:rPr>
                <w:rFonts w:ascii="Arial" w:cs="Arial" w:eastAsia="Arial" w:hAnsi="Arial"/>
                <w:sz w:val="12"/>
                <w:szCs w:val="12"/>
                <w:color w:val="0000EE"/>
                <w:w w:val="88"/>
              </w:rPr>
            </w:pPr>
            <w:hyperlink w:anchor="page25">
              <w:r>
                <w:rPr>
                  <w:rFonts w:ascii="Arial" w:cs="Arial" w:eastAsia="Arial" w:hAnsi="Arial"/>
                  <w:sz w:val="12"/>
                  <w:szCs w:val="12"/>
                  <w:color w:val="0000EE"/>
                  <w:w w:val="88"/>
                </w:rPr>
                <w:t>Legal Proceedings</w:t>
              </w:r>
            </w:hyperlink>
          </w:p>
        </w:tc>
        <w:tc>
          <w:tcPr>
            <w:tcW w:w="8800" w:type="dxa"/>
            <w:vAlign w:val="bottom"/>
            <w:gridSpan w:val="16"/>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4.</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26">
              <w:r>
                <w:rPr>
                  <w:rFonts w:ascii="Arial" w:cs="Arial" w:eastAsia="Arial" w:hAnsi="Arial"/>
                  <w:sz w:val="12"/>
                  <w:szCs w:val="12"/>
                  <w:color w:val="0000EE"/>
                </w:rPr>
                <w:t>Mine Safety Disclosures</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5.</w:t>
            </w:r>
          </w:p>
        </w:tc>
        <w:tc>
          <w:tcPr>
            <w:tcW w:w="280" w:type="dxa"/>
            <w:vAlign w:val="bottom"/>
          </w:tcPr>
          <w:p>
            <w:pPr>
              <w:spacing w:after="0"/>
              <w:rPr>
                <w:sz w:val="10"/>
                <w:szCs w:val="10"/>
                <w:color w:val="auto"/>
              </w:rPr>
            </w:pPr>
          </w:p>
        </w:tc>
        <w:tc>
          <w:tcPr>
            <w:tcW w:w="5400" w:type="dxa"/>
            <w:vAlign w:val="bottom"/>
            <w:tcBorders>
              <w:bottom w:val="single" w:sz="8" w:color="0000EE"/>
            </w:tcBorders>
            <w:gridSpan w:val="20"/>
          </w:tcPr>
          <w:p>
            <w:pPr>
              <w:spacing w:after="0" w:line="126" w:lineRule="exact"/>
              <w:rPr>
                <w:rFonts w:ascii="Arial" w:cs="Arial" w:eastAsia="Arial" w:hAnsi="Arial"/>
                <w:sz w:val="12"/>
                <w:szCs w:val="12"/>
                <w:color w:val="0000EE"/>
                <w:w w:val="90"/>
              </w:rPr>
            </w:pPr>
            <w:hyperlink w:anchor="page27">
              <w:r>
                <w:rPr>
                  <w:rFonts w:ascii="Arial" w:cs="Arial" w:eastAsia="Arial" w:hAnsi="Arial"/>
                  <w:sz w:val="12"/>
                  <w:szCs w:val="12"/>
                  <w:color w:val="0000EE"/>
                  <w:w w:val="90"/>
                </w:rPr>
                <w:t>Market for Registrant’s Common Equity, Related Stockholder Matters and Issuer Purchases of Equity Securities</w:t>
              </w:r>
            </w:hyperlink>
          </w:p>
        </w:tc>
        <w:tc>
          <w:tcPr>
            <w:tcW w:w="430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6.</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29">
              <w:r>
                <w:rPr>
                  <w:rFonts w:ascii="Arial" w:cs="Arial" w:eastAsia="Arial" w:hAnsi="Arial"/>
                  <w:sz w:val="12"/>
                  <w:szCs w:val="12"/>
                  <w:color w:val="0000EE"/>
                </w:rPr>
                <w:t>Selected Financial Data</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w:t>
            </w:r>
          </w:p>
        </w:tc>
        <w:tc>
          <w:tcPr>
            <w:tcW w:w="280" w:type="dxa"/>
            <w:vAlign w:val="bottom"/>
          </w:tcPr>
          <w:p>
            <w:pPr>
              <w:spacing w:after="0"/>
              <w:rPr>
                <w:sz w:val="11"/>
                <w:szCs w:val="11"/>
                <w:color w:val="auto"/>
              </w:rPr>
            </w:pPr>
          </w:p>
        </w:tc>
        <w:tc>
          <w:tcPr>
            <w:tcW w:w="4320" w:type="dxa"/>
            <w:vAlign w:val="bottom"/>
            <w:tcBorders>
              <w:bottom w:val="single" w:sz="8" w:color="0000EE"/>
            </w:tcBorders>
            <w:gridSpan w:val="17"/>
          </w:tcPr>
          <w:p>
            <w:pPr>
              <w:spacing w:after="0" w:line="133" w:lineRule="exact"/>
              <w:rPr>
                <w:rFonts w:ascii="Arial" w:cs="Arial" w:eastAsia="Arial" w:hAnsi="Arial"/>
                <w:sz w:val="12"/>
                <w:szCs w:val="12"/>
                <w:color w:val="0000EE"/>
                <w:w w:val="91"/>
              </w:rPr>
            </w:pPr>
            <w:hyperlink w:anchor="page30">
              <w:r>
                <w:rPr>
                  <w:rFonts w:ascii="Arial" w:cs="Arial" w:eastAsia="Arial" w:hAnsi="Arial"/>
                  <w:sz w:val="12"/>
                  <w:szCs w:val="12"/>
                  <w:color w:val="0000EE"/>
                  <w:w w:val="91"/>
                </w:rPr>
                <w:t>Management’s Discussion and Analysis of Financial Condition and Results of Operations</w:t>
              </w:r>
            </w:hyperlink>
          </w:p>
        </w:tc>
        <w:tc>
          <w:tcPr>
            <w:tcW w:w="5380" w:type="dxa"/>
            <w:vAlign w:val="bottom"/>
            <w:gridSpan w:val="4"/>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7A.</w:t>
            </w:r>
          </w:p>
        </w:tc>
        <w:tc>
          <w:tcPr>
            <w:tcW w:w="280" w:type="dxa"/>
            <w:vAlign w:val="bottom"/>
          </w:tcPr>
          <w:p>
            <w:pPr>
              <w:spacing w:after="0"/>
              <w:rPr>
                <w:sz w:val="11"/>
                <w:szCs w:val="11"/>
                <w:color w:val="auto"/>
              </w:rPr>
            </w:pPr>
          </w:p>
        </w:tc>
        <w:tc>
          <w:tcPr>
            <w:tcW w:w="2920" w:type="dxa"/>
            <w:vAlign w:val="bottom"/>
            <w:tcBorders>
              <w:bottom w:val="single" w:sz="8" w:color="0000EE"/>
            </w:tcBorders>
            <w:gridSpan w:val="15"/>
          </w:tcPr>
          <w:p>
            <w:pPr>
              <w:spacing w:after="0" w:line="133" w:lineRule="exact"/>
              <w:rPr>
                <w:rFonts w:ascii="Arial" w:cs="Arial" w:eastAsia="Arial" w:hAnsi="Arial"/>
                <w:sz w:val="12"/>
                <w:szCs w:val="12"/>
                <w:color w:val="0000EE"/>
                <w:w w:val="92"/>
              </w:rPr>
            </w:pPr>
            <w:hyperlink w:anchor="page53">
              <w:r>
                <w:rPr>
                  <w:rFonts w:ascii="Arial" w:cs="Arial" w:eastAsia="Arial" w:hAnsi="Arial"/>
                  <w:sz w:val="12"/>
                  <w:szCs w:val="12"/>
                  <w:color w:val="0000EE"/>
                  <w:w w:val="92"/>
                </w:rPr>
                <w:t>Quantitative and Qualitative Disclosures About Market Risk</w:t>
              </w:r>
            </w:hyperlink>
          </w:p>
        </w:tc>
        <w:tc>
          <w:tcPr>
            <w:tcW w:w="6780" w:type="dxa"/>
            <w:vAlign w:val="bottom"/>
            <w:gridSpan w:val="6"/>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8.</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55">
              <w:r>
                <w:rPr>
                  <w:rFonts w:ascii="Arial" w:cs="Arial" w:eastAsia="Arial" w:hAnsi="Arial"/>
                  <w:sz w:val="12"/>
                  <w:szCs w:val="12"/>
                  <w:color w:val="0000EE"/>
                </w:rPr>
                <w:t>Financial Statements and Supplementary Data</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106">
              <w:r>
                <w:rPr>
                  <w:rFonts w:ascii="Arial" w:cs="Arial" w:eastAsia="Arial" w:hAnsi="Arial"/>
                  <w:sz w:val="12"/>
                  <w:szCs w:val="12"/>
                  <w:color w:val="0000EE"/>
                </w:rPr>
                <w:t>Changes in and Disagreements With Accountants on Accounting and Financial Disclosure</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9A.</w:t>
            </w:r>
          </w:p>
        </w:tc>
        <w:tc>
          <w:tcPr>
            <w:tcW w:w="280" w:type="dxa"/>
            <w:vAlign w:val="bottom"/>
          </w:tcPr>
          <w:p>
            <w:pPr>
              <w:spacing w:after="0"/>
              <w:rPr>
                <w:sz w:val="11"/>
                <w:szCs w:val="11"/>
                <w:color w:val="auto"/>
              </w:rPr>
            </w:pPr>
          </w:p>
        </w:tc>
        <w:tc>
          <w:tcPr>
            <w:tcW w:w="4340" w:type="dxa"/>
            <w:vAlign w:val="bottom"/>
            <w:tcBorders>
              <w:top w:val="single" w:sz="8" w:color="0000EE"/>
            </w:tcBorders>
            <w:gridSpan w:val="18"/>
          </w:tcPr>
          <w:p>
            <w:pPr>
              <w:spacing w:after="0" w:line="133" w:lineRule="exact"/>
              <w:rPr>
                <w:rFonts w:ascii="Arial" w:cs="Arial" w:eastAsia="Arial" w:hAnsi="Arial"/>
                <w:sz w:val="12"/>
                <w:szCs w:val="12"/>
                <w:color w:val="0000EE"/>
              </w:rPr>
            </w:pPr>
            <w:hyperlink w:anchor="page106">
              <w:r>
                <w:rPr>
                  <w:rFonts w:ascii="Arial" w:cs="Arial" w:eastAsia="Arial" w:hAnsi="Arial"/>
                  <w:sz w:val="12"/>
                  <w:szCs w:val="12"/>
                  <w:color w:val="0000EE"/>
                </w:rPr>
                <w:t>Controls and Procedures</w:t>
              </w:r>
            </w:hyperlink>
          </w:p>
        </w:tc>
        <w:tc>
          <w:tcPr>
            <w:tcW w:w="5360" w:type="dxa"/>
            <w:vAlign w:val="bottom"/>
            <w:gridSpan w:val="3"/>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9B.</w:t>
            </w:r>
          </w:p>
        </w:tc>
        <w:tc>
          <w:tcPr>
            <w:tcW w:w="280" w:type="dxa"/>
            <w:vAlign w:val="bottom"/>
          </w:tcPr>
          <w:p>
            <w:pPr>
              <w:spacing w:after="0"/>
              <w:rPr>
                <w:sz w:val="11"/>
                <w:szCs w:val="11"/>
                <w:color w:val="auto"/>
              </w:rPr>
            </w:pPr>
          </w:p>
        </w:tc>
        <w:tc>
          <w:tcPr>
            <w:tcW w:w="1180" w:type="dxa"/>
            <w:vAlign w:val="bottom"/>
            <w:tcBorders>
              <w:top w:val="single" w:sz="8" w:color="0000EE"/>
            </w:tcBorders>
            <w:gridSpan w:val="8"/>
          </w:tcPr>
          <w:p>
            <w:pPr>
              <w:spacing w:after="0" w:line="133" w:lineRule="exact"/>
              <w:rPr>
                <w:rFonts w:ascii="Arial" w:cs="Arial" w:eastAsia="Arial" w:hAnsi="Arial"/>
                <w:sz w:val="12"/>
                <w:szCs w:val="12"/>
                <w:color w:val="0000EE"/>
              </w:rPr>
            </w:pPr>
            <w:hyperlink w:anchor="page107">
              <w:r>
                <w:rPr>
                  <w:rFonts w:ascii="Arial" w:cs="Arial" w:eastAsia="Arial" w:hAnsi="Arial"/>
                  <w:sz w:val="12"/>
                  <w:szCs w:val="12"/>
                  <w:color w:val="0000EE"/>
                </w:rPr>
                <w:t>Other Information</w:t>
              </w:r>
            </w:hyperlink>
          </w:p>
        </w:tc>
        <w:tc>
          <w:tcPr>
            <w:tcW w:w="8520" w:type="dxa"/>
            <w:vAlign w:val="bottom"/>
            <w:gridSpan w:val="13"/>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III</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10.</w:t>
            </w:r>
          </w:p>
        </w:tc>
        <w:tc>
          <w:tcPr>
            <w:tcW w:w="280" w:type="dxa"/>
            <w:vAlign w:val="bottom"/>
          </w:tcPr>
          <w:p>
            <w:pPr>
              <w:spacing w:after="0"/>
              <w:rPr>
                <w:sz w:val="10"/>
                <w:szCs w:val="10"/>
                <w:color w:val="auto"/>
              </w:rPr>
            </w:pPr>
          </w:p>
        </w:tc>
        <w:tc>
          <w:tcPr>
            <w:tcW w:w="2740" w:type="dxa"/>
            <w:vAlign w:val="bottom"/>
            <w:tcBorders>
              <w:bottom w:val="single" w:sz="8" w:color="0000EE"/>
            </w:tcBorders>
            <w:gridSpan w:val="14"/>
          </w:tcPr>
          <w:p>
            <w:pPr>
              <w:spacing w:after="0" w:line="126" w:lineRule="exact"/>
              <w:rPr>
                <w:rFonts w:ascii="Arial" w:cs="Arial" w:eastAsia="Arial" w:hAnsi="Arial"/>
                <w:sz w:val="12"/>
                <w:szCs w:val="12"/>
                <w:color w:val="0000EE"/>
                <w:w w:val="90"/>
              </w:rPr>
            </w:pPr>
            <w:hyperlink w:anchor="page108">
              <w:r>
                <w:rPr>
                  <w:rFonts w:ascii="Arial" w:cs="Arial" w:eastAsia="Arial" w:hAnsi="Arial"/>
                  <w:sz w:val="12"/>
                  <w:szCs w:val="12"/>
                  <w:color w:val="0000EE"/>
                  <w:w w:val="90"/>
                </w:rPr>
                <w:t>Directors, Executive Officers and Corporate Governance</w:t>
              </w:r>
            </w:hyperlink>
          </w:p>
        </w:tc>
        <w:tc>
          <w:tcPr>
            <w:tcW w:w="6960" w:type="dxa"/>
            <w:vAlign w:val="bottom"/>
            <w:gridSpan w:val="7"/>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11.</w:t>
            </w:r>
          </w:p>
        </w:tc>
        <w:tc>
          <w:tcPr>
            <w:tcW w:w="280" w:type="dxa"/>
            <w:vAlign w:val="bottom"/>
          </w:tcPr>
          <w:p>
            <w:pPr>
              <w:spacing w:after="0"/>
              <w:rPr>
                <w:sz w:val="11"/>
                <w:szCs w:val="11"/>
                <w:color w:val="auto"/>
              </w:rPr>
            </w:pPr>
          </w:p>
        </w:tc>
        <w:tc>
          <w:tcPr>
            <w:tcW w:w="1220" w:type="dxa"/>
            <w:vAlign w:val="bottom"/>
            <w:tcBorders>
              <w:bottom w:val="single" w:sz="8" w:color="0000EE"/>
            </w:tcBorders>
            <w:gridSpan w:val="9"/>
          </w:tcPr>
          <w:p>
            <w:pPr>
              <w:spacing w:after="0" w:line="133" w:lineRule="exact"/>
              <w:rPr>
                <w:rFonts w:ascii="Arial" w:cs="Arial" w:eastAsia="Arial" w:hAnsi="Arial"/>
                <w:sz w:val="12"/>
                <w:szCs w:val="12"/>
                <w:color w:val="0000EE"/>
                <w:w w:val="90"/>
              </w:rPr>
            </w:pPr>
            <w:hyperlink w:anchor="page108">
              <w:r>
                <w:rPr>
                  <w:rFonts w:ascii="Arial" w:cs="Arial" w:eastAsia="Arial" w:hAnsi="Arial"/>
                  <w:sz w:val="12"/>
                  <w:szCs w:val="12"/>
                  <w:color w:val="0000EE"/>
                  <w:w w:val="90"/>
                </w:rPr>
                <w:t>Executive Compensation</w:t>
              </w:r>
            </w:hyperlink>
          </w:p>
        </w:tc>
        <w:tc>
          <w:tcPr>
            <w:tcW w:w="8480" w:type="dxa"/>
            <w:vAlign w:val="bottom"/>
            <w:gridSpan w:val="12"/>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12.</w:t>
            </w:r>
          </w:p>
        </w:tc>
        <w:tc>
          <w:tcPr>
            <w:tcW w:w="280" w:type="dxa"/>
            <w:vAlign w:val="bottom"/>
          </w:tcPr>
          <w:p>
            <w:pPr>
              <w:spacing w:after="0"/>
              <w:rPr>
                <w:sz w:val="11"/>
                <w:szCs w:val="11"/>
                <w:color w:val="auto"/>
              </w:rPr>
            </w:pPr>
          </w:p>
        </w:tc>
        <w:tc>
          <w:tcPr>
            <w:tcW w:w="4880" w:type="dxa"/>
            <w:vAlign w:val="bottom"/>
            <w:tcBorders>
              <w:bottom w:val="single" w:sz="8" w:color="0000EE"/>
            </w:tcBorders>
            <w:gridSpan w:val="19"/>
          </w:tcPr>
          <w:p>
            <w:pPr>
              <w:spacing w:after="0" w:line="133" w:lineRule="exact"/>
              <w:rPr>
                <w:rFonts w:ascii="Arial" w:cs="Arial" w:eastAsia="Arial" w:hAnsi="Arial"/>
                <w:sz w:val="12"/>
                <w:szCs w:val="12"/>
                <w:color w:val="0000EE"/>
                <w:w w:val="90"/>
              </w:rPr>
            </w:pPr>
            <w:hyperlink w:anchor="page108">
              <w:r>
                <w:rPr>
                  <w:rFonts w:ascii="Arial" w:cs="Arial" w:eastAsia="Arial" w:hAnsi="Arial"/>
                  <w:sz w:val="12"/>
                  <w:szCs w:val="12"/>
                  <w:color w:val="0000EE"/>
                  <w:w w:val="90"/>
                </w:rPr>
                <w:t>Security Ownership of Certain Beneficial Owners and Management and Related Stockholder Matters</w:t>
              </w:r>
            </w:hyperlink>
          </w:p>
        </w:tc>
        <w:tc>
          <w:tcPr>
            <w:tcW w:w="4820" w:type="dxa"/>
            <w:vAlign w:val="bottom"/>
            <w:gridSpan w:val="2"/>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13.</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109">
              <w:r>
                <w:rPr>
                  <w:rFonts w:ascii="Arial" w:cs="Arial" w:eastAsia="Arial" w:hAnsi="Arial"/>
                  <w:sz w:val="12"/>
                  <w:szCs w:val="12"/>
                  <w:color w:val="0000EE"/>
                </w:rPr>
                <w:t>Certain Relationships and Related Transactions, and Director Independence</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14.</w:t>
            </w:r>
          </w:p>
        </w:tc>
        <w:tc>
          <w:tcPr>
            <w:tcW w:w="280" w:type="dxa"/>
            <w:vAlign w:val="bottom"/>
          </w:tcPr>
          <w:p>
            <w:pPr>
              <w:spacing w:after="0"/>
              <w:rPr>
                <w:sz w:val="11"/>
                <w:szCs w:val="11"/>
                <w:color w:val="auto"/>
              </w:rPr>
            </w:pPr>
          </w:p>
        </w:tc>
        <w:tc>
          <w:tcPr>
            <w:tcW w:w="3640" w:type="dxa"/>
            <w:vAlign w:val="bottom"/>
            <w:tcBorders>
              <w:top w:val="single" w:sz="8" w:color="0000EE"/>
            </w:tcBorders>
            <w:gridSpan w:val="16"/>
          </w:tcPr>
          <w:p>
            <w:pPr>
              <w:spacing w:after="0" w:line="133" w:lineRule="exact"/>
              <w:rPr>
                <w:rFonts w:ascii="Arial" w:cs="Arial" w:eastAsia="Arial" w:hAnsi="Arial"/>
                <w:sz w:val="12"/>
                <w:szCs w:val="12"/>
                <w:color w:val="0000EE"/>
              </w:rPr>
            </w:pPr>
            <w:hyperlink w:anchor="page109">
              <w:r>
                <w:rPr>
                  <w:rFonts w:ascii="Arial" w:cs="Arial" w:eastAsia="Arial" w:hAnsi="Arial"/>
                  <w:sz w:val="12"/>
                  <w:szCs w:val="12"/>
                  <w:color w:val="0000EE"/>
                </w:rPr>
                <w:t>Principal Accounting Fees and Services</w:t>
              </w:r>
            </w:hyperlink>
          </w:p>
        </w:tc>
        <w:tc>
          <w:tcPr>
            <w:tcW w:w="6060" w:type="dxa"/>
            <w:vAlign w:val="bottom"/>
            <w:gridSpan w:val="5"/>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IV</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15.</w:t>
            </w:r>
          </w:p>
        </w:tc>
        <w:tc>
          <w:tcPr>
            <w:tcW w:w="280" w:type="dxa"/>
            <w:vAlign w:val="bottom"/>
          </w:tcPr>
          <w:p>
            <w:pPr>
              <w:spacing w:after="0"/>
              <w:rPr>
                <w:sz w:val="10"/>
                <w:szCs w:val="10"/>
                <w:color w:val="auto"/>
              </w:rPr>
            </w:pPr>
          </w:p>
        </w:tc>
        <w:tc>
          <w:tcPr>
            <w:tcW w:w="9700" w:type="dxa"/>
            <w:vAlign w:val="bottom"/>
            <w:gridSpan w:val="21"/>
          </w:tcPr>
          <w:p>
            <w:pPr>
              <w:spacing w:after="0" w:line="126" w:lineRule="exact"/>
              <w:rPr>
                <w:rFonts w:ascii="Arial" w:cs="Arial" w:eastAsia="Arial" w:hAnsi="Arial"/>
                <w:sz w:val="12"/>
                <w:szCs w:val="12"/>
                <w:color w:val="0000EE"/>
              </w:rPr>
            </w:pPr>
            <w:hyperlink w:anchor="page110">
              <w:r>
                <w:rPr>
                  <w:rFonts w:ascii="Arial" w:cs="Arial" w:eastAsia="Arial" w:hAnsi="Arial"/>
                  <w:sz w:val="12"/>
                  <w:szCs w:val="12"/>
                  <w:color w:val="0000EE"/>
                </w:rPr>
                <w:t>Exhibits, Financial Statement Schedules</w:t>
              </w:r>
            </w:hyperlink>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16.</w:t>
            </w:r>
          </w:p>
        </w:tc>
        <w:tc>
          <w:tcPr>
            <w:tcW w:w="280" w:type="dxa"/>
            <w:vAlign w:val="bottom"/>
          </w:tcPr>
          <w:p>
            <w:pPr>
              <w:spacing w:after="0"/>
              <w:rPr>
                <w:sz w:val="11"/>
                <w:szCs w:val="11"/>
                <w:color w:val="auto"/>
              </w:rPr>
            </w:pPr>
          </w:p>
        </w:tc>
        <w:tc>
          <w:tcPr>
            <w:tcW w:w="1940" w:type="dxa"/>
            <w:vAlign w:val="bottom"/>
            <w:tcBorders>
              <w:top w:val="single" w:sz="8" w:color="0000EE"/>
            </w:tcBorders>
            <w:gridSpan w:val="12"/>
          </w:tcPr>
          <w:p>
            <w:pPr>
              <w:spacing w:after="0" w:line="133" w:lineRule="exact"/>
              <w:rPr>
                <w:rFonts w:ascii="Arial" w:cs="Arial" w:eastAsia="Arial" w:hAnsi="Arial"/>
                <w:sz w:val="12"/>
                <w:szCs w:val="12"/>
                <w:color w:val="0000EE"/>
              </w:rPr>
            </w:pPr>
            <w:hyperlink w:anchor="page116">
              <w:r>
                <w:rPr>
                  <w:rFonts w:ascii="Arial" w:cs="Arial" w:eastAsia="Arial" w:hAnsi="Arial"/>
                  <w:sz w:val="12"/>
                  <w:szCs w:val="12"/>
                  <w:color w:val="0000EE"/>
                </w:rPr>
                <w:t>Form 10-K Summary</w:t>
              </w:r>
            </w:hyperlink>
          </w:p>
        </w:tc>
        <w:tc>
          <w:tcPr>
            <w:tcW w:w="7760" w:type="dxa"/>
            <w:vAlign w:val="bottom"/>
            <w:gridSpan w:val="9"/>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41"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This Annual Report on Form 10-K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effect of Windstream Holdings, Inc.’s (“Windstream Holdings” and together with its subsidiaries, “Windstream”) bankruptcy and Windstream’s performance under its long-term exclusive triple-net lease with us (the “Master Lease”); our expectations with respect to the treatment of the Master Lease in Windstream’s petition for relief under Chapter 11 of the Bankruptcy Code; our expectations regarding the effect of substantial doubt about our ability to continue as a going concern; our expectations regarding the future growth and demand of the telecommunication industry, future financing plans, business strategies, growth prospects, operating and financial performance, and our future liquidity needs and access to capital; expectations regarding the impact and integration of Information Transport Solutions, Inc. (“ITS”), CableSouth Media, LLC (“CableSouth”) and M</w:t>
      </w:r>
      <w:r>
        <w:rPr>
          <w:rFonts w:ascii="Arial" w:cs="Arial" w:eastAsia="Arial" w:hAnsi="Arial"/>
          <w:sz w:val="9"/>
          <w:szCs w:val="9"/>
          <w:color w:val="auto"/>
        </w:rPr>
        <w:t>2</w:t>
      </w:r>
      <w:r>
        <w:rPr>
          <w:rFonts w:ascii="Arial" w:cs="Arial" w:eastAsia="Arial" w:hAnsi="Arial"/>
          <w:sz w:val="11"/>
          <w:szCs w:val="11"/>
          <w:color w:val="auto"/>
        </w:rPr>
        <w:t xml:space="preserve"> Connections, including expectations regarding operational synergies with Uniti Towers and Uniti Fiber; expectations regarding settling conversion of our 3% convertible preferred stock in cash upon conversion; expectations regarding the probability of our obligation to pay contingent consideration upon Tower Cloud, Inc.'s ("Tower Cloud") or Hunt's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closing of the OpCo-PropCo partnership with Macquarie Infrastructure Partners (“MIP”) and related acquisition of Bluebird Network, LLC (“Bluebird”); expectations regarding the closing of the sale of Uniti Towers’ business in Latin America (the “Towers Disposition”); and expectations regarding the payment of dividends.</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2"/>
          <w:szCs w:val="12"/>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197" w:lineRule="exact"/>
        <w:rPr>
          <w:sz w:val="20"/>
          <w:szCs w:val="20"/>
          <w:color w:val="auto"/>
        </w:rPr>
      </w:pPr>
    </w:p>
    <w:p>
      <w:pPr>
        <w:ind w:left="1180" w:right="60" w:hanging="593"/>
        <w:spacing w:after="0" w:line="276" w:lineRule="auto"/>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future prospects of our largest customer, Windstream Holdings, which, following a finding that it is in default of certain of its debt, on February 25, 2019, filed a voluntary petition for relief under Chapter 11 of the Bankruptcy Code;</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continue as a going concern if Windstream Holdings were to reject the Master Lease or be unable or unwilling to perform its obligations under the Master Lease;</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customers to meet and/or perform their obligations under any contractual arrangements entered into with us, including master lease arrangements;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our customers to comply with laws, rules and regulations in the operation of the assets we lease to them;</w:t>
      </w:r>
    </w:p>
    <w:p>
      <w:pPr>
        <w:spacing w:after="0" w:line="78" w:lineRule="exact"/>
        <w:rPr>
          <w:rFonts w:ascii="Arial" w:cs="Arial" w:eastAsia="Arial" w:hAnsi="Arial"/>
          <w:sz w:val="12"/>
          <w:szCs w:val="12"/>
          <w:color w:val="auto"/>
        </w:rPr>
      </w:pPr>
    </w:p>
    <w:p>
      <w:pPr>
        <w:ind w:left="1180" w:right="140" w:hanging="593"/>
        <w:spacing w:after="0" w:line="276" w:lineRule="auto"/>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renew, extend or retain our contracts or to obtain new contracts with significant customers (including customers of the businesses that we acquire);</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availability of and our ability to identify suitable acquisition opportunities and our ability to acquire and lease the respective properties on favorable terms or operate and integrate the acquired businesses;</w:t>
      </w:r>
    </w:p>
    <w:p>
      <w:pPr>
        <w:spacing w:after="0" w:line="89" w:lineRule="exact"/>
        <w:rPr>
          <w:rFonts w:ascii="Arial" w:cs="Arial" w:eastAsia="Arial" w:hAnsi="Arial"/>
          <w:sz w:val="11"/>
          <w:szCs w:val="11"/>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generate sufficient cash flows to service our outstanding indebtedness;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access debt and equity capital markets;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on our business or the business of our customers as a result of credit rating downgrades, and fluctuating interest rates;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adverse impacts of litigation or disputes involving us or our customers;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retain our key management personnel;</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maintain our status as a real estate investment trust (“REIT”), including as a result of the effects of the recent events with respect to our largest customer, Windstream Holdings;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U.S. tax law and other federal, state or local laws, whether or not specific to REITs, including the impact of the recently enacted U.S. tax reform legislation;</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covenants in our debt agreements that may limit our operational flexibility;</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possibility that we may experience equipment failures, natural disasters, cyber attacks or terrorist attacks for which our insurance may not provide adequate coverage;</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risk that we fail to fully realize the potential benefits of or have difficulty in integrating the companies we acquire;</w:t>
      </w:r>
    </w:p>
    <w:p>
      <w:pPr>
        <w:spacing w:after="0" w:line="78" w:lineRule="exact"/>
        <w:rPr>
          <w:rFonts w:ascii="Arial" w:cs="Arial" w:eastAsia="Arial" w:hAnsi="Arial"/>
          <w:sz w:val="12"/>
          <w:szCs w:val="12"/>
          <w:color w:val="auto"/>
        </w:rPr>
      </w:pPr>
    </w:p>
    <w:p>
      <w:pPr>
        <w:ind w:left="1180" w:right="440" w:hanging="593"/>
        <w:spacing w:after="0" w:line="276" w:lineRule="auto"/>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risk that the agreements regarding the Bluebird acquisition may be modified or terminated prior to expiration or that the conditions to the Bluebird acquisition may not be satisfied;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risk that the agreements regarding the Towers Disposition may be modified or terminated or that the conditions to the Towers Disposition may not be satisfied; and</w:t>
      </w:r>
    </w:p>
    <w:p>
      <w:pPr>
        <w:spacing w:after="0" w:line="78" w:lineRule="exact"/>
        <w:rPr>
          <w:rFonts w:ascii="Arial" w:cs="Arial" w:eastAsia="Arial" w:hAnsi="Arial"/>
          <w:sz w:val="12"/>
          <w:szCs w:val="12"/>
          <w:color w:val="auto"/>
        </w:rPr>
      </w:pPr>
    </w:p>
    <w:p>
      <w:pPr>
        <w:ind w:left="1180" w:hanging="593"/>
        <w:spacing w:after="0" w:line="276" w:lineRule="auto"/>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Forward-looking statements speak only as of the date of this Annual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The Company</w:t>
      </w:r>
    </w:p>
    <w:p>
      <w:pPr>
        <w:spacing w:after="0" w:line="226"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Uniti Group Inc. (the “Company”, “Uniti”, “we”, “us” or “our”) was incorporated in the state of Maryland on September 4, 2014. Uniti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51"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09"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05"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2018, we are the sole general partner of the Operating Partnership and own approximately 97.7% of the partnership interests in the Operating Partnership.</w:t>
      </w:r>
    </w:p>
    <w:p>
      <w:pPr>
        <w:spacing w:after="0" w:line="123" w:lineRule="exact"/>
        <w:rPr>
          <w:sz w:val="20"/>
          <w:szCs w:val="20"/>
          <w:color w:val="auto"/>
        </w:rPr>
      </w:pPr>
    </w:p>
    <w:p>
      <w:pPr>
        <w:ind w:right="60"/>
        <w:spacing w:after="0" w:line="259" w:lineRule="auto"/>
        <w:rPr>
          <w:rFonts w:ascii="Arial" w:cs="Arial" w:eastAsia="Arial" w:hAnsi="Arial"/>
          <w:sz w:val="12"/>
          <w:szCs w:val="12"/>
          <w:color w:val="auto"/>
        </w:rPr>
      </w:pPr>
      <w:r>
        <w:rPr>
          <w:rFonts w:ascii="Arial" w:cs="Arial" w:eastAsia="Arial" w:hAnsi="Arial"/>
          <w:sz w:val="12"/>
          <w:szCs w:val="12"/>
          <w:color w:val="auto"/>
        </w:rPr>
        <w:t xml:space="preserve">For the year ended December 31, 2018, we had revenues of $1,017.6 million, net income attributable to common shareholders of $8.0 million, Funds From Operations (“FFO”) of $373.7 million and Adjusted Funds From Operations (“AFFO”) of $443.8 million. Both FFO and AFFO are non-GAAP financial measures, which we use to analyze our results. Refer to Part II, Item 7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of this Annual Report for additional information regarding these non-GAAP measures. As of December 31, 2018, we managed our operations in four reportable business segments, which are described in more detail in </w:t>
      </w:r>
      <w:hyperlink w:anchor="page94">
        <w:r>
          <w:rPr>
            <w:rFonts w:ascii="Arial" w:cs="Arial" w:eastAsia="Arial" w:hAnsi="Arial"/>
            <w:sz w:val="12"/>
            <w:szCs w:val="12"/>
            <w:u w:val="single" w:color="auto"/>
            <w:color w:val="0000EE"/>
          </w:rPr>
          <w:t>Note 14 to</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our consolidated financial statements contained in Part II,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Business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We are an independent, internally-managed REIT engaged in the acquisition and construction of mission critical infrastructure in the communications industry. We manage our operations in four separate lines of business: </w:t>
      </w:r>
      <w:r>
        <w:rPr>
          <w:rFonts w:ascii="Arial" w:cs="Arial" w:eastAsia="Arial" w:hAnsi="Arial"/>
          <w:sz w:val="12"/>
          <w:szCs w:val="12"/>
          <w:i w:val="1"/>
          <w:iCs w:val="1"/>
          <w:color w:val="auto"/>
        </w:rPr>
        <w:t>Uniti Fiber</w:t>
      </w:r>
      <w:r>
        <w:rPr>
          <w:rFonts w:ascii="Arial" w:cs="Arial" w:eastAsia="Arial" w:hAnsi="Arial"/>
          <w:sz w:val="12"/>
          <w:szCs w:val="12"/>
          <w:color w:val="auto"/>
        </w:rPr>
        <w:t xml:space="preserve">, </w:t>
      </w:r>
      <w:r>
        <w:rPr>
          <w:rFonts w:ascii="Arial" w:cs="Arial" w:eastAsia="Arial" w:hAnsi="Arial"/>
          <w:sz w:val="12"/>
          <w:szCs w:val="12"/>
          <w:i w:val="1"/>
          <w:iCs w:val="1"/>
          <w:color w:val="auto"/>
        </w:rPr>
        <w:t>Uniti</w:t>
      </w:r>
      <w:r>
        <w:rPr>
          <w:rFonts w:ascii="Arial" w:cs="Arial" w:eastAsia="Arial" w:hAnsi="Arial"/>
          <w:sz w:val="12"/>
          <w:szCs w:val="12"/>
          <w:color w:val="auto"/>
        </w:rPr>
        <w:t xml:space="preserve"> </w:t>
      </w:r>
      <w:r>
        <w:rPr>
          <w:rFonts w:ascii="Arial" w:cs="Arial" w:eastAsia="Arial" w:hAnsi="Arial"/>
          <w:sz w:val="12"/>
          <w:szCs w:val="12"/>
          <w:i w:val="1"/>
          <w:iCs w:val="1"/>
          <w:color w:val="auto"/>
        </w:rPr>
        <w:t>Towers</w:t>
      </w:r>
      <w:r>
        <w:rPr>
          <w:rFonts w:ascii="Arial" w:cs="Arial" w:eastAsia="Arial" w:hAnsi="Arial"/>
          <w:sz w:val="12"/>
          <w:szCs w:val="12"/>
          <w:color w:val="auto"/>
        </w:rPr>
        <w:t>,</w:t>
      </w:r>
      <w:r>
        <w:rPr>
          <w:rFonts w:ascii="Arial" w:cs="Arial" w:eastAsia="Arial" w:hAnsi="Arial"/>
          <w:sz w:val="12"/>
          <w:szCs w:val="12"/>
          <w:i w:val="1"/>
          <w:iCs w:val="1"/>
          <w:color w:val="auto"/>
        </w:rPr>
        <w:t xml:space="preserve"> Uniti Leasing </w:t>
      </w:r>
      <w:r>
        <w:rPr>
          <w:rFonts w:ascii="Arial" w:cs="Arial" w:eastAsia="Arial" w:hAnsi="Arial"/>
          <w:sz w:val="12"/>
          <w:szCs w:val="12"/>
          <w:color w:val="auto"/>
        </w:rPr>
        <w:t>and</w:t>
      </w:r>
      <w:r>
        <w:rPr>
          <w:rFonts w:ascii="Arial" w:cs="Arial" w:eastAsia="Arial" w:hAnsi="Arial"/>
          <w:sz w:val="12"/>
          <w:szCs w:val="12"/>
          <w:i w:val="1"/>
          <w:iCs w:val="1"/>
          <w:color w:val="auto"/>
        </w:rPr>
        <w:t xml:space="preserve"> Talk America</w:t>
      </w:r>
      <w:r>
        <w:rPr>
          <w:rFonts w:ascii="Arial" w:cs="Arial" w:eastAsia="Arial" w:hAnsi="Arial"/>
          <w:sz w:val="12"/>
          <w:szCs w:val="12"/>
          <w:color w:val="auto"/>
        </w:rPr>
        <w:t>.</w:t>
      </w:r>
    </w:p>
    <w:p>
      <w:pPr>
        <w:spacing w:after="0" w:line="11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 xml:space="preserve">Refer to Part II, Item 7 </w:t>
      </w:r>
      <w:r>
        <w:rPr>
          <w:rFonts w:ascii="Arial" w:cs="Arial" w:eastAsia="Arial" w:hAnsi="Arial"/>
          <w:sz w:val="12"/>
          <w:szCs w:val="12"/>
          <w:i w:val="1"/>
          <w:iCs w:val="1"/>
          <w:color w:val="auto"/>
        </w:rPr>
        <w:t>Management’s Discussion and Analysis of Financial Condition and Results of Operations—Overview—Significant Business Developments,</w:t>
      </w:r>
      <w:r>
        <w:rPr>
          <w:rFonts w:ascii="Arial" w:cs="Arial" w:eastAsia="Arial" w:hAnsi="Arial"/>
          <w:sz w:val="12"/>
          <w:szCs w:val="12"/>
          <w:color w:val="auto"/>
        </w:rPr>
        <w:t xml:space="preserve"> of this Annual Report for additional information regarding significant developments in our business in 2018.</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Fiber</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We believe fiber is the mission-critical focal point in the modern communications infrastructure industry and that Uniti Fiber will accelerate our growth and diversification strategy and expand our relationships with high quality national and international wireless carriers.</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At December 31, 2018, Uniti Fiber’s revenues under contract were over $1.3 billion, with a network consisting of 1.7 million strand miles of fiber and approximately 18,200 customer connections. Results for Uniti Fiber are reported in our consolidated financial statements in our Fiber Infrastructure business segment.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Towers</w:t>
      </w:r>
    </w:p>
    <w:p>
      <w:pPr>
        <w:spacing w:after="0" w:line="150"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Uniti Towers’ primary business is constructing and leasing space on communications towers to wireless service providers and other tenants in a number of other industries. Uniti Towers’ leadership has substantial experience in the telecommunications industry and has been overseeing construction and operation of thousands of wireless towers both domestically and abroad for decades. Uniti Towers provides build-to-suit opportunities using customized master lease agreements designed for long-term carrier partnerships. We believe that our strategy of focusing on fiber and towers through Uniti Fiber and Uniti Towers is highly synergistic and will drive incremental growth opportunities.</w:t>
      </w:r>
    </w:p>
    <w:p>
      <w:pPr>
        <w:spacing w:after="0" w:line="105" w:lineRule="exact"/>
        <w:rPr>
          <w:sz w:val="20"/>
          <w:szCs w:val="20"/>
          <w:color w:val="auto"/>
        </w:rPr>
      </w:pPr>
    </w:p>
    <w:p>
      <w:pPr>
        <w:ind w:right="600"/>
        <w:spacing w:after="0" w:line="276" w:lineRule="auto"/>
        <w:rPr>
          <w:sz w:val="20"/>
          <w:szCs w:val="20"/>
          <w:color w:val="auto"/>
        </w:rPr>
      </w:pPr>
      <w:r>
        <w:rPr>
          <w:rFonts w:ascii="Arial" w:cs="Arial" w:eastAsia="Arial" w:hAnsi="Arial"/>
          <w:sz w:val="12"/>
          <w:szCs w:val="12"/>
          <w:color w:val="auto"/>
        </w:rPr>
        <w:t>At December 31, 2018, Uniti Towers’ portfolio consisted of 430 wireless communications towers located in 26 states across the eastern and central regions in the United States, and 498 wireless communications towers in Latin America. Results for Uniti Towers are reported in our consolidated financial statements in our Towers business segment.</w:t>
      </w:r>
    </w:p>
    <w:p>
      <w:pPr>
        <w:spacing w:after="0" w:line="115"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On February 19, 2019, the Company announced it had agreed to sell Uniti Towers’ Latin America business to an entity controlled by Phoenix Towers International (“PTI”) for cash consideration of approximately $100 million. PTI will acquire approximately 500 towers located across Mexico, Colombia and Nicaragua. The transaction is subject to customary closing conditions and is expected to close by the end of the first quarter of 2019.</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Leasing</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Uniti Leasing is engaged in acquiring mission-critical communications assets, such as fiber, data centers, next-generation consumer broadband, coaxial and upgradeable copper, and leasing them back to anchor customers on either an exclusive or shared-tenant basis. Presently, a substantial portion of Uniti Leasing’s revenue is rental revenues from leasing the Distribution Systems to Windstream pursuant to the Master Lease. We believe our attractive cost of capital and advantaged REIT structure will enable Uniti Leasing to provide creative and tax-efficient solutions to additional customers, including (i) sale 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Leasing business segment.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Talk America</w:t>
      </w:r>
    </w:p>
    <w:p>
      <w:pPr>
        <w:spacing w:after="0" w:line="150"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We conduct the Consumer CLEC Business through Talk America Services, LLC. Talk America provides local telephone, high-speed Internet and long-distance service to approximately 22,500 customers principally located in 17 states across the eastern and central United States. Substantially all of the network assets used to provide these services to customers are contracted through interconnection agreements with other telecommunications carriers.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Results for Talk America are reported in our consolidated financial statements in our Consumer CLEC business segment.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Industry</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tremendous opportunities for us as an acquirer and operator and as a funding source for operators seeking to capitalize on these trends through build outs and acquisitions of infrastructure assets.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wireless towers (including strong growth in long-term tower leasing), tower space and bandwidth infrastructure services.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Strategy</w:t>
      </w:r>
    </w:p>
    <w:p>
      <w:pPr>
        <w:spacing w:after="0" w:line="154"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Our primary goal is to create long-term stockholder value by (i) generating reliable and growing cash flows, (ii) diversifying our tenant and asset base, (iii) paying a dividend, and (iv) maintaining our financial strength and liquidity. To achieve this goal, we employ a business strategy that leverages our first mover advantages in the sector and our strong access to the capital markets. The key components of our business strategy are: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Acquire Additional Infrastructure Assets Through Sale Leaseback Transactions</w:t>
      </w:r>
    </w:p>
    <w:p>
      <w:pPr>
        <w:spacing w:after="0" w:line="15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We actively seek to acquire communications infrastructure assets from communication service providers and lease these assets back to the communication service providers on a long-term basis. We believe this type of transaction benefits the communication service providers with incremental liquidity which can be used to reduce indebtedness or for other investments, while they continue to focus on their existing business. We will employ a disciplined, opportunistic acquisition strategy and seek to price transactions appropriately based on, among other things, growth opportunities, the mix of assets acquired, length and terms of the lease, and credit worthiness of the tenant.</w:t>
      </w:r>
    </w:p>
    <w:p>
      <w:pPr>
        <w:spacing w:after="0" w:line="10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This strategy will also expand our mix of tenants and other real property and will reduce our revenue concentration with Windstream. We expect that this objective will be achieved over time as part of our overall strategy to acquire new distribution systems and other real property within the communications infrastructure industry to further diversify our overall portfolio.</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Capitalize on the Market Demand for Increased Bandwidth Infrastructure and Performance</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Bandwidth intensive devices and applications are rapidly fueling worldwide consumption of bandwidth, which in turn fuels a continuously growing demand for stable and secure bandwidth options. Communications service providers and other enterprises whose services and businesses require substantial amounts of bandwidth are increasingly looking to infrastructure providers to support their bandwidth needs and to expand the reach, performance and security of their networks. We believe Uniti Fiber is well positioned to capitalize on this ongoing demand for bandwidth infrastructure solutions.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 Capital Extensions to Existing and New Tenants for Improvements of Infrastructure Assets</w:t>
      </w:r>
    </w:p>
    <w:p>
      <w:pPr>
        <w:spacing w:after="0" w:line="141" w:lineRule="exact"/>
        <w:rPr>
          <w:sz w:val="20"/>
          <w:szCs w:val="20"/>
          <w:color w:val="auto"/>
        </w:rPr>
      </w:pPr>
    </w:p>
    <w:p>
      <w:pPr>
        <w:ind w:right="140"/>
        <w:spacing w:after="0" w:line="380" w:lineRule="auto"/>
        <w:rPr>
          <w:sz w:val="20"/>
          <w:szCs w:val="20"/>
          <w:color w:val="auto"/>
        </w:rPr>
      </w:pPr>
      <w:r>
        <w:rPr>
          <w:rFonts w:ascii="Arial" w:cs="Arial" w:eastAsia="Arial" w:hAnsi="Arial"/>
          <w:sz w:val="10"/>
          <w:szCs w:val="10"/>
          <w:color w:val="auto"/>
        </w:rPr>
        <w:t>We believe the communications infrastructure industry in the United States is currently going through an upgrade cycle driven by consumers’ general desire for greater bandwidth and wireless services. These upgrades require significant capital expenditures, and we believe Uniti provides an attractive, non-competitive funding source for communication service providers to help accelerate the improvement and expansion of their networks at an attractive cost of capital.</w:t>
      </w:r>
    </w:p>
    <w:p>
      <w:pPr>
        <w:spacing w:after="0" w:line="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intend to support our tenant operators and other communication service providers by providing capital to them for a variety of purposes, including capacity augmentation projects, tower construction and network expansions. We expect to structure these investments as lease arrangements that produce additional rents.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Facilitate M&amp;A Transactions in the Communication Service Sector as a Capital Partner</w:t>
      </w:r>
    </w:p>
    <w:p>
      <w:pPr>
        <w:spacing w:after="0" w:line="15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We believe Uniti can provide cost efficient funds to potential acquirers in the communication service sector, and thereby facilitate M&amp;A transactions as a capital partner, including by partnering with operators through use of “OpCo-PropCo” structures, pursuant to we acquire the underlying network and other assets and the operator acquires the operations. The highly fragmented nature of the communication service sector is expected to result in more consolidation, which we believe will provide us ample opportunity to pursue these types of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Maintain Balance Sheet Strength and Liquidity</w:t>
      </w:r>
    </w:p>
    <w:p>
      <w:pPr>
        <w:spacing w:after="0" w:line="150"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We intend to maintain a strong balance sheet through disciplined use of leverage, aiming to lower our relative cost of capital over time, and continuing to have access to multiple sources of capital and liquidity. As of December 31, 2018, we had $38.0 million of unrestricted cash and cash equivalents, and $110 million of undrawn borrowing capacity under our revolving credit facility, although we have since drawn substantially all of our revolver capacity. As of December 31, 2018, with the exception of our revolving credit facility, all of our debt is either fixed-rate debt, or floating-rate debt that we have fixed through the use of interest rate swaps.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Competition</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like Windstream, to compete with other communication service providers.</w:t>
      </w:r>
    </w:p>
    <w:p>
      <w:pPr>
        <w:spacing w:after="0" w:line="143"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However, we believe we are positioned to identify and successfully capitalize on acquisition opportunities that meet our investment objectives and that we have significant competitive advantages that support our leadership position in owning, funding the construction of and leasing communications infrastructure, including: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First-Mover Advantage; Uniquely Positioned to Capitalize on Expansion Opportunities</w:t>
      </w:r>
    </w:p>
    <w:p>
      <w:pPr>
        <w:spacing w:after="0" w:line="150"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We are the first and only REIT primarily focused on the acquisition and construction of mission critical infrastructure in the communications industry. We believe this provides us with a significant first-mover competitive advantage to capitalize on the large and fragmented communications infrastructure industry. Additionally, we believe our position, scale and national reach will help us achieve operational efficiencies and support future growth opportunities.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Large Scale Anchor Tenant</w:t>
      </w:r>
    </w:p>
    <w:p>
      <w:pPr>
        <w:spacing w:after="0" w:line="141"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We believe the assets we lease to Windstream under the Master Lease are critical for Windstream to successfully run its business and operations, and that Windstream will need the assets subject to the Master Lease while it undergoes its restructuring as set forth under “Risk Factors”. Windstream, as our anchor tenant, provides us with a base of rent revenues as an initial platform for us to grow and diversify our portfolio and tenant base.</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Windstream is a publicly-traded company that provides advanced network communications and technology solutions for businesses across the United States. Windstream also offers broadband, entertainment and security solutions to consumers and small businesses primarily in rural areas. Windstream continues to operate the Distribution Systems, hold the associated regulatory licenses and own and operate other assets, including distribution systems in select states not included in the Spin-Off.</w:t>
      </w:r>
    </w:p>
    <w:p>
      <w:pPr>
        <w:spacing w:after="0" w:line="123" w:lineRule="exact"/>
        <w:rPr>
          <w:sz w:val="20"/>
          <w:szCs w:val="20"/>
          <w:color w:val="auto"/>
        </w:rPr>
      </w:pPr>
    </w:p>
    <w:p>
      <w:pPr>
        <w:jc w:val="both"/>
        <w:ind w:right="220"/>
        <w:spacing w:after="0" w:line="380" w:lineRule="auto"/>
        <w:rPr>
          <w:sz w:val="20"/>
          <w:szCs w:val="20"/>
          <w:color w:val="auto"/>
        </w:rPr>
      </w:pPr>
      <w:r>
        <w:rPr>
          <w:rFonts w:ascii="Arial" w:cs="Arial" w:eastAsia="Arial" w:hAnsi="Arial"/>
          <w:sz w:val="10"/>
          <w:szCs w:val="10"/>
          <w:color w:val="auto"/>
        </w:rPr>
        <w:t>Windstream has a diverse customer base, encompassing enterprise and small business customers, carriers and consumers. The Distribution Systems we lease to Windstream are located in 29 different states across the continental United States. The fiber assets in any one state do not account for more than 20% of the total route miles in our network. We believe this geographic diversification will limit the effect of changes in any one market on our overall performance.</w:t>
      </w:r>
    </w:p>
    <w:p>
      <w:pPr>
        <w:spacing w:after="0" w:line="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Windstream is subject to the reporting requirements of the SEC, which include the requirements to file annual reports containing audited financial information and quarterly reports containing unaudited financial information. Windstream’s filings with the SEC can be found at www.sec.gov. Windstream’s filings are not incorporated by reference into this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Strong Relationships with Communication Service Providers</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Members of our management team have developed an extensive network of relationships with qualified local, regional and national communication service providers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Experienced and Committed Management Team</w:t>
      </w:r>
    </w:p>
    <w:p>
      <w:pPr>
        <w:spacing w:after="0" w:line="150"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Our senior management team is comprised of veteran leaders with strong backgrounds in their respective disciplines. Our senior management team has extensive experience managing telecommunications operations, consummating mergers and acquisitions and accessing both debt and equity capital markets to fund growth and maintain a flexible capital structure.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Insurance</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We maintain, or will require in our leases (including the Master Lease), that our tenants maintain, all applicable lines of insurance on our properties and their operations. Under the Master Lease,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Master Lease, and such insurance may not be available at a reasonable cost in the future or fully cover all losses on our properties upon the occurrence of a catastrophic event. Moreover, we cannot guarantee the future financial viability of the insurers.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Employees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2018, we had 798 full-time employees. Except for 18 employees in Mexico, none of our employees are subject to a collective bargaining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Significant Customers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For the years ended December 31, 2018, 2017 and 2016, 68.2%, 74.8% and 87.9% of our revenues, respectively, were derived from leasing our Distribution Systems to Windstream Holdings pursuant to the Master Lease.</w:t>
      </w:r>
    </w:p>
    <w:p>
      <w:pPr>
        <w:spacing w:after="0" w:line="162"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On February 25, 2019, Windstream filed a voluntary petition for relief under Chapter 11 of the Bankruptcy Code in the U.S. Bankruptcy Court for the Southern District of New York. For a discussion of the impact that Windstream’s bankruptcy may have on the Master Lease, see Part I, Item 1A “Risk Factors” in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Government Regulation, Licensing and Enforcement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Telecommunications Regulatory Overview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Market Overview</w:t>
      </w:r>
    </w:p>
    <w:p>
      <w:pPr>
        <w:spacing w:after="0" w:line="150"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Our subsidiaries and our tenants operate in a regulated market.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and our tenants to civil, criminal and administrative sanctions. We expect that the telecommunications industry, in general, will continue to face increased regulation. Changes in laws and regulations and violations of federal or state laws or regulations by us or our tenants could have a significant direct or indirect effect on our operations and financial condition, as detailed below and set forth under “Risk Factors—Risks Related to Our Business.”</w:t>
      </w:r>
    </w:p>
    <w:p>
      <w:pPr>
        <w:spacing w:after="0" w:line="111"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Our operations require that certain of our subsidiaries across all segments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are required to provide notice and/or obtain prior approval from certain governmental agencies. Failure to obtain such approvals could subject us to fines or other penalties.</w:t>
      </w:r>
    </w:p>
    <w:p>
      <w:pPr>
        <w:spacing w:after="0" w:line="114"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Our subsidiaries are subject to a number of federal and state regulations that govern the way we can conduct our business. Such regulations also impose certain operating costs on our businesses. These regulations can include restrictions on pricing flexibility for certain products, minimum service quality standards, service reporting, intercarrier compensation, contributions to universal service, and other obligations.</w:t>
      </w:r>
    </w:p>
    <w:p>
      <w:pPr>
        <w:spacing w:after="0" w:line="115"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We have sought to structure the operations for our core real estate business in a manner that will not require us to become regulated as a public utility or common carrier by the FCC or PUCs, but a number of our business operations are nonetheless subject to federal, state, and local regulation, and we cannot guarantee that our core real estate business will not become further subject to federal, state, and local regulation in the future.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CLEC Business</w:t>
      </w:r>
    </w:p>
    <w:p>
      <w:pPr>
        <w:spacing w:after="0" w:line="141"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Talk America operates the Consumer CLEC Business as a reseller of telecommunication services pursuant to a Wholesale Master Services Agreement and a Master Service Agreement with Windstream. In almost all cases, Windstream does not own the underlying telecommunication facilities required to support the Consumer CLEC Business, rather it is a reseller of facility-based services pursuant to wholesale interconnection agreements with third-party carriers that own the underlying telecommunication facilities. Talk America is authorized and regulated as a CLEC and an interexchange (long-distance) service provider in most states where it has Consumer CLEC Business customers. These certifications subject Talk America to regulations requiring it to file and maintain tariffs for the rates charged to its Consumer CLEC Business customers for regulated services and to comply with service quality, service reporting and other regulatory obligations. Talk America’s ability to operate the Consumer CLEC Business is dependent on existing telecommunication regulations that allow access to such underlying facilities of other carriers at reasonable rates. The FCC is considering proposals to eliminate the requirement that incumbent local exchange carriers offer unbundled network elements to companies like Windstream and Talk America. We cannot predict how the FCC will resolve those proposals, nor whether such network elements will continue to be available in the future at the rates they are available today.</w:t>
      </w:r>
    </w:p>
    <w:p>
      <w:pPr>
        <w:spacing w:after="0" w:line="116"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These regulations would have limited the ways that broadband Internet access service providers could structure business arrangements and manage their networks and spurred additional restrictions, including rate regulation, which could adversely affect broadband investment and innovation. In 2017, the FCC voted to return broadband Internet access service to its prior classification as “information services.” As a result of these decisions, state legislators and governors have introduced, and in some cases passed, state laws and executive orders requiring different levels of adherence to “network neutrality” principles for broadband Internet access service providers active in the applicable states. As a result of these laws and regulations, it is unclear at this time how broadband services will be regulated in the future, and the potential impact those regulations may have on our broadband Internet service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Towers</w:t>
      </w:r>
    </w:p>
    <w:p>
      <w:pPr>
        <w:spacing w:after="0" w:line="150"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Uniti Towers is subject to international, federal, state and local regulatory requirements with respect to the registration, siting, construction, lighting, marking and maintenance of our towers. In the United States, the construction of new towers or modifications to existing towers may require pre-approval by the FCC and the Federal Aviation Administration (“FAA”), depending on factors such as tower height and proximity to public airfields. Towers requiring pre-approval must be registered with the FCC and maintained in accordance with FCC and FAA standards. Similar requirements regarding pre-approval of the construction and modification of towers are imposed by regulators in other countries where Uniti Towers owns and operates towers. Non-compliance with applicable tower-related requirements may lead to monetary penalties or site deconstruction orders.</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Regulatory regimes outside of the United States and its territories vary by country and locality; however, these regulations typically require approval from local officials or government agencies prior to tower construction or modification or the addition of a new antenna to an existing tower. Additionally, some regulations include ongoing obligations regarding painting, lighting and maintenance. Our international operations may also be subject to limitations on foreign ownership of land in certain areas. Non-compliance with such regulations may lead to monetary penalties or deconstruction orders. Our international operations are also subject to various regulations and guidelines regarding employee relations and other occupational health and safety matters.</w:t>
      </w:r>
    </w:p>
    <w:p>
      <w:pPr>
        <w:spacing w:after="0" w:line="125"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In all countries where Uniti Towers operates, it is subject to zoning restrictions and restrictive covenants imposed by local authorities or community organizations. While these regulations vary, they typically require approval from local authorities or community standards organizations prior to tower construction or the addition of a new antenna to an existing tower. Opposition by local zoning authorities and community residents can delay or prevent new tower construction or site upgrade projects, thereby increasing the costs and timing of new tower construction and modifications or site upgrades.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The failure to properly maintain towers pursuant to applicable regulatory requirements, such as but not limited to, lighting, painting, and other safety standards, can subject us to significant enforcement actions, including monetary penalties both within the United States and abroad.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Fiber</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Our subsidiaries that compose Uniti Fiber own and operate significant fiber and other communications backhaul facilities throughout various regions of the United States. The provision of such services is subject to FCC and PUC licensure in many jurisdictions, and the companies are typically licensed as CLECs and/or interexchange carriers in those states where they operate. The companies also hold various FCC wireless licenses in order to provide microwave backhaul services. Because of the nature of the licenses that these companies hold, and the nature of the services that they provide, they are subject to various federal and state regulatory requirements, including, but not limited to, revenue and other reporting requirements and tariffing requirements. The companies must also maintain their wireless licenses with the FCC, which requires construction and notification reporting and other regulatory requirements. New fiber network construction is also subject to certain state and local governmental permitting and licensing requirements. Delays in the local and state permitting process can delay the construction of new facilities. Failure to abide by permit requirements can subject the company to fines and other penalties.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Regulatory Changes</w:t>
      </w:r>
    </w:p>
    <w:p>
      <w:pPr>
        <w:spacing w:after="0" w:line="150" w:lineRule="exact"/>
        <w:rPr>
          <w:sz w:val="20"/>
          <w:szCs w:val="20"/>
          <w:color w:val="auto"/>
        </w:rPr>
      </w:pPr>
    </w:p>
    <w:p>
      <w:pPr>
        <w:jc w:val="both"/>
        <w:ind w:right="180"/>
        <w:spacing w:after="0" w:line="286" w:lineRule="auto"/>
        <w:rPr>
          <w:sz w:val="20"/>
          <w:szCs w:val="20"/>
          <w:color w:val="auto"/>
        </w:rPr>
      </w:pPr>
      <w:r>
        <w:rPr>
          <w:rFonts w:ascii="Arial" w:cs="Arial" w:eastAsia="Arial" w:hAnsi="Arial"/>
          <w:sz w:val="11"/>
          <w:szCs w:val="11"/>
          <w:color w:val="auto"/>
        </w:rPr>
        <w:t>Future revenues, costs and capital investment in the communication businesses of our tenants, Talk America, Uniti Fiber, Uniti Towers,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universal service fund (“USF”) support, rules governing the prices that can be charged for business data services, infrastructure location and siting rules, access to unbundled network elements, and other 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spacing w:after="0" w:line="111"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r>
        <w:rPr>
          <w:rFonts w:ascii="Arial" w:cs="Arial" w:eastAsia="Arial" w:hAnsi="Arial"/>
          <w:sz w:val="12"/>
          <w:szCs w:val="12"/>
          <w:i w:val="1"/>
          <w:iCs w:val="1"/>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Environmental Matters</w:t>
      </w:r>
    </w:p>
    <w:p>
      <w:pPr>
        <w:spacing w:after="0" w:line="172" w:lineRule="exact"/>
        <w:rPr>
          <w:sz w:val="20"/>
          <w:szCs w:val="20"/>
          <w:color w:val="auto"/>
        </w:rPr>
      </w:pPr>
    </w:p>
    <w:p>
      <w:pPr>
        <w:jc w:val="both"/>
        <w:ind w:right="60"/>
        <w:spacing w:after="0" w:line="283" w:lineRule="auto"/>
        <w:rPr>
          <w:sz w:val="20"/>
          <w:szCs w:val="20"/>
          <w:color w:val="auto"/>
        </w:rPr>
      </w:pPr>
      <w:r>
        <w:rPr>
          <w:rFonts w:ascii="Arial" w:cs="Arial" w:eastAsia="Arial" w:hAnsi="Arial"/>
          <w:sz w:val="11"/>
          <w:szCs w:val="11"/>
          <w:color w:val="auto"/>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Available Information</w:t>
      </w:r>
    </w:p>
    <w:p>
      <w:pPr>
        <w:spacing w:after="0" w:line="141"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Our principal executive offices are located at 10802 Executive Center Drive, Benton Building Suite 300, Little Rock, AR 72211 and our telephone number is (501) 850-0820. We maintain a website at www.uniti.com. Our Annual Reports on Form 10-K, Quarterly Reports on Form 10-Q, Current Reports on Form 8-K and any amendments to those reports filed or furnished pursuant to Section 13(a) or 15(d) of the Securities Exchange Act of 1934 (the “Exchange Act”) are available on our website, free of charge, as soon as reasonably practicable after we electronically file such materials with, or furnish them to, the SEC. Our Exchange Act filings can also be found at www.sec.gov.</w:t>
      </w:r>
    </w:p>
    <w:p>
      <w:pPr>
        <w:spacing w:after="0" w:line="10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 xml:space="preserve">Current copies of our Code of Business Conduct and Ethics &amp; Whistleblower Policy, Corporate Governance Guidelines, and the charters for our Audit, Compensation and Governance Committees are posted in the </w:t>
      </w:r>
      <w:r>
        <w:rPr>
          <w:rFonts w:ascii="Arial" w:cs="Arial" w:eastAsia="Arial" w:hAnsi="Arial"/>
          <w:sz w:val="12"/>
          <w:szCs w:val="12"/>
          <w:i w:val="1"/>
          <w:iCs w:val="1"/>
          <w:color w:val="auto"/>
        </w:rPr>
        <w:t>Corporate Governance</w:t>
      </w:r>
      <w:r>
        <w:rPr>
          <w:rFonts w:ascii="Arial" w:cs="Arial" w:eastAsia="Arial" w:hAnsi="Arial"/>
          <w:sz w:val="12"/>
          <w:szCs w:val="12"/>
          <w:color w:val="auto"/>
        </w:rPr>
        <w:t xml:space="preserve"> section of the About Us page of our website at www.uniti.com.</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We are dependent on Windstream Holdings to make payments to us under the Master Lease, and an event that materially and adversely affects Windstream’s business, financial position or results of operations, including as a result of its recent petition for relief under Chapter 11 of the Bankruptcy Code, could materially and adversely affect our business, financial position or results of operations.</w:t>
      </w:r>
    </w:p>
    <w:p>
      <w:pPr>
        <w:spacing w:after="0" w:line="115"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Windstream is the lessee of the Distribution Systems pursuant to the Master Lease and, therefore, is presently the source of a substantial portion of our revenues. There can be no assurance that Windstream will have sufficient assets, income and access to financing to enable it to satisfy its payment and other obligations under the Master Lease. In recent years, Windstream has experienced annual declines in its total revenue, sales and cash flow, and has had its credit ratings downgraded by nationally recognized credit rating agencies multiple times over the past 12 months. Windstream has been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In response to the adverse outcome, on February 25, 2019, Windstream filed a voluntary petition for relief under Chapter 11 of the Bankruptcy Code in the U.S. Bankruptcy Court for the Southern District of New York.</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In bankruptcy, Windstream has the option to assume or reject the Master Lease. We believe that the Master Lease is essential to Windstream’s operations, however it is difficult to predict what could occur in a bankruptcy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and pay dividends to our stockholders as required to maintain our status as a REIT.</w:t>
      </w:r>
    </w:p>
    <w:p>
      <w:pPr>
        <w:spacing w:after="0" w:line="111" w:lineRule="exact"/>
        <w:rPr>
          <w:sz w:val="20"/>
          <w:szCs w:val="20"/>
          <w:color w:val="auto"/>
        </w:rPr>
      </w:pPr>
    </w:p>
    <w:p>
      <w:pPr>
        <w:ind w:right="60"/>
        <w:spacing w:after="0" w:line="340" w:lineRule="auto"/>
        <w:rPr>
          <w:sz w:val="20"/>
          <w:szCs w:val="20"/>
          <w:color w:val="auto"/>
        </w:rPr>
      </w:pPr>
      <w:r>
        <w:rPr>
          <w:rFonts w:ascii="Arial" w:cs="Arial" w:eastAsia="Arial" w:hAnsi="Arial"/>
          <w:sz w:val="10"/>
          <w:szCs w:val="10"/>
          <w:color w:val="auto"/>
        </w:rPr>
        <w:t>In the event of a rejection of the Master Lease, we cannot assure you that we will be able to locate a suitable replacement tenant or if we are successful in locating a replacement tenant, that the rental payments from the new tenant would not be significantly less than the existing rental payments. In addition,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is substantial doubt about our ability to continue as a going concern.</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There is substantial doubt about our ability to continue as a going concern and in its opinion on our December 31, 2018 financial statements, PricewaterhouseCoopers LLP, our independent registered public accounting firm, expressed substantial doubt as to whether we could continue as a going concern within one year after the date the financial statements are issued as a result of Windstream’s bankruptcy petition and the bankruptcy’s uncertain effects on the Master Lease. Our financial statements do not include any adjustments that may result from the outcome of this uncertainty. While the outcome is uncertain, we expect Windstream will continue to perform on the Master Lease and believe the probability of Windstream rejecting the lease in bankruptcy to be remote because the Master Lease is central to Windstream’s operations. We intend to reduce our capital expenditures and dividend as well as seek external funding in order to sustain our operations. If we do not succeed in raising such funds and reducing such expenditures and if Windstream elects to reject the Master Lease, we could experience a material adverse effect on our business and our stockholders may lose some or all of their investment in us. In addition, a failure to provide 2018 audited financial statements without a going concern opinion to the lenders under our Credit Agreement by March 31, 2019 would constitute a breach of the covenants of our Credit Agreement and, unless such default is waived by our lenders, would constitute an immediate event of default. If an event of default were to occur under our Credit Agreement, the Credit Agreement’s administrative agent could declare all outstanding loans immediately due and payable. Such an acceleration would trigger cross-default provisions within the indentures governing our senior notes and thereby entitle the trustee and noteholders to accelerate the repayment of the senior notes.</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“Amendment”) to our Credit Agreement. During the pendency of Windstream’s bankruptcy, or at such earlier time when certain other conditions are specified, the Amendment generally limits our ability under the Credit Agreement to (i) prepay unsecured indebtedness and (ii) pay cash dividends in excess of 90% of our REIT taxable income, determined without regard to the dividends paid deduction and excluding any net capital gains. The Amendment also increases the interest rate on our Term Loan Facility, which will now bear a rate of LIBOR, subject to a 1.0% floor, plus an applicable margin equal to 5.0%, a 200 basis point increase over our previous rate. This increase will be in effect though the remaining term of the facility, which matures on October 24, 2022.</w:t>
      </w:r>
    </w:p>
    <w:p>
      <w:pPr>
        <w:spacing w:after="0" w:line="111" w:lineRule="exact"/>
        <w:rPr>
          <w:sz w:val="20"/>
          <w:szCs w:val="20"/>
          <w:color w:val="auto"/>
        </w:rPr>
      </w:pPr>
    </w:p>
    <w:p>
      <w:pPr>
        <w:ind w:right="580"/>
        <w:spacing w:after="0" w:line="380" w:lineRule="auto"/>
        <w:rPr>
          <w:sz w:val="20"/>
          <w:szCs w:val="20"/>
          <w:color w:val="auto"/>
        </w:rPr>
      </w:pPr>
      <w:r>
        <w:rPr>
          <w:rFonts w:ascii="Arial" w:cs="Arial" w:eastAsia="Arial" w:hAnsi="Arial"/>
          <w:sz w:val="10"/>
          <w:szCs w:val="10"/>
          <w:b w:val="1"/>
          <w:bCs w:val="1"/>
          <w:i w:val="1"/>
          <w:iCs w:val="1"/>
          <w:color w:val="auto"/>
        </w:rPr>
        <w:t>If the Spin-Off, together with certain related transactions, fails to qualify as a tax-free transaction for U.S. federal income tax purposes, both we and Windstream could be subject to significant tax liabilities and, in certain circumstances, we could be required to indemnify Windstream for material taxes pursuant to indemnification obligations under the tax matters agreement entered into in connection with the Spin-Off.</w:t>
      </w:r>
    </w:p>
    <w:p>
      <w:pPr>
        <w:spacing w:after="0" w:line="68"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Windstream received a private letter ruling (the “IRS Ruling”) from the Internal Revenue Service (the “IRS”) to the effect that, on the basis of certain facts presented and representations and assumptions set forth in the request submitted to the IRS, the Spin-Off will qualify as tax-free under Sections 355 and 368(a)(1)(D) of the Internal Revenue Code of 1986, as amended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and Windstream’s use of Uniti indebtedness and common stock to retire certain of Windstream’s indebtedness (the “debt exchanges”). Accordingly, the Spin-Off was conditioned upon the receipt by Windstream of a tax opinion from its counsel with respect to the requirements on which the IRS did not rule, which concluded that such requirements also should be satisfied. The tax opinion was based on, among other things, the IRS Ruling, then current law and certain representations and assumptions as to factual matters made by Windstream and us.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is not binding on the IRS or the courts, and the IRS or the courts may not agree with the tax opinion.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If the Spin-Off were determined to be taxable, Windstream would recognize taxable gain. Under the terms of the tax matters agreement entered into with Windstream in connection with the Spin-Off (the “Tax Matters Agreement”),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are not limited by any maximum amount and such amounts could be substantial. If we are required to indemnify Windstream under the circumstances set forth in the Tax Matters Agreement, we may also be subject to substantial tax liabilities.</w:t>
      </w:r>
    </w:p>
    <w:p>
      <w:pPr>
        <w:spacing w:after="0" w:line="13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addition, if the Spin-Off or the debt exchanges failed to qualify as tax free for U.S. federal income tax purposes, Windstream may incur significant tax liabilities that could materially affect Windstream’s ability to make payments under the Master Lease.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As of December 31, 2018, we had outstanding long term indebtedness of approximately $4.5 billion consisting of a combination of senior notes and term loans. Additionally, we have a revolving credit facility in an aggregate principal amount of up to $750 million, $110 million of which was undrawn as of December 31, 2018, provided by a syndicate of banks and other financial institutions. We have since drawn substantially all of our revolver capacity.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 Please see “Management’s Discussion and Analysis of Financial Condition and Results of Operations —Liquidity and Capital Resources—Credit Agreement” for information about the terms of the limited waiver we received from the lenders to our Credit Agreement.</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 addition, we continuously evaluate opportunities to refinance or repurchase existing debt. However, in light of recent developments and uncertainty surrounding Windstream and the effect of substantial doubt about our ability to continue as a going concern, there can be no assurance that any debt refinanced would be on similar or more favorable terms than our existing agreements. This would include the risk that interest rates could increase and/or there may be changes to our existing covenants.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anticipate that we will have sufficient access to liquidity to fund our cash needs; if we are unable to do so, we would need to reduce our spending and it could have an adverse effect on us.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anticipate continuing to invest in our network infrastructure across our Uniti Leasing, Uniti Fiber and Uniti Towers portfolios. We have also committed to spend $175 million on our proposed acquisition of Bluebird (for which we have obtained committed financing), net of the collection of prepaid rent. We anticipate declaring dividends for the 2019 tax year to comply with our REIT distribution requirements. We anticipate that we will partially finance these needs, together with operating expenses (including our debt service obligations) from our $38 million of cash on hand and $110 million of borrowing availability under the Revolving Credit Facility (although we have since drawn substantially all of our revolver capacity), cash flows provided by operating activities, together with funds anticipated from announced divestures.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09"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In light of recent developments and uncertainty surrounding Windstream, we may take measures to conserve cash as we anticipate that it may be difficult for us to access the capital markets at attractive rates until such uncertainty is clarified. Accordingly, we may elect to suspend, delay or reduce success-based capital expenditures and dividend payments to conserve cash and if necessary, we may pay one or more dividends that are required to maintain or REIT status in shares to the extent allowed under IRS REIT rules. If our assumptions are incorrect, we could need additional sources of liquidity to fund our cash needs and cannot assure that we will obtain them.</w:t>
      </w:r>
    </w:p>
    <w:p>
      <w:pPr>
        <w:spacing w:after="0" w:line="10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15"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We intend to pursue acquisitions of additional properties and seek acquisitions and other strategic opportunities. Accordingly, we currently are, and expect in the future to be, engaged in evaluating potential transactions and other strategic alternatives.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In light of Windstream developments, we may curtail our acquisition activities during the pendency of Windstream’s bankruptcy in an effort to conserve cash.</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62"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As the owner, lessor and provider of communications services and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150"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both"/>
        <w:ind w:right="80"/>
        <w:spacing w:after="0" w:line="255" w:lineRule="auto"/>
        <w:rPr>
          <w:sz w:val="20"/>
          <w:szCs w:val="20"/>
          <w:color w:val="auto"/>
        </w:rPr>
      </w:pPr>
      <w:r>
        <w:rPr>
          <w:rFonts w:ascii="Arial" w:cs="Arial" w:eastAsia="Arial" w:hAnsi="Arial"/>
          <w:sz w:val="12"/>
          <w:szCs w:val="12"/>
          <w:color w:val="auto"/>
        </w:rPr>
        <w:t>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determine that our goodwill has become impaired, we may incur impairment charges, which would negatively impact our operating results.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At December 31, 2018, we had $692.4 million of goodwill on our consolidated balance sheet. Goodwill represents the excess of cost over the fair value of net assets acquired in business combinations. We assess potential impairment of our goodwill at least annually. Impairment may result from significant changes in the manner of use of the acquired assets, negative industry or economic trends and/or any changes in key assumptions regarding our fair value, including any potential impacts of recent developments surrounding Windstream, as set forth in the first risk factor. Changes in these events and conditions or other assumptions could result in an impairment charge in the future, which could have a significant adverse impact on our reported earnings. For a discussion of our goodwill impairment testing, see “Critical Accounting Policies-Evaluation of Goodwill Impairment” in Part II, Item 7A-Management’s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foreign operations are subject to economic, political and other risks that could materially and adversely affect our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international business operations expose us to potential adverse financial and operational problems not typically experienced in the United States, including:</w:t>
      </w:r>
    </w:p>
    <w:p>
      <w:pPr>
        <w:spacing w:after="0" w:line="150" w:lineRule="exact"/>
        <w:rPr>
          <w:sz w:val="20"/>
          <w:szCs w:val="20"/>
          <w:color w:val="auto"/>
        </w:rPr>
      </w:pPr>
    </w:p>
    <w:p>
      <w:pPr>
        <w:ind w:left="1200" w:hanging="442"/>
        <w:spacing w:after="0"/>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international political, economic and legal conditions;</w:t>
      </w:r>
    </w:p>
    <w:p>
      <w:pPr>
        <w:spacing w:after="0" w:line="4"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compliance with foreign regulations and/or laws affecting operations and projects;</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difficulties in attracting and retaining staff and business partners to operate internationally;</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language and cultural barriers;</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seasonal reductions in business activities and operations in the countries where our international projects are located;</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integration of foreign operations;</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potential adverse tax consequences; and</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potential foreign currency fluctuations.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addition, many of our tenants in our international operations are subsidiaries of global telecommunications companies. These subsidiaries may not have the explicit or implied financial support of their parent entities. Any of these factors could adversely affect our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continued operations outside the United States increase the risk of violations of applicable anti-corruption laws in the future.</w:t>
      </w:r>
    </w:p>
    <w:p>
      <w:pPr>
        <w:spacing w:after="0" w:line="150"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Our internal policies provide for compliance with all applicable anti-corruption laws, but despite our training and compliance programs, we cannot ensure that our internal control policies and procedures will always protect us from unauthorized, reckless or criminal acts committed by our employees, agents or partners. A finding that the Company or its affiliates have violated the U.S. Foreign Corrupt Practices Act (“FCPA”) or similar foreign anti-corruption laws may result in severe criminal or civil sanctions, which could disrupt our business and result in a material adverse effect on our reputation, financial condition and results of operations.</w:t>
      </w:r>
    </w:p>
    <w:p>
      <w:pPr>
        <w:spacing w:after="0" w:line="105"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The Master Lease requires, and we expect that new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1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information technology in our operations, and any material failure, inadequacy, interruption or security failure of that technology could harm our business.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of Uniti Fiber’s physical infrastructure or services could lead to significant costs and disruptions.</w:t>
      </w:r>
    </w:p>
    <w:p>
      <w:pPr>
        <w:spacing w:after="0" w:line="150"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Uniti Fiber’s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Uniti Fiber’s networks or facilities, whether within our control or the control of third-party providers, could result in service interruptions or equipment damage. We may not be able to efficiently upgrade or change Uniti Fiber’s networks or facilities to meet new demands without incurring significant costs that we may not be able to pass on to customers. Given the service guarantees that may be included in Uniti Fiber’s agreements with customers, such disruptions could result in customer credits; however, we cannot assume that customers will accept these credits as compensation in the future, and we may face additional liability or loss of customers.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Status of Uniti as a REIT</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spacing w:after="0" w:line="115"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We operate as a REIT for U.S. federal income tax purposes. Our qualification as a REIT will depend on our satisfaction of certain highly technical and complex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we were to fail to qualify as a REIT in any taxable year, we would be subject to U.S. federal income tax on our taxable income at regular corporate rates and dividends paid to our stockholders would not be deductible by us in computing our taxable income. Any resulting corporate liability could be substantial and could reduce the amount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320"/>
        <w:spacing w:after="0" w:line="261" w:lineRule="auto"/>
        <w:rPr>
          <w:sz w:val="20"/>
          <w:szCs w:val="20"/>
          <w:color w:val="auto"/>
        </w:rPr>
      </w:pPr>
      <w:r>
        <w:rPr>
          <w:rFonts w:ascii="Arial" w:cs="Arial" w:eastAsia="Arial" w:hAnsi="Arial"/>
          <w:sz w:val="12"/>
          <w:szCs w:val="12"/>
          <w:color w:val="auto"/>
        </w:rPr>
        <w:t>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123"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In addition, as a result of the limited waiver and amendment to our Credit Agreement (discussed in the second risk factor) our ability to make cash distributions to our shareholders in amounts exceeding 90% of our REIT taxable income, determined without regard to the dividends paid deduction and excluding any capital gains, generally will be restricted.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other actions affecting REITs could have a negative effect on us.</w:t>
      </w:r>
    </w:p>
    <w:p>
      <w:pPr>
        <w:spacing w:after="0" w:line="150"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the TRSs.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fail to qualify as a REIT if income we receive from sale-leaseback transactions, such as income from Windstream pursuant to the Master Lease, is not treated as qualifying income.</w:t>
      </w:r>
    </w:p>
    <w:p>
      <w:pPr>
        <w:spacing w:after="0" w:line="150"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Master Lease, is not respected as a true lease for U.S. federal income tax purposes, we may fail to qualify as a REIT.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REIT distribution requirements could adversely affect our ability to execute our business plan, and we could elect to pay dividends substantially in the form of additional shares of our common stock.</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We generally must qualify as a REIT and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We currently intend to make distributions to our stockholders to comply with the REIT requirements of the Code. However, as indicated in the risk factors above, as a result of recent developments surrounding Windstream, we may suspend, delay or reduce our dividend to conserve cash, and during the pendency of Windstream’s bankruptcy, or at such earlier time when certain other conditions are specified, (discussed in the second risk factor) our ability to make cash distributions to our shareholders in amounts exceeding 90% of our REIT taxable income, determined without regard to the dividends paid deduction and excluding any net capital gains, generally will be restricted.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Our FFO is currently generated largely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developments surrounding Windstream could adversely affect our ability to continue to qualify as a REIT.</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addition to satisfying the distribution requirement described above in the immediately preceding risk factor, we must satisfy a number of other requirements in order to qualify as a REIT. Recent developments surrounding Windstream, as described above in the first risk factor, could adversely affect our ability to satisfy several of these requirements and thus our ability to continue to qualify as a REIT.</w:t>
      </w:r>
    </w:p>
    <w:p>
      <w:pPr>
        <w:spacing w:after="0" w:line="115"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For example, in order to qualify as a REIT for any year, at the end of each calendar quarter, at least 75% of the value of our assets must consist of cash, cash items, government securities and “real estate assets” (as defined in the 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Our ability to satisfy these requirements depends in substantial part on the value of the assets that are the subject of the Master Lease with Windstream, and any diminution in the value of such assets, including as a result of any diminution in the implied value of the Master Lease as a result of changes in the financial condition or creditworthiness of Windstream, Windstream’s rejection of the Master Lease in bankruptcy or Windstream’s inability or unwillingness to meet its rent and other obligations under the Master Lease, could adversely affect our ability to satisfy these requirements at the end of any calendar quarter, and there can be no assurance that we would be able to timely correct any such failure or otherwise qualify for any statutory relief provision.</w:t>
      </w:r>
    </w:p>
    <w:p>
      <w:pPr>
        <w:spacing w:after="0" w:line="100" w:lineRule="exact"/>
        <w:rPr>
          <w:sz w:val="20"/>
          <w:szCs w:val="20"/>
          <w:color w:val="auto"/>
        </w:rPr>
      </w:pPr>
    </w:p>
    <w:p>
      <w:pPr>
        <w:ind w:right="300"/>
        <w:spacing w:after="0" w:line="298" w:lineRule="auto"/>
        <w:rPr>
          <w:sz w:val="20"/>
          <w:szCs w:val="20"/>
          <w:color w:val="auto"/>
        </w:rPr>
      </w:pPr>
      <w:r>
        <w:rPr>
          <w:rFonts w:ascii="Arial" w:cs="Arial" w:eastAsia="Arial" w:hAnsi="Arial"/>
          <w:sz w:val="11"/>
          <w:szCs w:val="11"/>
          <w:color w:val="auto"/>
        </w:rPr>
        <w:t>In addition, under applicable provisions of the Code, we will not be treated as a REIT for any year unless we satisfy various requirements, including requirements relating to the sources of our gross income in such year. Our ability to satisfy these gross income tests depends in substantial part on our receipt of rents paid under the Master Lease. The rejection by Windstream of the Master Lease, Windstream’s inability or unwillingness to meet its rent and other obligations under the Master Lease, or any suspension, delay or other reduction in the amount of rent that we receive under the Master Lease could adversely affect our ability to qualify as a REIT.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remain qualified as a REIT, we may face other tax liabilities that reduce our cash flow.</w:t>
      </w:r>
    </w:p>
    <w:p>
      <w:pPr>
        <w:spacing w:after="0" w:line="150" w:lineRule="exact"/>
        <w:rPr>
          <w:sz w:val="20"/>
          <w:szCs w:val="20"/>
          <w:color w:val="auto"/>
        </w:rPr>
      </w:pPr>
    </w:p>
    <w:p>
      <w:pPr>
        <w:ind w:right="160"/>
        <w:spacing w:after="0" w:line="298" w:lineRule="auto"/>
        <w:rPr>
          <w:sz w:val="20"/>
          <w:szCs w:val="20"/>
          <w:color w:val="auto"/>
        </w:rPr>
      </w:pPr>
      <w:r>
        <w:rPr>
          <w:rFonts w:ascii="Arial" w:cs="Arial" w:eastAsia="Arial" w:hAnsi="Arial"/>
          <w:sz w:val="11"/>
          <w:szCs w:val="11"/>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the REIT requirements may cause us to forego otherwise attractive acquisition opportunities.</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guarantee our ability to pay dividends in the future.</w:t>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To qualify as a REIT, our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ensure that we will achieve investment results that will allow us to make a specified level of cash dividends or year-to-year increases in cash dividends in the future. As a result of recent actions related to Windstream, as set forth in the first risk factor, we may choose to reduce or suspend our dividend for a period of time until the situation is clarified. Moreover, during the pendency of Windstream’s bankruptcy, or at such earlier time when certain other conditions are specified, (discussed in the second risk factor and “Risks Related to the Status of Uniti as a REIT – REIT distribution requirements could adversely affect our ability to execute our business plan”) our ability to make cash distributions to our shareholders in amounts exceeding 90% of our REIT taxable income, determined without regard to the dividends paid deduction and excluding any net capital gains, generally will be restricted.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Furthermore, while we are required to pay dividends in order to maintain our REIT status (as described above under “Risks Related to the Status of Uniti as a REIT—REIT distribution requirements could adversely affect our ability to execute our business plan”),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and trading volume of our common stock may fluctuate widely.</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We cannot predict the prices at which our common stock may trade. The market price of our common stock has fluctuated significantly since February 15, 2019 and may continue to fluctuate significantly, depending upon many factors, some of which may be beyond our control, including the collateral consequences that have resulted, or could result, from Windstream’s bankruptcy.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Uniti and its subsidiaries own approximately 112,300 fiber network route miles, representing approximately 5.6 million fiber strand miles, approximately 215,100 route miles of copper cable lines, central office land and buildings across 42 states and beneficial rights to permits, pole agreements and easements.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Leasing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Uniti Leasing’s network properties include its fiber route miles and copper route miles. Below is a geographic distribution summary as of December 31, 2018:</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22" w:name="page23"/>
    <w:bookmarkEnd w:id="2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88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240" w:type="dxa"/>
            <w:vAlign w:val="bottom"/>
          </w:tcPr>
          <w:p>
            <w:pPr>
              <w:ind w:left="440"/>
              <w:spacing w:after="0"/>
              <w:rPr>
                <w:sz w:val="20"/>
                <w:szCs w:val="20"/>
                <w:color w:val="auto"/>
              </w:rPr>
            </w:pPr>
            <w:r>
              <w:rPr>
                <w:rFonts w:ascii="Arial" w:cs="Arial" w:eastAsia="Arial" w:hAnsi="Arial"/>
                <w:sz w:val="10"/>
                <w:szCs w:val="10"/>
                <w:b w:val="1"/>
                <w:bCs w:val="1"/>
                <w:color w:val="auto"/>
                <w:w w:val="93"/>
              </w:rPr>
              <w:t>Fiber Route Miles</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ind w:left="400"/>
              <w:spacing w:after="0"/>
              <w:rPr>
                <w:sz w:val="20"/>
                <w:szCs w:val="20"/>
                <w:color w:val="auto"/>
              </w:rPr>
            </w:pPr>
            <w:r>
              <w:rPr>
                <w:rFonts w:ascii="Arial" w:cs="Arial" w:eastAsia="Arial" w:hAnsi="Arial"/>
                <w:sz w:val="10"/>
                <w:szCs w:val="10"/>
                <w:b w:val="1"/>
                <w:bCs w:val="1"/>
                <w:color w:val="auto"/>
                <w:w w:val="87"/>
              </w:rPr>
              <w:t>Copper Route Miles</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2"/>
          </w:tcPr>
          <w:p>
            <w:pPr>
              <w:ind w:left="440"/>
              <w:spacing w:after="0"/>
              <w:rPr>
                <w:sz w:val="20"/>
                <w:szCs w:val="20"/>
                <w:color w:val="auto"/>
              </w:rPr>
            </w:pPr>
            <w:r>
              <w:rPr>
                <w:rFonts w:ascii="Arial" w:cs="Arial" w:eastAsia="Arial" w:hAnsi="Arial"/>
                <w:sz w:val="10"/>
                <w:szCs w:val="10"/>
                <w:b w:val="1"/>
                <w:bCs w:val="1"/>
                <w:color w:val="auto"/>
              </w:rPr>
              <w:t>Total Route Miles</w:t>
            </w:r>
          </w:p>
        </w:tc>
      </w:tr>
      <w:tr>
        <w:trPr>
          <w:trHeight w:val="151"/>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GA</w:t>
            </w:r>
          </w:p>
        </w:tc>
        <w:tc>
          <w:tcPr>
            <w:tcW w:w="124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28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43,800</w:t>
            </w:r>
          </w:p>
        </w:tc>
        <w:tc>
          <w:tcPr>
            <w:tcW w:w="280" w:type="dxa"/>
            <w:vAlign w:val="bottom"/>
            <w:tcBorders>
              <w:top w:val="single" w:sz="8" w:color="CFF0FC"/>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53,800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TX</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9,500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33,400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42,900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IA</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KY</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8,200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30,200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38,400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NC</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IL</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3,700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3,700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OH</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AR</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11,100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14,500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IN</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FL</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7,700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9,900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MI</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WI</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2,100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CA</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OK</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1,700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10,800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12,500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MO</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PA</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1,500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TN</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NM</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1,100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VA</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WV</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900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AL</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NV</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2,900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CO</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AZ</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OR</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KS</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WY</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FF0FC"/>
          </w:tcPr>
          <w:p>
            <w:pPr>
              <w:spacing w:after="0"/>
              <w:rPr>
                <w:sz w:val="14"/>
                <w:szCs w:val="14"/>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2"/>
                <w:szCs w:val="12"/>
                <w:color w:val="auto"/>
              </w:rPr>
              <w:t>MS</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1,800</w:t>
            </w:r>
          </w:p>
        </w:tc>
        <w:tc>
          <w:tcPr>
            <w:tcW w:w="120" w:type="dxa"/>
            <w:vAlign w:val="bottom"/>
          </w:tcPr>
          <w:p>
            <w:pPr>
              <w:spacing w:after="0"/>
              <w:rPr>
                <w:sz w:val="14"/>
                <w:szCs w:val="14"/>
                <w:color w:val="auto"/>
              </w:rPr>
            </w:pPr>
          </w:p>
        </w:tc>
      </w:tr>
      <w:tr>
        <w:trPr>
          <w:trHeight w:val="16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24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280" w:type="dxa"/>
            <w:vAlign w:val="bottom"/>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1,100</w:t>
            </w:r>
          </w:p>
        </w:tc>
        <w:tc>
          <w:tcPr>
            <w:tcW w:w="120" w:type="dxa"/>
            <w:vAlign w:val="bottom"/>
            <w:shd w:val="clear" w:color="auto" w:fill="CFF0FC"/>
          </w:tcPr>
          <w:p>
            <w:pPr>
              <w:spacing w:after="0"/>
              <w:rPr>
                <w:sz w:val="14"/>
                <w:szCs w:val="14"/>
                <w:color w:val="auto"/>
              </w:rPr>
            </w:pPr>
          </w:p>
        </w:tc>
      </w:tr>
      <w:tr>
        <w:trPr>
          <w:trHeight w:val="151"/>
        </w:trPr>
        <w:tc>
          <w:tcPr>
            <w:tcW w:w="5880" w:type="dxa"/>
            <w:vAlign w:val="bottom"/>
          </w:tcPr>
          <w:p>
            <w:pPr>
              <w:spacing w:after="0"/>
              <w:rPr>
                <w:sz w:val="20"/>
                <w:szCs w:val="20"/>
                <w:color w:val="auto"/>
              </w:rPr>
            </w:pPr>
            <w:r>
              <w:rPr>
                <w:rFonts w:ascii="Arial" w:cs="Arial" w:eastAsia="Arial" w:hAnsi="Arial"/>
                <w:sz w:val="12"/>
                <w:szCs w:val="12"/>
                <w:color w:val="auto"/>
              </w:rPr>
              <w:t>Total</w:t>
            </w:r>
          </w:p>
        </w:tc>
        <w:tc>
          <w:tcPr>
            <w:tcW w:w="1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77,000</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215,200</w:t>
            </w: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292,200</w:t>
            </w:r>
          </w:p>
        </w:tc>
        <w:tc>
          <w:tcPr>
            <w:tcW w:w="120" w:type="dxa"/>
            <w:vAlign w:val="bottom"/>
          </w:tcPr>
          <w:p>
            <w:pPr>
              <w:spacing w:after="0"/>
              <w:rPr>
                <w:sz w:val="13"/>
                <w:szCs w:val="13"/>
                <w:color w:val="auto"/>
              </w:rPr>
            </w:pPr>
          </w:p>
        </w:tc>
      </w:tr>
    </w:tbl>
    <w:p>
      <w:pPr>
        <w:spacing w:after="0" w:line="9" w:lineRule="exact"/>
        <w:rPr>
          <w:sz w:val="20"/>
          <w:szCs w:val="20"/>
          <w:color w:val="auto"/>
        </w:rPr>
      </w:pPr>
    </w:p>
    <w:p>
      <w:pPr>
        <w:ind w:left="148" w:hanging="148"/>
        <w:spacing w:after="0"/>
        <w:tabs>
          <w:tab w:leader="none" w:pos="148" w:val="left"/>
        </w:tabs>
        <w:numPr>
          <w:ilvl w:val="0"/>
          <w:numId w:val="6"/>
        </w:numPr>
        <w:rPr>
          <w:rFonts w:ascii="Arial" w:cs="Arial" w:eastAsia="Arial" w:hAnsi="Arial"/>
          <w:sz w:val="10"/>
          <w:szCs w:val="10"/>
          <w:color w:val="auto"/>
        </w:rPr>
      </w:pPr>
      <w:r>
        <w:rPr>
          <w:rFonts w:ascii="Arial" w:cs="Arial" w:eastAsia="Arial" w:hAnsi="Arial"/>
          <w:sz w:val="12"/>
          <w:szCs w:val="12"/>
          <w:color w:val="auto"/>
        </w:rPr>
        <w:t>Includes 13 states.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Fiber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Uniti Fiber’s network properties include its fiber route miles and wireless communication towers. Below is a geographic distribution summary 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4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Location</w:t>
            </w:r>
          </w:p>
        </w:tc>
        <w:tc>
          <w:tcPr>
            <w:tcW w:w="6360" w:type="dxa"/>
            <w:vAlign w:val="bottom"/>
            <w:tcBorders>
              <w:bottom w:val="single" w:sz="8" w:color="CFF0FC"/>
            </w:tcBorders>
          </w:tcPr>
          <w:p>
            <w:pPr>
              <w:spacing w:after="0"/>
              <w:rPr>
                <w:sz w:val="10"/>
                <w:szCs w:val="10"/>
                <w:color w:val="auto"/>
              </w:rPr>
            </w:pPr>
          </w:p>
        </w:tc>
        <w:tc>
          <w:tcPr>
            <w:tcW w:w="16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Fiber Route Miles</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GA</w:t>
            </w:r>
          </w:p>
        </w:tc>
        <w:tc>
          <w:tcPr>
            <w:tcW w:w="80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5,700</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LA</w:t>
            </w:r>
          </w:p>
        </w:tc>
        <w:tc>
          <w:tcPr>
            <w:tcW w:w="8020" w:type="dxa"/>
            <w:vAlign w:val="bottom"/>
            <w:gridSpan w:val="2"/>
          </w:tcPr>
          <w:p>
            <w:pPr>
              <w:jc w:val="right"/>
              <w:spacing w:after="0"/>
              <w:rPr>
                <w:sz w:val="20"/>
                <w:szCs w:val="20"/>
                <w:color w:val="auto"/>
              </w:rPr>
            </w:pPr>
            <w:r>
              <w:rPr>
                <w:rFonts w:ascii="Arial" w:cs="Arial" w:eastAsia="Arial" w:hAnsi="Arial"/>
                <w:sz w:val="12"/>
                <w:szCs w:val="12"/>
                <w:color w:val="auto"/>
              </w:rPr>
              <w:t>5,500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FL</w:t>
            </w:r>
          </w:p>
        </w:tc>
        <w:tc>
          <w:tcPr>
            <w:tcW w:w="80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5,100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PA</w:t>
            </w:r>
          </w:p>
        </w:tc>
        <w:tc>
          <w:tcPr>
            <w:tcW w:w="8020" w:type="dxa"/>
            <w:vAlign w:val="bottom"/>
            <w:gridSpan w:val="2"/>
          </w:tcPr>
          <w:p>
            <w:pPr>
              <w:jc w:val="right"/>
              <w:spacing w:after="0"/>
              <w:rPr>
                <w:sz w:val="20"/>
                <w:szCs w:val="20"/>
                <w:color w:val="auto"/>
              </w:rPr>
            </w:pPr>
            <w:r>
              <w:rPr>
                <w:rFonts w:ascii="Arial" w:cs="Arial" w:eastAsia="Arial" w:hAnsi="Arial"/>
                <w:sz w:val="12"/>
                <w:szCs w:val="12"/>
                <w:color w:val="auto"/>
              </w:rPr>
              <w:t>4,400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AL</w:t>
            </w:r>
          </w:p>
        </w:tc>
        <w:tc>
          <w:tcPr>
            <w:tcW w:w="80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MS</w:t>
            </w:r>
          </w:p>
        </w:tc>
        <w:tc>
          <w:tcPr>
            <w:tcW w:w="8020" w:type="dxa"/>
            <w:vAlign w:val="bottom"/>
            <w:gridSpan w:val="2"/>
          </w:tcPr>
          <w:p>
            <w:pPr>
              <w:jc w:val="right"/>
              <w:spacing w:after="0"/>
              <w:rPr>
                <w:sz w:val="20"/>
                <w:szCs w:val="20"/>
                <w:color w:val="auto"/>
              </w:rPr>
            </w:pPr>
            <w:r>
              <w:rPr>
                <w:rFonts w:ascii="Arial" w:cs="Arial" w:eastAsia="Arial" w:hAnsi="Arial"/>
                <w:sz w:val="12"/>
                <w:szCs w:val="12"/>
                <w:color w:val="auto"/>
              </w:rPr>
              <w:t>2,800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IL</w:t>
            </w:r>
          </w:p>
        </w:tc>
        <w:tc>
          <w:tcPr>
            <w:tcW w:w="80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VA</w:t>
            </w:r>
          </w:p>
        </w:tc>
        <w:tc>
          <w:tcPr>
            <w:tcW w:w="8020" w:type="dxa"/>
            <w:vAlign w:val="bottom"/>
            <w:gridSpan w:val="2"/>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NY</w:t>
            </w:r>
          </w:p>
        </w:tc>
        <w:tc>
          <w:tcPr>
            <w:tcW w:w="80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TX</w:t>
            </w:r>
          </w:p>
        </w:tc>
        <w:tc>
          <w:tcPr>
            <w:tcW w:w="8020" w:type="dxa"/>
            <w:vAlign w:val="bottom"/>
            <w:gridSpan w:val="2"/>
          </w:tcPr>
          <w:p>
            <w:pPr>
              <w:jc w:val="right"/>
              <w:spacing w:after="0"/>
              <w:rPr>
                <w:sz w:val="20"/>
                <w:szCs w:val="20"/>
                <w:color w:val="auto"/>
              </w:rPr>
            </w:pPr>
            <w:r>
              <w:rPr>
                <w:rFonts w:ascii="Arial" w:cs="Arial" w:eastAsia="Arial" w:hAnsi="Arial"/>
                <w:sz w:val="12"/>
                <w:szCs w:val="12"/>
                <w:color w:val="auto"/>
              </w:rPr>
              <w:t>900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6360" w:type="dxa"/>
            <w:vAlign w:val="bottom"/>
            <w:shd w:val="clear" w:color="auto" w:fill="CFF0FC"/>
          </w:tcPr>
          <w:p>
            <w:pPr>
              <w:spacing w:after="0"/>
              <w:rPr>
                <w:sz w:val="13"/>
                <w:szCs w:val="13"/>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340" w:type="dxa"/>
            <w:vAlign w:val="bottom"/>
          </w:tcPr>
          <w:p>
            <w:pPr>
              <w:spacing w:after="0"/>
              <w:rPr>
                <w:sz w:val="20"/>
                <w:szCs w:val="20"/>
                <w:color w:val="auto"/>
              </w:rPr>
            </w:pPr>
            <w:r>
              <w:rPr>
                <w:rFonts w:ascii="Arial" w:cs="Arial" w:eastAsia="Arial" w:hAnsi="Arial"/>
                <w:sz w:val="12"/>
                <w:szCs w:val="12"/>
                <w:color w:val="auto"/>
              </w:rPr>
              <w:t>Total</w:t>
            </w:r>
          </w:p>
        </w:tc>
        <w:tc>
          <w:tcPr>
            <w:tcW w:w="8020" w:type="dxa"/>
            <w:vAlign w:val="bottom"/>
            <w:gridSpan w:val="2"/>
          </w:tcPr>
          <w:p>
            <w:pPr>
              <w:jc w:val="right"/>
              <w:spacing w:after="0"/>
              <w:rPr>
                <w:sz w:val="20"/>
                <w:szCs w:val="20"/>
                <w:color w:val="auto"/>
              </w:rPr>
            </w:pPr>
            <w:r>
              <w:rPr>
                <w:rFonts w:ascii="Arial" w:cs="Arial" w:eastAsia="Arial" w:hAnsi="Arial"/>
                <w:sz w:val="12"/>
                <w:szCs w:val="12"/>
                <w:color w:val="auto"/>
              </w:rPr>
              <w:t>35,300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2"/>
                <w:szCs w:val="12"/>
                <w:color w:val="auto"/>
              </w:rPr>
              <w:t>Includes 14 states.</w:t>
            </w:r>
          </w:p>
        </w:tc>
        <w:tc>
          <w:tcPr>
            <w:tcW w:w="6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8"/>
        </w:trPr>
        <w:tc>
          <w:tcPr>
            <w:tcW w:w="3340" w:type="dxa"/>
            <w:vAlign w:val="bottom"/>
          </w:tcPr>
          <w:p>
            <w:pPr>
              <w:spacing w:after="0"/>
              <w:rPr>
                <w:sz w:val="24"/>
                <w:szCs w:val="24"/>
                <w:color w:val="auto"/>
              </w:rPr>
            </w:pPr>
          </w:p>
        </w:tc>
        <w:tc>
          <w:tcPr>
            <w:tcW w:w="6360" w:type="dxa"/>
            <w:vAlign w:val="bottom"/>
          </w:tcPr>
          <w:p>
            <w:pPr>
              <w:jc w:val="right"/>
              <w:ind w:right="3840"/>
              <w:spacing w:after="0"/>
              <w:rPr>
                <w:sz w:val="20"/>
                <w:szCs w:val="20"/>
                <w:color w:val="auto"/>
              </w:rPr>
            </w:pPr>
            <w:r>
              <w:rPr>
                <w:rFonts w:ascii="Arial" w:cs="Arial" w:eastAsia="Arial" w:hAnsi="Arial"/>
                <w:sz w:val="12"/>
                <w:szCs w:val="12"/>
                <w:color w:val="auto"/>
              </w:rPr>
              <w:t>24</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340" w:type="dxa"/>
            <w:vAlign w:val="bottom"/>
            <w:tcBorders>
              <w:bottom w:val="single" w:sz="8" w:color="9A9A9A"/>
            </w:tcBorders>
          </w:tcPr>
          <w:p>
            <w:pPr>
              <w:spacing w:after="0"/>
              <w:rPr>
                <w:sz w:val="6"/>
                <w:szCs w:val="6"/>
                <w:color w:val="auto"/>
              </w:rPr>
            </w:pPr>
          </w:p>
        </w:tc>
        <w:tc>
          <w:tcPr>
            <w:tcW w:w="636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Towers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Uniti Towers’ network properties include its wireless communication towers. Below is a geographic distribution summary 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70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780" w:type="dxa"/>
            <w:vAlign w:val="bottom"/>
            <w:gridSpan w:val="2"/>
          </w:tcPr>
          <w:p>
            <w:pPr>
              <w:ind w:left="680"/>
              <w:spacing w:after="0"/>
              <w:rPr>
                <w:sz w:val="20"/>
                <w:szCs w:val="20"/>
                <w:color w:val="auto"/>
              </w:rPr>
            </w:pPr>
            <w:r>
              <w:rPr>
                <w:rFonts w:ascii="Arial" w:cs="Arial" w:eastAsia="Arial" w:hAnsi="Arial"/>
                <w:sz w:val="10"/>
                <w:szCs w:val="10"/>
                <w:b w:val="1"/>
                <w:bCs w:val="1"/>
                <w:color w:val="auto"/>
              </w:rPr>
              <w:t>Towers</w:t>
            </w:r>
          </w:p>
        </w:tc>
      </w:tr>
      <w:tr>
        <w:trPr>
          <w:trHeight w:val="142"/>
        </w:trPr>
        <w:tc>
          <w:tcPr>
            <w:tcW w:w="9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LA</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TX</w:t>
            </w:r>
          </w:p>
        </w:tc>
        <w:tc>
          <w:tcPr>
            <w:tcW w:w="1660" w:type="dxa"/>
            <w:vAlign w:val="bottom"/>
          </w:tcPr>
          <w:p>
            <w:pPr>
              <w:jc w:val="right"/>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WI</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IL</w:t>
            </w:r>
          </w:p>
        </w:tc>
        <w:tc>
          <w:tcPr>
            <w:tcW w:w="166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AR</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AL</w:t>
            </w:r>
          </w:p>
        </w:tc>
        <w:tc>
          <w:tcPr>
            <w:tcW w:w="166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NM</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MS</w:t>
            </w:r>
          </w:p>
        </w:tc>
        <w:tc>
          <w:tcPr>
            <w:tcW w:w="166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GA</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NE</w:t>
            </w:r>
          </w:p>
        </w:tc>
        <w:tc>
          <w:tcPr>
            <w:tcW w:w="166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KY</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MN</w:t>
            </w:r>
          </w:p>
        </w:tc>
        <w:tc>
          <w:tcPr>
            <w:tcW w:w="166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OK</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PA</w:t>
            </w:r>
          </w:p>
        </w:tc>
        <w:tc>
          <w:tcPr>
            <w:tcW w:w="166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TN</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OH</w:t>
            </w:r>
          </w:p>
        </w:tc>
        <w:tc>
          <w:tcPr>
            <w:tcW w:w="166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NC</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SC</w:t>
            </w:r>
          </w:p>
        </w:tc>
        <w:tc>
          <w:tcPr>
            <w:tcW w:w="166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3"/>
                <w:szCs w:val="13"/>
                <w:color w:val="auto"/>
              </w:rPr>
            </w:pPr>
          </w:p>
        </w:tc>
      </w:tr>
      <w:tr>
        <w:trPr>
          <w:trHeight w:val="142"/>
        </w:trPr>
        <w:tc>
          <w:tcPr>
            <w:tcW w:w="9700" w:type="dxa"/>
            <w:vAlign w:val="bottom"/>
          </w:tcPr>
          <w:p>
            <w:pPr>
              <w:spacing w:after="0"/>
              <w:rPr>
                <w:sz w:val="20"/>
                <w:szCs w:val="20"/>
                <w:color w:val="auto"/>
              </w:rPr>
            </w:pPr>
            <w:r>
              <w:rPr>
                <w:rFonts w:ascii="Arial" w:cs="Arial" w:eastAsia="Arial" w:hAnsi="Arial"/>
                <w:sz w:val="12"/>
                <w:szCs w:val="12"/>
                <w:color w:val="auto"/>
              </w:rPr>
              <w:t>Total Domestic</w:t>
            </w:r>
          </w:p>
        </w:tc>
        <w:tc>
          <w:tcPr>
            <w:tcW w:w="1660" w:type="dxa"/>
            <w:vAlign w:val="bottom"/>
          </w:tcPr>
          <w:p>
            <w:pPr>
              <w:jc w:val="right"/>
              <w:spacing w:after="0"/>
              <w:rPr>
                <w:sz w:val="20"/>
                <w:szCs w:val="20"/>
                <w:color w:val="auto"/>
              </w:rPr>
            </w:pPr>
            <w:r>
              <w:rPr>
                <w:rFonts w:ascii="Arial" w:cs="Arial" w:eastAsia="Arial" w:hAnsi="Arial"/>
                <w:sz w:val="12"/>
                <w:szCs w:val="12"/>
                <w:color w:val="auto"/>
              </w:rPr>
              <w:t>430</w:t>
            </w:r>
          </w:p>
        </w:tc>
        <w:tc>
          <w:tcPr>
            <w:tcW w:w="120" w:type="dxa"/>
            <w:vAlign w:val="bottom"/>
          </w:tcPr>
          <w:p>
            <w:pPr>
              <w:spacing w:after="0"/>
              <w:rPr>
                <w:sz w:val="12"/>
                <w:szCs w:val="12"/>
                <w:color w:val="auto"/>
              </w:rPr>
            </w:pPr>
          </w:p>
        </w:tc>
      </w:tr>
      <w:tr>
        <w:trPr>
          <w:trHeight w:val="153"/>
        </w:trPr>
        <w:tc>
          <w:tcPr>
            <w:tcW w:w="970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Pr>
          <w:p>
            <w:pPr>
              <w:spacing w:after="0"/>
              <w:rPr>
                <w:sz w:val="20"/>
                <w:szCs w:val="20"/>
                <w:color w:val="auto"/>
              </w:rPr>
            </w:pPr>
            <w:r>
              <w:rPr>
                <w:rFonts w:ascii="Arial" w:cs="Arial" w:eastAsia="Arial" w:hAnsi="Arial"/>
                <w:sz w:val="12"/>
                <w:szCs w:val="12"/>
                <w:color w:val="auto"/>
              </w:rPr>
              <w:t>Mexico</w:t>
            </w:r>
          </w:p>
        </w:tc>
        <w:tc>
          <w:tcPr>
            <w:tcW w:w="1660" w:type="dxa"/>
            <w:vAlign w:val="bottom"/>
          </w:tcPr>
          <w:p>
            <w:pPr>
              <w:jc w:val="right"/>
              <w:spacing w:after="0"/>
              <w:rPr>
                <w:sz w:val="20"/>
                <w:szCs w:val="20"/>
                <w:color w:val="auto"/>
              </w:rPr>
            </w:pPr>
            <w:r>
              <w:rPr>
                <w:rFonts w:ascii="Arial" w:cs="Arial" w:eastAsia="Arial" w:hAnsi="Arial"/>
                <w:sz w:val="12"/>
                <w:szCs w:val="12"/>
                <w:color w:val="auto"/>
              </w:rPr>
              <w:t>342</w:t>
            </w:r>
          </w:p>
        </w:tc>
        <w:tc>
          <w:tcPr>
            <w:tcW w:w="120" w:type="dxa"/>
            <w:vAlign w:val="bottom"/>
          </w:tcPr>
          <w:p>
            <w:pPr>
              <w:spacing w:after="0"/>
              <w:rPr>
                <w:sz w:val="13"/>
                <w:szCs w:val="13"/>
                <w:color w:val="auto"/>
              </w:rPr>
            </w:pPr>
          </w:p>
        </w:tc>
      </w:tr>
      <w:tr>
        <w:trPr>
          <w:trHeight w:val="153"/>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Colombia</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120" w:type="dxa"/>
            <w:vAlign w:val="bottom"/>
            <w:shd w:val="clear" w:color="auto" w:fill="CFF0FC"/>
          </w:tcPr>
          <w:p>
            <w:pPr>
              <w:spacing w:after="0"/>
              <w:rPr>
                <w:sz w:val="13"/>
                <w:szCs w:val="13"/>
                <w:color w:val="auto"/>
              </w:rPr>
            </w:pPr>
          </w:p>
        </w:tc>
      </w:tr>
      <w:tr>
        <w:trPr>
          <w:trHeight w:val="153"/>
        </w:trPr>
        <w:tc>
          <w:tcPr>
            <w:tcW w:w="97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Nicaragua</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120" w:type="dxa"/>
            <w:vAlign w:val="bottom"/>
            <w:tcBorders>
              <w:bottom w:val="single" w:sz="8" w:color="CFF0FC"/>
            </w:tcBorders>
          </w:tcPr>
          <w:p>
            <w:pPr>
              <w:spacing w:after="0"/>
              <w:rPr>
                <w:sz w:val="13"/>
                <w:szCs w:val="13"/>
                <w:color w:val="auto"/>
              </w:rPr>
            </w:pPr>
          </w:p>
        </w:tc>
      </w:tr>
      <w:tr>
        <w:trPr>
          <w:trHeight w:val="142"/>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Total International</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w:t>
            </w:r>
          </w:p>
        </w:tc>
        <w:tc>
          <w:tcPr>
            <w:tcW w:w="120" w:type="dxa"/>
            <w:vAlign w:val="bottom"/>
            <w:shd w:val="clear" w:color="auto" w:fill="CFF0FC"/>
          </w:tcPr>
          <w:p>
            <w:pPr>
              <w:spacing w:after="0"/>
              <w:rPr>
                <w:sz w:val="12"/>
                <w:szCs w:val="12"/>
                <w:color w:val="auto"/>
              </w:rPr>
            </w:pPr>
          </w:p>
        </w:tc>
      </w:tr>
      <w:tr>
        <w:trPr>
          <w:trHeight w:val="153"/>
        </w:trPr>
        <w:tc>
          <w:tcPr>
            <w:tcW w:w="970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42"/>
        </w:trPr>
        <w:tc>
          <w:tcPr>
            <w:tcW w:w="970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928</w:t>
            </w:r>
          </w:p>
        </w:tc>
        <w:tc>
          <w:tcPr>
            <w:tcW w:w="120" w:type="dxa"/>
            <w:vAlign w:val="bottom"/>
            <w:shd w:val="clear" w:color="auto" w:fill="CFF0FC"/>
          </w:tcPr>
          <w:p>
            <w:pPr>
              <w:spacing w:after="0"/>
              <w:rPr>
                <w:sz w:val="12"/>
                <w:szCs w:val="12"/>
                <w:color w:val="auto"/>
              </w:rPr>
            </w:pPr>
          </w:p>
        </w:tc>
      </w:tr>
      <w:tr>
        <w:trPr>
          <w:trHeight w:val="162"/>
        </w:trPr>
        <w:tc>
          <w:tcPr>
            <w:tcW w:w="970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2"/>
                <w:szCs w:val="12"/>
                <w:color w:val="auto"/>
              </w:rPr>
              <w:t>Includes 8 states.</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4"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5"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Windstream has been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In response to the adverse outcome, on February 25, 2019, Windstream filed a voluntary petition for relief under Chapter 11 of the Bankruptcy Code in the U.S. Bankruptcy Court for the Southern District of New York.</w:t>
      </w:r>
    </w:p>
    <w:p>
      <w:pPr>
        <w:spacing w:after="0" w:line="162" w:lineRule="exact"/>
        <w:rPr>
          <w:sz w:val="20"/>
          <w:szCs w:val="20"/>
          <w:color w:val="auto"/>
        </w:rPr>
      </w:pPr>
    </w:p>
    <w:p>
      <w:pPr>
        <w:ind w:right="100"/>
        <w:spacing w:after="0" w:line="313" w:lineRule="auto"/>
        <w:rPr>
          <w:sz w:val="20"/>
          <w:szCs w:val="20"/>
          <w:color w:val="auto"/>
        </w:rPr>
      </w:pPr>
      <w:r>
        <w:rPr>
          <w:rFonts w:ascii="Arial" w:cs="Arial" w:eastAsia="Arial" w:hAnsi="Arial"/>
          <w:sz w:val="10"/>
          <w:szCs w:val="10"/>
          <w:color w:val="auto"/>
        </w:rPr>
        <w:t>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Item 1A Risk Factors for additional information concerning the impact Windstream’s bankruptcy may have on our operations and financial conditions.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comply with debt covenants and pay dividends to our stockholders as required to maintain our status as a REIT.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II</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traded on the NASDAQ Global Select Market under the symbol “UNIT.”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As of March 6, 2019, the closing price of our common stock was $8.63 per share as reported on the NASDAQ Global Select Market. As of March 6, 2019, we had 183,103,947 outstanding shares of common stock, 21,340 record holders and approximately 155,003 beneficial owners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 (Distributions)</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Distributions with respect to our common stock is characterized for federal income tax purposes as taxable ordinary dividends, capital gains dividends, non-dividend distribution or a combination thereof. It has been our policy to declare dividends to common shareholders so as to comply with the provisions of the Internal Revenue Code governing REITs.</w:t>
      </w:r>
    </w:p>
    <w:p>
      <w:pPr>
        <w:spacing w:after="0" w:line="115"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As a result of recent actions related to Windstream, as set forth in Item 1A Risk Factors, we may choose to reduce or suspend our dividend for a period of time until the situation is clarified. In addition, during the pendency of Windstream’s bankruptcy, or at such earlier time when certain other conditions are specified, the Amendment to our Credit Agreement (as set forth in Item 1A Risk Factors) generally limits our ability under the Credit Agreement to pay cash dividends in excess of 90% of our REIT taxable income, determined without regard to the dividends paid deduction and excluding any net capital gains.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following graph shows a comparison from April 20, 2015 (the date our common stock commenced trading on the NASDAQ Global Select Market) through December 31, 2018 of the cumulative total return for our common stock, the Standard &amp; Poor's 400 Stock Index (S&amp;P 400 Index), and the MSCI US REIT Index. The graph assumes that $100 was invested at the market open on April 20, 2015 and that all dividends were reinvested in the common stock of Uniti, the S&amp;P 400 Index and the MSCI US REIT Index. The stock price performance of the following graph is not necessarily indicative of future stock price performance.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540125" cy="1881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012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Cumulative Total Stockholder Returns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Based on Investment of $100.00 Beginning on April 20,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6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4/20/2015</w:t>
            </w:r>
          </w:p>
        </w:tc>
        <w:tc>
          <w:tcPr>
            <w:tcW w:w="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12/31/2015</w:t>
            </w:r>
          </w:p>
        </w:tc>
        <w:tc>
          <w:tcPr>
            <w:tcW w:w="3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12/31/2016</w:t>
            </w:r>
          </w:p>
        </w:tc>
        <w:tc>
          <w:tcPr>
            <w:tcW w:w="4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12/31/2017</w:t>
            </w:r>
          </w:p>
        </w:tc>
        <w:tc>
          <w:tcPr>
            <w:tcW w:w="4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12/31/2018</w:t>
            </w:r>
          </w:p>
        </w:tc>
        <w:tc>
          <w:tcPr>
            <w:tcW w:w="120" w:type="dxa"/>
            <w:vAlign w:val="bottom"/>
            <w:tcBorders>
              <w:bottom w:val="single" w:sz="8" w:color="CFF0FC"/>
            </w:tcBorders>
          </w:tcPr>
          <w:p>
            <w:pPr>
              <w:spacing w:after="0"/>
              <w:rPr>
                <w:sz w:val="13"/>
                <w:szCs w:val="13"/>
                <w:color w:val="auto"/>
              </w:rPr>
            </w:pPr>
          </w:p>
        </w:tc>
      </w:tr>
      <w:tr>
        <w:trPr>
          <w:trHeight w:val="142"/>
        </w:trPr>
        <w:tc>
          <w:tcPr>
            <w:tcW w:w="2960" w:type="dxa"/>
            <w:vAlign w:val="bottom"/>
            <w:shd w:val="clear" w:color="auto" w:fill="CFF0FC"/>
          </w:tcPr>
          <w:p>
            <w:pPr>
              <w:spacing w:after="0"/>
              <w:rPr>
                <w:sz w:val="20"/>
                <w:szCs w:val="20"/>
                <w:color w:val="auto"/>
              </w:rPr>
            </w:pPr>
            <w:r>
              <w:rPr>
                <w:rFonts w:ascii="Arial" w:cs="Arial" w:eastAsia="Arial" w:hAnsi="Arial"/>
                <w:sz w:val="12"/>
                <w:szCs w:val="12"/>
                <w:color w:val="auto"/>
              </w:rPr>
              <w:t>Uniti Group Inc.</w:t>
            </w:r>
          </w:p>
        </w:tc>
        <w:tc>
          <w:tcPr>
            <w:tcW w:w="21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72.33</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107.65</w:t>
            </w:r>
          </w:p>
        </w:tc>
        <w:tc>
          <w:tcPr>
            <w:tcW w:w="4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84.94</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84.93</w:t>
            </w:r>
          </w:p>
        </w:tc>
        <w:tc>
          <w:tcPr>
            <w:tcW w:w="120" w:type="dxa"/>
            <w:vAlign w:val="bottom"/>
            <w:shd w:val="clear" w:color="auto" w:fill="CFF0FC"/>
          </w:tcPr>
          <w:p>
            <w:pPr>
              <w:spacing w:after="0"/>
              <w:rPr>
                <w:sz w:val="12"/>
                <w:szCs w:val="12"/>
                <w:color w:val="auto"/>
              </w:rPr>
            </w:pPr>
          </w:p>
        </w:tc>
      </w:tr>
      <w:tr>
        <w:trPr>
          <w:trHeight w:val="153"/>
        </w:trPr>
        <w:tc>
          <w:tcPr>
            <w:tcW w:w="2960" w:type="dxa"/>
            <w:vAlign w:val="bottom"/>
          </w:tcPr>
          <w:p>
            <w:pPr>
              <w:spacing w:after="0"/>
              <w:rPr>
                <w:sz w:val="20"/>
                <w:szCs w:val="20"/>
                <w:color w:val="auto"/>
              </w:rPr>
            </w:pPr>
            <w:r>
              <w:rPr>
                <w:rFonts w:ascii="Arial" w:cs="Arial" w:eastAsia="Arial" w:hAnsi="Arial"/>
                <w:sz w:val="12"/>
                <w:szCs w:val="12"/>
                <w:color w:val="auto"/>
              </w:rPr>
              <w:t>S&amp;P 400 Index</w:t>
            </w: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100.00</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92.56</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111.76</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129.90</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115.50</w:t>
            </w:r>
          </w:p>
        </w:tc>
        <w:tc>
          <w:tcPr>
            <w:tcW w:w="120" w:type="dxa"/>
            <w:vAlign w:val="bottom"/>
          </w:tcPr>
          <w:p>
            <w:pPr>
              <w:spacing w:after="0"/>
              <w:rPr>
                <w:sz w:val="13"/>
                <w:szCs w:val="13"/>
                <w:color w:val="auto"/>
              </w:rPr>
            </w:pPr>
          </w:p>
        </w:tc>
      </w:tr>
      <w:tr>
        <w:trPr>
          <w:trHeight w:val="153"/>
        </w:trPr>
        <w:tc>
          <w:tcPr>
            <w:tcW w:w="2960" w:type="dxa"/>
            <w:vAlign w:val="bottom"/>
            <w:shd w:val="clear" w:color="auto" w:fill="CFF0FC"/>
          </w:tcPr>
          <w:p>
            <w:pPr>
              <w:spacing w:after="0"/>
              <w:rPr>
                <w:sz w:val="20"/>
                <w:szCs w:val="20"/>
                <w:color w:val="auto"/>
              </w:rPr>
            </w:pPr>
            <w:r>
              <w:rPr>
                <w:rFonts w:ascii="Arial" w:cs="Arial" w:eastAsia="Arial" w:hAnsi="Arial"/>
                <w:sz w:val="12"/>
                <w:szCs w:val="12"/>
                <w:color w:val="auto"/>
              </w:rPr>
              <w:t>MSCI US REIT Index</w:t>
            </w:r>
          </w:p>
        </w:tc>
        <w:tc>
          <w:tcPr>
            <w:tcW w:w="19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100.78</w:t>
            </w: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109.46</w:t>
            </w: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115.08</w:t>
            </w: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109.89</w:t>
            </w:r>
          </w:p>
        </w:tc>
        <w:tc>
          <w:tcPr>
            <w:tcW w:w="120" w:type="dxa"/>
            <w:vAlign w:val="bottom"/>
            <w:shd w:val="clear" w:color="auto" w:fill="CFF0FC"/>
          </w:tcPr>
          <w:p>
            <w:pPr>
              <w:spacing w:after="0"/>
              <w:rPr>
                <w:sz w:val="13"/>
                <w:szCs w:val="13"/>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8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rPr>
                <w:sz w:val="20"/>
                <w:szCs w:val="20"/>
                <w:color w:val="auto"/>
              </w:rPr>
            </w:pPr>
            <w:r>
              <w:rPr>
                <w:rFonts w:ascii="Arial" w:cs="Arial" w:eastAsia="Arial" w:hAnsi="Arial"/>
                <w:sz w:val="10"/>
                <w:szCs w:val="10"/>
                <w:b w:val="1"/>
                <w:bCs w:val="1"/>
                <w:color w:val="auto"/>
                <w:w w:val="85"/>
              </w:rPr>
              <w:t>Total Number of Shares Purchased as</w:t>
            </w:r>
          </w:p>
        </w:tc>
        <w:tc>
          <w:tcPr>
            <w:tcW w:w="120" w:type="dxa"/>
            <w:vAlign w:val="bottom"/>
          </w:tcPr>
          <w:p>
            <w:pPr>
              <w:spacing w:after="0"/>
              <w:rPr>
                <w:sz w:val="10"/>
                <w:szCs w:val="1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Maximum Number of Shares that May Yet</w:t>
            </w:r>
          </w:p>
        </w:tc>
        <w:tc>
          <w:tcPr>
            <w:tcW w:w="20" w:type="dxa"/>
            <w:vAlign w:val="bottom"/>
          </w:tcPr>
          <w:p>
            <w:pPr>
              <w:spacing w:after="0"/>
              <w:rPr>
                <w:sz w:val="10"/>
                <w:szCs w:val="10"/>
                <w:color w:val="auto"/>
              </w:rPr>
            </w:pPr>
          </w:p>
        </w:tc>
      </w:tr>
      <w:tr>
        <w:trPr>
          <w:trHeight w:val="99"/>
        </w:trPr>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right"/>
              <w:ind w:right="83"/>
              <w:spacing w:after="0" w:line="99" w:lineRule="exact"/>
              <w:rPr>
                <w:sz w:val="20"/>
                <w:szCs w:val="20"/>
                <w:color w:val="auto"/>
              </w:rPr>
            </w:pPr>
            <w:r>
              <w:rPr>
                <w:rFonts w:ascii="Arial" w:cs="Arial" w:eastAsia="Arial" w:hAnsi="Arial"/>
                <w:sz w:val="10"/>
                <w:szCs w:val="10"/>
                <w:b w:val="1"/>
                <w:bCs w:val="1"/>
                <w:color w:val="auto"/>
              </w:rPr>
              <w:t>Total Number of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Part of Publicly Announced Plans or</w:t>
            </w:r>
          </w:p>
        </w:tc>
        <w:tc>
          <w:tcPr>
            <w:tcW w:w="120" w:type="dxa"/>
            <w:vAlign w:val="bottom"/>
          </w:tcPr>
          <w:p>
            <w:pPr>
              <w:spacing w:after="0"/>
              <w:rPr>
                <w:sz w:val="8"/>
                <w:szCs w:val="8"/>
                <w:color w:val="auto"/>
              </w:rPr>
            </w:pPr>
          </w:p>
        </w:tc>
        <w:tc>
          <w:tcPr>
            <w:tcW w:w="190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Be Purchased Under the Plans or</w:t>
            </w:r>
          </w:p>
        </w:tc>
        <w:tc>
          <w:tcPr>
            <w:tcW w:w="20" w:type="dxa"/>
            <w:vAlign w:val="bottom"/>
          </w:tcPr>
          <w:p>
            <w:pPr>
              <w:spacing w:after="0"/>
              <w:rPr>
                <w:sz w:val="8"/>
                <w:szCs w:val="8"/>
                <w:color w:val="auto"/>
              </w:rPr>
            </w:pPr>
          </w:p>
        </w:tc>
      </w:tr>
      <w:tr>
        <w:trPr>
          <w:trHeight w:val="114"/>
        </w:trPr>
        <w:tc>
          <w:tcPr>
            <w:tcW w:w="49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Period</w:t>
            </w:r>
          </w:p>
        </w:tc>
        <w:tc>
          <w:tcPr>
            <w:tcW w:w="16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63"/>
              <w:spacing w:after="0" w:line="114" w:lineRule="exact"/>
              <w:rPr>
                <w:sz w:val="20"/>
                <w:szCs w:val="20"/>
                <w:color w:val="auto"/>
              </w:rPr>
            </w:pPr>
            <w:r>
              <w:rPr>
                <w:rFonts w:ascii="Arial" w:cs="Arial" w:eastAsia="Arial" w:hAnsi="Arial"/>
                <w:sz w:val="10"/>
                <w:szCs w:val="10"/>
                <w:b w:val="1"/>
                <w:bCs w:val="1"/>
                <w:color w:val="auto"/>
                <w:w w:val="93"/>
              </w:rPr>
              <w:t>Shares Purchased</w:t>
            </w:r>
          </w:p>
        </w:tc>
        <w:tc>
          <w:tcPr>
            <w:tcW w:w="1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85"/>
              </w:rPr>
              <w:t>Average Price Paid per Share(1)</w:t>
            </w:r>
          </w:p>
        </w:tc>
        <w:tc>
          <w:tcPr>
            <w:tcW w:w="120" w:type="dxa"/>
            <w:vAlign w:val="bottom"/>
            <w:tcBorders>
              <w:bottom w:val="single" w:sz="8" w:color="CFF0FC"/>
            </w:tcBorders>
          </w:tcPr>
          <w:p>
            <w:pPr>
              <w:spacing w:after="0"/>
              <w:rPr>
                <w:sz w:val="9"/>
                <w:szCs w:val="9"/>
                <w:color w:val="auto"/>
              </w:rPr>
            </w:pPr>
          </w:p>
        </w:tc>
        <w:tc>
          <w:tcPr>
            <w:tcW w:w="1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Programs</w:t>
            </w:r>
          </w:p>
        </w:tc>
        <w:tc>
          <w:tcPr>
            <w:tcW w:w="120" w:type="dxa"/>
            <w:vAlign w:val="bottom"/>
            <w:tcBorders>
              <w:bottom w:val="single" w:sz="8" w:color="CFF0FC"/>
            </w:tcBorders>
          </w:tcPr>
          <w:p>
            <w:pPr>
              <w:spacing w:after="0"/>
              <w:rPr>
                <w:sz w:val="9"/>
                <w:szCs w:val="9"/>
                <w:color w:val="auto"/>
              </w:rPr>
            </w:pPr>
          </w:p>
        </w:tc>
        <w:tc>
          <w:tcPr>
            <w:tcW w:w="17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Programs</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2018 to October 31, 2018</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19.82</w:t>
            </w:r>
          </w:p>
        </w:tc>
        <w:tc>
          <w:tcPr>
            <w:tcW w:w="120" w:type="dxa"/>
            <w:vAlign w:val="bottom"/>
            <w:shd w:val="clear" w:color="auto" w:fill="CFF0FC"/>
          </w:tcPr>
          <w:p>
            <w:pPr>
              <w:spacing w:after="0"/>
              <w:rPr>
                <w:sz w:val="12"/>
                <w:szCs w:val="12"/>
                <w:color w:val="auto"/>
              </w:rPr>
            </w:pPr>
          </w:p>
        </w:tc>
        <w:tc>
          <w:tcPr>
            <w:tcW w:w="1660" w:type="dxa"/>
            <w:vAlign w:val="bottom"/>
            <w:shd w:val="clear" w:color="auto" w:fill="CFF0FC"/>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ind w:left="16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53"/>
        </w:trPr>
        <w:tc>
          <w:tcPr>
            <w:tcW w:w="5140" w:type="dxa"/>
            <w:vAlign w:val="bottom"/>
            <w:gridSpan w:val="2"/>
          </w:tcPr>
          <w:p>
            <w:pPr>
              <w:spacing w:after="0"/>
              <w:rPr>
                <w:sz w:val="20"/>
                <w:szCs w:val="20"/>
                <w:color w:val="auto"/>
              </w:rPr>
            </w:pPr>
            <w:r>
              <w:rPr>
                <w:rFonts w:ascii="Arial" w:cs="Arial" w:eastAsia="Arial" w:hAnsi="Arial"/>
                <w:sz w:val="12"/>
                <w:szCs w:val="12"/>
                <w:color w:val="auto"/>
              </w:rPr>
              <w:t>November 1, 2018 to November 30, 2018</w:t>
            </w:r>
          </w:p>
        </w:tc>
        <w:tc>
          <w:tcPr>
            <w:tcW w:w="960" w:type="dxa"/>
            <w:vAlign w:val="bottom"/>
          </w:tcPr>
          <w:p>
            <w:pPr>
              <w:jc w:val="right"/>
              <w:spacing w:after="0"/>
              <w:rPr>
                <w:sz w:val="20"/>
                <w:szCs w:val="20"/>
                <w:color w:val="auto"/>
              </w:rPr>
            </w:pPr>
            <w:r>
              <w:rPr>
                <w:rFonts w:ascii="Arial" w:cs="Arial" w:eastAsia="Arial" w:hAnsi="Arial"/>
                <w:sz w:val="12"/>
                <w:szCs w:val="12"/>
                <w:color w:val="auto"/>
              </w:rPr>
              <w:t>3,940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20.10</w:t>
            </w:r>
          </w:p>
        </w:tc>
        <w:tc>
          <w:tcPr>
            <w:tcW w:w="120" w:type="dxa"/>
            <w:vAlign w:val="bottom"/>
          </w:tcPr>
          <w:p>
            <w:pPr>
              <w:spacing w:after="0"/>
              <w:rPr>
                <w:sz w:val="13"/>
                <w:szCs w:val="13"/>
                <w:color w:val="auto"/>
              </w:rPr>
            </w:pPr>
          </w:p>
        </w:tc>
        <w:tc>
          <w:tcPr>
            <w:tcW w:w="1660" w:type="dxa"/>
            <w:vAlign w:val="bottom"/>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3"/>
                <w:szCs w:val="13"/>
                <w:color w:val="auto"/>
              </w:rPr>
            </w:pPr>
          </w:p>
        </w:tc>
        <w:tc>
          <w:tcPr>
            <w:tcW w:w="1900" w:type="dxa"/>
            <w:vAlign w:val="bottom"/>
            <w:gridSpan w:val="2"/>
          </w:tcPr>
          <w:p>
            <w:pPr>
              <w:ind w:left="16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December 1, 2018 to December 31, 2018</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shd w:val="clear" w:color="auto" w:fill="CFF0FC"/>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ind w:left="16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9"/>
        </w:trPr>
        <w:tc>
          <w:tcPr>
            <w:tcW w:w="5140" w:type="dxa"/>
            <w:vAlign w:val="bottom"/>
            <w:gridSpan w:val="2"/>
          </w:tcPr>
          <w:p>
            <w:pPr>
              <w:spacing w:after="0"/>
              <w:rPr>
                <w:sz w:val="20"/>
                <w:szCs w:val="20"/>
                <w:color w:val="auto"/>
              </w:rPr>
            </w:pPr>
            <w:r>
              <w:rPr>
                <w:rFonts w:ascii="Arial" w:cs="Arial" w:eastAsia="Arial" w:hAnsi="Arial"/>
                <w:sz w:val="12"/>
                <w:szCs w:val="12"/>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2"/>
                <w:szCs w:val="12"/>
                <w:color w:val="auto"/>
              </w:rPr>
            </w:pPr>
          </w:p>
        </w:tc>
        <w:tc>
          <w:tcPr>
            <w:tcW w:w="1660" w:type="dxa"/>
            <w:vAlign w:val="bottom"/>
            <w:tcBorders>
              <w:bottom w:val="single" w:sz="8" w:color="auto"/>
            </w:tcBorders>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2"/>
                <w:szCs w:val="12"/>
                <w:color w:val="auto"/>
              </w:rPr>
            </w:pPr>
          </w:p>
        </w:tc>
        <w:tc>
          <w:tcPr>
            <w:tcW w:w="1900" w:type="dxa"/>
            <w:vAlign w:val="bottom"/>
            <w:gridSpan w:val="2"/>
          </w:tcPr>
          <w:p>
            <w:pPr>
              <w:ind w:left="16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288"/>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43"/>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9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28" w:name="page29"/>
    <w:bookmarkEnd w:id="2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ind w:left="448" w:hanging="448"/>
        <w:spacing w:after="0"/>
        <w:tabs>
          <w:tab w:leader="none" w:pos="448"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weighted-average price per share is the weighted-average of the fair market prices at which we calculated the number of shares withheld to cover tax withholdings for the employees.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Selected Financial Data.</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selected financial data for Uniti on a consolidated and combined historical basis as of the dates and for the years indicated.</w:t>
      </w:r>
    </w:p>
    <w:p>
      <w:pPr>
        <w:spacing w:after="0" w:line="150" w:lineRule="exact"/>
        <w:rPr>
          <w:sz w:val="20"/>
          <w:szCs w:val="20"/>
          <w:color w:val="auto"/>
        </w:rPr>
      </w:pPr>
    </w:p>
    <w:p>
      <w:pPr>
        <w:ind w:left="8" w:right="240"/>
        <w:spacing w:after="0" w:line="323" w:lineRule="auto"/>
        <w:rPr>
          <w:sz w:val="20"/>
          <w:szCs w:val="20"/>
          <w:color w:val="auto"/>
        </w:rPr>
      </w:pPr>
      <w:r>
        <w:rPr>
          <w:rFonts w:ascii="Arial" w:cs="Arial" w:eastAsia="Arial" w:hAnsi="Arial"/>
          <w:sz w:val="11"/>
          <w:szCs w:val="11"/>
          <w:color w:val="auto"/>
        </w:rPr>
        <w:t>Prior to April 24, 2015, we did not operate the Consumer CLEC Business separately from Windstream, nor did we commence our leasing business. The selected historical financial data as of December 31, 2014 and for the period from January 1, 2015 to April 24, 2015 and the year ended December 31, 2014 has been derived from the audited financial statements of the Consumer CLEC Business and Distribution Systems.</w:t>
      </w:r>
    </w:p>
    <w:p>
      <w:pPr>
        <w:spacing w:after="0" w:line="92" w:lineRule="exact"/>
        <w:rPr>
          <w:sz w:val="20"/>
          <w:szCs w:val="20"/>
          <w:color w:val="auto"/>
        </w:rPr>
      </w:pPr>
    </w:p>
    <w:p>
      <w:pPr>
        <w:ind w:left="8" w:right="500"/>
        <w:spacing w:after="0" w:line="276" w:lineRule="auto"/>
        <w:rPr>
          <w:sz w:val="20"/>
          <w:szCs w:val="20"/>
          <w:color w:val="auto"/>
        </w:rPr>
      </w:pPr>
      <w:r>
        <w:rPr>
          <w:rFonts w:ascii="Arial" w:cs="Arial" w:eastAsia="Arial" w:hAnsi="Arial"/>
          <w:sz w:val="12"/>
          <w:szCs w:val="12"/>
          <w:color w:val="auto"/>
        </w:rPr>
        <w:t xml:space="preserve">The following should be read in conjunction with the combined financial statements, accompanying notes and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each of which are included elsewhere in this Form 10-K.</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114"/>
        </w:trPr>
        <w:tc>
          <w:tcPr>
            <w:tcW w:w="4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4"/>
          </w:tcPr>
          <w:p>
            <w:pPr>
              <w:jc w:val="right"/>
              <w:ind w:right="160"/>
              <w:spacing w:after="0" w:line="114" w:lineRule="exact"/>
              <w:rPr>
                <w:sz w:val="20"/>
                <w:szCs w:val="20"/>
                <w:color w:val="auto"/>
              </w:rPr>
            </w:pPr>
            <w:r>
              <w:rPr>
                <w:rFonts w:ascii="Arial" w:cs="Arial" w:eastAsia="Arial" w:hAnsi="Arial"/>
                <w:sz w:val="10"/>
                <w:szCs w:val="10"/>
                <w:b w:val="1"/>
                <w:bCs w:val="1"/>
                <w:color w:val="auto"/>
                <w:w w:val="89"/>
              </w:rPr>
              <w:t>Year Ended December 31,</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0"/>
                <w:szCs w:val="10"/>
                <w:b w:val="1"/>
                <w:bCs w:val="1"/>
                <w:color w:val="auto"/>
                <w:w w:val="91"/>
              </w:rPr>
              <w:t>April 24 - December</w:t>
            </w:r>
          </w:p>
        </w:tc>
        <w:tc>
          <w:tcPr>
            <w:tcW w:w="11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January 1 - April 24,</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83"/>
        </w:trPr>
        <w:tc>
          <w:tcPr>
            <w:tcW w:w="4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780" w:type="dxa"/>
            <w:vAlign w:val="bottom"/>
            <w:gridSpan w:val="2"/>
          </w:tcPr>
          <w:p>
            <w:pPr>
              <w:spacing w:after="0" w:line="114" w:lineRule="exact"/>
              <w:rPr>
                <w:sz w:val="20"/>
                <w:szCs w:val="20"/>
                <w:color w:val="auto"/>
              </w:rPr>
            </w:pPr>
            <w:r>
              <w:rPr>
                <w:rFonts w:ascii="Arial" w:cs="Arial" w:eastAsia="Arial" w:hAnsi="Arial"/>
                <w:sz w:val="10"/>
                <w:szCs w:val="10"/>
                <w:color w:val="auto"/>
              </w:rPr>
              <w:t>(Thousands, except per share data)</w:t>
            </w:r>
          </w:p>
        </w:tc>
        <w:tc>
          <w:tcPr>
            <w:tcW w:w="22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ind w:right="321"/>
              <w:spacing w:after="0" w:line="114" w:lineRule="exact"/>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ind w:right="241"/>
              <w:spacing w:after="0" w:line="114" w:lineRule="exact"/>
              <w:rPr>
                <w:sz w:val="20"/>
                <w:szCs w:val="20"/>
                <w:color w:val="auto"/>
              </w:rPr>
            </w:pPr>
            <w:r>
              <w:rPr>
                <w:rFonts w:ascii="Arial" w:cs="Arial" w:eastAsia="Arial" w:hAnsi="Arial"/>
                <w:sz w:val="10"/>
                <w:szCs w:val="10"/>
                <w:b w:val="1"/>
                <w:bCs w:val="1"/>
                <w:color w:val="auto"/>
              </w:rPr>
              <w:t>31, 2015</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2"/>
              <w:spacing w:after="0" w:line="114" w:lineRule="exact"/>
              <w:rPr>
                <w:sz w:val="20"/>
                <w:szCs w:val="20"/>
                <w:color w:val="auto"/>
              </w:rPr>
            </w:pPr>
            <w:r>
              <w:rPr>
                <w:rFonts w:ascii="Arial" w:cs="Arial" w:eastAsia="Arial" w:hAnsi="Arial"/>
                <w:sz w:val="10"/>
                <w:szCs w:val="10"/>
                <w:b w:val="1"/>
                <w:bCs w:val="1"/>
                <w:color w:val="auto"/>
                <w:w w:val="89"/>
              </w:rPr>
              <w:t>2014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Statement of Income Data:</w:t>
            </w: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Total revenue</w:t>
            </w:r>
            <w:r>
              <w:rPr>
                <w:rFonts w:ascii="Arial" w:cs="Arial" w:eastAsia="Arial" w:hAnsi="Arial"/>
                <w:sz w:val="10"/>
                <w:szCs w:val="10"/>
                <w:color w:val="auto"/>
              </w:rPr>
              <w:t>(1)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1,017,634</w:t>
            </w:r>
          </w:p>
        </w:tc>
        <w:tc>
          <w:tcPr>
            <w:tcW w:w="1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916,032</w:t>
            </w:r>
          </w:p>
        </w:tc>
        <w:tc>
          <w:tcPr>
            <w:tcW w:w="22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770,408</w:t>
            </w:r>
          </w:p>
        </w:tc>
        <w:tc>
          <w:tcPr>
            <w:tcW w:w="140" w:type="dxa"/>
            <w:vAlign w:val="bottom"/>
          </w:tcPr>
          <w:p>
            <w:pPr>
              <w:spacing w:after="0"/>
              <w:rPr>
                <w:sz w:val="13"/>
                <w:szCs w:val="13"/>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476,314</w:t>
            </w:r>
          </w:p>
        </w:tc>
        <w:tc>
          <w:tcPr>
            <w:tcW w:w="24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10,149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319,591</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305,994</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275,394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181,797</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Net income (loss) attributable to common shareholders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(16,552)</w:t>
            </w:r>
          </w:p>
        </w:tc>
        <w:tc>
          <w:tcPr>
            <w:tcW w:w="2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(5,497)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23,718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Earnings (loss) per common share - basic</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(0.10)</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(0.04)</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Earnings (loss) per common share - 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(0.13)</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(0.04)</w:t>
            </w:r>
          </w:p>
        </w:tc>
        <w:tc>
          <w:tcPr>
            <w:tcW w:w="28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0.16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Balance Sheet Data:</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Total assets</w:t>
            </w:r>
            <w:r>
              <w:rPr>
                <w:rFonts w:ascii="Arial" w:cs="Arial" w:eastAsia="Arial" w:hAnsi="Arial"/>
                <w:sz w:val="10"/>
                <w:szCs w:val="10"/>
                <w:color w:val="auto"/>
              </w:rPr>
              <w:t>(2)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4,592,937</w:t>
            </w:r>
          </w:p>
        </w:tc>
        <w:tc>
          <w:tcPr>
            <w:tcW w:w="1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4,330,082</w:t>
            </w:r>
          </w:p>
        </w:tc>
        <w:tc>
          <w:tcPr>
            <w:tcW w:w="22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3,318,752</w:t>
            </w:r>
          </w:p>
        </w:tc>
        <w:tc>
          <w:tcPr>
            <w:tcW w:w="140" w:type="dxa"/>
            <w:vAlign w:val="bottom"/>
          </w:tcPr>
          <w:p>
            <w:pPr>
              <w:spacing w:after="0"/>
              <w:rPr>
                <w:sz w:val="13"/>
                <w:szCs w:val="13"/>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2,542,636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2,588,450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Notes and other debt</w:t>
            </w:r>
            <w:r>
              <w:rPr>
                <w:rFonts w:ascii="Arial" w:cs="Arial" w:eastAsia="Arial" w:hAnsi="Arial"/>
                <w:sz w:val="10"/>
                <w:szCs w:val="10"/>
                <w:color w:val="auto"/>
              </w:rPr>
              <w:t>(3)</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4,901,515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4,539,026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4,082,749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3,505,228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Total shareholders' (deficit) equity</w:t>
            </w:r>
            <w:r>
              <w:rPr>
                <w:rFonts w:ascii="Arial" w:cs="Arial" w:eastAsia="Arial" w:hAnsi="Arial"/>
                <w:sz w:val="10"/>
                <w:szCs w:val="10"/>
                <w:color w:val="auto"/>
              </w:rPr>
              <w:t>(4)</w:t>
            </w:r>
          </w:p>
        </w:tc>
        <w:tc>
          <w:tcPr>
            <w:tcW w:w="2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(1,493,203)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(1,207,142)</w:t>
            </w:r>
          </w:p>
        </w:tc>
        <w:tc>
          <w:tcPr>
            <w:tcW w:w="2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(1,402,445)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(1,166,906)</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2,580,565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Other Data:</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Dividends paid</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426,094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400,210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367,830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156,854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Dividends declared per common share</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Funds from operations ("FFO")</w:t>
            </w:r>
            <w:r>
              <w:rPr>
                <w:rFonts w:ascii="Arial" w:cs="Arial" w:eastAsia="Arial" w:hAnsi="Arial"/>
                <w:sz w:val="10"/>
                <w:szCs w:val="10"/>
                <w:color w:val="auto"/>
              </w:rPr>
              <w:t>(5)</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373,741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352,477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346,051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259,829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FFO per common share</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Adjusted funds from operations ("AFFO")</w:t>
            </w:r>
            <w:r>
              <w:rPr>
                <w:rFonts w:ascii="Arial" w:cs="Arial" w:eastAsia="Arial" w:hAnsi="Arial"/>
                <w:sz w:val="10"/>
                <w:szCs w:val="10"/>
                <w:color w:val="auto"/>
              </w:rPr>
              <w:t>(5)</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443,755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424,824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398,537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267,077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AFFO per common share</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2.51</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w:t>
            </w:r>
          </w:p>
        </w:tc>
        <w:tc>
          <w:tcPr>
            <w:tcW w:w="14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72"/>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 Information not applicable for periods presented</w:t>
      </w:r>
    </w:p>
    <w:p>
      <w:pPr>
        <w:spacing w:after="0" w:line="15" w:lineRule="exact"/>
        <w:rPr>
          <w:sz w:val="20"/>
          <w:szCs w:val="20"/>
          <w:color w:val="auto"/>
        </w:rPr>
      </w:pPr>
    </w:p>
    <w:p>
      <w:pPr>
        <w:ind w:left="588" w:hanging="588"/>
        <w:spacing w:after="0"/>
        <w:tabs>
          <w:tab w:leader="none" w:pos="588"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periods prior to April 24, 2015, amounts represent revenues of the Consumer CLEC Business as an integrated operation within Windstream.</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December 31, 2014 amounts represent the combined assets of the Consumer CLEC Business and the Distribution Systems.</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December 31, 2018, 2017, and 2016, amount includes $55.3 million, $56.3 million, and $54.5 million of capital lease obligations, respectively.</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December 31, 2014 amounts include the net assets contributed of the Consumer CLEC Business and the Distribution Systems.</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For a more detailed discussion and reconciliation of FFO and AFFO, see “Non-GAAP Financial Measures” in </w:t>
      </w:r>
      <w:hyperlink w:anchor="page30">
        <w:r>
          <w:rPr>
            <w:rFonts w:ascii="Arial" w:cs="Arial" w:eastAsia="Arial" w:hAnsi="Arial"/>
            <w:sz w:val="12"/>
            <w:szCs w:val="12"/>
            <w:u w:val="single" w:color="auto"/>
            <w:color w:val="0000EE"/>
          </w:rPr>
          <w:t>Item 7</w:t>
        </w:r>
      </w:hyperlink>
      <w:r>
        <w:rPr>
          <w:rFonts w:ascii="Arial" w:cs="Arial" w:eastAsia="Arial" w:hAnsi="Arial"/>
          <w:sz w:val="12"/>
          <w:szCs w:val="12"/>
          <w:color w:val="auto"/>
        </w:rPr>
        <w:t>.</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41"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Company Description</w:t>
      </w:r>
    </w:p>
    <w:p>
      <w:pPr>
        <w:spacing w:after="0" w:line="150" w:lineRule="exact"/>
        <w:rPr>
          <w:sz w:val="20"/>
          <w:szCs w:val="20"/>
          <w:color w:val="auto"/>
        </w:rPr>
      </w:pPr>
    </w:p>
    <w:p>
      <w:pPr>
        <w:ind w:right="760"/>
        <w:spacing w:after="0" w:line="323" w:lineRule="auto"/>
        <w:rPr>
          <w:sz w:val="20"/>
          <w:szCs w:val="20"/>
          <w:color w:val="auto"/>
        </w:rPr>
      </w:pPr>
      <w:r>
        <w:rPr>
          <w:rFonts w:ascii="Arial" w:cs="Arial" w:eastAsia="Arial" w:hAnsi="Arial"/>
          <w:sz w:val="11"/>
          <w:szCs w:val="11"/>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92"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09"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05"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the date of this report, we are the sole general partner of the Operating Partnership and own approximately 97.7% of the partnership interests in the Operating Partnership.</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We expect to grow and diversify our portfolio and tenant base by pursuing a range of transaction structures with communication service providers, including, (i) sale leaseback transactions, whereby we acquire existing infrastructure assets from third parties, including communication service providers, and lease them back on a long-term triple 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We manage our operations as four reportable business segments in addition to our corporate operations:</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i w:val="1"/>
          <w:iCs w:val="1"/>
          <w:u w:val="single" w:color="auto"/>
          <w:color w:val="auto"/>
        </w:rPr>
        <w:t>Leasing Segment</w:t>
      </w:r>
      <w:r>
        <w:rPr>
          <w:rFonts w:ascii="Arial" w:cs="Arial" w:eastAsia="Arial" w:hAnsi="Arial"/>
          <w:sz w:val="12"/>
          <w:szCs w:val="12"/>
          <w:color w:val="auto"/>
        </w:rPr>
        <w:t>: Represents a component of our REIT operations and includes the results from our leasing business, Uniti Leasing, which is engaged in the acquisition of mission-critical communications assets and leasing them to anchor</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on either an exclusive or shared-tenant basis.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Fiber Infrastructure Segment</w:t>
      </w:r>
      <w:r>
        <w:rPr>
          <w:rFonts w:ascii="Arial" w:cs="Arial" w:eastAsia="Arial" w:hAnsi="Arial"/>
          <w:sz w:val="11"/>
          <w:szCs w:val="11"/>
          <w:color w:val="auto"/>
        </w:rPr>
        <w:t>: Represents the operations of our fiber business, Uniti Fiber, which is a leading provider of infrastructure solutions, including cell site backhaul and dark fiber, to the telecommunications industry.</w:t>
      </w:r>
    </w:p>
    <w:p>
      <w:pPr>
        <w:spacing w:after="0" w:line="16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i w:val="1"/>
          <w:iCs w:val="1"/>
          <w:u w:val="single" w:color="auto"/>
          <w:color w:val="auto"/>
        </w:rPr>
        <w:t>Towers Segment</w:t>
      </w:r>
      <w:r>
        <w:rPr>
          <w:rFonts w:ascii="Arial" w:cs="Arial" w:eastAsia="Arial" w:hAnsi="Arial"/>
          <w:sz w:val="12"/>
          <w:szCs w:val="12"/>
          <w:color w:val="auto"/>
        </w:rPr>
        <w:t>: Represents the operations of our towers business, Uniti Towers, through which we acquire and construct tower and tower-related real estate and lease space on communications towers to wireless service providers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tenants. Uniti Towers is a component of our REIT operations.</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i w:val="1"/>
          <w:iCs w:val="1"/>
          <w:u w:val="single" w:color="auto"/>
          <w:color w:val="auto"/>
        </w:rPr>
        <w:t>Consumer CLEC Segment</w:t>
      </w:r>
      <w:r>
        <w:rPr>
          <w:rFonts w:ascii="Arial" w:cs="Arial" w:eastAsia="Arial" w:hAnsi="Arial"/>
          <w:sz w:val="12"/>
          <w:szCs w:val="12"/>
          <w:color w:val="auto"/>
        </w:rPr>
        <w:t>: Represents the operations of Talk America through which we operate the Consumer CLEC Business that prior to the Spin-Off was reported as an integrated operation within Windstream. Talk America provides</w:t>
      </w:r>
      <w:r>
        <w:rPr>
          <w:rFonts w:ascii="Arial" w:cs="Arial" w:eastAsia="Arial" w:hAnsi="Arial"/>
          <w:sz w:val="12"/>
          <w:szCs w:val="12"/>
          <w:i w:val="1"/>
          <w:iCs w:val="1"/>
          <w:color w:val="auto"/>
        </w:rPr>
        <w:t xml:space="preserve"> </w:t>
      </w:r>
      <w:r>
        <w:rPr>
          <w:rFonts w:ascii="Arial" w:cs="Arial" w:eastAsia="Arial" w:hAnsi="Arial"/>
          <w:sz w:val="12"/>
          <w:szCs w:val="12"/>
          <w:color w:val="auto"/>
        </w:rPr>
        <w:t>local telephone, high-speed internet and long distance services to customers in the eastern and central United States.</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i w:val="1"/>
          <w:iCs w:val="1"/>
          <w:u w:val="single" w:color="auto"/>
          <w:color w:val="auto"/>
        </w:rPr>
        <w:t>Corporate Operations</w:t>
      </w:r>
      <w:r>
        <w:rPr>
          <w:rFonts w:ascii="Arial" w:cs="Arial" w:eastAsia="Arial" w:hAnsi="Arial"/>
          <w:sz w:val="12"/>
          <w:szCs w:val="12"/>
          <w:color w:val="auto"/>
        </w:rPr>
        <w:t>: Represents our corporate office and shared service functions. Certain costs and expenses, primarily related to headcount, information technology systems, insurance, professional fees and similar charges,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directly attributable to operations of our business segments are allocated to the respective segments.</w:t>
      </w:r>
    </w:p>
    <w:p>
      <w:pPr>
        <w:spacing w:after="0" w:line="115" w:lineRule="exact"/>
        <w:rPr>
          <w:sz w:val="20"/>
          <w:szCs w:val="20"/>
          <w:color w:val="auto"/>
        </w:rPr>
      </w:pPr>
    </w:p>
    <w:p>
      <w:pPr>
        <w:ind w:right="120"/>
        <w:spacing w:after="0" w:line="290" w:lineRule="auto"/>
        <w:rPr>
          <w:rFonts w:ascii="Arial" w:cs="Arial" w:eastAsia="Arial" w:hAnsi="Arial"/>
          <w:sz w:val="11"/>
          <w:szCs w:val="11"/>
          <w:color w:val="auto"/>
        </w:rPr>
      </w:pPr>
      <w:r>
        <w:rPr>
          <w:rFonts w:ascii="Arial" w:cs="Arial" w:eastAsia="Arial" w:hAnsi="Arial"/>
          <w:sz w:val="11"/>
          <w:szCs w:val="11"/>
          <w:color w:val="auto"/>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gains or losses on dispositions, changes in the fair value of contingent consideration and financial instruments, and other similar items. For more information on Adjusted EBITDA, see “Non-GAAP Financial Measures.” Detailed information about our segments can be found in </w:t>
      </w:r>
      <w:hyperlink w:anchor="page94">
        <w:r>
          <w:rPr>
            <w:rFonts w:ascii="Arial" w:cs="Arial" w:eastAsia="Arial" w:hAnsi="Arial"/>
            <w:sz w:val="11"/>
            <w:szCs w:val="11"/>
            <w:u w:val="single" w:color="auto"/>
            <w:color w:val="0000EE"/>
          </w:rPr>
          <w:t>Note 13</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 xml:space="preserve">to our consolidated financial statements contained in Part II, Item 8 </w:t>
      </w:r>
      <w:r>
        <w:rPr>
          <w:rFonts w:ascii="Arial" w:cs="Arial" w:eastAsia="Arial" w:hAnsi="Arial"/>
          <w:sz w:val="11"/>
          <w:szCs w:val="11"/>
          <w:i w:val="1"/>
          <w:iCs w:val="1"/>
          <w:color w:val="auto"/>
        </w:rPr>
        <w:t>Financial Statements and Supplementary Data</w:t>
      </w:r>
      <w:r>
        <w:rPr>
          <w:rFonts w:ascii="Arial" w:cs="Arial" w:eastAsia="Arial" w:hAnsi="Arial"/>
          <w:sz w:val="11"/>
          <w:szCs w:val="11"/>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Business Developments</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i w:val="1"/>
          <w:iCs w:val="1"/>
          <w:u w:val="single" w:color="auto"/>
          <w:color w:val="auto"/>
        </w:rPr>
        <w:t>Windstream Bankruptcy Filing.</w:t>
      </w:r>
      <w:r>
        <w:rPr>
          <w:rFonts w:ascii="Arial" w:cs="Arial" w:eastAsia="Arial" w:hAnsi="Arial"/>
          <w:sz w:val="12"/>
          <w:szCs w:val="12"/>
          <w:i w:val="1"/>
          <w:iCs w:val="1"/>
          <w:color w:val="auto"/>
        </w:rPr>
        <w:t xml:space="preserve"> </w:t>
      </w:r>
      <w:r>
        <w:rPr>
          <w:rFonts w:ascii="Arial" w:cs="Arial" w:eastAsia="Arial" w:hAnsi="Arial"/>
          <w:sz w:val="12"/>
          <w:szCs w:val="12"/>
          <w:color w:val="auto"/>
        </w:rPr>
        <w:t>Windstream has been involved in litigation with an entity who acquired certain Windstream debt securities and thereafter issued a notice of default as to such securities relating to the Spin-Off. Windstream</w:t>
      </w:r>
      <w:r>
        <w:rPr>
          <w:rFonts w:ascii="Arial" w:cs="Arial" w:eastAsia="Arial" w:hAnsi="Arial"/>
          <w:sz w:val="12"/>
          <w:szCs w:val="12"/>
          <w:i w:val="1"/>
          <w:iCs w:val="1"/>
          <w:color w:val="auto"/>
        </w:rPr>
        <w:t xml:space="preserve"> </w:t>
      </w:r>
      <w:r>
        <w:rPr>
          <w:rFonts w:ascii="Arial" w:cs="Arial" w:eastAsia="Arial" w:hAnsi="Arial"/>
          <w:sz w:val="12"/>
          <w:szCs w:val="12"/>
          <w:color w:val="auto"/>
        </w:rPr>
        <w:t>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 response to the adverse outcome, on February 25, 2019, Windstream filed a voluntary petition for relief under Chapter 11 of the Bankruptcy Code in the U.S. Bankruptcy Court for the Southern District of New York.</w:t>
      </w:r>
    </w:p>
    <w:p>
      <w:pPr>
        <w:spacing w:after="0" w:line="150"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Item 1A Risk Factors for additional information concerning the impact Windstream’s bankruptcy may have on our operations and financial condition.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comply with debt covenants and pay dividends to our stockholders as required to maintain our status as a REIT.</w:t>
      </w:r>
    </w:p>
    <w:p>
      <w:pPr>
        <w:spacing w:after="0" w:line="12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addition,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i w:val="1"/>
          <w:iCs w:val="1"/>
          <w:u w:val="single" w:color="auto"/>
          <w:color w:val="auto"/>
        </w:rPr>
        <w:t>Going Concern.</w:t>
      </w:r>
      <w:r>
        <w:rPr>
          <w:rFonts w:ascii="Arial" w:cs="Arial" w:eastAsia="Arial" w:hAnsi="Arial"/>
          <w:sz w:val="12"/>
          <w:szCs w:val="12"/>
          <w:i w:val="1"/>
          <w:iCs w:val="1"/>
          <w:color w:val="auto"/>
        </w:rPr>
        <w:t xml:space="preserve"> </w:t>
      </w:r>
      <w:r>
        <w:rPr>
          <w:rFonts w:ascii="Arial" w:cs="Arial" w:eastAsia="Arial" w:hAnsi="Arial"/>
          <w:sz w:val="12"/>
          <w:szCs w:val="12"/>
          <w:color w:val="auto"/>
        </w:rPr>
        <w:t>There are conditions and events which raise substantial doubt about our ability to continue as a going concern and in its opinion on our December 31, 2018 financial statements, PricewaterhouseCoopers LLP, our</w:t>
      </w:r>
      <w:r>
        <w:rPr>
          <w:rFonts w:ascii="Arial" w:cs="Arial" w:eastAsia="Arial" w:hAnsi="Arial"/>
          <w:sz w:val="12"/>
          <w:szCs w:val="12"/>
          <w:i w:val="1"/>
          <w:iCs w:val="1"/>
          <w:color w:val="auto"/>
        </w:rPr>
        <w:t xml:space="preserve"> </w:t>
      </w:r>
      <w:r>
        <w:rPr>
          <w:rFonts w:ascii="Arial" w:cs="Arial" w:eastAsia="Arial" w:hAnsi="Arial"/>
          <w:sz w:val="12"/>
          <w:szCs w:val="12"/>
          <w:color w:val="auto"/>
        </w:rPr>
        <w:t>independent registered public accounting firm, expressed substantial doubt as to whether we could continue as a going concern within one year after the date the financial statements are issued as a result of Windstream’s bankruptcy petition and its potential uncertain effects on the Master Lease. Our financial statements do not include any adjustments that may result from the outcome of this uncertainty. We expect Windstream will continue to perform on the Master Lease and believe it is unlikely that Windstream will reject the Master Lease because the Master Lease is central to Windstream’s operations. We also intend to reduce our capital expenditures and dividend as well as seek external funding in order to sustain our operations. The failure to provide 2018 audited financial statements without a going concern opinion to the lenders under our Credit Agreement by March 31, 2019 would constitute a breach of the covenants of our Credit Agreement and, unless such default is waived by our lenders, would constitute an immediate event of default. If an event of default were to occur under our Credit Agreement, the Credit Agreement’s administrative agent could declare all outstanding loans immediately due and payable. Such an acceleration would trigger cross-default provisions within the indentures governing our senior notes and thereby entitle the trustee and noteholders to accelerate the repayment of the senior notes.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Amendment to our Credit Agreement. During the pendency of Windstream’s bankruptcy, or at such earlier time when certain other conditions are specified, the Amendment generally limits our ability under the Credit Agreement to (i) prepay unsecured indebtedness and (ii) pay cash dividends in excess of 90% of our REIT taxable income, determined without regard to the dividends paid deduction and excluding any net capital gains. The Amendment also increases the interest rate on our Term Loan Facility, which will now bear a rate of LIBOR, subject to a 1.0% floor, plus an applicable margin equal to 5.0%, a 200 basis point increase over our previous rate. This increase will be in effect though the remaining term of the facility, which matures on October 24, 2022.</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i w:val="1"/>
          <w:iCs w:val="1"/>
          <w:u w:val="single" w:color="auto"/>
          <w:color w:val="auto"/>
        </w:rPr>
        <w:t>Sale of Latin American Tower Portfolio.</w:t>
      </w:r>
      <w:r>
        <w:rPr>
          <w:rFonts w:ascii="Arial" w:cs="Arial" w:eastAsia="Arial" w:hAnsi="Arial"/>
          <w:sz w:val="12"/>
          <w:szCs w:val="12"/>
          <w:i w:val="1"/>
          <w:iCs w:val="1"/>
          <w:color w:val="auto"/>
        </w:rPr>
        <w:t xml:space="preserve"> </w:t>
      </w:r>
      <w:r>
        <w:rPr>
          <w:rFonts w:ascii="Arial" w:cs="Arial" w:eastAsia="Arial" w:hAnsi="Arial"/>
          <w:sz w:val="12"/>
          <w:szCs w:val="12"/>
          <w:color w:val="auto"/>
        </w:rPr>
        <w:t>On February 19, 2019, the Company announced it had agreed to sell its Uniti Towers’ business in Latin America to an entity controlled by Phoenix Towers International (“PTI”) for cash</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consideration of approximately $100 million. PTI will acquire approximately 500 towers located across Mexico, Colombia and Nicaragua. The transaction is subject to customary closing conditions and is expected to close by the end of the first quarter of 2019. This sale will realize value for our stockholders and allows us to focus on growth opportunities in the United States. Uniti Towers will continue to be a significant component of our strategy to provide a full suite of solutions to wireless carriers and other customers.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2"/>
          <w:szCs w:val="12"/>
          <w:i w:val="1"/>
          <w:iCs w:val="1"/>
          <w:u w:val="single" w:color="auto"/>
          <w:color w:val="auto"/>
        </w:rPr>
        <w:t>Bluebird Network, LLC Operating Company – Property Company Transaction.</w:t>
      </w:r>
      <w:r>
        <w:rPr>
          <w:rFonts w:ascii="Arial" w:cs="Arial" w:eastAsia="Arial" w:hAnsi="Arial"/>
          <w:sz w:val="12"/>
          <w:szCs w:val="12"/>
          <w:i w:val="1"/>
          <w:iCs w:val="1"/>
          <w:color w:val="auto"/>
        </w:rPr>
        <w:t xml:space="preserve"> </w:t>
      </w:r>
      <w:r>
        <w:rPr>
          <w:rFonts w:ascii="Arial" w:cs="Arial" w:eastAsia="Arial" w:hAnsi="Arial"/>
          <w:sz w:val="12"/>
          <w:szCs w:val="12"/>
          <w:color w:val="auto"/>
        </w:rPr>
        <w:t>On January 15, 2019, the Company entered into an OpCo-PropCo transaction with Macquarie Infrastructure Partners (“MIP”) to acquire Bluebird Network,</w:t>
      </w:r>
      <w:r>
        <w:rPr>
          <w:rFonts w:ascii="Arial" w:cs="Arial" w:eastAsia="Arial" w:hAnsi="Arial"/>
          <w:sz w:val="12"/>
          <w:szCs w:val="12"/>
          <w:i w:val="1"/>
          <w:iCs w:val="1"/>
          <w:color w:val="auto"/>
        </w:rPr>
        <w:t xml:space="preserve"> </w:t>
      </w:r>
      <w:r>
        <w:rPr>
          <w:rFonts w:ascii="Arial" w:cs="Arial" w:eastAsia="Arial" w:hAnsi="Arial"/>
          <w:sz w:val="12"/>
          <w:szCs w:val="12"/>
          <w:color w:val="auto"/>
        </w:rPr>
        <w:t>LLC (“Bluebird”). MIP operates within the Macquarie Infrastructure and Real Assets ("MIRA") division of Macquarie Group. Bluebird’s network consists of approximately 178,000 fiber strand miles in the Midwest across Missouri, Kansas, Illinois and Oklahoma. In the transaction, Uniti has agreed to purchase the Bluebird fiber network and MIP has agreed to purchase the Bluebird operations. In addition, Uniti has agreed to sell Uniti Fiber’s Midwest operations to MIP, while Uniti will retain its existing Midwest fiber network. Uniti is acquiring the fiber network of Bluebird for $319 million, of which $175 million will be funded by Uniti in cash and $144 million from pre-paid rent to be received from MIP at closing. In connection with the sale of the Company’s Midwest operations, we will receive total upfront cash of approximately $37 million, including related pre-paid rent to be received from MIP at closing. These transactions are subject to regulatory and other closing conditions and are expected to close by the end of the third quarter of 2019. Concurrently with the closing of these transactions, Uniti will lease the Bluebird fiber network and its Midwest fiber network on a combined basis to MIP, under a long-term triple net lease, with initial annual cash rents of approximately $20.3 million. The lease will be reported within the results of our Leasing segment. The Midwest operations that will be sold to MIP are currently reported in our Fiber Infrastructure segment.</w:t>
      </w:r>
    </w:p>
    <w:p>
      <w:pPr>
        <w:spacing w:after="0" w:line="129"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i w:val="1"/>
          <w:iCs w:val="1"/>
          <w:u w:val="single" w:color="auto"/>
          <w:color w:val="auto"/>
        </w:rPr>
        <w:t>Acquisition of Information Transport Solutions, Inc.</w:t>
      </w:r>
      <w:r>
        <w:rPr>
          <w:rFonts w:ascii="Arial" w:cs="Arial" w:eastAsia="Arial" w:hAnsi="Arial"/>
          <w:sz w:val="11"/>
          <w:szCs w:val="11"/>
          <w:i w:val="1"/>
          <w:iCs w:val="1"/>
          <w:color w:val="auto"/>
        </w:rPr>
        <w:t xml:space="preserve"> </w:t>
      </w:r>
      <w:r>
        <w:rPr>
          <w:rFonts w:ascii="Arial" w:cs="Arial" w:eastAsia="Arial" w:hAnsi="Arial"/>
          <w:sz w:val="11"/>
          <w:szCs w:val="11"/>
          <w:color w:val="auto"/>
        </w:rPr>
        <w:t>On October 19, 2018, we completed the acquisition of Information Transport Solutions, Inc. (“ITS”). We acquired all the outstanding membership interests of ITS for approximately</w:t>
      </w:r>
      <w:r>
        <w:rPr>
          <w:rFonts w:ascii="Arial" w:cs="Arial" w:eastAsia="Arial" w:hAnsi="Arial"/>
          <w:sz w:val="11"/>
          <w:szCs w:val="11"/>
          <w:i w:val="1"/>
          <w:iCs w:val="1"/>
          <w:color w:val="auto"/>
        </w:rPr>
        <w:t xml:space="preserve"> </w:t>
      </w:r>
      <w:r>
        <w:rPr>
          <w:rFonts w:ascii="Arial" w:cs="Arial" w:eastAsia="Arial" w:hAnsi="Arial"/>
          <w:sz w:val="11"/>
          <w:szCs w:val="11"/>
          <w:color w:val="auto"/>
        </w:rPr>
        <w:t>$59.6 million in cash, including the payoff of existing indebtedness and unpaid transaction expenses. ITS is a full-service provider of technology solutions, primarily to educational institutions in Alabama and Florida.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Over 30% of ITS’s total revenue is on Uniti Fiber’s network, which is expected to increase under Uniti Fiber’s ownership. The results of operations of ITS are reflected in the Fiber Infrastructure segment beginning October 19, 2018.</w:t>
      </w:r>
    </w:p>
    <w:p>
      <w:pPr>
        <w:spacing w:after="0" w:line="162"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i w:val="1"/>
          <w:iCs w:val="1"/>
          <w:u w:val="single" w:color="auto"/>
          <w:color w:val="auto"/>
        </w:rPr>
        <w:t>Hurricane Michael.</w:t>
      </w:r>
      <w:r>
        <w:rPr>
          <w:rFonts w:ascii="Arial" w:cs="Arial" w:eastAsia="Arial" w:hAnsi="Arial"/>
          <w:sz w:val="11"/>
          <w:szCs w:val="11"/>
          <w:i w:val="1"/>
          <w:iCs w:val="1"/>
          <w:color w:val="auto"/>
        </w:rPr>
        <w:t xml:space="preserve"> </w:t>
      </w:r>
      <w:r>
        <w:rPr>
          <w:rFonts w:ascii="Arial" w:cs="Arial" w:eastAsia="Arial" w:hAnsi="Arial"/>
          <w:sz w:val="11"/>
          <w:szCs w:val="11"/>
          <w:color w:val="auto"/>
        </w:rPr>
        <w:t>During October 2018 Hurricane Michael made landfall as a Category 4 hurricane. The storm resulted in significant damage to the Uniti Fiber network in Florida’s Bay County and surrounding areas. Shortly after</w:t>
      </w:r>
      <w:r>
        <w:rPr>
          <w:rFonts w:ascii="Arial" w:cs="Arial" w:eastAsia="Arial" w:hAnsi="Arial"/>
          <w:sz w:val="11"/>
          <w:szCs w:val="11"/>
          <w:i w:val="1"/>
          <w:iCs w:val="1"/>
          <w:color w:val="auto"/>
        </w:rPr>
        <w:t xml:space="preserve"> </w:t>
      </w:r>
      <w:r>
        <w:rPr>
          <w:rFonts w:ascii="Arial" w:cs="Arial" w:eastAsia="Arial" w:hAnsi="Arial"/>
          <w:sz w:val="11"/>
          <w:szCs w:val="11"/>
          <w:color w:val="auto"/>
        </w:rPr>
        <w:t>landfall we dedicated substantial internal and third-party resources to repair and replace the damaged network, as well as to make enhancements to the network in the impacted areas. As of December 31, 2018, we incurred $3.0 million of costs associated with the restoration efforts and wrote off $3.7 million of network assets that were destroyed. We anticipate full recovery of these costs and expense through insurance proceeds.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2"/>
          <w:szCs w:val="12"/>
          <w:i w:val="1"/>
          <w:iCs w:val="1"/>
          <w:u w:val="single" w:color="auto"/>
          <w:color w:val="auto"/>
        </w:rPr>
        <w:t>Acquisition and Lease-back of CableSouth Media, LLC Fiber Assets.</w:t>
      </w:r>
      <w:r>
        <w:rPr>
          <w:rFonts w:ascii="Arial" w:cs="Arial" w:eastAsia="Arial" w:hAnsi="Arial"/>
          <w:sz w:val="12"/>
          <w:szCs w:val="12"/>
          <w:i w:val="1"/>
          <w:iCs w:val="1"/>
          <w:color w:val="auto"/>
        </w:rPr>
        <w:t xml:space="preserve"> </w:t>
      </w:r>
      <w:r>
        <w:rPr>
          <w:rFonts w:ascii="Arial" w:cs="Arial" w:eastAsia="Arial" w:hAnsi="Arial"/>
          <w:sz w:val="12"/>
          <w:szCs w:val="12"/>
          <w:color w:val="auto"/>
        </w:rPr>
        <w:t>On October 9, 2018, we completed the acquisition of fiber assets from CableSouth Media, LLC (“CableSouth”) for cash consideration of $31 million. In the transaction,</w:t>
      </w:r>
      <w:r>
        <w:rPr>
          <w:rFonts w:ascii="Arial" w:cs="Arial" w:eastAsia="Arial" w:hAnsi="Arial"/>
          <w:sz w:val="12"/>
          <w:szCs w:val="12"/>
          <w:i w:val="1"/>
          <w:iCs w:val="1"/>
          <w:color w:val="auto"/>
        </w:rPr>
        <w:t xml:space="preserve"> </w:t>
      </w:r>
      <w:r>
        <w:rPr>
          <w:rFonts w:ascii="Arial" w:cs="Arial" w:eastAsia="Arial" w:hAnsi="Arial"/>
          <w:sz w:val="12"/>
          <w:szCs w:val="12"/>
          <w:color w:val="auto"/>
        </w:rPr>
        <w:t>Uniti acquired 43,000 fiber strand miles located across Arkansas, Louisiana and Mississippi, of which 34,000 fiber strand miles were leased back to CableSouth on a triple-net basis. Uniti has exclusive use of 9,000 fiber strand miles, which are adjacent to Uniti Fiber’s southern network footprint. The initial lease term is 20 years with four 5-year renewal options at CableSouth’s discretion. Annual cash rent is initially $2.9 million with a fixed annual escalator of 2.0%. The results of this transaction are recorded within our Leasing segment.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Acquisition and Lease-back of U.S. TelePacific Holding Corp. Fiber Assets.</w:t>
      </w:r>
      <w:r>
        <w:rPr>
          <w:rFonts w:ascii="Arial" w:cs="Arial" w:eastAsia="Arial" w:hAnsi="Arial"/>
          <w:sz w:val="11"/>
          <w:szCs w:val="11"/>
          <w:i w:val="1"/>
          <w:iCs w:val="1"/>
          <w:color w:val="auto"/>
        </w:rPr>
        <w:t xml:space="preserve"> </w:t>
      </w:r>
      <w:r>
        <w:rPr>
          <w:rFonts w:ascii="Arial" w:cs="Arial" w:eastAsia="Arial" w:hAnsi="Arial"/>
          <w:sz w:val="11"/>
          <w:szCs w:val="11"/>
          <w:color w:val="auto"/>
        </w:rPr>
        <w:t>On September 19, 2018, we completed the acquisition and lease-back of the California fiber assets of U.S. Telepacific Holding Corp. (“TPx”), for total cash</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consideration of $70 million. On May 1, 2018, we completed the acquisition and lease-back of the non-California fiber assets of TPx, which included exclusive use fiber strand miles in Texas, for total cash consideration of $25</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million. The initial lease term is 15 years with five 5-year renewal options at TPx’s discretion. Initial annual cash rent related to the non-California and California assets is $8.8 million with a fixed annual escalator of 1.5%. The results of</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these transactions are recorded within our Leasing segment.</w:t>
      </w:r>
    </w:p>
    <w:p>
      <w:pPr>
        <w:spacing w:after="0" w:line="141"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i w:val="1"/>
          <w:iCs w:val="1"/>
          <w:u w:val="single" w:color="auto"/>
          <w:color w:val="auto"/>
        </w:rPr>
        <w:t>IRS Private Letter Ruling.</w:t>
      </w:r>
      <w:r>
        <w:rPr>
          <w:rFonts w:ascii="Arial" w:cs="Arial" w:eastAsia="Arial" w:hAnsi="Arial"/>
          <w:sz w:val="12"/>
          <w:szCs w:val="12"/>
          <w:i w:val="1"/>
          <w:iCs w:val="1"/>
          <w:color w:val="auto"/>
        </w:rPr>
        <w:t xml:space="preserve"> </w:t>
      </w:r>
      <w:r>
        <w:rPr>
          <w:rFonts w:ascii="Arial" w:cs="Arial" w:eastAsia="Arial" w:hAnsi="Arial"/>
          <w:sz w:val="12"/>
          <w:szCs w:val="12"/>
          <w:color w:val="auto"/>
        </w:rPr>
        <w:t>During July 2018, we received a favorable private letter ruling (“PLR”) from the Internal Revenue Service (“IRS”) in connection with our request for guidance to clarify the treatment of income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receives from certain communication infrastructure assets. In the PLR, the IRS addressed and favorably ruled that the revenues generated from certain communication infrastructure assets that presently are part of our TRSs would be considered rent from real property.</w:t>
      </w:r>
    </w:p>
    <w:p>
      <w:pPr>
        <w:spacing w:after="0" w:line="123"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i w:val="1"/>
          <w:iCs w:val="1"/>
          <w:u w:val="single" w:color="auto"/>
          <w:color w:val="auto"/>
        </w:rPr>
        <w:t>Dark Fiber Acquisition and Anchor Tenant Lease.</w:t>
      </w:r>
      <w:r>
        <w:rPr>
          <w:rFonts w:ascii="Arial" w:cs="Arial" w:eastAsia="Arial" w:hAnsi="Arial"/>
          <w:sz w:val="11"/>
          <w:szCs w:val="11"/>
          <w:i w:val="1"/>
          <w:iCs w:val="1"/>
          <w:color w:val="auto"/>
        </w:rPr>
        <w:t xml:space="preserve"> </w:t>
      </w:r>
      <w:r>
        <w:rPr>
          <w:rFonts w:ascii="Arial" w:cs="Arial" w:eastAsia="Arial" w:hAnsi="Arial"/>
          <w:sz w:val="11"/>
          <w:szCs w:val="11"/>
          <w:color w:val="auto"/>
        </w:rPr>
        <w:t>On May 10, 2018, the Company acquired from CenturyLink, Inc. 30 long-haul intercity dark fiber routes totaling 11,000 route miles and 270,000 fiber strand miles across 25 states. This</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 was approved by the U.S. Department of Justice as a condition of the merger between CenturyLink, Inc. and Level 3 Communications, Inc., and adds attractive, high demand assets to Uniti Leasing. Simultaneously with this purchase, the Company executed an anchor tenant lease with a Fortune 100 company for 11% of the fiber strand miles. During August 2018, the Company executed a lease agreement with a national multiple system operator (“MSO”) on existing Uniti Leasing fiber. The lease term will be 20 years covering approximately 9,900 route miles or 41,000 fiber strand miles. Annual results related to the agreements are reported within our Leasing segment.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2018 and 2017</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sets forth, for the periods indicated, our results of operations expressed as dollars and as a percentage of total revenues: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tcPr>
          <w:p>
            <w:pPr>
              <w:jc w:val="center"/>
              <w:ind w:left="471"/>
              <w:spacing w:after="0" w:line="109" w:lineRule="exact"/>
              <w:rPr>
                <w:sz w:val="20"/>
                <w:szCs w:val="20"/>
                <w:color w:val="auto"/>
              </w:rPr>
            </w:pPr>
            <w:r>
              <w:rPr>
                <w:rFonts w:ascii="Arial" w:cs="Arial" w:eastAsia="Arial" w:hAnsi="Arial"/>
                <w:sz w:val="10"/>
                <w:szCs w:val="10"/>
                <w:b w:val="1"/>
                <w:bCs w:val="1"/>
                <w:color w:val="auto"/>
                <w:w w:val="87"/>
              </w:rPr>
              <w:t>Year Ended</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right"/>
              <w:ind w:right="102"/>
              <w:spacing w:after="0" w:line="109" w:lineRule="exact"/>
              <w:rPr>
                <w:sz w:val="20"/>
                <w:szCs w:val="20"/>
                <w:color w:val="auto"/>
              </w:rPr>
            </w:pPr>
            <w:r>
              <w:rPr>
                <w:rFonts w:ascii="Arial" w:cs="Arial" w:eastAsia="Arial" w:hAnsi="Arial"/>
                <w:sz w:val="10"/>
                <w:szCs w:val="10"/>
                <w:b w:val="1"/>
                <w:bCs w:val="1"/>
                <w:color w:val="auto"/>
              </w:rPr>
              <w:t>% of</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162"/>
              <w:spacing w:after="0" w:line="109" w:lineRule="exact"/>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jc w:val="right"/>
              <w:ind w:right="380"/>
              <w:spacing w:after="0" w:line="109" w:lineRule="exact"/>
              <w:rPr>
                <w:sz w:val="20"/>
                <w:szCs w:val="20"/>
                <w:color w:val="auto"/>
              </w:rPr>
            </w:pPr>
            <w:r>
              <w:rPr>
                <w:rFonts w:ascii="Arial" w:cs="Arial" w:eastAsia="Arial" w:hAnsi="Arial"/>
                <w:sz w:val="10"/>
                <w:szCs w:val="10"/>
                <w:b w:val="1"/>
                <w:bCs w:val="1"/>
                <w:color w:val="auto"/>
              </w:rPr>
              <w:t>%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16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gridSpan w:val="7"/>
          </w:tcPr>
          <w:p>
            <w:pPr>
              <w:jc w:val="center"/>
              <w:ind w:right="400"/>
              <w:spacing w:after="0" w:line="114" w:lineRule="exact"/>
              <w:rPr>
                <w:sz w:val="20"/>
                <w:szCs w:val="20"/>
                <w:color w:val="auto"/>
              </w:rPr>
            </w:pPr>
            <w:r>
              <w:rPr>
                <w:rFonts w:ascii="Arial" w:cs="Arial" w:eastAsia="Arial" w:hAnsi="Arial"/>
                <w:sz w:val="10"/>
                <w:szCs w:val="10"/>
                <w:b w:val="1"/>
                <w:bCs w:val="1"/>
                <w:color w:val="auto"/>
                <w:w w:val="86"/>
              </w:rPr>
              <w:t>December 31, 2018</w:t>
            </w:r>
          </w:p>
        </w:tc>
        <w:tc>
          <w:tcPr>
            <w:tcW w:w="500" w:type="dxa"/>
            <w:vAlign w:val="bottom"/>
          </w:tcPr>
          <w:p>
            <w:pPr>
              <w:jc w:val="right"/>
              <w:ind w:right="2"/>
              <w:spacing w:after="0" w:line="114" w:lineRule="exact"/>
              <w:rPr>
                <w:sz w:val="20"/>
                <w:szCs w:val="20"/>
                <w:color w:val="auto"/>
              </w:rPr>
            </w:pPr>
            <w:r>
              <w:rPr>
                <w:rFonts w:ascii="Arial" w:cs="Arial" w:eastAsia="Arial" w:hAnsi="Arial"/>
                <w:sz w:val="10"/>
                <w:szCs w:val="10"/>
                <w:b w:val="1"/>
                <w:bCs w:val="1"/>
                <w:color w:val="auto"/>
                <w:w w:val="88"/>
              </w:rPr>
              <w:t>Revenues</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22"/>
              <w:spacing w:after="0" w:line="114" w:lineRule="exact"/>
              <w:rPr>
                <w:sz w:val="20"/>
                <w:szCs w:val="20"/>
                <w:color w:val="auto"/>
              </w:rPr>
            </w:pPr>
            <w:r>
              <w:rPr>
                <w:rFonts w:ascii="Arial" w:cs="Arial" w:eastAsia="Arial" w:hAnsi="Arial"/>
                <w:sz w:val="10"/>
                <w:szCs w:val="10"/>
                <w:b w:val="1"/>
                <w:bCs w:val="1"/>
                <w:color w:val="auto"/>
                <w:w w:val="86"/>
              </w:rPr>
              <w:t>December 31, 2017</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ind w:left="200"/>
              <w:spacing w:after="0" w:line="114" w:lineRule="exact"/>
              <w:rPr>
                <w:sz w:val="20"/>
                <w:szCs w:val="20"/>
                <w:color w:val="auto"/>
              </w:rPr>
            </w:pPr>
            <w:r>
              <w:rPr>
                <w:rFonts w:ascii="Arial" w:cs="Arial" w:eastAsia="Arial" w:hAnsi="Arial"/>
                <w:sz w:val="10"/>
                <w:szCs w:val="10"/>
                <w:b w:val="1"/>
                <w:bCs w:val="1"/>
                <w:color w:val="auto"/>
              </w:rPr>
              <w:t>Revenues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auto"/>
              <w:right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righ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2"/>
                <w:szCs w:val="12"/>
                <w:color w:val="auto"/>
              </w:rPr>
              <w:t>Leasing</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right"/>
              <w:ind w:right="551"/>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699,847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88"/>
              </w:rPr>
              <w:t>68.8%</w:t>
            </w:r>
          </w:p>
        </w:tc>
        <w:tc>
          <w:tcPr>
            <w:tcW w:w="5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685,099</w:t>
            </w:r>
          </w:p>
        </w:tc>
        <w:tc>
          <w:tcPr>
            <w:tcW w:w="80" w:type="dxa"/>
            <w:vAlign w:val="bottom"/>
          </w:tcPr>
          <w:p>
            <w:pPr>
              <w:spacing w:after="0"/>
              <w:rPr>
                <w:sz w:val="13"/>
                <w:szCs w:val="13"/>
                <w:color w:val="auto"/>
              </w:rPr>
            </w:pP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88"/>
              </w:rPr>
              <w:t>74.8%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Fiber Infrastructure</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28.4%</w:t>
            </w: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88"/>
              </w:rPr>
              <w:t>22.1%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2"/>
                <w:szCs w:val="12"/>
                <w:color w:val="auto"/>
              </w:rPr>
              <w:t>Tower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14,617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4"/>
              </w:rPr>
              <w:t>1.4%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81"/>
              </w:rPr>
              <w:t>10,055</w:t>
            </w:r>
          </w:p>
        </w:tc>
        <w:tc>
          <w:tcPr>
            <w:tcW w:w="80" w:type="dxa"/>
            <w:vAlign w:val="bottom"/>
          </w:tcPr>
          <w:p>
            <w:pPr>
              <w:spacing w:after="0"/>
              <w:rPr>
                <w:sz w:val="13"/>
                <w:szCs w:val="13"/>
                <w:color w:val="auto"/>
              </w:rPr>
            </w:pP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4"/>
              </w:rPr>
              <w:t>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Consumer CLEC</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1.4%</w:t>
            </w:r>
          </w:p>
        </w:tc>
        <w:tc>
          <w:tcPr>
            <w:tcW w:w="1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w w:val="81"/>
              </w:rPr>
              <w:t>18,087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center"/>
              <w:ind w:left="65"/>
              <w:spacing w:after="0"/>
              <w:rPr>
                <w:sz w:val="20"/>
                <w:szCs w:val="20"/>
                <w:color w:val="auto"/>
              </w:rPr>
            </w:pPr>
            <w:r>
              <w:rPr>
                <w:rFonts w:ascii="Arial" w:cs="Arial" w:eastAsia="Arial" w:hAnsi="Arial"/>
                <w:sz w:val="12"/>
                <w:szCs w:val="12"/>
                <w:color w:val="auto"/>
                <w:w w:val="94"/>
              </w:rPr>
              <w:t>2.0%</w:t>
            </w:r>
          </w:p>
        </w:tc>
        <w:tc>
          <w:tcPr>
            <w:tcW w:w="14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ind w:left="300"/>
              <w:spacing w:after="0"/>
              <w:rPr>
                <w:sz w:val="20"/>
                <w:szCs w:val="20"/>
                <w:color w:val="auto"/>
              </w:rPr>
            </w:pPr>
            <w:r>
              <w:rPr>
                <w:rFonts w:ascii="Arial" w:cs="Arial" w:eastAsia="Arial" w:hAnsi="Arial"/>
                <w:sz w:val="12"/>
                <w:szCs w:val="12"/>
                <w:color w:val="auto"/>
              </w:rPr>
              <w:t>Total revenues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1,017,634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916,032</w:t>
            </w:r>
          </w:p>
        </w:tc>
        <w:tc>
          <w:tcPr>
            <w:tcW w:w="80" w:type="dxa"/>
            <w:vAlign w:val="bottom"/>
          </w:tcPr>
          <w:p>
            <w:pPr>
              <w:spacing w:after="0"/>
              <w:rPr>
                <w:sz w:val="12"/>
                <w:szCs w:val="12"/>
                <w:color w:val="auto"/>
              </w:rPr>
            </w:pP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3"/>
              </w:rPr>
              <w:t>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2"/>
                <w:szCs w:val="12"/>
                <w:color w:val="auto"/>
              </w:rPr>
              <w:t>Interest expense, net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319,591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88"/>
              </w:rPr>
              <w:t>31.4%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305,994</w:t>
            </w:r>
          </w:p>
        </w:tc>
        <w:tc>
          <w:tcPr>
            <w:tcW w:w="80" w:type="dxa"/>
            <w:vAlign w:val="bottom"/>
          </w:tcPr>
          <w:p>
            <w:pPr>
              <w:spacing w:after="0"/>
              <w:rPr>
                <w:sz w:val="13"/>
                <w:szCs w:val="13"/>
                <w:color w:val="auto"/>
              </w:rPr>
            </w:pP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88"/>
              </w:rPr>
              <w:t>33.4%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44.4%</w:t>
            </w: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88"/>
              </w:rPr>
              <w:t>47.4%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2"/>
                <w:szCs w:val="12"/>
                <w:color w:val="auto"/>
              </w:rPr>
              <w:t>General and administrative expense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85,198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4"/>
              </w:rPr>
              <w:t>8.4%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81"/>
              </w:rPr>
              <w:t>72,045</w:t>
            </w:r>
          </w:p>
        </w:tc>
        <w:tc>
          <w:tcPr>
            <w:tcW w:w="80" w:type="dxa"/>
            <w:vAlign w:val="bottom"/>
          </w:tcPr>
          <w:p>
            <w:pPr>
              <w:spacing w:after="0"/>
              <w:rPr>
                <w:sz w:val="13"/>
                <w:szCs w:val="13"/>
                <w:color w:val="auto"/>
              </w:rPr>
            </w:pP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4"/>
              </w:rPr>
              <w:t>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Operating expense (exclusive of depreciation and amortization)</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137,065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13.4%</w:t>
            </w: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102,176</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88"/>
              </w:rPr>
              <w:t>11.2%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2"/>
                <w:szCs w:val="12"/>
                <w:color w:val="auto"/>
              </w:rPr>
              <w:t>Transaction related costs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17,410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4"/>
              </w:rPr>
              <w:t>1.7%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81"/>
              </w:rPr>
              <w:t>38,005</w:t>
            </w:r>
          </w:p>
        </w:tc>
        <w:tc>
          <w:tcPr>
            <w:tcW w:w="80" w:type="dxa"/>
            <w:vAlign w:val="bottom"/>
          </w:tcPr>
          <w:p>
            <w:pPr>
              <w:spacing w:after="0"/>
              <w:rPr>
                <w:sz w:val="13"/>
                <w:szCs w:val="13"/>
                <w:color w:val="auto"/>
              </w:rPr>
            </w:pP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4"/>
              </w:rPr>
              <w:t>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Other (income) expense</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(4,504)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(0.4%)</w:t>
            </w: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1"/>
              </w:rPr>
              <w:t>11,284</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4"/>
              </w:rPr>
              <w:t>1.2%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FF0FC"/>
            </w:tcBorders>
          </w:tcPr>
          <w:p>
            <w:pPr>
              <w:ind w:left="300"/>
              <w:spacing w:after="0"/>
              <w:rPr>
                <w:sz w:val="20"/>
                <w:szCs w:val="20"/>
                <w:color w:val="auto"/>
              </w:rPr>
            </w:pPr>
            <w:r>
              <w:rPr>
                <w:rFonts w:ascii="Arial" w:cs="Arial" w:eastAsia="Arial" w:hAnsi="Arial"/>
                <w:sz w:val="12"/>
                <w:szCs w:val="12"/>
                <w:color w:val="auto"/>
              </w:rPr>
              <w:t>Total costs and expenses</w:t>
            </w:r>
          </w:p>
        </w:tc>
        <w:tc>
          <w:tcPr>
            <w:tcW w:w="18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1,006,510</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8"/>
              </w:rPr>
              <w:t>98.9%</w:t>
            </w: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color w:val="auto"/>
              </w:rPr>
              <w:t>963,709</w:t>
            </w: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center"/>
              <w:ind w:left="65"/>
              <w:spacing w:after="0"/>
              <w:rPr>
                <w:sz w:val="20"/>
                <w:szCs w:val="20"/>
                <w:color w:val="auto"/>
              </w:rPr>
            </w:pPr>
            <w:r>
              <w:rPr>
                <w:rFonts w:ascii="Arial" w:cs="Arial" w:eastAsia="Arial" w:hAnsi="Arial"/>
                <w:sz w:val="12"/>
                <w:szCs w:val="12"/>
                <w:color w:val="auto"/>
                <w:w w:val="93"/>
              </w:rPr>
              <w:t>105.2%</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2"/>
                <w:szCs w:val="12"/>
                <w:b w:val="1"/>
                <w:bCs w:val="1"/>
                <w:color w:val="auto"/>
              </w:rPr>
              <w:t>Income (loss) before income taxes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11,124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4"/>
              </w:rPr>
              <w:t>1.1%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2"/>
                <w:szCs w:val="12"/>
                <w:color w:val="auto"/>
              </w:rPr>
              <w:t>(47,677)</w:t>
            </w: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6"/>
              </w:rPr>
              <w:t>(5.2%)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Income tax benefit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(5,421)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(0.5%)</w:t>
            </w: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0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(38,849)</w:t>
            </w:r>
          </w:p>
        </w:tc>
        <w:tc>
          <w:tcPr>
            <w:tcW w:w="80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6"/>
              </w:rPr>
              <w:t>(4.2%)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income (loss)</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16,545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4"/>
              </w:rPr>
              <w:t>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2"/>
                <w:szCs w:val="12"/>
                <w:color w:val="auto"/>
                <w:w w:val="94"/>
              </w:rPr>
              <w:t>(8,828)</w:t>
            </w: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6"/>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0.0%</w:t>
            </w:r>
          </w:p>
        </w:tc>
        <w:tc>
          <w:tcPr>
            <w:tcW w:w="1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611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center"/>
              <w:ind w:left="65"/>
              <w:spacing w:after="0"/>
              <w:rPr>
                <w:sz w:val="20"/>
                <w:szCs w:val="20"/>
                <w:color w:val="auto"/>
              </w:rPr>
            </w:pPr>
            <w:r>
              <w:rPr>
                <w:rFonts w:ascii="Arial" w:cs="Arial" w:eastAsia="Arial" w:hAnsi="Arial"/>
                <w:sz w:val="12"/>
                <w:szCs w:val="12"/>
                <w:color w:val="auto"/>
                <w:w w:val="94"/>
              </w:rPr>
              <w:t>0.1%</w:t>
            </w:r>
          </w:p>
        </w:tc>
        <w:tc>
          <w:tcPr>
            <w:tcW w:w="14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Net income (loss) attributable to shareholders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16,187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4"/>
              </w:rPr>
              <w:t>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2"/>
                <w:szCs w:val="12"/>
                <w:color w:val="auto"/>
                <w:w w:val="94"/>
              </w:rPr>
              <w:t>(9,439)</w:t>
            </w: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6"/>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Participating securities' share in earnings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(2,594)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(0.2%)</w:t>
            </w: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42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w w:val="94"/>
              </w:rPr>
              <w:t>(1,509)</w:t>
            </w:r>
          </w:p>
        </w:tc>
        <w:tc>
          <w:tcPr>
            <w:tcW w:w="80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6"/>
              </w:rPr>
              <w:t>(0.2%)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2"/>
                <w:szCs w:val="12"/>
                <w:color w:val="auto"/>
              </w:rPr>
              <w:t>Dividends declared on convertible preferred stock</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(2,624)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6"/>
              </w:rPr>
              <w:t>(0.3%)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2"/>
                <w:szCs w:val="12"/>
                <w:color w:val="auto"/>
                <w:w w:val="94"/>
              </w:rPr>
              <w:t>(2,624)</w:t>
            </w: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6"/>
              </w:rPr>
              <w:t>(0.3%)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Amortization of discount on convertible preferred stock</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(2,980)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(0.3%)</w:t>
            </w: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42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w w:val="94"/>
              </w:rPr>
              <w:t>(2,980)</w:t>
            </w:r>
          </w:p>
        </w:tc>
        <w:tc>
          <w:tcPr>
            <w:tcW w:w="80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6"/>
              </w:rPr>
              <w:t>(0.3%)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60" w:type="dxa"/>
            <w:vAlign w:val="bottom"/>
          </w:tcPr>
          <w:p>
            <w:pPr>
              <w:jc w:val="right"/>
              <w:ind w:right="551"/>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7,989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4"/>
              </w:rPr>
              <w:t>0.8%</w:t>
            </w:r>
          </w:p>
        </w:tc>
        <w:tc>
          <w:tcPr>
            <w:tcW w:w="1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2"/>
                <w:szCs w:val="12"/>
                <w:color w:val="auto"/>
              </w:rPr>
              <w:t>(16,552)</w:t>
            </w:r>
          </w:p>
        </w:tc>
        <w:tc>
          <w:tcPr>
            <w:tcW w:w="800" w:type="dxa"/>
            <w:vAlign w:val="bottom"/>
            <w:gridSpan w:val="2"/>
          </w:tcPr>
          <w:p>
            <w:pPr>
              <w:jc w:val="center"/>
              <w:ind w:left="200"/>
              <w:spacing w:after="0"/>
              <w:rPr>
                <w:sz w:val="20"/>
                <w:szCs w:val="20"/>
                <w:color w:val="auto"/>
              </w:rPr>
            </w:pPr>
            <w:r>
              <w:rPr>
                <w:rFonts w:ascii="Arial" w:cs="Arial" w:eastAsia="Arial" w:hAnsi="Arial"/>
                <w:sz w:val="12"/>
                <w:szCs w:val="12"/>
                <w:color w:val="auto"/>
                <w:w w:val="96"/>
              </w:rPr>
              <w:t>(1.8%)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11"/>
          </w:tcPr>
          <w:p>
            <w:pPr>
              <w:spacing w:after="0"/>
              <w:rPr>
                <w:sz w:val="20"/>
                <w:szCs w:val="20"/>
                <w:color w:val="auto"/>
              </w:rPr>
            </w:pPr>
            <w:r>
              <w:rPr>
                <w:rFonts w:ascii="Arial" w:cs="Arial" w:eastAsia="Arial" w:hAnsi="Arial"/>
                <w:sz w:val="12"/>
                <w:szCs w:val="12"/>
                <w:color w:val="auto"/>
                <w:w w:val="90"/>
              </w:rPr>
              <w:t>The following table sets forth, for the years ended December 31, 2018 and 2017, revenues and Adjusted EBITDA of our reportable segments: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0"/>
                <w:szCs w:val="10"/>
                <w:b w:val="1"/>
                <w:bCs w:val="1"/>
                <w:color w:val="auto"/>
                <w:w w:val="90"/>
              </w:rPr>
              <w:t>Year Ended December 31, 2018</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tcPr>
          <w:p>
            <w:pPr>
              <w:jc w:val="right"/>
              <w:ind w:right="105"/>
              <w:spacing w:after="0" w:line="83" w:lineRule="exact"/>
              <w:rPr>
                <w:sz w:val="20"/>
                <w:szCs w:val="20"/>
                <w:color w:val="auto"/>
              </w:rPr>
            </w:pPr>
            <w:r>
              <w:rPr>
                <w:rFonts w:ascii="Arial" w:cs="Arial" w:eastAsia="Arial" w:hAnsi="Arial"/>
                <w:sz w:val="8"/>
                <w:szCs w:val="8"/>
                <w:b w:val="1"/>
                <w:bCs w:val="1"/>
                <w:color w:val="auto"/>
              </w:rPr>
              <w:t>Total of Reportable</w:t>
            </w:r>
          </w:p>
        </w:tc>
        <w:tc>
          <w:tcPr>
            <w:tcW w:w="2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6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180" w:type="dxa"/>
            <w:vAlign w:val="bottom"/>
          </w:tcPr>
          <w:p>
            <w:pPr>
              <w:spacing w:after="0"/>
              <w:rPr>
                <w:sz w:val="9"/>
                <w:szCs w:val="9"/>
                <w:color w:val="auto"/>
              </w:rPr>
            </w:pPr>
          </w:p>
        </w:tc>
        <w:tc>
          <w:tcPr>
            <w:tcW w:w="940" w:type="dxa"/>
            <w:vAlign w:val="bottom"/>
            <w:gridSpan w:val="2"/>
          </w:tcPr>
          <w:p>
            <w:pPr>
              <w:jc w:val="right"/>
              <w:ind w:right="500"/>
              <w:spacing w:after="0" w:line="114" w:lineRule="exact"/>
              <w:rPr>
                <w:sz w:val="20"/>
                <w:szCs w:val="20"/>
                <w:color w:val="auto"/>
              </w:rPr>
            </w:pPr>
            <w:r>
              <w:rPr>
                <w:rFonts w:ascii="Arial" w:cs="Arial" w:eastAsia="Arial" w:hAnsi="Arial"/>
                <w:sz w:val="10"/>
                <w:szCs w:val="10"/>
                <w:b w:val="1"/>
                <w:bCs w:val="1"/>
                <w:color w:val="auto"/>
              </w:rPr>
              <w:t>Leasing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4"/>
          </w:tcPr>
          <w:p>
            <w:pPr>
              <w:jc w:val="right"/>
              <w:ind w:right="440"/>
              <w:spacing w:after="0" w:line="114" w:lineRule="exact"/>
              <w:rPr>
                <w:sz w:val="20"/>
                <w:szCs w:val="20"/>
                <w:color w:val="auto"/>
              </w:rPr>
            </w:pPr>
            <w:r>
              <w:rPr>
                <w:rFonts w:ascii="Arial" w:cs="Arial" w:eastAsia="Arial" w:hAnsi="Arial"/>
                <w:sz w:val="10"/>
                <w:szCs w:val="10"/>
                <w:b w:val="1"/>
                <w:bCs w:val="1"/>
                <w:color w:val="auto"/>
                <w:w w:val="95"/>
              </w:rPr>
              <w:t>Fiber Infrastructure</w:t>
            </w:r>
          </w:p>
        </w:tc>
        <w:tc>
          <w:tcPr>
            <w:tcW w:w="160" w:type="dxa"/>
            <w:vAlign w:val="bottom"/>
          </w:tcPr>
          <w:p>
            <w:pPr>
              <w:spacing w:after="0"/>
              <w:rPr>
                <w:sz w:val="9"/>
                <w:szCs w:val="9"/>
                <w:color w:val="auto"/>
              </w:rPr>
            </w:pPr>
          </w:p>
        </w:tc>
        <w:tc>
          <w:tcPr>
            <w:tcW w:w="940" w:type="dxa"/>
            <w:vAlign w:val="bottom"/>
            <w:gridSpan w:val="4"/>
          </w:tcPr>
          <w:p>
            <w:pPr>
              <w:ind w:left="120"/>
              <w:spacing w:after="0" w:line="114" w:lineRule="exact"/>
              <w:rPr>
                <w:sz w:val="20"/>
                <w:szCs w:val="20"/>
                <w:color w:val="auto"/>
              </w:rPr>
            </w:pPr>
            <w:r>
              <w:rPr>
                <w:rFonts w:ascii="Arial" w:cs="Arial" w:eastAsia="Arial" w:hAnsi="Arial"/>
                <w:sz w:val="10"/>
                <w:szCs w:val="10"/>
                <w:b w:val="1"/>
                <w:bCs w:val="1"/>
                <w:color w:val="auto"/>
              </w:rPr>
              <w:t>Towers</w:t>
            </w:r>
          </w:p>
        </w:tc>
        <w:tc>
          <w:tcPr>
            <w:tcW w:w="108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w w:val="98"/>
              </w:rPr>
              <w:t>Consumer CLEC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242"/>
              <w:spacing w:after="0" w:line="114" w:lineRule="exact"/>
              <w:rPr>
                <w:sz w:val="20"/>
                <w:szCs w:val="20"/>
                <w:color w:val="auto"/>
              </w:rPr>
            </w:pPr>
            <w:r>
              <w:rPr>
                <w:rFonts w:ascii="Arial" w:cs="Arial" w:eastAsia="Arial" w:hAnsi="Arial"/>
                <w:sz w:val="10"/>
                <w:szCs w:val="10"/>
                <w:b w:val="1"/>
                <w:bCs w:val="1"/>
                <w:color w:val="auto"/>
              </w:rPr>
              <w:t>Corporate</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tcPr>
          <w:p>
            <w:pPr>
              <w:ind w:left="40"/>
              <w:spacing w:after="0" w:line="114" w:lineRule="exact"/>
              <w:rPr>
                <w:sz w:val="20"/>
                <w:szCs w:val="20"/>
                <w:color w:val="auto"/>
              </w:rPr>
            </w:pPr>
            <w:r>
              <w:rPr>
                <w:rFonts w:ascii="Arial" w:cs="Arial" w:eastAsia="Arial" w:hAnsi="Arial"/>
                <w:sz w:val="10"/>
                <w:szCs w:val="10"/>
                <w:b w:val="1"/>
                <w:bCs w:val="1"/>
                <w:color w:val="auto"/>
              </w:rPr>
              <w:t>Segments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699,847</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14,617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82"/>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1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FF0FC"/>
          </w:tcPr>
          <w:p>
            <w:pPr>
              <w:jc w:val="right"/>
              <w:ind w:right="138"/>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1,017,634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697,545</w:t>
            </w:r>
          </w:p>
        </w:tc>
        <w:tc>
          <w:tcPr>
            <w:tcW w:w="18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123,389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355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82"/>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3,353</w:t>
            </w:r>
          </w:p>
        </w:tc>
        <w:tc>
          <w:tcPr>
            <w:tcW w:w="18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(21,759)</w:t>
            </w:r>
          </w:p>
        </w:tc>
        <w:tc>
          <w:tcPr>
            <w:tcW w:w="340" w:type="dxa"/>
            <w:vAlign w:val="bottom"/>
            <w:gridSpan w:val="2"/>
            <w:shd w:val="clear" w:color="auto" w:fill="CFF0FC"/>
          </w:tcPr>
          <w:p>
            <w:pPr>
              <w:jc w:val="right"/>
              <w:ind w:right="138"/>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802,883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60" w:type="dxa"/>
            <w:vAlign w:val="bottom"/>
            <w:gridSpan w:val="2"/>
          </w:tcPr>
          <w:p>
            <w:pPr>
              <w:spacing w:after="0"/>
              <w:rPr>
                <w:sz w:val="20"/>
                <w:szCs w:val="20"/>
                <w:color w:val="auto"/>
              </w:rPr>
            </w:pPr>
            <w:r>
              <w:rPr>
                <w:rFonts w:ascii="Arial" w:cs="Arial" w:eastAsia="Arial" w:hAnsi="Arial"/>
                <w:sz w:val="12"/>
                <w:szCs w:val="12"/>
                <w:color w:val="auto"/>
              </w:rPr>
              <w:t>Adjusted EBITDA margin</w:t>
            </w:r>
          </w:p>
        </w:tc>
        <w:tc>
          <w:tcPr>
            <w:tcW w:w="1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99.7%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2"/>
                <w:szCs w:val="12"/>
                <w:color w:val="auto"/>
              </w:rPr>
              <w:t>42.7%</w:t>
            </w:r>
          </w:p>
        </w:tc>
        <w:tc>
          <w:tcPr>
            <w:tcW w:w="160" w:type="dxa"/>
            <w:vAlign w:val="bottom"/>
          </w:tcPr>
          <w:p>
            <w:pPr>
              <w:spacing w:after="0"/>
              <w:rPr>
                <w:sz w:val="13"/>
                <w:szCs w:val="13"/>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2"/>
                <w:szCs w:val="12"/>
                <w:color w:val="auto"/>
              </w:rPr>
              <w:t>2.4%</w:t>
            </w:r>
          </w:p>
        </w:tc>
        <w:tc>
          <w:tcPr>
            <w:tcW w:w="50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2"/>
                <w:szCs w:val="12"/>
                <w:color w:val="auto"/>
              </w:rPr>
              <w:t>78.9%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Less: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Arial" w:cs="Arial" w:eastAsia="Arial" w:hAnsi="Arial"/>
                <w:sz w:val="12"/>
                <w:szCs w:val="12"/>
                <w:color w:val="auto"/>
              </w:rPr>
              <w:t>Interest expense, net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319,591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337,126</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105,651</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6,704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1,994</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275</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Arial" w:cs="Arial" w:eastAsia="Arial" w:hAnsi="Arial"/>
                <w:sz w:val="12"/>
                <w:szCs w:val="12"/>
                <w:color w:val="auto"/>
              </w:rPr>
              <w:t>Other income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(4,504)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2"/>
                <w:szCs w:val="12"/>
                <w:color w:val="auto"/>
              </w:rPr>
              <w:t>Transaction related costs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17,410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8,064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2"/>
                <w:szCs w:val="12"/>
                <w:color w:val="auto"/>
              </w:rPr>
              <w:t>Income tax benefit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(5,421)</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(552)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Borders>
              <w:right w:val="single" w:sz="8" w:color="CFF0FC"/>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340" w:type="dxa"/>
            <w:vAlign w:val="bottom"/>
            <w:gridSpan w:val="2"/>
            <w:shd w:val="clear" w:color="auto" w:fill="CFF0FC"/>
          </w:tcPr>
          <w:p>
            <w:pPr>
              <w:jc w:val="right"/>
              <w:ind w:right="138"/>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14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3"/>
                <w:szCs w:val="23"/>
                <w:color w:val="auto"/>
              </w:rPr>
            </w:pPr>
          </w:p>
        </w:tc>
        <w:tc>
          <w:tcPr>
            <w:tcW w:w="76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42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2"/>
                <w:szCs w:val="12"/>
                <w:color w:val="auto"/>
              </w:rPr>
              <w:t>34</w:t>
            </w:r>
          </w:p>
        </w:tc>
        <w:tc>
          <w:tcPr>
            <w:tcW w:w="660" w:type="dxa"/>
            <w:vAlign w:val="bottom"/>
            <w:tcBorders>
              <w:top w:val="single" w:sz="8" w:color="CFF0FC"/>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160" w:type="dxa"/>
            <w:vAlign w:val="bottom"/>
            <w:tcBorders>
              <w:top w:val="single" w:sz="8" w:color="CFF0FC"/>
            </w:tcBorders>
          </w:tcPr>
          <w:p>
            <w:pPr>
              <w:spacing w:after="0"/>
              <w:rPr>
                <w:sz w:val="23"/>
                <w:szCs w:val="23"/>
                <w:color w:val="auto"/>
              </w:rPr>
            </w:pPr>
          </w:p>
        </w:tc>
        <w:tc>
          <w:tcPr>
            <w:tcW w:w="54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CFF0FC"/>
            </w:tcBorders>
          </w:tcPr>
          <w:p>
            <w:pPr>
              <w:spacing w:after="0"/>
              <w:rPr>
                <w:sz w:val="23"/>
                <w:szCs w:val="23"/>
                <w:color w:val="auto"/>
              </w:rPr>
            </w:pPr>
          </w:p>
        </w:tc>
        <w:tc>
          <w:tcPr>
            <w:tcW w:w="500" w:type="dxa"/>
            <w:vAlign w:val="bottom"/>
            <w:tcBorders>
              <w:top w:val="single" w:sz="8" w:color="CFF0FC"/>
            </w:tcBorders>
          </w:tcPr>
          <w:p>
            <w:pPr>
              <w:spacing w:after="0"/>
              <w:rPr>
                <w:sz w:val="23"/>
                <w:szCs w:val="23"/>
                <w:color w:val="auto"/>
              </w:rPr>
            </w:pPr>
          </w:p>
        </w:tc>
        <w:tc>
          <w:tcPr>
            <w:tcW w:w="160" w:type="dxa"/>
            <w:vAlign w:val="bottom"/>
            <w:tcBorders>
              <w:top w:val="single" w:sz="8" w:color="CFF0FC"/>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88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0"/>
                <w:szCs w:val="10"/>
                <w:b w:val="1"/>
                <w:bCs w:val="1"/>
                <w:color w:val="auto"/>
                <w:w w:val="90"/>
              </w:rPr>
              <w:t>Year Ended December 31, 2017</w:t>
            </w: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right"/>
              <w:ind w:right="22"/>
              <w:spacing w:after="0" w:line="83" w:lineRule="exact"/>
              <w:rPr>
                <w:sz w:val="20"/>
                <w:szCs w:val="20"/>
                <w:color w:val="auto"/>
              </w:rPr>
            </w:pPr>
            <w:r>
              <w:rPr>
                <w:rFonts w:ascii="Arial" w:cs="Arial" w:eastAsia="Arial" w:hAnsi="Arial"/>
                <w:sz w:val="8"/>
                <w:szCs w:val="8"/>
                <w:b w:val="1"/>
                <w:bCs w:val="1"/>
                <w:color w:val="auto"/>
              </w:rPr>
              <w:t>Total of Reportable</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4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18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142"/>
              <w:spacing w:after="0" w:line="114" w:lineRule="exact"/>
              <w:rPr>
                <w:sz w:val="20"/>
                <w:szCs w:val="20"/>
                <w:color w:val="auto"/>
              </w:rPr>
            </w:pPr>
            <w:r>
              <w:rPr>
                <w:rFonts w:ascii="Arial" w:cs="Arial" w:eastAsia="Arial" w:hAnsi="Arial"/>
                <w:sz w:val="10"/>
                <w:szCs w:val="10"/>
                <w:b w:val="1"/>
                <w:bCs w:val="1"/>
                <w:color w:val="auto"/>
                <w:w w:val="95"/>
              </w:rPr>
              <w:t>Fiber Infrastructure</w:t>
            </w:r>
          </w:p>
        </w:tc>
        <w:tc>
          <w:tcPr>
            <w:tcW w:w="2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44"/>
              <w:spacing w:after="0" w:line="114" w:lineRule="exact"/>
              <w:rPr>
                <w:sz w:val="20"/>
                <w:szCs w:val="20"/>
                <w:color w:val="auto"/>
              </w:rPr>
            </w:pPr>
            <w:r>
              <w:rPr>
                <w:rFonts w:ascii="Arial" w:cs="Arial" w:eastAsia="Arial" w:hAnsi="Arial"/>
                <w:sz w:val="10"/>
                <w:szCs w:val="10"/>
                <w:b w:val="1"/>
                <w:bCs w:val="1"/>
                <w:color w:val="auto"/>
              </w:rPr>
              <w:t>Towers</w:t>
            </w:r>
          </w:p>
        </w:tc>
        <w:tc>
          <w:tcPr>
            <w:tcW w:w="3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42"/>
              <w:spacing w:after="0" w:line="114" w:lineRule="exact"/>
              <w:rPr>
                <w:sz w:val="20"/>
                <w:szCs w:val="20"/>
                <w:color w:val="auto"/>
              </w:rPr>
            </w:pPr>
            <w:r>
              <w:rPr>
                <w:rFonts w:ascii="Arial" w:cs="Arial" w:eastAsia="Arial" w:hAnsi="Arial"/>
                <w:sz w:val="10"/>
                <w:szCs w:val="10"/>
                <w:b w:val="1"/>
                <w:bCs w:val="1"/>
                <w:color w:val="auto"/>
                <w:w w:val="88"/>
              </w:rPr>
              <w:t>Consumer CLEC</w:t>
            </w:r>
          </w:p>
        </w:tc>
        <w:tc>
          <w:tcPr>
            <w:tcW w:w="18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Corporate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Segments</w:t>
            </w:r>
          </w:p>
        </w:tc>
        <w:tc>
          <w:tcPr>
            <w:tcW w:w="2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685,099</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w:t>
            </w: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1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683,651</w:t>
            </w:r>
          </w:p>
        </w:tc>
        <w:tc>
          <w:tcPr>
            <w:tcW w:w="18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83,987</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(831)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4,556</w:t>
            </w:r>
          </w:p>
        </w:tc>
        <w:tc>
          <w:tcPr>
            <w:tcW w:w="1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(21,839)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tcPr>
          <w:p>
            <w:pPr>
              <w:spacing w:after="0"/>
              <w:rPr>
                <w:sz w:val="20"/>
                <w:szCs w:val="20"/>
                <w:color w:val="auto"/>
              </w:rPr>
            </w:pPr>
            <w:r>
              <w:rPr>
                <w:rFonts w:ascii="Arial" w:cs="Arial" w:eastAsia="Arial" w:hAnsi="Arial"/>
                <w:sz w:val="12"/>
                <w:szCs w:val="12"/>
                <w:color w:val="auto"/>
              </w:rPr>
              <w:t>Adjusted EBITDA margin</w:t>
            </w:r>
          </w:p>
        </w:tc>
        <w:tc>
          <w:tcPr>
            <w:tcW w:w="2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99.8%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41.4%</w:t>
            </w:r>
          </w:p>
        </w:tc>
        <w:tc>
          <w:tcPr>
            <w:tcW w:w="12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tcPr>
          <w:p>
            <w:pPr>
              <w:ind w:left="80"/>
              <w:spacing w:after="0"/>
              <w:rPr>
                <w:sz w:val="20"/>
                <w:szCs w:val="20"/>
                <w:color w:val="auto"/>
              </w:rPr>
            </w:pPr>
            <w:r>
              <w:rPr>
                <w:rFonts w:ascii="Arial" w:cs="Arial" w:eastAsia="Arial" w:hAnsi="Arial"/>
                <w:sz w:val="12"/>
                <w:szCs w:val="12"/>
                <w:color w:val="auto"/>
              </w:rPr>
              <w:t>Interest expense, net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305,994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347,999</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78,307</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4,907</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2,607</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tcPr>
          <w:p>
            <w:pPr>
              <w:ind w:left="80"/>
              <w:spacing w:after="0"/>
              <w:rPr>
                <w:sz w:val="20"/>
                <w:szCs w:val="20"/>
                <w:color w:val="auto"/>
              </w:rPr>
            </w:pPr>
            <w:r>
              <w:rPr>
                <w:rFonts w:ascii="Arial" w:cs="Arial" w:eastAsia="Arial" w:hAnsi="Arial"/>
                <w:sz w:val="12"/>
                <w:szCs w:val="12"/>
                <w:color w:val="auto"/>
              </w:rPr>
              <w:t>Other expense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11,284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7,713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2"/>
                <w:szCs w:val="12"/>
                <w:color w:val="auto"/>
              </w:rPr>
              <w:t>Net loss</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0" w:lineRule="exact"/>
        <w:rPr>
          <w:sz w:val="20"/>
          <w:szCs w:val="20"/>
          <w:color w:val="auto"/>
        </w:rPr>
      </w:pPr>
    </w:p>
    <w:p>
      <w:pPr>
        <w:ind w:right="200"/>
        <w:spacing w:after="0" w:line="257"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Leasing revenues are primarily attributable to rental revenue from leasing our Distribution Systems to Windstream Holdings pursuant to the Master Lease. Under the Master Lease, Windstream Holdings is responsible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costs related to operating the Distribution Systems, including property taxes, insurance, and maintenance and repair costs. As a result, we do not record an obligation related to the payment of property taxes, as Windstream makes direct payments to the taxing authorities. The Master Lease has an initial term of 15 years with four 5-year renewal options and encompasses properties located in 29 states. Cash rent under the Master Lease is currently $657 million and is subject to an annual escalation of 0.5% each May through the initial term. Rental revenues over the initial term of the Master Lease are recognized in the financial statements on a straight-line basis, representing approximately $670.8 million per year.</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Master Lease provides that tenant funded capital improvements (“TCIs”), defined as maintenance, repair, overbuild, upgrade or replacement to the leased network,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For the year ended December 31, 2018, we recognized $693.9 million of revenue under the Master Lease, which included $23.1 million of non-cash TCI revenue and $15.1 million of non-cash straight-line rental revenue. For the year ended December 31, 2017, we recognized $685.1 million of revenue under the Master Lease, which included $14.3 million of non-cash TCI revenue and $17.3 million of non-cash straight-line rental revenue. The increase in TCI revenue is attributable to continued investment by Windstream in TCIs. Windstream invested $153.6 million in TCIs during the year ended December 31, 2018, a decrease from $228.0 million it invested in TCIs during the year ended December 31, 2017. Since the inception of the Master Lease, Windstream has invested a total of $607.1 million in such improvements.</w:t>
      </w:r>
    </w:p>
    <w:p>
      <w:pPr>
        <w:spacing w:after="0" w:line="125"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multiple times over the past 12 months. In addition, Windstream has been involved in litigation with an entity who acquired certain Windstream debt securities and thereafter issued a notice of default as to such securities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340" w:lineRule="auto"/>
        <w:rPr>
          <w:sz w:val="20"/>
          <w:szCs w:val="20"/>
          <w:color w:val="auto"/>
        </w:rPr>
      </w:pPr>
      <w:r>
        <w:rPr>
          <w:rFonts w:ascii="Arial" w:cs="Arial" w:eastAsia="Arial" w:hAnsi="Arial"/>
          <w:sz w:val="10"/>
          <w:szCs w:val="10"/>
          <w:color w:val="auto"/>
        </w:rPr>
        <w:t>relating to our spin-off from Windstream. On December 7, 2017, the entity issued a notice of acceleration to Windstream claiming that the alleged default had matured into an “event of default” and that the principal amount, along with accrued interest, of such securities was due and payable immediately.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In response to the adverse outcome, on February 25, 2019, Windstream filed a voluntary petition for relief under Chapter 11 of the Bankruptcy Code in the U.S. Bankruptcy Court for the Southern District of New York.</w:t>
      </w:r>
    </w:p>
    <w:p>
      <w:pPr>
        <w:spacing w:after="0" w:line="150" w:lineRule="exact"/>
        <w:rPr>
          <w:sz w:val="20"/>
          <w:szCs w:val="20"/>
          <w:color w:val="auto"/>
        </w:rPr>
      </w:pPr>
    </w:p>
    <w:p>
      <w:pPr>
        <w:ind w:right="180"/>
        <w:spacing w:after="0" w:line="255" w:lineRule="auto"/>
        <w:rPr>
          <w:sz w:val="20"/>
          <w:szCs w:val="20"/>
          <w:color w:val="auto"/>
        </w:rPr>
      </w:pPr>
      <w:r>
        <w:rPr>
          <w:rFonts w:ascii="Arial" w:cs="Arial" w:eastAsia="Arial" w:hAnsi="Arial"/>
          <w:sz w:val="12"/>
          <w:szCs w:val="12"/>
          <w:color w:val="auto"/>
        </w:rPr>
        <w:t>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Item 1A Risk Factors for additional information concerning the impact Windstream’s bankruptcy may have on our operations and financial condition.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and pay dividends to our stockholders as required to maintain our status as a REIT.</w:t>
      </w:r>
    </w:p>
    <w:p>
      <w:pPr>
        <w:spacing w:after="0" w:line="129"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Windstream is a publicly traded company and is subject to the periodic filing requirements of the Securities Exchange Act of 1934, as amended. Windstream filings can be found at www.sec.gov. Windstream filings are not incorporated by reference in this Annual Report on Form 10-K.</w:t>
      </w:r>
    </w:p>
    <w:p>
      <w:pPr>
        <w:spacing w:after="0" w:line="11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For the year ended December 31, 2018, we recognized $6.0 million of leasing revenues from non-Windstream triple-net leasing and dark fiber indefeasible rights of use (“IRU”) arrangements. No such revenues were recognized for the year ended December 31, 2017.</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1"/>
          <w:szCs w:val="11"/>
          <w:i w:val="1"/>
          <w:iCs w:val="1"/>
          <w:u w:val="single" w:color="auto"/>
          <w:color w:val="auto"/>
        </w:rPr>
        <w:t>Fiber Infrastructure</w:t>
      </w:r>
      <w:r>
        <w:rPr>
          <w:rFonts w:ascii="Arial" w:cs="Arial" w:eastAsia="Arial" w:hAnsi="Arial"/>
          <w:sz w:val="11"/>
          <w:szCs w:val="11"/>
          <w:i w:val="1"/>
          <w:iCs w:val="1"/>
          <w:color w:val="auto"/>
        </w:rPr>
        <w:t xml:space="preserve"> </w:t>
      </w:r>
      <w:r>
        <w:rPr>
          <w:rFonts w:ascii="Arial" w:cs="Arial" w:eastAsia="Arial" w:hAnsi="Arial"/>
          <w:sz w:val="11"/>
          <w:szCs w:val="11"/>
          <w:color w:val="auto"/>
        </w:rPr>
        <w:t>– For the years ended December 31, 2018 and 2017, we recognized $289.2 and $202.8 of revenue, in our Fiber Infrastructure segment. The increase is primarily attributable to the timing of the acquisitions of Southern</w:t>
      </w:r>
      <w:r>
        <w:rPr>
          <w:rFonts w:ascii="Arial" w:cs="Arial" w:eastAsia="Arial" w:hAnsi="Arial"/>
          <w:sz w:val="11"/>
          <w:szCs w:val="11"/>
          <w:i w:val="1"/>
          <w:iCs w:val="1"/>
          <w:color w:val="auto"/>
        </w:rPr>
        <w:t xml:space="preserve"> </w:t>
      </w:r>
      <w:r>
        <w:rPr>
          <w:rFonts w:ascii="Arial" w:cs="Arial" w:eastAsia="Arial" w:hAnsi="Arial"/>
          <w:sz w:val="11"/>
          <w:szCs w:val="11"/>
          <w:color w:val="auto"/>
        </w:rPr>
        <w:t>Light, LLC (“Southern Light”) and Hunt Telecommunications LLC (“Hunt”), which were both acquired on July 3, 2017. Southern Light and Hunt contributed revenues of $132.8 million and $61.9 million, to our consolidated results for the year-ended December 31, 2018 and for the period from the date of acquisition through December 31, 2017, respectively. In addition, we acquired ITS on October 19, 2018, which contributed $8.9 million of revenues from the date of acquisition to December 31, 2018. Revenue components for the Fiber Infrastructure segment for the years ended December 31, 2018 and 2017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5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114"/>
        </w:trPr>
        <w:tc>
          <w:tcPr>
            <w:tcW w:w="582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Amount</w:t>
            </w:r>
          </w:p>
        </w:tc>
        <w:tc>
          <w:tcPr>
            <w:tcW w:w="8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Segment Revenues</w:t>
            </w:r>
          </w:p>
        </w:tc>
        <w:tc>
          <w:tcPr>
            <w:tcW w:w="280" w:type="dxa"/>
            <w:vAlign w:val="bottom"/>
          </w:tcPr>
          <w:p>
            <w:pPr>
              <w:spacing w:after="0"/>
              <w:rPr>
                <w:sz w:val="9"/>
                <w:szCs w:val="9"/>
                <w:color w:val="auto"/>
              </w:rPr>
            </w:pPr>
          </w:p>
        </w:tc>
        <w:tc>
          <w:tcPr>
            <w:tcW w:w="980" w:type="dxa"/>
            <w:vAlign w:val="bottom"/>
          </w:tcPr>
          <w:p>
            <w:pPr>
              <w:jc w:val="right"/>
              <w:ind w:right="32"/>
              <w:spacing w:after="0" w:line="114" w:lineRule="exact"/>
              <w:rPr>
                <w:sz w:val="20"/>
                <w:szCs w:val="20"/>
                <w:color w:val="auto"/>
              </w:rPr>
            </w:pPr>
            <w:r>
              <w:rPr>
                <w:rFonts w:ascii="Arial" w:cs="Arial" w:eastAsia="Arial" w:hAnsi="Arial"/>
                <w:sz w:val="10"/>
                <w:szCs w:val="10"/>
                <w:b w:val="1"/>
                <w:bCs w:val="1"/>
                <w:color w:val="auto"/>
              </w:rPr>
              <w:t>Amount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2"/>
              </w:rPr>
              <w:t>Segment Revenues</w:t>
            </w:r>
          </w:p>
        </w:tc>
      </w:tr>
      <w:tr>
        <w:trPr>
          <w:trHeight w:val="142"/>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Fiber Infrastructure revenues:</w:t>
            </w: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820" w:type="dxa"/>
            <w:vAlign w:val="bottom"/>
          </w:tcPr>
          <w:p>
            <w:pPr>
              <w:ind w:left="160"/>
              <w:spacing w:after="0"/>
              <w:rPr>
                <w:sz w:val="20"/>
                <w:szCs w:val="20"/>
                <w:color w:val="auto"/>
              </w:rPr>
            </w:pPr>
            <w:r>
              <w:rPr>
                <w:rFonts w:ascii="Arial" w:cs="Arial" w:eastAsia="Arial" w:hAnsi="Arial"/>
                <w:sz w:val="12"/>
                <w:szCs w:val="12"/>
                <w:color w:val="auto"/>
              </w:rPr>
              <w:t>Lit backhaul services</w:t>
            </w:r>
          </w:p>
        </w:tc>
        <w:tc>
          <w:tcPr>
            <w:tcW w:w="480" w:type="dxa"/>
            <w:vAlign w:val="bottom"/>
            <w:gridSpan w:val="2"/>
          </w:tcPr>
          <w:p>
            <w:pPr>
              <w:jc w:val="right"/>
              <w:ind w:right="21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132,361</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8"/>
              </w:rPr>
              <w:t>45.8%</w:t>
            </w:r>
          </w:p>
        </w:tc>
        <w:tc>
          <w:tcPr>
            <w:tcW w:w="1260" w:type="dxa"/>
            <w:vAlign w:val="bottom"/>
            <w:gridSpan w:val="2"/>
          </w:tcPr>
          <w:p>
            <w:pPr>
              <w:jc w:val="right"/>
              <w:ind w:right="87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117,574</w:t>
            </w: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58.0%</w:t>
            </w:r>
          </w:p>
        </w:tc>
        <w:tc>
          <w:tcPr>
            <w:tcW w:w="120" w:type="dxa"/>
            <w:vAlign w:val="bottom"/>
          </w:tcPr>
          <w:p>
            <w:pPr>
              <w:spacing w:after="0"/>
              <w:rPr>
                <w:sz w:val="13"/>
                <w:szCs w:val="13"/>
                <w:color w:val="auto"/>
              </w:rPr>
            </w:pPr>
          </w:p>
        </w:tc>
      </w:tr>
      <w:tr>
        <w:trPr>
          <w:trHeight w:val="153"/>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Enterprise and wholesale</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63,519</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22.0%</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36,542</w:t>
            </w: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18.0%</w:t>
            </w:r>
          </w:p>
        </w:tc>
        <w:tc>
          <w:tcPr>
            <w:tcW w:w="120" w:type="dxa"/>
            <w:vAlign w:val="bottom"/>
            <w:shd w:val="clear" w:color="auto" w:fill="CFF0FC"/>
          </w:tcPr>
          <w:p>
            <w:pPr>
              <w:spacing w:after="0"/>
              <w:rPr>
                <w:sz w:val="13"/>
                <w:szCs w:val="13"/>
                <w:color w:val="auto"/>
              </w:rPr>
            </w:pPr>
          </w:p>
        </w:tc>
      </w:tr>
      <w:tr>
        <w:trPr>
          <w:trHeight w:val="153"/>
        </w:trPr>
        <w:tc>
          <w:tcPr>
            <w:tcW w:w="5820" w:type="dxa"/>
            <w:vAlign w:val="bottom"/>
          </w:tcPr>
          <w:p>
            <w:pPr>
              <w:ind w:left="160"/>
              <w:spacing w:after="0"/>
              <w:rPr>
                <w:sz w:val="20"/>
                <w:szCs w:val="20"/>
                <w:color w:val="auto"/>
              </w:rPr>
            </w:pPr>
            <w:r>
              <w:rPr>
                <w:rFonts w:ascii="Arial" w:cs="Arial" w:eastAsia="Arial" w:hAnsi="Arial"/>
                <w:sz w:val="12"/>
                <w:szCs w:val="12"/>
                <w:color w:val="auto"/>
              </w:rPr>
              <w:t>E-Rate and government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74,752</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8"/>
              </w:rPr>
              <w:t>25.8%</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43,021</w:t>
            </w: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21.2%</w:t>
            </w:r>
          </w:p>
        </w:tc>
        <w:tc>
          <w:tcPr>
            <w:tcW w:w="120" w:type="dxa"/>
            <w:vAlign w:val="bottom"/>
          </w:tcPr>
          <w:p>
            <w:pPr>
              <w:spacing w:after="0"/>
              <w:rPr>
                <w:sz w:val="13"/>
                <w:szCs w:val="13"/>
                <w:color w:val="auto"/>
              </w:rPr>
            </w:pPr>
          </w:p>
        </w:tc>
      </w:tr>
      <w:tr>
        <w:trPr>
          <w:trHeight w:val="153"/>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Dark fiber and small cells</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14,115</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4.9%</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5,200</w:t>
            </w: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2.6%</w:t>
            </w:r>
          </w:p>
        </w:tc>
        <w:tc>
          <w:tcPr>
            <w:tcW w:w="120" w:type="dxa"/>
            <w:vAlign w:val="bottom"/>
            <w:shd w:val="clear" w:color="auto" w:fill="CFF0FC"/>
          </w:tcPr>
          <w:p>
            <w:pPr>
              <w:spacing w:after="0"/>
              <w:rPr>
                <w:sz w:val="13"/>
                <w:szCs w:val="13"/>
                <w:color w:val="auto"/>
              </w:rPr>
            </w:pPr>
          </w:p>
        </w:tc>
      </w:tr>
      <w:tr>
        <w:trPr>
          <w:trHeight w:val="153"/>
        </w:trPr>
        <w:tc>
          <w:tcPr>
            <w:tcW w:w="58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 services</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4,492</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1.5%</w:t>
            </w: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w:t>
            </w:r>
          </w:p>
        </w:tc>
        <w:tc>
          <w:tcPr>
            <w:tcW w:w="2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0.2%</w:t>
            </w:r>
          </w:p>
        </w:tc>
        <w:tc>
          <w:tcPr>
            <w:tcW w:w="120" w:type="dxa"/>
            <w:vAlign w:val="bottom"/>
            <w:tcBorders>
              <w:bottom w:val="single" w:sz="8" w:color="CFF0FC"/>
            </w:tcBorders>
          </w:tcPr>
          <w:p>
            <w:pPr>
              <w:spacing w:after="0"/>
              <w:rPr>
                <w:sz w:val="13"/>
                <w:szCs w:val="13"/>
                <w:color w:val="auto"/>
              </w:rPr>
            </w:pPr>
          </w:p>
        </w:tc>
      </w:tr>
      <w:tr>
        <w:trPr>
          <w:trHeight w:val="142"/>
        </w:trPr>
        <w:tc>
          <w:tcPr>
            <w:tcW w:w="58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Total Fiber Infrastructure revenues</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100.0%</w:t>
            </w:r>
          </w:p>
        </w:tc>
        <w:tc>
          <w:tcPr>
            <w:tcW w:w="1260" w:type="dxa"/>
            <w:vAlign w:val="bottom"/>
            <w:gridSpan w:val="2"/>
            <w:shd w:val="clear" w:color="auto" w:fill="CFF0FC"/>
          </w:tcPr>
          <w:p>
            <w:pPr>
              <w:jc w:val="right"/>
              <w:ind w:right="87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shd w:val="clear" w:color="auto" w:fill="CFF0FC"/>
          </w:tcPr>
          <w:p>
            <w:pPr>
              <w:spacing w:after="0"/>
              <w:rPr>
                <w:sz w:val="12"/>
                <w:szCs w:val="12"/>
                <w:color w:val="auto"/>
              </w:rPr>
            </w:pPr>
          </w:p>
        </w:tc>
      </w:tr>
      <w:tr>
        <w:trPr>
          <w:trHeight w:val="27"/>
        </w:trPr>
        <w:tc>
          <w:tcPr>
            <w:tcW w:w="58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2018, we had approximately 18,200 customer connections, up from 16,750 customer connections at December 31, 2017.</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38"/>
        </w:trPr>
        <w:tc>
          <w:tcPr>
            <w:tcW w:w="5800" w:type="dxa"/>
            <w:vAlign w:val="bottom"/>
            <w:gridSpan w:val="4"/>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8"/>
        </w:trPr>
        <w:tc>
          <w:tcPr>
            <w:tcW w:w="5800" w:type="dxa"/>
            <w:vAlign w:val="bottom"/>
            <w:gridSpan w:val="4"/>
          </w:tcPr>
          <w:p>
            <w:pPr>
              <w:spacing w:after="0"/>
              <w:rPr>
                <w:sz w:val="20"/>
                <w:szCs w:val="20"/>
                <w:color w:val="auto"/>
              </w:rPr>
            </w:pPr>
            <w:r>
              <w:rPr>
                <w:rFonts w:ascii="Arial" w:cs="Arial" w:eastAsia="Arial" w:hAnsi="Arial"/>
                <w:sz w:val="12"/>
                <w:szCs w:val="12"/>
                <w:i w:val="1"/>
                <w:iCs w:val="1"/>
                <w:color w:val="auto"/>
              </w:rPr>
              <w:t xml:space="preserve">Towers </w:t>
            </w:r>
            <w:r>
              <w:rPr>
                <w:rFonts w:ascii="Arial" w:cs="Arial" w:eastAsia="Arial" w:hAnsi="Arial"/>
                <w:sz w:val="12"/>
                <w:szCs w:val="12"/>
                <w:color w:val="auto"/>
              </w:rPr>
              <w:t>– Towers revenues for the years ended December 31, 2018 and 2017 consisted of the following:</w:t>
            </w: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13"/>
        </w:trPr>
        <w:tc>
          <w:tcPr>
            <w:tcW w:w="3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2"/>
                <w:szCs w:val="12"/>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0"/>
              </w:rPr>
              <w:t>Segment</w:t>
            </w: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0"/>
              </w:rPr>
              <w:t>Segment</w:t>
            </w:r>
          </w:p>
        </w:tc>
      </w:tr>
      <w:tr>
        <w:trPr>
          <w:trHeight w:val="114"/>
        </w:trPr>
        <w:tc>
          <w:tcPr>
            <w:tcW w:w="5800" w:type="dxa"/>
            <w:vAlign w:val="bottom"/>
            <w:gridSpan w:val="4"/>
          </w:tcPr>
          <w:p>
            <w:pPr>
              <w:spacing w:after="0" w:line="114" w:lineRule="exact"/>
              <w:rPr>
                <w:sz w:val="20"/>
                <w:szCs w:val="20"/>
                <w:color w:val="auto"/>
              </w:rPr>
            </w:pPr>
            <w:r>
              <w:rPr>
                <w:rFonts w:ascii="Arial" w:cs="Arial" w:eastAsia="Arial" w:hAnsi="Arial"/>
                <w:sz w:val="10"/>
                <w:szCs w:val="10"/>
                <w:color w:val="auto"/>
              </w:rPr>
              <w:t>(Thousands)</w:t>
            </w:r>
          </w:p>
        </w:tc>
        <w:tc>
          <w:tcPr>
            <w:tcW w:w="340" w:type="dxa"/>
            <w:vAlign w:val="bottom"/>
          </w:tcPr>
          <w:p>
            <w:pPr>
              <w:spacing w:after="0"/>
              <w:rPr>
                <w:sz w:val="9"/>
                <w:szCs w:val="9"/>
                <w:color w:val="auto"/>
              </w:rPr>
            </w:pPr>
          </w:p>
        </w:tc>
        <w:tc>
          <w:tcPr>
            <w:tcW w:w="1500" w:type="dxa"/>
            <w:vAlign w:val="bottom"/>
            <w:gridSpan w:val="2"/>
          </w:tcPr>
          <w:p>
            <w:pPr>
              <w:ind w:left="280"/>
              <w:spacing w:after="0" w:line="114" w:lineRule="exact"/>
              <w:rPr>
                <w:sz w:val="20"/>
                <w:szCs w:val="20"/>
                <w:color w:val="auto"/>
              </w:rPr>
            </w:pPr>
            <w:r>
              <w:rPr>
                <w:rFonts w:ascii="Arial" w:cs="Arial" w:eastAsia="Arial" w:hAnsi="Arial"/>
                <w:sz w:val="10"/>
                <w:szCs w:val="10"/>
                <w:b w:val="1"/>
                <w:bCs w:val="1"/>
                <w:color w:val="auto"/>
              </w:rPr>
              <w:t>Amount</w:t>
            </w:r>
          </w:p>
        </w:tc>
        <w:tc>
          <w:tcPr>
            <w:tcW w:w="9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0"/>
              </w:rPr>
              <w:t>Revenues</w:t>
            </w:r>
          </w:p>
        </w:tc>
        <w:tc>
          <w:tcPr>
            <w:tcW w:w="1140" w:type="dxa"/>
            <w:vAlign w:val="bottom"/>
          </w:tcPr>
          <w:p>
            <w:pPr>
              <w:jc w:val="right"/>
              <w:ind w:right="51"/>
              <w:spacing w:after="0" w:line="114" w:lineRule="exact"/>
              <w:rPr>
                <w:sz w:val="20"/>
                <w:szCs w:val="20"/>
                <w:color w:val="auto"/>
              </w:rPr>
            </w:pPr>
            <w:r>
              <w:rPr>
                <w:rFonts w:ascii="Arial" w:cs="Arial" w:eastAsia="Arial" w:hAnsi="Arial"/>
                <w:sz w:val="10"/>
                <w:szCs w:val="10"/>
                <w:b w:val="1"/>
                <w:bCs w:val="1"/>
                <w:color w:val="auto"/>
              </w:rPr>
              <w:t>Amount</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0"/>
              </w:rPr>
              <w:t>Revenues</w:t>
            </w:r>
          </w:p>
        </w:tc>
      </w:tr>
      <w:tr>
        <w:trPr>
          <w:trHeight w:val="142"/>
        </w:trPr>
        <w:tc>
          <w:tcPr>
            <w:tcW w:w="564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2"/>
                <w:szCs w:val="12"/>
                <w:b w:val="1"/>
                <w:bCs w:val="1"/>
                <w:color w:val="auto"/>
              </w:rPr>
              <w:t>Towers revenues:</w:t>
            </w:r>
          </w:p>
        </w:tc>
        <w:tc>
          <w:tcPr>
            <w:tcW w:w="1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800" w:type="dxa"/>
            <w:vAlign w:val="bottom"/>
            <w:gridSpan w:val="4"/>
          </w:tcPr>
          <w:p>
            <w:pPr>
              <w:ind w:left="160"/>
              <w:spacing w:after="0"/>
              <w:rPr>
                <w:sz w:val="20"/>
                <w:szCs w:val="20"/>
                <w:color w:val="auto"/>
              </w:rPr>
            </w:pPr>
            <w:r>
              <w:rPr>
                <w:rFonts w:ascii="Arial" w:cs="Arial" w:eastAsia="Arial" w:hAnsi="Arial"/>
                <w:sz w:val="12"/>
                <w:szCs w:val="12"/>
                <w:color w:val="auto"/>
              </w:rPr>
              <w:t>United States</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5,207</w:t>
            </w:r>
          </w:p>
        </w:tc>
        <w:tc>
          <w:tcPr>
            <w:tcW w:w="2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8"/>
              </w:rPr>
              <w:t>35.6%</w:t>
            </w:r>
          </w:p>
        </w:tc>
        <w:tc>
          <w:tcPr>
            <w:tcW w:w="260" w:type="dxa"/>
            <w:vAlign w:val="bottom"/>
          </w:tcPr>
          <w:p>
            <w:pPr>
              <w:spacing w:after="0"/>
              <w:rPr>
                <w:sz w:val="13"/>
                <w:szCs w:val="13"/>
                <w:color w:val="auto"/>
              </w:rPr>
            </w:pPr>
          </w:p>
        </w:tc>
        <w:tc>
          <w:tcPr>
            <w:tcW w:w="1140" w:type="dxa"/>
            <w:vAlign w:val="bottom"/>
          </w:tcPr>
          <w:p>
            <w:pPr>
              <w:jc w:val="right"/>
              <w:ind w:right="10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2,599</w:t>
            </w:r>
          </w:p>
        </w:tc>
        <w:tc>
          <w:tcPr>
            <w:tcW w:w="2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25.8%</w:t>
            </w:r>
          </w:p>
        </w:tc>
        <w:tc>
          <w:tcPr>
            <w:tcW w:w="120" w:type="dxa"/>
            <w:vAlign w:val="bottom"/>
          </w:tcPr>
          <w:p>
            <w:pPr>
              <w:spacing w:after="0"/>
              <w:rPr>
                <w:sz w:val="13"/>
                <w:szCs w:val="13"/>
                <w:color w:val="auto"/>
              </w:rPr>
            </w:pPr>
          </w:p>
        </w:tc>
      </w:tr>
      <w:tr>
        <w:trPr>
          <w:trHeight w:val="153"/>
        </w:trPr>
        <w:tc>
          <w:tcPr>
            <w:tcW w:w="580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Latin America</w:t>
            </w:r>
          </w:p>
        </w:tc>
        <w:tc>
          <w:tcPr>
            <w:tcW w:w="34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9,410</w:t>
            </w:r>
          </w:p>
        </w:tc>
        <w:tc>
          <w:tcPr>
            <w:tcW w:w="26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64.4%</w:t>
            </w:r>
          </w:p>
        </w:tc>
        <w:tc>
          <w:tcPr>
            <w:tcW w:w="260" w:type="dxa"/>
            <w:vAlign w:val="bottom"/>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7,456</w:t>
            </w:r>
          </w:p>
        </w:tc>
        <w:tc>
          <w:tcPr>
            <w:tcW w:w="26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74.2%</w:t>
            </w:r>
          </w:p>
        </w:tc>
        <w:tc>
          <w:tcPr>
            <w:tcW w:w="120" w:type="dxa"/>
            <w:vAlign w:val="bottom"/>
            <w:shd w:val="clear" w:color="auto" w:fill="CFF0FC"/>
          </w:tcPr>
          <w:p>
            <w:pPr>
              <w:spacing w:after="0"/>
              <w:rPr>
                <w:sz w:val="13"/>
                <w:szCs w:val="13"/>
                <w:color w:val="auto"/>
              </w:rPr>
            </w:pPr>
          </w:p>
        </w:tc>
      </w:tr>
      <w:tr>
        <w:trPr>
          <w:trHeight w:val="149"/>
        </w:trPr>
        <w:tc>
          <w:tcPr>
            <w:tcW w:w="5800" w:type="dxa"/>
            <w:vAlign w:val="bottom"/>
            <w:gridSpan w:val="4"/>
          </w:tcPr>
          <w:p>
            <w:pPr>
              <w:ind w:left="24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14,617</w:t>
            </w:r>
          </w:p>
        </w:tc>
        <w:tc>
          <w:tcPr>
            <w:tcW w:w="2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260" w:type="dxa"/>
            <w:vAlign w:val="bottom"/>
          </w:tcPr>
          <w:p>
            <w:pPr>
              <w:spacing w:after="0"/>
              <w:rPr>
                <w:sz w:val="12"/>
                <w:szCs w:val="12"/>
                <w:color w:val="auto"/>
              </w:rPr>
            </w:pPr>
          </w:p>
        </w:tc>
        <w:tc>
          <w:tcPr>
            <w:tcW w:w="1140" w:type="dxa"/>
            <w:vAlign w:val="bottom"/>
            <w:tcBorders>
              <w:bottom w:val="single" w:sz="8" w:color="auto"/>
            </w:tcBorders>
          </w:tcPr>
          <w:p>
            <w:pPr>
              <w:jc w:val="right"/>
              <w:ind w:right="103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10,055</w:t>
            </w:r>
          </w:p>
        </w:tc>
        <w:tc>
          <w:tcPr>
            <w:tcW w:w="26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increased revenue for the year ended December 31, 2018, compared to the year ended December 31, 2017, is primarily driven by our development activities in the United States and acquisition of additional NMS development towers in Latin America pursuant to our purchase agreement with Network Management Holdings LTD (“NMS”). During 2018 we completed the construction of 203 towers in the U.S. and added 58 towers in Latin America, of which 39 were NMS development towers. As of December 31, 2018 we acquired 89 of the 105 towers that were under development at the time of the NMS acquisition, and the remaining 16 development towers were cancelled and will not be completed and purchased.</w:t>
      </w:r>
    </w:p>
    <w:p>
      <w:pPr>
        <w:spacing w:after="0" w:line="125"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At December 31, 2018, the Uniti Towers’ portfolio consisted of 430 wireless communications towers located in 26 states across the eastern and central regions in the United States, and 498 wireless communications towers in Latin America.</w:t>
      </w:r>
    </w:p>
    <w:p>
      <w:pPr>
        <w:spacing w:after="0" w:line="115" w:lineRule="exact"/>
        <w:rPr>
          <w:sz w:val="20"/>
          <w:szCs w:val="20"/>
          <w:color w:val="auto"/>
        </w:rPr>
      </w:pPr>
    </w:p>
    <w:p>
      <w:pPr>
        <w:ind w:right="46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2018, we recognized $13.9 million of revenue from the Consumer CLEC Business, compared to $18.1 million for the year ended December 31, 2017. The decrease is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a loss of customers during the period. We served approximately 22,500 customers as of December 31, 2018, a 21.1% decrease from 28,500 at December 31, 2017. The decrease in customers is due to the effects of competition and customer attrition.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0" w:lineRule="exact"/>
        <w:rPr>
          <w:sz w:val="20"/>
          <w:szCs w:val="20"/>
          <w:color w:val="auto"/>
        </w:rPr>
      </w:pPr>
    </w:p>
    <w:p>
      <w:pPr>
        <w:ind w:right="140"/>
        <w:spacing w:after="0" w:line="290" w:lineRule="auto"/>
        <w:rPr>
          <w:sz w:val="20"/>
          <w:szCs w:val="20"/>
          <w:color w:val="auto"/>
        </w:rPr>
      </w:pPr>
      <w:r>
        <w:rPr>
          <w:rFonts w:ascii="Arial" w:cs="Arial" w:eastAsia="Arial" w:hAnsi="Arial"/>
          <w:sz w:val="11"/>
          <w:szCs w:val="11"/>
          <w:color w:val="auto"/>
        </w:rPr>
        <w:t>Interest expense for the year ended December 31, 2018, totaled $319.6 million, which includes non-cash interest expense of $24.6 million resulting from the amortization of our debt discounts and debt issuance costs, partially offset by $5.6 million of capitalized interest. Interest expense for the year ended December 31, 2017, totaled $306.0 million, which includes non-cash interest expense of $23.1 million resulting from the amortization of our debt discounts and debt issuance costs. The increase is related to $5.9 million of interest expense on the 2024 Notes issued in May of 2017, an increase in interest expense incurred on the revolving credit facility of $10.8 million due to increased borrowings and LIBOR rates compared to the prior year. This was partially offset by a decrease in interest expense related to capitalized interest of $5.6 million, which was not incurred in the year ended December 31, 2017.</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incur depreciation and amortization expense related to our property, plant and equipment, corporate assets and intangible assets. Charges for depreciation and amortization for the year ended December 31, 2018 totaled $451.8 million (44.4% of revenue), which included property, plant and equipment depreciation of $425.2 million and intangible asset amortization of $26.6 million. Charges for depreciation and amortization for the year ended December 31, 2017 totaled $434.2 million (47.4% of revenue), which included property, plant and equipment depreciation of $415.9 million and intangible asset amortization of $18.3 million. The increase is primarily driven by the timing of the acquisitions of Southern Light and Hunt that closed on July 3, 2017.</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General and administrative expenses include compensation costs (including stock-based compensation awards), professional and legal services, corporate office costs and other costs associated with the administrative activities of our segments. For the year ended December 31, 2018, general and administrative costs totaled $85.2 million (8.4% of revenue), which includes $8.1 million of stock-based compensation expense. For the year ended December 31, 2017, general and administrative costs totaled $72.0 million (7.9% of revenue), which includes $7.7 million of stock-based compensation expense. The increase is primarily driven by the timing of the acquisitions of Southern Light and Hunt that closed on July 3, 2017.</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w:t>
      </w:r>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Operating expense for the year ended December 31, 2018, totaled $137.1 million (13.4% of revenue) compared to $102.2 million (11.2% of revenue) for the year ended December 31, 2017. Operating expense for our reportable segments for the years ended December 31, 2018 and 2017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5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5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Consolidated</w:t>
            </w: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Consolidated</w:t>
            </w:r>
          </w:p>
        </w:tc>
      </w:tr>
      <w:tr>
        <w:trPr>
          <w:trHeight w:val="114"/>
        </w:trPr>
        <w:tc>
          <w:tcPr>
            <w:tcW w:w="582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Amount</w:t>
            </w:r>
          </w:p>
        </w:tc>
        <w:tc>
          <w:tcPr>
            <w:tcW w:w="8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0"/>
              </w:rPr>
              <w:t>Revenues</w:t>
            </w:r>
          </w:p>
        </w:tc>
        <w:tc>
          <w:tcPr>
            <w:tcW w:w="280" w:type="dxa"/>
            <w:vAlign w:val="bottom"/>
          </w:tcPr>
          <w:p>
            <w:pPr>
              <w:spacing w:after="0"/>
              <w:rPr>
                <w:sz w:val="9"/>
                <w:szCs w:val="9"/>
                <w:color w:val="auto"/>
              </w:rPr>
            </w:pPr>
          </w:p>
        </w:tc>
        <w:tc>
          <w:tcPr>
            <w:tcW w:w="980" w:type="dxa"/>
            <w:vAlign w:val="bottom"/>
          </w:tcPr>
          <w:p>
            <w:pPr>
              <w:jc w:val="right"/>
              <w:ind w:right="32"/>
              <w:spacing w:after="0" w:line="114" w:lineRule="exact"/>
              <w:rPr>
                <w:sz w:val="20"/>
                <w:szCs w:val="20"/>
                <w:color w:val="auto"/>
              </w:rPr>
            </w:pPr>
            <w:r>
              <w:rPr>
                <w:rFonts w:ascii="Arial" w:cs="Arial" w:eastAsia="Arial" w:hAnsi="Arial"/>
                <w:sz w:val="10"/>
                <w:szCs w:val="10"/>
                <w:b w:val="1"/>
                <w:bCs w:val="1"/>
                <w:color w:val="auto"/>
              </w:rPr>
              <w:t>Amount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Revenues</w:t>
            </w:r>
          </w:p>
        </w:tc>
      </w:tr>
      <w:tr>
        <w:trPr>
          <w:trHeight w:val="142"/>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Operating expense by segment:</w:t>
            </w: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820" w:type="dxa"/>
            <w:vAlign w:val="bottom"/>
          </w:tcPr>
          <w:p>
            <w:pPr>
              <w:ind w:left="160"/>
              <w:spacing w:after="0"/>
              <w:rPr>
                <w:sz w:val="20"/>
                <w:szCs w:val="20"/>
                <w:color w:val="auto"/>
              </w:rPr>
            </w:pPr>
            <w:r>
              <w:rPr>
                <w:rFonts w:ascii="Arial" w:cs="Arial" w:eastAsia="Arial" w:hAnsi="Arial"/>
                <w:sz w:val="12"/>
                <w:szCs w:val="12"/>
                <w:color w:val="auto"/>
              </w:rPr>
              <w:t>Fiber Infrastructure</w:t>
            </w:r>
          </w:p>
        </w:tc>
        <w:tc>
          <w:tcPr>
            <w:tcW w:w="480" w:type="dxa"/>
            <w:vAlign w:val="bottom"/>
            <w:gridSpan w:val="2"/>
          </w:tcPr>
          <w:p>
            <w:pPr>
              <w:jc w:val="right"/>
              <w:ind w:right="21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117,781</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8"/>
              </w:rPr>
              <w:t>11.5%</w:t>
            </w:r>
          </w:p>
        </w:tc>
        <w:tc>
          <w:tcPr>
            <w:tcW w:w="1260" w:type="dxa"/>
            <w:vAlign w:val="bottom"/>
            <w:gridSpan w:val="2"/>
          </w:tcPr>
          <w:p>
            <w:pPr>
              <w:jc w:val="right"/>
              <w:ind w:right="87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83,515</w:t>
            </w: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7"/>
              </w:rPr>
              <w:t>9.1%</w:t>
            </w:r>
          </w:p>
        </w:tc>
        <w:tc>
          <w:tcPr>
            <w:tcW w:w="120" w:type="dxa"/>
            <w:vAlign w:val="bottom"/>
          </w:tcPr>
          <w:p>
            <w:pPr>
              <w:spacing w:after="0"/>
              <w:rPr>
                <w:sz w:val="13"/>
                <w:szCs w:val="13"/>
                <w:color w:val="auto"/>
              </w:rPr>
            </w:pPr>
          </w:p>
        </w:tc>
      </w:tr>
      <w:tr>
        <w:trPr>
          <w:trHeight w:val="153"/>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Towers</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7,989</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0.8%</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5,131</w:t>
            </w: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0.6%</w:t>
            </w:r>
          </w:p>
        </w:tc>
        <w:tc>
          <w:tcPr>
            <w:tcW w:w="120" w:type="dxa"/>
            <w:vAlign w:val="bottom"/>
            <w:shd w:val="clear" w:color="auto" w:fill="CFF0FC"/>
          </w:tcPr>
          <w:p>
            <w:pPr>
              <w:spacing w:after="0"/>
              <w:rPr>
                <w:sz w:val="13"/>
                <w:szCs w:val="13"/>
                <w:color w:val="auto"/>
              </w:rPr>
            </w:pPr>
          </w:p>
        </w:tc>
      </w:tr>
      <w:tr>
        <w:trPr>
          <w:trHeight w:val="153"/>
        </w:trPr>
        <w:tc>
          <w:tcPr>
            <w:tcW w:w="5820" w:type="dxa"/>
            <w:vAlign w:val="bottom"/>
          </w:tcPr>
          <w:p>
            <w:pPr>
              <w:ind w:left="160"/>
              <w:spacing w:after="0"/>
              <w:rPr>
                <w:sz w:val="20"/>
                <w:szCs w:val="20"/>
                <w:color w:val="auto"/>
              </w:rPr>
            </w:pPr>
            <w:r>
              <w:rPr>
                <w:rFonts w:ascii="Arial" w:cs="Arial" w:eastAsia="Arial" w:hAnsi="Arial"/>
                <w:sz w:val="12"/>
                <w:szCs w:val="12"/>
                <w:color w:val="auto"/>
              </w:rPr>
              <w:t>CLEC</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10,576</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4"/>
              </w:rPr>
              <w:t>1.0%</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13,530</w:t>
            </w: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7"/>
              </w:rPr>
              <w:t>1.5%</w:t>
            </w:r>
          </w:p>
        </w:tc>
        <w:tc>
          <w:tcPr>
            <w:tcW w:w="120" w:type="dxa"/>
            <w:vAlign w:val="bottom"/>
          </w:tcPr>
          <w:p>
            <w:pPr>
              <w:spacing w:after="0"/>
              <w:rPr>
                <w:sz w:val="13"/>
                <w:szCs w:val="13"/>
                <w:color w:val="auto"/>
              </w:rPr>
            </w:pPr>
          </w:p>
        </w:tc>
      </w:tr>
      <w:tr>
        <w:trPr>
          <w:trHeight w:val="153"/>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Leasing</w:t>
            </w:r>
          </w:p>
        </w:tc>
        <w:tc>
          <w:tcPr>
            <w:tcW w:w="16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719</w:t>
            </w:r>
          </w:p>
        </w:tc>
        <w:tc>
          <w:tcPr>
            <w:tcW w:w="28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0.1%</w:t>
            </w:r>
          </w:p>
        </w:tc>
        <w:tc>
          <w:tcPr>
            <w:tcW w:w="28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FF0FC"/>
          </w:tcPr>
          <w:p>
            <w:pPr>
              <w:spacing w:after="0"/>
              <w:rPr>
                <w:sz w:val="13"/>
                <w:szCs w:val="13"/>
                <w:color w:val="auto"/>
              </w:rPr>
            </w:pPr>
          </w:p>
        </w:tc>
      </w:tr>
      <w:tr>
        <w:trPr>
          <w:trHeight w:val="142"/>
        </w:trPr>
        <w:tc>
          <w:tcPr>
            <w:tcW w:w="5820" w:type="dxa"/>
            <w:vAlign w:val="bottom"/>
          </w:tcPr>
          <w:p>
            <w:pPr>
              <w:ind w:left="240"/>
              <w:spacing w:after="0"/>
              <w:rPr>
                <w:sz w:val="20"/>
                <w:szCs w:val="20"/>
                <w:color w:val="auto"/>
              </w:rPr>
            </w:pPr>
            <w:r>
              <w:rPr>
                <w:rFonts w:ascii="Arial" w:cs="Arial" w:eastAsia="Arial" w:hAnsi="Arial"/>
                <w:sz w:val="12"/>
                <w:szCs w:val="12"/>
                <w:color w:val="auto"/>
              </w:rPr>
              <w:t>Total operating expenses</w:t>
            </w:r>
          </w:p>
        </w:tc>
        <w:tc>
          <w:tcPr>
            <w:tcW w:w="16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137,065</w:t>
            </w:r>
          </w:p>
        </w:tc>
        <w:tc>
          <w:tcPr>
            <w:tcW w:w="2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8"/>
              </w:rPr>
              <w:t>13.4%</w:t>
            </w:r>
          </w:p>
        </w:tc>
        <w:tc>
          <w:tcPr>
            <w:tcW w:w="1260" w:type="dxa"/>
            <w:vAlign w:val="bottom"/>
            <w:gridSpan w:val="2"/>
          </w:tcPr>
          <w:p>
            <w:pPr>
              <w:jc w:val="right"/>
              <w:ind w:right="87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102,176</w:t>
            </w:r>
          </w:p>
        </w:tc>
        <w:tc>
          <w:tcPr>
            <w:tcW w:w="2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11.2%</w:t>
            </w:r>
          </w:p>
        </w:tc>
        <w:tc>
          <w:tcPr>
            <w:tcW w:w="120" w:type="dxa"/>
            <w:vAlign w:val="bottom"/>
          </w:tcPr>
          <w:p>
            <w:pPr>
              <w:spacing w:after="0"/>
              <w:rPr>
                <w:sz w:val="12"/>
                <w:szCs w:val="12"/>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The increase to Fiber Infrastructure operating expense is primarily driven by the timing of the acquisitions of Southern Light and Hunt. For the year ended December 31, 2018, Fiber Infrastructure operating expenses</w:t>
      </w:r>
      <w:r>
        <w:rPr>
          <w:rFonts w:ascii="Arial" w:cs="Arial" w:eastAsia="Arial" w:hAnsi="Arial"/>
          <w:sz w:val="12"/>
          <w:szCs w:val="12"/>
          <w:i w:val="1"/>
          <w:iCs w:val="1"/>
          <w:color w:val="auto"/>
        </w:rPr>
        <w:t xml:space="preserve"> </w:t>
      </w:r>
      <w:r>
        <w:rPr>
          <w:rFonts w:ascii="Arial" w:cs="Arial" w:eastAsia="Arial" w:hAnsi="Arial"/>
          <w:sz w:val="12"/>
          <w:szCs w:val="12"/>
          <w:color w:val="auto"/>
        </w:rPr>
        <w:t>totaled $117.8 million as compared to $83.5 million for the year ended December 31, 2017. The remaining increase was primarily driven by an increase in construction-related expenses and network costs, specifically lit service and maintenance expenses.</w:t>
      </w:r>
    </w:p>
    <w:p>
      <w:pPr>
        <w:spacing w:after="0" w:line="12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i w:val="1"/>
          <w:iCs w:val="1"/>
          <w:color w:val="auto"/>
        </w:rPr>
        <w:t xml:space="preserve"> </w:t>
      </w:r>
      <w:r>
        <w:rPr>
          <w:rFonts w:ascii="Arial" w:cs="Arial" w:eastAsia="Arial" w:hAnsi="Arial"/>
          <w:sz w:val="12"/>
          <w:szCs w:val="12"/>
          <w:color w:val="auto"/>
        </w:rPr>
        <w:t>– Our Towers segment operating expense consists primarily of ground rent, some or all of which may be passed to our tenants, as well as regulatory fees and maintenance and repairs. For the year ended December 31, 2018, Towers</w:t>
      </w:r>
      <w:r>
        <w:rPr>
          <w:rFonts w:ascii="Arial" w:cs="Arial" w:eastAsia="Arial" w:hAnsi="Arial"/>
          <w:sz w:val="12"/>
          <w:szCs w:val="12"/>
          <w:i w:val="1"/>
          <w:iCs w:val="1"/>
          <w:color w:val="auto"/>
        </w:rPr>
        <w:t xml:space="preserve"> </w:t>
      </w:r>
      <w:r>
        <w:rPr>
          <w:rFonts w:ascii="Arial" w:cs="Arial" w:eastAsia="Arial" w:hAnsi="Arial"/>
          <w:sz w:val="12"/>
          <w:szCs w:val="12"/>
          <w:color w:val="auto"/>
        </w:rPr>
        <w:t>operating expense included $5.1 million of ground rent expense, compared to $3.2 million of ground rent expense for the year ended December 31, 2017. The change is attributable to an increase in completed towers at December 31, 2018 from December 31, 2017, driven by our development activity in the United States and acquisition of additional NMS development towers in Latin America.</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Expense associated with the Consumer CLEC Business is primarily attributable to the Wholesale Agreement and the Master Services Agreement entered into between us and Windstream in connection with the Spin-Off, and also includes costs arising under the interconnection agreements with other telecommunication carriers. Expense associated with the Wholesale Agreement and Master Services Agreement for the year ended December 31, 2018 totaled $7.8 million (0.8% of revenue) and $0.7 million (0.1% of revenue), respectively, and expense associated with the Wholesale Agreement and the Master Services Agreement for the year ended December 31, 2017 totaled $10.2 million (1.1% of revenue) and $1.3 million (0.1% of revenue),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150" w:lineRule="exact"/>
        <w:rPr>
          <w:sz w:val="20"/>
          <w:szCs w:val="20"/>
          <w:color w:val="auto"/>
        </w:rPr>
      </w:pPr>
    </w:p>
    <w:p>
      <w:pPr>
        <w:ind w:right="1020"/>
        <w:spacing w:after="0" w:line="308" w:lineRule="auto"/>
        <w:rPr>
          <w:sz w:val="20"/>
          <w:szCs w:val="20"/>
          <w:color w:val="auto"/>
        </w:rPr>
      </w:pPr>
      <w:r>
        <w:rPr>
          <w:rFonts w:ascii="Arial" w:cs="Arial" w:eastAsia="Arial" w:hAnsi="Arial"/>
          <w:sz w:val="12"/>
          <w:szCs w:val="12"/>
          <w:color w:val="auto"/>
        </w:rPr>
        <w:t>Other income for the year ended December 31, 2018, totaled $4.5 million (0.4% of revenue), primarily as a result of a net unrealized gain of $3.7 million for mark-to-market adjustments on our contingent consideration arrangements. Other expense for the year ended December 31, 2017, totaled $11.3 million (1.2% of revenue), primarily as a result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of a net unrealized loss of $10.7 million for mark-to-market adjustments on our contingent consideration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Benefit</w:t>
      </w:r>
    </w:p>
    <w:p>
      <w:pPr>
        <w:spacing w:after="0" w:line="150"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We recorded $5.4 million in income tax benefit for the year ended December 31, 2018. This benefit was primarily driven by pre-tax losses in our Fiber Infrastructure Segment which resulted in an income tax benefit of approximately $6.1 million, including $1.3 million of income tax benefit related to the impact of the Tax Bill on certain purchase accounting adjustments related to 2017 acquisitions that were recorded in 2018. We recorded a combined income tax expense of approximately $0.7 million related to our Leasing Segment and Consumer CLEC Segment. This was primarily driven by pre-tax income in our Consumer CLEC Segment and state tax expense recorded in our Leasing Segment.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2017 and 2016</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sets forth, for the periods indicated, our results of operations expressed as dollars and as a percentage of total revenues: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Year Ended</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4"/>
              </w:rPr>
              <w:t>% of</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Year Ended</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44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2"/>
          </w:tcPr>
          <w:p>
            <w:pPr>
              <w:jc w:val="right"/>
              <w:ind w:right="640"/>
              <w:spacing w:after="0" w:line="114" w:lineRule="exact"/>
              <w:rPr>
                <w:sz w:val="20"/>
                <w:szCs w:val="20"/>
                <w:color w:val="auto"/>
              </w:rPr>
            </w:pPr>
            <w:r>
              <w:rPr>
                <w:rFonts w:ascii="Arial" w:cs="Arial" w:eastAsia="Arial" w:hAnsi="Arial"/>
                <w:sz w:val="10"/>
                <w:szCs w:val="10"/>
                <w:b w:val="1"/>
                <w:bCs w:val="1"/>
                <w:color w:val="auto"/>
                <w:w w:val="99"/>
              </w:rPr>
              <w:t>December 31, 2017</w:t>
            </w:r>
          </w:p>
        </w:tc>
        <w:tc>
          <w:tcPr>
            <w:tcW w:w="7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Revenues</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2"/>
          </w:tcPr>
          <w:p>
            <w:pPr>
              <w:jc w:val="right"/>
              <w:ind w:right="640"/>
              <w:spacing w:after="0" w:line="114" w:lineRule="exact"/>
              <w:rPr>
                <w:sz w:val="20"/>
                <w:szCs w:val="20"/>
                <w:color w:val="auto"/>
              </w:rPr>
            </w:pPr>
            <w:r>
              <w:rPr>
                <w:rFonts w:ascii="Arial" w:cs="Arial" w:eastAsia="Arial" w:hAnsi="Arial"/>
                <w:sz w:val="10"/>
                <w:szCs w:val="10"/>
                <w:b w:val="1"/>
                <w:bCs w:val="1"/>
                <w:color w:val="auto"/>
                <w:w w:val="99"/>
              </w:rPr>
              <w:t>December 31, 2016</w:t>
            </w:r>
          </w:p>
        </w:tc>
        <w:tc>
          <w:tcPr>
            <w:tcW w:w="8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Revenues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4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Leasing</w:t>
            </w:r>
          </w:p>
        </w:tc>
        <w:tc>
          <w:tcPr>
            <w:tcW w:w="1820" w:type="dxa"/>
            <w:vAlign w:val="bottom"/>
            <w:gridSpan w:val="3"/>
          </w:tcPr>
          <w:p>
            <w:pPr>
              <w:jc w:val="right"/>
              <w:ind w:right="11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685,099</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74.8%</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676,868</w:t>
            </w:r>
          </w:p>
        </w:tc>
        <w:tc>
          <w:tcPr>
            <w:tcW w:w="2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87.8%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22.1%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70,568</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9.2%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Tower</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10,055</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500</w:t>
            </w:r>
          </w:p>
        </w:tc>
        <w:tc>
          <w:tcPr>
            <w:tcW w:w="2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7"/>
              </w:rPr>
              <w:t>0.1%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Consumer CLEC</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2.0%</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2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2.9%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ind w:left="320"/>
              <w:spacing w:after="0"/>
              <w:rPr>
                <w:sz w:val="20"/>
                <w:szCs w:val="20"/>
                <w:color w:val="auto"/>
              </w:rPr>
            </w:pPr>
            <w:r>
              <w:rPr>
                <w:rFonts w:ascii="Arial" w:cs="Arial" w:eastAsia="Arial" w:hAnsi="Arial"/>
                <w:sz w:val="12"/>
                <w:szCs w:val="12"/>
                <w:color w:val="auto"/>
              </w:rPr>
              <w:t>Total revenues</w:t>
            </w: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916,032</w:t>
            </w: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770,408</w:t>
            </w:r>
          </w:p>
        </w:tc>
        <w:tc>
          <w:tcPr>
            <w:tcW w:w="2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Interest expense, net</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305,994</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33.4%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275,394</w:t>
            </w:r>
          </w:p>
        </w:tc>
        <w:tc>
          <w:tcPr>
            <w:tcW w:w="2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35.7%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47.4%</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48.8%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General and administrative expense</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72,045</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7.9%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35,402</w:t>
            </w:r>
          </w:p>
        </w:tc>
        <w:tc>
          <w:tcPr>
            <w:tcW w:w="2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7"/>
              </w:rPr>
              <w:t>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expense (exclusive of depreciation and amortization)</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102,176</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11.2%</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49,668</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6.4%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Transaction related costs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38,005</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4.1%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33,669</w:t>
            </w:r>
          </w:p>
        </w:tc>
        <w:tc>
          <w:tcPr>
            <w:tcW w:w="2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7"/>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expense</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1.2%</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costs and expenses</w:t>
            </w:r>
          </w:p>
        </w:tc>
        <w:tc>
          <w:tcPr>
            <w:tcW w:w="1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963,709</w:t>
            </w: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105.2%</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770,103</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b w:val="1"/>
                <w:bCs w:val="1"/>
                <w:color w:val="auto"/>
              </w:rPr>
              <w:t>(Loss) income before income taxes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(47,677)</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(5.2%)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305</w:t>
            </w:r>
          </w:p>
        </w:tc>
        <w:tc>
          <w:tcPr>
            <w:tcW w:w="2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Income tax (benefit) expense</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(38,849)</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(4.2%)</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0.1%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2"/>
                <w:szCs w:val="12"/>
                <w:b w:val="1"/>
                <w:bCs w:val="1"/>
                <w:color w:val="auto"/>
              </w:rPr>
              <w:t>Net loss</w:t>
            </w: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(8,828)</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(212)</w:t>
            </w:r>
          </w:p>
        </w:tc>
        <w:tc>
          <w:tcPr>
            <w:tcW w:w="760" w:type="dxa"/>
            <w:vAlign w:val="bottom"/>
          </w:tcPr>
          <w:p>
            <w:pPr>
              <w:jc w:val="center"/>
              <w:spacing w:after="0"/>
              <w:rPr>
                <w:sz w:val="20"/>
                <w:szCs w:val="20"/>
                <w:color w:val="auto"/>
              </w:rPr>
            </w:pPr>
            <w:r>
              <w:rPr>
                <w:rFonts w:ascii="Arial" w:cs="Arial" w:eastAsia="Arial" w:hAnsi="Arial"/>
                <w:sz w:val="12"/>
                <w:szCs w:val="12"/>
                <w:color w:val="auto"/>
                <w:w w:val="90"/>
              </w:rPr>
              <w:t>(0.0%)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611</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0.1%</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2"/>
                <w:szCs w:val="12"/>
                <w:b w:val="1"/>
                <w:bCs w:val="1"/>
                <w:color w:val="auto"/>
              </w:rPr>
              <w:t>Net loss attributable to shareholders</w:t>
            </w: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(9,439)</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(212)</w:t>
            </w:r>
          </w:p>
        </w:tc>
        <w:tc>
          <w:tcPr>
            <w:tcW w:w="760" w:type="dxa"/>
            <w:vAlign w:val="bottom"/>
          </w:tcPr>
          <w:p>
            <w:pPr>
              <w:jc w:val="center"/>
              <w:spacing w:after="0"/>
              <w:rPr>
                <w:sz w:val="20"/>
                <w:szCs w:val="20"/>
                <w:color w:val="auto"/>
              </w:rPr>
            </w:pPr>
            <w:r>
              <w:rPr>
                <w:rFonts w:ascii="Arial" w:cs="Arial" w:eastAsia="Arial" w:hAnsi="Arial"/>
                <w:sz w:val="12"/>
                <w:szCs w:val="12"/>
                <w:color w:val="auto"/>
                <w:w w:val="90"/>
              </w:rPr>
              <w:t>(0.0%)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Participating securities' share in earnings</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(1,509)</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(0.2%)</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(1,557)</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Dividends declared on convertible preferred stock</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(2,624)</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(0.3%)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(1,743)</w:t>
            </w:r>
          </w:p>
        </w:tc>
        <w:tc>
          <w:tcPr>
            <w:tcW w:w="760" w:type="dxa"/>
            <w:vAlign w:val="bottom"/>
          </w:tcPr>
          <w:p>
            <w:pPr>
              <w:jc w:val="center"/>
              <w:spacing w:after="0"/>
              <w:rPr>
                <w:sz w:val="20"/>
                <w:szCs w:val="20"/>
                <w:color w:val="auto"/>
              </w:rPr>
            </w:pPr>
            <w:r>
              <w:rPr>
                <w:rFonts w:ascii="Arial" w:cs="Arial" w:eastAsia="Arial" w:hAnsi="Arial"/>
                <w:sz w:val="12"/>
                <w:szCs w:val="12"/>
                <w:color w:val="auto"/>
                <w:w w:val="90"/>
              </w:rPr>
              <w:t>(0.2%)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 of discount on convertible preferred stock</w:t>
            </w: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(2,980)</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(0.3%)</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(1,985)</w:t>
            </w:r>
          </w:p>
        </w:tc>
        <w:tc>
          <w:tcPr>
            <w:tcW w:w="7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2"/>
                <w:szCs w:val="12"/>
                <w:b w:val="1"/>
                <w:bCs w:val="1"/>
                <w:color w:val="auto"/>
              </w:rPr>
              <w:t>Net loss attributable to common shareholders</w:t>
            </w: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40" w:type="dxa"/>
            <w:vAlign w:val="bottom"/>
            <w:vMerge w:val="continue"/>
          </w:tcPr>
          <w:p>
            <w:pPr>
              <w:spacing w:after="0"/>
              <w:rPr>
                <w:sz w:val="13"/>
                <w:szCs w:val="13"/>
                <w:color w:val="auto"/>
              </w:rPr>
            </w:pPr>
          </w:p>
        </w:tc>
        <w:tc>
          <w:tcPr>
            <w:tcW w:w="1600" w:type="dxa"/>
            <w:vAlign w:val="bottom"/>
            <w:gridSpan w:val="2"/>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(16,552)</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(1.8%)</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(5,497)</w:t>
            </w:r>
          </w:p>
        </w:tc>
        <w:tc>
          <w:tcPr>
            <w:tcW w:w="760" w:type="dxa"/>
            <w:vAlign w:val="bottom"/>
          </w:tcPr>
          <w:p>
            <w:pPr>
              <w:jc w:val="center"/>
              <w:spacing w:after="0"/>
              <w:rPr>
                <w:sz w:val="20"/>
                <w:szCs w:val="20"/>
                <w:color w:val="auto"/>
              </w:rPr>
            </w:pPr>
            <w:r>
              <w:rPr>
                <w:rFonts w:ascii="Arial" w:cs="Arial" w:eastAsia="Arial" w:hAnsi="Arial"/>
                <w:sz w:val="12"/>
                <w:szCs w:val="12"/>
                <w:color w:val="auto"/>
                <w:w w:val="90"/>
              </w:rPr>
              <w:t>(0.7%)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440" w:type="dxa"/>
            <w:vAlign w:val="bottom"/>
          </w:tcPr>
          <w:p>
            <w:pPr>
              <w:spacing w:after="0"/>
              <w:rPr>
                <w:sz w:val="24"/>
                <w:szCs w:val="24"/>
                <w:color w:val="auto"/>
              </w:rPr>
            </w:pPr>
          </w:p>
        </w:tc>
        <w:tc>
          <w:tcPr>
            <w:tcW w:w="1440" w:type="dxa"/>
            <w:vAlign w:val="bottom"/>
          </w:tcPr>
          <w:p>
            <w:pPr>
              <w:jc w:val="right"/>
              <w:ind w:right="20"/>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44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for the years ended December 31, 2017 and 2016, revenues and Adjusted EBITDA of our reportable segments: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0"/>
                <w:szCs w:val="10"/>
                <w:b w:val="1"/>
                <w:bCs w:val="1"/>
                <w:color w:val="auto"/>
                <w:w w:val="86"/>
              </w:rPr>
              <w:t>Year Ended December 31, 2017</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ind w:right="22"/>
              <w:spacing w:after="0" w:line="83" w:lineRule="exact"/>
              <w:rPr>
                <w:sz w:val="20"/>
                <w:szCs w:val="20"/>
                <w:color w:val="auto"/>
              </w:rPr>
            </w:pPr>
            <w:r>
              <w:rPr>
                <w:rFonts w:ascii="Arial" w:cs="Arial" w:eastAsia="Arial" w:hAnsi="Arial"/>
                <w:sz w:val="8"/>
                <w:szCs w:val="8"/>
                <w:b w:val="1"/>
                <w:bCs w:val="1"/>
                <w:color w:val="auto"/>
              </w:rPr>
              <w:t>Total of Reportable</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w w:val="95"/>
              </w:rPr>
              <w:t>Leasing</w:t>
            </w:r>
          </w:p>
        </w:tc>
        <w:tc>
          <w:tcPr>
            <w:tcW w:w="260" w:type="dxa"/>
            <w:vAlign w:val="bottom"/>
            <w:tcBorders>
              <w:bottom w:val="single" w:sz="8" w:color="CFF0FC"/>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42"/>
              <w:spacing w:after="0" w:line="114" w:lineRule="exact"/>
              <w:rPr>
                <w:sz w:val="20"/>
                <w:szCs w:val="20"/>
                <w:color w:val="auto"/>
              </w:rPr>
            </w:pPr>
            <w:r>
              <w:rPr>
                <w:rFonts w:ascii="Arial" w:cs="Arial" w:eastAsia="Arial" w:hAnsi="Arial"/>
                <w:sz w:val="10"/>
                <w:szCs w:val="10"/>
                <w:b w:val="1"/>
                <w:bCs w:val="1"/>
                <w:color w:val="auto"/>
                <w:w w:val="88"/>
              </w:rPr>
              <w:t>Fiber Infrastructure</w:t>
            </w:r>
          </w:p>
        </w:tc>
        <w:tc>
          <w:tcPr>
            <w:tcW w:w="260" w:type="dxa"/>
            <w:vAlign w:val="bottom"/>
            <w:tcBorders>
              <w:bottom w:val="single" w:sz="8" w:color="CFF0FC"/>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84"/>
              <w:spacing w:after="0" w:line="114" w:lineRule="exact"/>
              <w:rPr>
                <w:sz w:val="20"/>
                <w:szCs w:val="20"/>
                <w:color w:val="auto"/>
              </w:rPr>
            </w:pPr>
            <w:r>
              <w:rPr>
                <w:rFonts w:ascii="Arial" w:cs="Arial" w:eastAsia="Arial" w:hAnsi="Arial"/>
                <w:sz w:val="10"/>
                <w:szCs w:val="10"/>
                <w:b w:val="1"/>
                <w:bCs w:val="1"/>
                <w:color w:val="auto"/>
              </w:rPr>
              <w:t>Towers</w:t>
            </w:r>
          </w:p>
        </w:tc>
        <w:tc>
          <w:tcPr>
            <w:tcW w:w="3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6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Corporate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83"/>
              </w:rPr>
              <w:t>Segments</w:t>
            </w:r>
          </w:p>
        </w:tc>
        <w:tc>
          <w:tcPr>
            <w:tcW w:w="2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685,099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683,651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83,987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(831)</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(21,839)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20"/>
                <w:szCs w:val="20"/>
                <w:color w:val="auto"/>
              </w:rPr>
            </w:pPr>
            <w:r>
              <w:rPr>
                <w:rFonts w:ascii="Arial" w:cs="Arial" w:eastAsia="Arial" w:hAnsi="Arial"/>
                <w:sz w:val="12"/>
                <w:szCs w:val="12"/>
                <w:color w:val="auto"/>
              </w:rPr>
              <w:t>Adjusted EBITDA 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Interest expense, net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305,994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347,999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78,307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4,907</w:t>
            </w: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11,284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7,713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378"/>
        </w:trPr>
        <w:tc>
          <w:tcPr>
            <w:tcW w:w="4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0"/>
                <w:szCs w:val="10"/>
                <w:b w:val="1"/>
                <w:bCs w:val="1"/>
                <w:color w:val="auto"/>
                <w:w w:val="90"/>
              </w:rPr>
              <w:t>Year Ended December 31, 2016</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ind w:right="22"/>
              <w:spacing w:after="0" w:line="83" w:lineRule="exact"/>
              <w:rPr>
                <w:sz w:val="20"/>
                <w:szCs w:val="20"/>
                <w:color w:val="auto"/>
              </w:rPr>
            </w:pPr>
            <w:r>
              <w:rPr>
                <w:rFonts w:ascii="Arial" w:cs="Arial" w:eastAsia="Arial" w:hAnsi="Arial"/>
                <w:sz w:val="8"/>
                <w:szCs w:val="8"/>
                <w:b w:val="1"/>
                <w:bCs w:val="1"/>
                <w:color w:val="auto"/>
              </w:rPr>
              <w:t>Total of Reportable</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Leasing</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rPr>
              <w:t>Fiber Infrastructure</w:t>
            </w:r>
          </w:p>
        </w:tc>
        <w:tc>
          <w:tcPr>
            <w:tcW w:w="12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24"/>
              <w:spacing w:after="0" w:line="114" w:lineRule="exact"/>
              <w:rPr>
                <w:sz w:val="20"/>
                <w:szCs w:val="20"/>
                <w:color w:val="auto"/>
              </w:rPr>
            </w:pPr>
            <w:r>
              <w:rPr>
                <w:rFonts w:ascii="Arial" w:cs="Arial" w:eastAsia="Arial" w:hAnsi="Arial"/>
                <w:sz w:val="10"/>
                <w:szCs w:val="10"/>
                <w:b w:val="1"/>
                <w:bCs w:val="1"/>
                <w:color w:val="auto"/>
              </w:rPr>
              <w:t>Towers</w:t>
            </w:r>
          </w:p>
        </w:tc>
        <w:tc>
          <w:tcPr>
            <w:tcW w:w="3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6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Corporate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83"/>
              </w:rPr>
              <w:t>Segments</w:t>
            </w:r>
          </w:p>
        </w:tc>
        <w:tc>
          <w:tcPr>
            <w:tcW w:w="2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280" w:type="dxa"/>
            <w:vAlign w:val="bottom"/>
            <w:gridSpan w:val="4"/>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676,868</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70,568</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770,408</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9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80" w:type="dxa"/>
            <w:vAlign w:val="bottom"/>
            <w:gridSpan w:val="4"/>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675,114</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25,912</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(1,123)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(14,793)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690,184</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20"/>
                <w:szCs w:val="20"/>
                <w:color w:val="auto"/>
              </w:rPr>
            </w:pPr>
            <w:r>
              <w:rPr>
                <w:rFonts w:ascii="Arial" w:cs="Arial" w:eastAsia="Arial" w:hAnsi="Arial"/>
                <w:sz w:val="12"/>
                <w:szCs w:val="12"/>
                <w:color w:val="auto"/>
              </w:rPr>
              <w:t>Adjusted EBITDA 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99.7%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36.7%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(224.6%)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89.6%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Interest expense, net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275,394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343,368</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28,629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w:t>
            </w: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3,258</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33,669</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4,846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Arial" w:cs="Arial" w:eastAsia="Arial" w:hAnsi="Arial"/>
                <w:sz w:val="12"/>
                <w:szCs w:val="12"/>
                <w:color w:val="auto"/>
              </w:rPr>
              <w:t>Net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0"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2017, we recognized $685.1 million of revenue under the Master Lease, which included $14.3 million of TCI revenue. For the year ended December 31, 2016, we recognized $677.4 million of</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under the Master Lease, which included $6.1 million of TCI revenue. The increase in TCI revenue is attributable to increased investment by Windstream in TCIs. Windstream invested $228 million in TCIs during the year ended December 31, 2017, an increase from $157 million it invested in TCIs during the year ended December 31, 2016.</w:t>
      </w:r>
    </w:p>
    <w:p>
      <w:pPr>
        <w:spacing w:after="0" w:line="123"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i w:val="1"/>
          <w:iCs w:val="1"/>
          <w:u w:val="single" w:color="auto"/>
          <w:color w:val="auto"/>
        </w:rPr>
        <w:t>Fiber Infrastructure</w:t>
      </w:r>
      <w:r>
        <w:rPr>
          <w:rFonts w:ascii="Arial" w:cs="Arial" w:eastAsia="Arial" w:hAnsi="Arial"/>
          <w:sz w:val="11"/>
          <w:szCs w:val="11"/>
          <w:i w:val="1"/>
          <w:iCs w:val="1"/>
          <w:color w:val="auto"/>
        </w:rPr>
        <w:t xml:space="preserve"> </w:t>
      </w:r>
      <w:r>
        <w:rPr>
          <w:rFonts w:ascii="Arial" w:cs="Arial" w:eastAsia="Arial" w:hAnsi="Arial"/>
          <w:sz w:val="11"/>
          <w:szCs w:val="11"/>
          <w:color w:val="auto"/>
        </w:rPr>
        <w:t>– In our Fiber Infrastructure segment, we recognized $202.8 million of revenue for the year ended December 31, 2017, of which approximately 55.1% was derived from lit backhaul services, approximately 20.6% was</w:t>
      </w:r>
      <w:r>
        <w:rPr>
          <w:rFonts w:ascii="Arial" w:cs="Arial" w:eastAsia="Arial" w:hAnsi="Arial"/>
          <w:sz w:val="11"/>
          <w:szCs w:val="11"/>
          <w:i w:val="1"/>
          <w:iCs w:val="1"/>
          <w:color w:val="auto"/>
        </w:rPr>
        <w:t xml:space="preserve"> </w:t>
      </w:r>
      <w:r>
        <w:rPr>
          <w:rFonts w:ascii="Arial" w:cs="Arial" w:eastAsia="Arial" w:hAnsi="Arial"/>
          <w:sz w:val="11"/>
          <w:szCs w:val="11"/>
          <w:color w:val="auto"/>
        </w:rPr>
        <w:t>derived from internet and voice revenue, approximately 11.3% was derived from construction revenue and approximately 13.0% was derived from other services. For the year ended December 31, 2016, we recognized $70.6 million of revenue in the Fiber Infrastructure segment, approximately 78% of which was derived from lit backhaul services. The revenue increase is primarily driven by the timing of the acquisitions of PEG Bandwidth,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LLC (“PEG” or “PEG Bandwidth”), Tower Cloud Inc. (“Tower Cloud”), Southern Light and Hunt. At December 31, 2017, we had approximately 16,750 customer connections, up from 5,450 customer connections at December 31, 2016.</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increase is primarily attributable to the July 3, 2017 acquisitions of Southern Light and Hunt.</w:t>
      </w:r>
    </w:p>
    <w:p>
      <w:pPr>
        <w:spacing w:after="0" w:line="14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2017, we recognized $10.1 million of revenue in our Towers segment, of which $7.5 million relates to our Latin American operations, primarily driven by revenues associated with our January</w:t>
      </w:r>
      <w:r>
        <w:rPr>
          <w:rFonts w:ascii="Arial" w:cs="Arial" w:eastAsia="Arial" w:hAnsi="Arial"/>
          <w:sz w:val="12"/>
          <w:szCs w:val="12"/>
          <w:i w:val="1"/>
          <w:iCs w:val="1"/>
          <w:color w:val="auto"/>
        </w:rPr>
        <w:t xml:space="preserve"> </w:t>
      </w:r>
      <w:r>
        <w:rPr>
          <w:rFonts w:ascii="Arial" w:cs="Arial" w:eastAsia="Arial" w:hAnsi="Arial"/>
          <w:sz w:val="12"/>
          <w:szCs w:val="12"/>
          <w:color w:val="auto"/>
        </w:rPr>
        <w:t>2017 acquisition of NMS.</w:t>
      </w:r>
    </w:p>
    <w:p>
      <w:pPr>
        <w:spacing w:after="0" w:line="115"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At December 31, 2017, the Uniti Towers’ portfolio consisted of 227 wireless communications towers located in 20 states across the eastern and central regions of the United States, and 440 wireless communications towers in Latin America.</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2017, we recognized $18.1 million of revenue from the Consumer CLEC Business, compared to $22.5 million for the year ended December 31, 2016. The decrease is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a loss of customers during the period. We served approximately 28,500 customers as of December 31, 2017, a 23% decrease from 37,000 at December 31, 2016. The decrease in customers is due to the effects of competition and customer attrition.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0" w:lineRule="exact"/>
        <w:rPr>
          <w:sz w:val="20"/>
          <w:szCs w:val="20"/>
          <w:color w:val="auto"/>
        </w:rPr>
      </w:pPr>
    </w:p>
    <w:p>
      <w:pPr>
        <w:ind w:right="80"/>
        <w:spacing w:after="0" w:line="320" w:lineRule="auto"/>
        <w:rPr>
          <w:sz w:val="20"/>
          <w:szCs w:val="20"/>
          <w:color w:val="auto"/>
        </w:rPr>
      </w:pPr>
      <w:r>
        <w:rPr>
          <w:rFonts w:ascii="Arial" w:cs="Arial" w:eastAsia="Arial" w:hAnsi="Arial"/>
          <w:sz w:val="10"/>
          <w:szCs w:val="10"/>
          <w:color w:val="auto"/>
        </w:rPr>
        <w:t>Interest expense for the year ended December 31, 2017, totaled $306.0 million, which includes non-cash interest expense of $23.1 million resulting from the amortization of our debt discounts and debt issuance costs. Interest expense for the year ended December 31, 2016, totaled $275.4 million, which includes non-cash interest expense of $16.0 million resulting from the amortization of our debt discounts and debt issuance costs. The increase is primarily related to interest expense on the additional $150 million aggregate principal amount of 6.00% Senior Secured Notes issued on June 16, 2016 as an add-on to the Company’s existing senior secured notes (the “add-on Secured Notes”) and the 2024 Notes of $41 million. This increase was partially offset by approximately $19 million of interest savings related to the repricing of $2.1 billion of term loans outstanding under our senior secured credit agreement. Effective February 9, 2017, interest on the term loans was LIBOR plus 3.00% per annum (with a minimum LIBOR rate of 1.0%), compared to LIBOR plus 4.0% per annum (with a minimum LIBOR rate of 1.0%) for the year ended December 31, 2016.</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incur depreciation and amortization expense related to our property, plant and equipment, corporate assets and intangible assets. Charges for depreciation and amortization for the year ended December 31, 2017 totaled $434.2 million (47.4% of revenue), which included property, plant and equipment depreciation of $415.9 million and intangible asset amortization of $18.3 million. Charges for depreciation and amortization for the year ended December 31, 2016 totaled $376.0 million (48.8% of revenue), which included property, plant and equipment depreciation of $369.9 million and intangible asset amortization of $6.1 million. The increase is primarily driven by the timing of the acquisitions of PEG, Tower Cloud, Southern Light and Hunt.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150" w:lineRule="exact"/>
        <w:rPr>
          <w:sz w:val="20"/>
          <w:szCs w:val="20"/>
          <w:color w:val="auto"/>
        </w:rPr>
      </w:pPr>
    </w:p>
    <w:p>
      <w:pPr>
        <w:jc w:val="both"/>
        <w:ind w:right="260"/>
        <w:spacing w:after="0" w:line="290" w:lineRule="auto"/>
        <w:rPr>
          <w:sz w:val="20"/>
          <w:szCs w:val="20"/>
          <w:color w:val="auto"/>
        </w:rPr>
      </w:pPr>
      <w:r>
        <w:rPr>
          <w:rFonts w:ascii="Arial" w:cs="Arial" w:eastAsia="Arial" w:hAnsi="Arial"/>
          <w:sz w:val="11"/>
          <w:szCs w:val="11"/>
          <w:color w:val="auto"/>
        </w:rPr>
        <w:t>General and administrative expenses include compensation costs (including stock-based compensation awards), professional and legal services, corporate office costs and other costs associated with the administrative activities of our segments. For the year ended December 31, 2017, general and administrative costs totaled $72.0 million (7.9% of revenue), which includes $7.7 million of stock-based compensation expense. For the year ended December 31, 2016, general and administrative costs totaled $35.4 million (4.6% of revenue), which includes $4.8 million of stock-based compensation expense. The increase is primarily driven by the timing of the acquisitions of PEG and Tower Cloud, which closed on May 2, 2016 and August 31, 2016, respectively, as well as the acquisitions of Southern Light and Hunt that closed on July 3, 2017.</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w:t>
      </w:r>
    </w:p>
    <w:p>
      <w:pPr>
        <w:spacing w:after="0" w:line="1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Operating expense for the year ended December 31, 2017, totaled $102.2 million (11.2% of revenue), and consisted of $83.5 million (9.1% of revenue) of expense related to the Fiber Infrastructure segment operations, $5.1 million (0.6% of revenue) of expense related to the Towers segment operations and $13.5 million (1.5% of revenue) of expense related to the Consumer CLEC Business. For the year ended December 31, 2016, operating expenses totaled $49.7 million (6.4% of revenue), which related to the operation of the Consumer CLEC Business ($17.4 million) and Fiber Infrastructure operations ($32.1 million).</w:t>
      </w:r>
    </w:p>
    <w:p>
      <w:pPr>
        <w:spacing w:after="0" w:line="123"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The increase to Fiber Infrastructure operating expense is primarily driven by the timing of the acquisitions of PEG and Tower Cloud, which closed on May 2, 2016 and August 31, 2016, respectively, as well as the acquisition of Southern Light and Hunt that closed on July 3, 2017. For the year ended December 31, 2017, Fiber Infrastructure operating expenses included $21.1 million of construction-related expense, $15.9 million of lit service expense, $11.0 million of tower rent, $10.4 million of maintenance expense, $7.0 million of dark fiber rent and $4.8 million of payroll-related expense. For the year ended December 31, 2016, Fiber Infrastructure operating expenses included $7.0 million of tower rent, $5.3 million of payroll-related expense and $4.3 million of lit service expense.</w:t>
      </w:r>
    </w:p>
    <w:p>
      <w:pPr>
        <w:spacing w:after="0" w:line="12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increase to Towers operating expense is primarily driven by the timing of the acquisition of NMS, which closed on January 31, 2017. For the year ended December 31, 2017, Tower operating expenses included $3.2 million of tower rent, $0.9 million of site monitoring expenses and $0.2 million of insurance expense.</w:t>
      </w:r>
    </w:p>
    <w:p>
      <w:pPr>
        <w:spacing w:after="0" w:line="115" w:lineRule="exact"/>
        <w:rPr>
          <w:sz w:val="20"/>
          <w:szCs w:val="20"/>
          <w:color w:val="auto"/>
        </w:rPr>
      </w:pPr>
    </w:p>
    <w:p>
      <w:pPr>
        <w:ind w:right="60"/>
        <w:spacing w:after="0" w:line="310" w:lineRule="auto"/>
        <w:rPr>
          <w:sz w:val="20"/>
          <w:szCs w:val="20"/>
          <w:color w:val="auto"/>
        </w:rPr>
      </w:pPr>
      <w:r>
        <w:rPr>
          <w:rFonts w:ascii="Arial" w:cs="Arial" w:eastAsia="Arial" w:hAnsi="Arial"/>
          <w:sz w:val="10"/>
          <w:szCs w:val="10"/>
          <w:color w:val="auto"/>
        </w:rPr>
        <w:t>Expense associated with the Consumer CLEC Business is primarily attributable to the Wholesale Agreement and the Master Services Agreement entered into between us and Windstream in connection with the Spin-Off, and also included costs arising under the interconnection agreements with other telecommunication carriers. Expense associated with the Wholesale Agreement and Master Services Agreement for the year ended December 31, 2017 totaled $10.2 million</w:t>
      </w:r>
    </w:p>
    <w:p>
      <w:pPr>
        <w:spacing w:after="0" w:line="261" w:lineRule="auto"/>
        <w:rPr>
          <w:sz w:val="20"/>
          <w:szCs w:val="20"/>
          <w:color w:val="auto"/>
        </w:rPr>
      </w:pPr>
      <w:r>
        <w:rPr>
          <w:rFonts w:ascii="Arial" w:cs="Arial" w:eastAsia="Arial" w:hAnsi="Arial"/>
          <w:sz w:val="12"/>
          <w:szCs w:val="12"/>
          <w:color w:val="auto"/>
        </w:rPr>
        <w:t>(1.1% of revenue) and $1.3 million (0.1% of revenue), respectively, and expense associated with the Wholesale Agreement and the Master Services Agreement for the year ended December 31, 2016 totaled $12.5 million (1.6% of revenue) and $1.7 million (0.2% of revenue),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Expense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Other expense for the year ended December 31, 2017, totaled $11.3 million (1.2% of revenue), primarily as a result of a net unrealized loss of $10.7 million for mark-to-market adjustments on our contingent consideration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(Benefit) Expense</w:t>
      </w:r>
    </w:p>
    <w:p>
      <w:pPr>
        <w:spacing w:after="0" w:line="168"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We recorded $38.8 million in income tax benefit for the year ended December 31, 2017. This benefit was primarily driven by the release of valuation allowance and impact of corporate tax reform. Income tax benefit of $8.2 million was recorded for the release of a valuation allowance related to the acquisitions of Southern Light and Hunt. The Southern Light and Hunt transactions resulted in the recording of a deferred tax liability, and this future reversal of taxable temporary differences supports the realization of deferred tax assets which previously had a valuation allowance. $17.0 million relates to revision of ending net deferred tax asset balances to the lower future corporate tax rate.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4" w:lineRule="exact"/>
        <w:rPr>
          <w:sz w:val="20"/>
          <w:szCs w:val="20"/>
          <w:color w:val="auto"/>
        </w:rPr>
      </w:pPr>
    </w:p>
    <w:p>
      <w:pPr>
        <w:jc w:val="both"/>
        <w:ind w:right="220"/>
        <w:spacing w:after="0" w:line="298" w:lineRule="auto"/>
        <w:rPr>
          <w:sz w:val="20"/>
          <w:szCs w:val="20"/>
          <w:color w:val="auto"/>
        </w:rPr>
      </w:pPr>
      <w:r>
        <w:rPr>
          <w:rFonts w:ascii="Arial" w:cs="Arial" w:eastAsia="Arial" w:hAnsi="Arial"/>
          <w:sz w:val="11"/>
          <w:szCs w:val="11"/>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26"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26"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We define “AFFO” as FFO excluding (i) transaction related costs; (ii)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(iii) the impact, which may be recurring in nature, of the write-off of unamortized deferred financing fees, additional costs incurred as a result of the early repayment of debt, gains or losses on dispositions,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1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reconciliation of our net income to EBITDA and Adjusted EBITDA and of our net income attributable to common shareholders to FFO and AFFO for the years ended December 31, 2018, 2017 and 2016 is as follows: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vMerge w:val="restart"/>
          </w:tcPr>
          <w:p>
            <w:pPr>
              <w:spacing w:after="0"/>
              <w:rPr>
                <w:sz w:val="20"/>
                <w:szCs w:val="20"/>
                <w:color w:val="auto"/>
              </w:rPr>
            </w:pPr>
            <w:r>
              <w:rPr>
                <w:rFonts w:ascii="Arial" w:cs="Arial" w:eastAsia="Arial" w:hAnsi="Arial"/>
                <w:sz w:val="10"/>
                <w:szCs w:val="10"/>
                <w:color w:val="auto"/>
              </w:rPr>
              <w:t>(Thousands)</w:t>
            </w: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0"/>
                <w:szCs w:val="10"/>
                <w:b w:val="1"/>
                <w:bCs w:val="1"/>
                <w:color w:val="auto"/>
                <w:w w:val="86"/>
              </w:rPr>
              <w:t>Year Ended December 31,</w:t>
            </w: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280" w:type="dxa"/>
            <w:vAlign w:val="bottom"/>
            <w:tcBorders>
              <w:bottom w:val="single" w:sz="8" w:color="CFF0FC"/>
            </w:tcBorders>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781"/>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jc w:val="center"/>
              <w:ind w:right="182"/>
              <w:spacing w:after="0" w:line="97" w:lineRule="exact"/>
              <w:rPr>
                <w:sz w:val="20"/>
                <w:szCs w:val="20"/>
                <w:color w:val="auto"/>
              </w:rPr>
            </w:pPr>
            <w:r>
              <w:rPr>
                <w:rFonts w:ascii="Arial" w:cs="Arial" w:eastAsia="Arial" w:hAnsi="Arial"/>
                <w:sz w:val="10"/>
                <w:szCs w:val="10"/>
                <w:b w:val="1"/>
                <w:bCs w:val="1"/>
                <w:color w:val="auto"/>
                <w:w w:val="80"/>
              </w:rPr>
              <w:t>2017</w:t>
            </w:r>
          </w:p>
        </w:tc>
        <w:tc>
          <w:tcPr>
            <w:tcW w:w="2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761"/>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income (loss)</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(8,828)</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451,750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434,205</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375,970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319,591</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305,994</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275,394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Income tax (benefit) expense</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(5,421)</w:t>
            </w:r>
          </w:p>
        </w:tc>
        <w:tc>
          <w:tcPr>
            <w:tcW w:w="240" w:type="dxa"/>
            <w:vAlign w:val="bottom"/>
          </w:tcPr>
          <w:p>
            <w:pPr>
              <w:spacing w:after="0"/>
              <w:rPr>
                <w:sz w:val="13"/>
                <w:szCs w:val="13"/>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2"/>
                <w:szCs w:val="12"/>
                <w:color w:val="auto"/>
              </w:rPr>
              <w:t>(38,849)</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EBITDA</w:t>
            </w: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782,465</w:t>
            </w:r>
          </w:p>
        </w:tc>
        <w:tc>
          <w:tcPr>
            <w:tcW w:w="2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692,522</w:t>
            </w:r>
          </w:p>
        </w:tc>
        <w:tc>
          <w:tcPr>
            <w:tcW w:w="2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651,669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Stock based compensation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8,064</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7,713</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4,846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Other (income) expense</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(5,056)</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Transaction related costs</w:t>
            </w: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17,410</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38,005</w:t>
            </w: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33,669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Adjusted EBITDA</w:t>
            </w: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802,883</w:t>
            </w:r>
          </w:p>
        </w:tc>
        <w:tc>
          <w:tcPr>
            <w:tcW w:w="26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280" w:type="dxa"/>
            <w:vAlign w:val="bottom"/>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690,184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5280" w:type="dxa"/>
            <w:vAlign w:val="bottom"/>
            <w:vMerge w:val="restart"/>
          </w:tcPr>
          <w:p>
            <w:pPr>
              <w:spacing w:after="0"/>
              <w:rPr>
                <w:sz w:val="20"/>
                <w:szCs w:val="20"/>
                <w:color w:val="auto"/>
              </w:rPr>
            </w:pPr>
            <w:r>
              <w:rPr>
                <w:rFonts w:ascii="Arial" w:cs="Arial" w:eastAsia="Arial" w:hAnsi="Arial"/>
                <w:sz w:val="10"/>
                <w:szCs w:val="10"/>
                <w:color w:val="auto"/>
              </w:rPr>
              <w:t>(Thousands)</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0"/>
                <w:szCs w:val="10"/>
                <w:b w:val="1"/>
                <w:bCs w:val="1"/>
                <w:color w:val="auto"/>
                <w:w w:val="86"/>
              </w:rPr>
              <w:t>Year Ended December 31,</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280" w:type="dxa"/>
            <w:vAlign w:val="bottom"/>
            <w:tcBorders>
              <w:bottom w:val="single" w:sz="8" w:color="CFF0FC"/>
            </w:tcBorders>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781"/>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jc w:val="center"/>
              <w:ind w:right="182"/>
              <w:spacing w:after="0" w:line="97" w:lineRule="exact"/>
              <w:rPr>
                <w:sz w:val="20"/>
                <w:szCs w:val="20"/>
                <w:color w:val="auto"/>
              </w:rPr>
            </w:pPr>
            <w:r>
              <w:rPr>
                <w:rFonts w:ascii="Arial" w:cs="Arial" w:eastAsia="Arial" w:hAnsi="Arial"/>
                <w:sz w:val="10"/>
                <w:szCs w:val="10"/>
                <w:b w:val="1"/>
                <w:bCs w:val="1"/>
                <w:color w:val="auto"/>
                <w:w w:val="80"/>
              </w:rPr>
              <w:t>2017</w:t>
            </w:r>
          </w:p>
        </w:tc>
        <w:tc>
          <w:tcPr>
            <w:tcW w:w="2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761"/>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7,989</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(16,552)</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(5,497)</w:t>
            </w: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Real estate depreciation and amortization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374,388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373,449</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351,548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Participating securities' share in earnings</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2,594</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1,509</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Participating securities' share in FFO</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(2,594)</w:t>
            </w:r>
          </w:p>
        </w:tc>
        <w:tc>
          <w:tcPr>
            <w:tcW w:w="240" w:type="dxa"/>
            <w:vAlign w:val="bottom"/>
          </w:tcPr>
          <w:p>
            <w:pPr>
              <w:spacing w:after="0"/>
              <w:rPr>
                <w:sz w:val="13"/>
                <w:szCs w:val="13"/>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2"/>
                <w:szCs w:val="12"/>
                <w:color w:val="auto"/>
              </w:rPr>
              <w:t>(1,509)</w:t>
            </w: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(1,557)</w:t>
            </w: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(8,636)</w:t>
            </w:r>
          </w:p>
        </w:tc>
        <w:tc>
          <w:tcPr>
            <w:tcW w:w="24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(4,420)</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20"/>
                <w:szCs w:val="20"/>
                <w:color w:val="auto"/>
              </w:rPr>
            </w:pPr>
            <w:r>
              <w:rPr>
                <w:rFonts w:ascii="Arial" w:cs="Arial" w:eastAsia="Arial" w:hAnsi="Arial"/>
                <w:sz w:val="12"/>
                <w:szCs w:val="12"/>
                <w:b w:val="1"/>
                <w:bCs w:val="1"/>
                <w:color w:val="auto"/>
              </w:rPr>
              <w:t>FFO attributable to common shareholders</w:t>
            </w:r>
          </w:p>
        </w:tc>
        <w:tc>
          <w:tcPr>
            <w:tcW w:w="440" w:type="dxa"/>
            <w:vAlign w:val="bottom"/>
            <w:tcBorders>
              <w:top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373,741</w:t>
            </w:r>
          </w:p>
        </w:tc>
        <w:tc>
          <w:tcPr>
            <w:tcW w:w="26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352,477</w:t>
            </w:r>
          </w:p>
        </w:tc>
        <w:tc>
          <w:tcPr>
            <w:tcW w:w="280" w:type="dxa"/>
            <w:vAlign w:val="bottom"/>
          </w:tcPr>
          <w:p>
            <w:pPr>
              <w:spacing w:after="0"/>
              <w:rPr>
                <w:sz w:val="12"/>
                <w:szCs w:val="12"/>
                <w:color w:val="auto"/>
              </w:rPr>
            </w:pPr>
          </w:p>
        </w:tc>
        <w:tc>
          <w:tcPr>
            <w:tcW w:w="440" w:type="dxa"/>
            <w:vAlign w:val="bottom"/>
            <w:tcBorders>
              <w:top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346,051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17,410</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Change in fair value of contingent consideration</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(3,721)</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10,736</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Amortization of deferred financing costs and debt discount</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24,614</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23,102</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8,064</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7,713</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4,846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Non-real estate depreciation and amortization</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77,362</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60,756</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Straight-line revenue</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(15,048)</w:t>
            </w:r>
          </w:p>
        </w:tc>
        <w:tc>
          <w:tcPr>
            <w:tcW w:w="240" w:type="dxa"/>
            <w:vAlign w:val="bottom"/>
          </w:tcPr>
          <w:p>
            <w:pPr>
              <w:spacing w:after="0"/>
              <w:rPr>
                <w:sz w:val="13"/>
                <w:szCs w:val="13"/>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2"/>
                <w:szCs w:val="12"/>
                <w:color w:val="auto"/>
              </w:rPr>
              <w:t>(15,136)</w:t>
            </w: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(17,293)</w:t>
            </w: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Maintenance capital expenditures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(5,686)</w:t>
            </w:r>
          </w:p>
        </w:tc>
        <w:tc>
          <w:tcPr>
            <w:tcW w:w="24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(4,434)</w:t>
            </w: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(3,327)</w:t>
            </w: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2,980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2,980</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1,985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 to deferred tax valuation allowance and tax rate change</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(36,240)</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Other non-cash (revenue) expense, net</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(34,426)</w:t>
            </w:r>
          </w:p>
        </w:tc>
        <w:tc>
          <w:tcPr>
            <w:tcW w:w="240" w:type="dxa"/>
            <w:vAlign w:val="bottom"/>
          </w:tcPr>
          <w:p>
            <w:pPr>
              <w:spacing w:after="0"/>
              <w:rPr>
                <w:sz w:val="13"/>
                <w:szCs w:val="13"/>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2"/>
                <w:szCs w:val="12"/>
                <w:color w:val="auto"/>
              </w:rPr>
              <w:t>(14,871)</w:t>
            </w: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(7,818)</w:t>
            </w: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(1,535)</w:t>
            </w:r>
          </w:p>
        </w:tc>
        <w:tc>
          <w:tcPr>
            <w:tcW w:w="24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(264)</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20"/>
                <w:szCs w:val="20"/>
                <w:color w:val="auto"/>
              </w:rPr>
            </w:pPr>
            <w:r>
              <w:rPr>
                <w:rFonts w:ascii="Arial" w:cs="Arial" w:eastAsia="Arial" w:hAnsi="Arial"/>
                <w:sz w:val="12"/>
                <w:szCs w:val="12"/>
                <w:b w:val="1"/>
                <w:bCs w:val="1"/>
                <w:color w:val="auto"/>
              </w:rPr>
              <w:t>AFFO attributable to common shareholders</w:t>
            </w: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443,755</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424,824</w:t>
            </w:r>
          </w:p>
        </w:tc>
        <w:tc>
          <w:tcPr>
            <w:tcW w:w="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398,537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54" w:lineRule="exact"/>
        <w:rPr>
          <w:sz w:val="20"/>
          <w:szCs w:val="20"/>
          <w:color w:val="auto"/>
        </w:rPr>
      </w:pPr>
    </w:p>
    <w:p>
      <w:pPr>
        <w:ind w:right="20"/>
        <w:spacing w:after="0" w:line="340" w:lineRule="auto"/>
        <w:rPr>
          <w:sz w:val="20"/>
          <w:szCs w:val="20"/>
          <w:color w:val="auto"/>
        </w:rPr>
      </w:pPr>
      <w:r>
        <w:rPr>
          <w:rFonts w:ascii="Arial" w:cs="Arial" w:eastAsia="Arial" w:hAnsi="Arial"/>
          <w:sz w:val="10"/>
          <w:szCs w:val="10"/>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88" w:lineRule="exact"/>
        <w:rPr>
          <w:sz w:val="20"/>
          <w:szCs w:val="20"/>
          <w:color w:val="auto"/>
        </w:rPr>
      </w:pPr>
    </w:p>
    <w:p>
      <w:pPr>
        <w:jc w:val="both"/>
        <w:ind w:right="340"/>
        <w:spacing w:after="0" w:line="380" w:lineRule="auto"/>
        <w:rPr>
          <w:sz w:val="20"/>
          <w:szCs w:val="20"/>
          <w:color w:val="auto"/>
        </w:rPr>
      </w:pPr>
      <w:r>
        <w:rPr>
          <w:rFonts w:ascii="Arial" w:cs="Arial" w:eastAsia="Arial" w:hAnsi="Arial"/>
          <w:sz w:val="10"/>
          <w:szCs w:val="10"/>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2018,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Subject to the restrictions imposed by the waiver and amendment to our Credit Agreement (as discussed below under “—Liquidity and Capital Resources—Credit Agreement”), our ability to make cash distributions to our shareholders in amounts exceeding 90% of our REIT taxable income, determined without regard to the dividends paid deduction and excluding any capital gains, generally will be restricted.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0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spacing w:after="0" w:line="11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Company will be subject to a federal corporate level tax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are recognized when products are delivered to and accepted by customers.</w:t>
      </w:r>
    </w:p>
    <w:p>
      <w:pPr>
        <w:spacing w:after="0" w:line="123" w:lineRule="exact"/>
        <w:rPr>
          <w:sz w:val="20"/>
          <w:szCs w:val="20"/>
          <w:color w:val="auto"/>
        </w:rPr>
      </w:pPr>
    </w:p>
    <w:p>
      <w:pPr>
        <w:jc w:val="center"/>
        <w:ind w:right="280"/>
        <w:spacing w:after="0"/>
        <w:rPr>
          <w:sz w:val="20"/>
          <w:szCs w:val="20"/>
          <w:color w:val="auto"/>
        </w:rPr>
      </w:pPr>
      <w:r>
        <w:rPr>
          <w:rFonts w:ascii="Arial" w:cs="Arial" w:eastAsia="Arial" w:hAnsi="Arial"/>
          <w:sz w:val="10"/>
          <w:szCs w:val="10"/>
          <w:color w:val="auto"/>
        </w:rPr>
        <w:t>Service revenues are primarily derived from providing broadband transport and backhaul communications services and are recognized when (i) persuasive evidence of an arrangement exists, (ii) the services have been provided to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146" w:lineRule="exact"/>
        <w:rPr>
          <w:sz w:val="20"/>
          <w:szCs w:val="20"/>
          <w:color w:val="auto"/>
        </w:rPr>
      </w:pPr>
      <w:r>
        <w:rPr>
          <w:rFonts w:ascii="Arial" w:cs="Arial" w:eastAsia="Arial" w:hAnsi="Arial"/>
          <w:sz w:val="11"/>
          <w:szCs w:val="11"/>
          <w:color w:val="auto"/>
        </w:rPr>
        <w:t>customer, (iii) the sales price is fixed or determinable, and (iv) the collection of the sales price is reasonably assured. Services provided to the Company’s customers are pursuant to contractual fee</w:t>
      </w:r>
      <w:r>
        <w:rPr>
          <w:rFonts w:ascii="MS PGothic" w:cs="MS PGothic" w:eastAsia="MS PGothic" w:hAnsi="MS PGothic"/>
          <w:sz w:val="11"/>
          <w:szCs w:val="11"/>
          <w:color w:val="auto"/>
        </w:rPr>
        <w:t>‑</w:t>
      </w:r>
      <w:r>
        <w:rPr>
          <w:rFonts w:ascii="Arial" w:cs="Arial" w:eastAsia="Arial" w:hAnsi="Arial"/>
          <w:sz w:val="11"/>
          <w:szCs w:val="11"/>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Useful Lives of Assets</w:t>
      </w:r>
    </w:p>
    <w:p>
      <w:pPr>
        <w:spacing w:after="0" w:line="154"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The calculation of depreciation and amortization expense is based on the estimated economic useful lives of the underlying property, plant and equipment and customer lists, tenant contracts and network intangible assets. Some of our Distribution Systems assets use a group composite depreciation method. Under this method, when a plant is retired, the original cost, net of salvage value, is charged against accumulated depreciation and no immediate gain or loss is recognized on the disposition of the plant.</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 one year would decrease depreciation expense by approximately $27.2 million per year, while a reduction in the average useful life of one year would increase depreciation expense by approximately $36.6 million per year.</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At December 31, 2018, our unamortized finite lived intangible assets totaled $432.8 million, and are amortized using the straight-line method over their estimated useful lives with the exception of the customer list intangible assets related to our Consumer CLEC Business, which were brought over at carry-over basis at the time of the Spin-Off, and are amortized using the sum-of-the-years’-digits method over their estimated useful lives. A reduction in the average useful lives of our finite lived intangible asset of one year would have increased the amount of amortization expense recorded in 2018 by approximately $1.2 million.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Property, Plant and Equipment</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 During the years ended December 31, 2018, 2017 and 2016, no impairment losses were recognized.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flow projections, and therefore could affect the estimated fair value. Impact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 xml:space="preserve">For acquisitions meeting the definition of a business combination, any excess of the purchase price paid by the Company over the amounts recognized for assets acquired and liabilities assumed is recorded as goodwill. ASC 805, </w:t>
      </w:r>
      <w:r>
        <w:rPr>
          <w:rFonts w:ascii="Arial" w:cs="Arial" w:eastAsia="Arial" w:hAnsi="Arial"/>
          <w:sz w:val="11"/>
          <w:szCs w:val="11"/>
          <w:i w:val="1"/>
          <w:iCs w:val="1"/>
          <w:color w:val="auto"/>
        </w:rPr>
        <w:t>Business</w:t>
      </w:r>
      <w:r>
        <w:rPr>
          <w:rFonts w:ascii="Arial" w:cs="Arial" w:eastAsia="Arial" w:hAnsi="Arial"/>
          <w:sz w:val="11"/>
          <w:szCs w:val="11"/>
          <w:color w:val="auto"/>
        </w:rPr>
        <w:t xml:space="preserve"> </w:t>
      </w:r>
      <w:r>
        <w:rPr>
          <w:rFonts w:ascii="Arial" w:cs="Arial" w:eastAsia="Arial" w:hAnsi="Arial"/>
          <w:sz w:val="11"/>
          <w:szCs w:val="11"/>
          <w:i w:val="1"/>
          <w:iCs w:val="1"/>
          <w:color w:val="auto"/>
        </w:rPr>
        <w:t>Combinations</w:t>
      </w:r>
      <w:r>
        <w:rPr>
          <w:rFonts w:ascii="Arial" w:cs="Arial" w:eastAsia="Arial" w:hAnsi="Arial"/>
          <w:sz w:val="11"/>
          <w:szCs w:val="11"/>
          <w:color w:val="auto"/>
        </w:rPr>
        <w:t>, also requires acquirers to, among other things, estimate the acquisition date fair value of any contingent consideration and recognize any subsequent changes in the fair value of contingent consideration in earnings. When</w:t>
      </w:r>
      <w:r>
        <w:rPr>
          <w:rFonts w:ascii="Arial" w:cs="Arial" w:eastAsia="Arial" w:hAnsi="Arial"/>
          <w:sz w:val="11"/>
          <w:szCs w:val="11"/>
          <w:i w:val="1"/>
          <w:iCs w:val="1"/>
          <w:color w:val="auto"/>
        </w:rPr>
        <w:t xml:space="preserve"> </w:t>
      </w:r>
      <w:r>
        <w:rPr>
          <w:rFonts w:ascii="Arial" w:cs="Arial" w:eastAsia="Arial" w:hAnsi="Arial"/>
          <w:sz w:val="11"/>
          <w:szCs w:val="11"/>
          <w:color w:val="auto"/>
        </w:rPr>
        <w:t>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 For acquisitions meeting the definition of an asset acquisition, the fair value of the consideration transferred, including transaction costs, is allocated to the assets acquired and liabilities assumed based on their relative fair values. No goodwill is recognized in an asset acquisition.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Goodwill is recognized for the excess of purchase price over the fair value of net assets of businesses acquired. Goodwill is reviewed for impairment at least annually. In accordance with ASC 350-20, Intangibles-Goodwill and Other,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determination of the fair value of each reporting unit; and an assumption as to the form of the transaction in which the reporting unit would be acquired by a market participant (either a taxable or nontaxable transaction).</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If the carrying value of a reporting unit's net assets is less than its fair value, no indication of impairment exists. If the carrying amount of the reporting unit is greater than the fair value of the reporting unit, an impairment loss must be recognized for the excess and charged to operations not exceed the carrying value of goodwill.</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Inherent in our preparation of cash flow projections are significant assumptions and estimates derived from a review of our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Potential events that could negatively impact these assumptions or estimates include customer losses or poor execution of our business plans, which impact growth, cost escalation impacting margin, the level of capital expenditures required to sustain our growth and market factors, including stock price fluctuations and increased rates, impacting our cost of capital. The market approach uses market data of comparable business and acquisition multiples paid in recent transactions to estimate fair value, and a declines in these multiples could affect the likelihood and amount of potential impairment.</w:t>
      </w:r>
    </w:p>
    <w:p>
      <w:pPr>
        <w:spacing w:after="0" w:line="129"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As of December 31, 2018 and 2017, all of our Goodwill is included in our Fiber Infrastructure segment. We performed our goodwill impairment analysis during the fourth quarter and we concluded the implied fair value of our Fiber Infrastructure reporting unit was in excess of its carrying value by less than 5%. During the years ended December 31, 2018 and 2017, no impairment losses were recognized.</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In light of the recent developments surrounding Windstream, as noted in Item 1A Risk factors, if there were to be a material change in the forecasted cash flows at Uniti Fiber, including the level of capital expenditures, our conclusions regarding the likelihood and amount of any potential impairment could change.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0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As of December 31, 2018, we had $38.0 million of unrestricted cash and cash equivalents, and $110.0 million of undrawn borrowing capacity under the senior secured revolving credit facility pursuant to the Credit Agreement, variable rate, that matures April 24, 2020 (the “Revolving Credit Facility”). Subsequent to December 31, 2018, we have borrowed substantially all remaining capacity under the Revolving Credit Facility.</w:t>
      </w:r>
    </w:p>
    <w:p>
      <w:pPr>
        <w:spacing w:after="0" w:line="11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Cash provided by operating activities totaled $472.8 million, $405.3 million and $376.0 million for the years ended December 31, 2018, 2017 and 2016, respectively. Cash provided by operating activities is primarily attributable to our leasing activities.</w:t>
      </w:r>
    </w:p>
    <w:p>
      <w:pPr>
        <w:spacing w:after="0" w:line="115"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Cash used in investing activities was $480.5 million for the year ended December 31, 2018, which was driven by capital expenditures ($423.6 million), primarily related to our Uniti Fiber and Uniti Leasing businesses, and the acquisition of ITS ($53.7 million). Cash used in investing activities was $1.0 billion for the year ended December 31, 2017, which was driven by the acquisitions of Southern Light ($636.1 million), Hunt ($126.0 million), NMS assets ($69.7 million), ground lease investments ($21.8 million), partially offset by a Tower Cloud working capital adjustment ($0.2 million) and capital expenditures ($166.0 million), primarily related to our Uniti Fiber and Uniti Towers businesses. Cash used in investing activities was $535.2 million for the year ended December 31, 2016, which was driven by the acquisitions of PEG Bandwidth ($315.4 million) and Tower Cloud ($173.4 million) and capital expenditures ($46.4 million).</w:t>
      </w:r>
    </w:p>
    <w:p>
      <w:pPr>
        <w:spacing w:after="0" w:line="109"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Cash used in financing activities was $13.8 million for the year ended December 31, 2018, which was driven by dividend payments ($426.1 million), principal payments on our senior secured term loan ($21.1 million), contingent consideration payments ($18.6 million), distributions to noncontrolling interest ($9.9 million), partially offset by net borrowings under the Revolving Credit Facility ($360.0 million) and net proceeds under our ATM Program ($109.4 million). Cash provided by financing activities was $502.0 million for the year ended December 31, 2017, which primarily represents the net proceeds from the sale of common stock through a public offering ($498.9 million) and proceeds from the 2024 Notes issued in May 2017 ($201.0 million), which were used to fund the acquisitions of Southern Light and Hunt, and net borrowings under the Revolving Credit Facility ($280.0 million), partially offset by dividend payments ($400.2 million), deferred financing costs related to the term loan repricing and 2024 Notes issued in May 2017 ($28.5 million), contingent consideration payments ($19.9 million), and principal payments related to the senior secured term loan ($21.1 million). Cash provided by financing activities was $188.8 million for the year ended December 31, 2016, which primarily represents the proceeds from the 2024 Notes ($400 million), add-on Notes issued in June 2016 ($148.9 million), proceeds from the sale of common stock ($54.2 million), partially offset by dividend payments ($367.8 million) and principal payments related to the Term Loan Facility ($22.0 million).</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Windstream Master Lease</w:t>
      </w:r>
    </w:p>
    <w:p>
      <w:pPr>
        <w:spacing w:after="0" w:line="150" w:lineRule="exact"/>
        <w:rPr>
          <w:sz w:val="20"/>
          <w:szCs w:val="20"/>
          <w:color w:val="auto"/>
        </w:rPr>
      </w:pPr>
    </w:p>
    <w:p>
      <w:pPr>
        <w:ind w:right="120"/>
        <w:spacing w:after="0" w:line="286" w:lineRule="auto"/>
        <w:rPr>
          <w:sz w:val="20"/>
          <w:szCs w:val="20"/>
          <w:color w:val="auto"/>
        </w:rPr>
      </w:pPr>
      <w:r>
        <w:rPr>
          <w:rFonts w:ascii="Arial" w:cs="Arial" w:eastAsia="Arial" w:hAnsi="Arial"/>
          <w:sz w:val="11"/>
          <w:szCs w:val="11"/>
          <w:color w:val="auto"/>
        </w:rPr>
        <w:t>A substantial portion of our leasing revenue and cash flow from operations is derived from the Master Lease with Windstream. The Master Lease has an initial term of 15 years which, at the option of Windstream, may be extended for up to four renewal terms of five years each beyond the initial term. In addition, Windstream has the right to extend the initial term from 15 years to 20 years and, if exercised, the number of renewal terms will be reduced to three so that the maximum term (taking into account all renewals) is 35 years. Commencing with the fourth year, the rent is subject to annual escalation of 0.5%, and cash rents recorded during the year ended December 31, 2018 was $655.7 million. The rent for the first year of each renewal term will be an amount agreed to by us and Windstream, or if we are unable to agree, the renewal rent will be determined by an independent appraisal process. Commencing with the second year of each renewal term, the renewal rent will increase at an escalation rate of 0.5%. In addition, if we fund any capital improvements requested by Windstream, the rent will be increased to account for such funding.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compliance with debt covenants and, in an extreme case, our debt service obligations. See Item 1A Risk Factors for additional information concerning the impact Windstream’s bankruptcy may have on our operations and financial condition.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and pay dividends to our stockholders as required to maintain our status as a REIT.</w:t>
      </w:r>
    </w:p>
    <w:p>
      <w:pPr>
        <w:spacing w:after="0" w:line="129" w:lineRule="exact"/>
        <w:rPr>
          <w:sz w:val="20"/>
          <w:szCs w:val="20"/>
          <w:color w:val="auto"/>
        </w:rPr>
      </w:pPr>
    </w:p>
    <w:p>
      <w:pPr>
        <w:ind w:right="120"/>
        <w:spacing w:after="0" w:line="340" w:lineRule="auto"/>
        <w:rPr>
          <w:sz w:val="20"/>
          <w:szCs w:val="20"/>
          <w:color w:val="auto"/>
        </w:rPr>
      </w:pPr>
      <w:r>
        <w:rPr>
          <w:rFonts w:ascii="Arial" w:cs="Arial" w:eastAsia="Arial" w:hAnsi="Arial"/>
          <w:sz w:val="10"/>
          <w:szCs w:val="10"/>
          <w:color w:val="auto"/>
        </w:rPr>
        <w:t>In the event of a rejection of the Master Lease, we cannot assure you that we will be able to locate a suitable replacement tenant or if we are successful in locating a replacement tenant, that the rental payments from the new tenant would not be significantly less than the existing rental payments. In addition,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At-the-Market Common Stock Offering Program</w:t>
      </w:r>
    </w:p>
    <w:p>
      <w:pPr>
        <w:spacing w:after="0" w:line="15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year ended December 31, 2018, we issued and sold 5.5 million shares of common stock at a weighted average price of $20.19 per share under the ATM Program, receiving net proceeds of $109.4 million, after commissions of $1.4 million and other offering costs. As of December 31, 2018, we have approximately $139.0 million available for issuance under the ATM Program. This program provides additional financial flexibility and an alternative mechanism to access the capital markets at an efficient cost as and when we need financing.</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UPREIT Operating Partnership Units</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During 2017, the Company completed its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Our UPREIT structure, enables us to acquire properties by issuing to sellers, as a form of consideration, limited partnership interests in our operating partnership, (commonly called “OP Units”). The limited partner equity interests in the Operating Partnership are exchangeable on a one-for-one basis for shares of our common stock or, at our election, cash of equivalent value.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acquisitions of Hunt and Southern Light in 2017.</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Senior Notes</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At December 31, 2018, the Operating Partnership and its wholly-owned subsidiaries, CSL Capital, LLC, and Uniti Group Finance Inc. (collectively, the “Borrowers”) had outstanding $550.0 million aggregate principal amount of 6.00% Senior Secured Notes due April 15, 2023 (the “Secured Notes”), $1.11 billion aggregate principal amount of 8.25% Senior Notes due October 15, 2023 (the “2023 Notes”) and $600 million aggregate principal amount of 7.125% Senior Unsecured Notes due December 15, 2024 (the “2024 Notes,” and together with the Secured Notes and 2023 Notes, the “Notes”).</w:t>
      </w:r>
    </w:p>
    <w:p>
      <w:pPr>
        <w:spacing w:after="0" w:line="123"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auto"/>
        </w:rPr>
        <w:t>In connection with the up-REIT Reorganization, the Operating Partnership replaced the Company and assumed its obligations as an obligor under the Notes and Facilities. The Company subsequently became a guarantor of the Notes and Facilities. Because the Operating Partnership is not a corporation, a corporate co-obligor that is a subsidiary of the Operating Partnership was also added to the Notes and Credit Agreement as part of the up-REIT Reorganization.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ind w:right="140"/>
        <w:spacing w:after="0" w:line="290" w:lineRule="auto"/>
        <w:rPr>
          <w:sz w:val="20"/>
          <w:szCs w:val="20"/>
          <w:color w:val="auto"/>
        </w:rPr>
      </w:pPr>
      <w:r>
        <w:rPr>
          <w:rFonts w:ascii="Arial" w:cs="Arial" w:eastAsia="Arial" w:hAnsi="Arial"/>
          <w:sz w:val="11"/>
          <w:szCs w:val="11"/>
          <w:color w:val="auto"/>
        </w:rPr>
        <w:t>The Borrowers are party to the Credit Agreement, which provides for the Term Loan Facility (in an initial principal amount of $2.14 billion) and the Revolving Credit Facility (in an aggregate principal amount of up to $750 million). The term loans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w:t>
      </w:r>
    </w:p>
    <w:p>
      <w:pPr>
        <w:spacing w:after="0" w:line="109" w:lineRule="exact"/>
        <w:rPr>
          <w:sz w:val="20"/>
          <w:szCs w:val="20"/>
          <w:color w:val="auto"/>
        </w:rPr>
      </w:pPr>
    </w:p>
    <w:p>
      <w:pPr>
        <w:ind w:right="60"/>
        <w:spacing w:after="0" w:line="279" w:lineRule="auto"/>
        <w:rPr>
          <w:sz w:val="20"/>
          <w:szCs w:val="20"/>
          <w:color w:val="auto"/>
        </w:rPr>
      </w:pPr>
      <w:r>
        <w:rPr>
          <w:rFonts w:ascii="Arial" w:cs="Arial" w:eastAsia="Arial" w:hAnsi="Arial"/>
          <w:sz w:val="11"/>
          <w:szCs w:val="11"/>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2018, the Borrowers were in compliance with all of the covenants under the Credit Agreement. However, we would be in breach of the requirement to deliver audited financial statements without a going concern opinion if we are unable to provide 2018 audited financial statements without a going concern opinion to lenders under our Credit Agreement by March 31, 2019.</w:t>
      </w:r>
    </w:p>
    <w:p>
      <w:pPr>
        <w:spacing w:after="0" w:line="115"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Amendment to our Credit Agreement. During the pendency of Windstream’s bankruptcy, or at such earlier time when certain other conditions are specified, the Amendment generally limits our ability under the Credit Agreement to (i) prepay unsecured indebtedness and (ii) pay cash dividends in excess of 90% of our REIT taxable income, determined without regard to the dividends paid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deduction and excluding any net capital gains. The Amendment also increases the interest rate on our Term Loan Facility, which will now bear a rate of LIBOR, subject to a 1.0% floor, plus an applicable margin equal to 5.0%, a 200 basis point increase over our previous rate. This increase will be in effect though the remaining term of the facility, which matures on October 24, 2022.</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 Swaps</w:t>
      </w:r>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We are party to interest rate swap agreements to mitigate the interest rate risk inherent in our variable rate Term Loan Facility. These interest rate swaps are designated as cash flow hedges and have a notional value of $2.07 billion and mature on October 24, 2022. The weighted average fixed rate paid is 2.105%, and the variable rate received resets monthly to the one-month LIBOR subject to a minimum rate of 1.0%.</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Outlook</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anticipate continuing to invest in our network infrastructure across our Uniti Leasing, Uniti Fiber and Uniti Towers portfolios. We have also committed to spend $175 million on our proposed acquisition of Bluebird (for which we have obtained committed financing), net of the collection of prepaid rent. We anticipate declaring dividends for the 2019 tax year to comply with our REIT distribution requirements. We anticipate that we will partially finance these needs, together with operating expenses (including debt service) from our $38 million of cash on hand and $110 million of borrowing availability under the Revolving Credit Facility (although we have since drawn substantially all of our revolver capacity), cash flows provided by operating activities, together with funds anticipated from announced divestures. However, we may need to access the capital markets to generate additional funds that will be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If this shortfall occurs rapidly and with little or no notice, it could limit our ability to address the shortfall on a timely basis.</w:t>
      </w:r>
    </w:p>
    <w:p>
      <w:pPr>
        <w:spacing w:after="0" w:line="12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In light of recent developments and uncertainty surrounding Windstream and the effect of substantial doubt about our ability to continue a going concern, each as set forth under “Risk Factors”, we may take measures to conserve cash as we anticipate that it may be difficult for us to access the capital markets at attractive rates until such uncertainty is clarified. Accordingly, we may elect to suspend, delay or reduce success-based capital expenditures and dividend payments to conserve cash. If our assumptions are incorrect, we could need additional sources of liquidity to fund our cash needs and cannot assure that we will obtain them. Because our Master Lease is essential to Windstream’s operations, we expect that any disruption in payments by Windstream would be limited, and we believe that if we take such actions, we would have enough liquidity to fund our cash needs within one year after the date the financial statements are issued. If our assumptions are incorrect, we could need additional sources of liquidity to fund our cash needs and cannot assure that we will obtain them.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1" w:name="page52"/>
    <w:bookmarkEnd w:id="5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Contractual Obligations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2018, we had contractual obligations and commitments as follows: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w w:val="97"/>
              </w:rPr>
              <w:t>Payments Due by Period</w:t>
            </w: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3"/>
        </w:trPr>
        <w:tc>
          <w:tcPr>
            <w:tcW w:w="3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jc w:val="right"/>
              <w:ind w:right="112"/>
              <w:spacing w:after="0" w:line="83" w:lineRule="exact"/>
              <w:rPr>
                <w:sz w:val="20"/>
                <w:szCs w:val="20"/>
                <w:color w:val="auto"/>
              </w:rPr>
            </w:pPr>
            <w:r>
              <w:rPr>
                <w:rFonts w:ascii="Arial" w:cs="Arial" w:eastAsia="Arial" w:hAnsi="Arial"/>
                <w:sz w:val="8"/>
                <w:szCs w:val="8"/>
                <w:b w:val="1"/>
                <w:bCs w:val="1"/>
                <w:color w:val="auto"/>
              </w:rPr>
              <w:t>1-3</w:t>
            </w:r>
          </w:p>
        </w:tc>
        <w:tc>
          <w:tcPr>
            <w:tcW w:w="400" w:type="dxa"/>
            <w:vAlign w:val="bottom"/>
          </w:tcPr>
          <w:p>
            <w:pPr>
              <w:spacing w:after="0"/>
              <w:rPr>
                <w:sz w:val="7"/>
                <w:szCs w:val="7"/>
                <w:color w:val="auto"/>
              </w:rPr>
            </w:pPr>
          </w:p>
        </w:tc>
        <w:tc>
          <w:tcPr>
            <w:tcW w:w="1240" w:type="dxa"/>
            <w:vAlign w:val="bottom"/>
            <w:gridSpan w:val="2"/>
          </w:tcPr>
          <w:p>
            <w:pPr>
              <w:jc w:val="right"/>
              <w:ind w:right="132"/>
              <w:spacing w:after="0" w:line="83" w:lineRule="exact"/>
              <w:rPr>
                <w:sz w:val="20"/>
                <w:szCs w:val="20"/>
                <w:color w:val="auto"/>
              </w:rPr>
            </w:pPr>
            <w:r>
              <w:rPr>
                <w:rFonts w:ascii="Arial" w:cs="Arial" w:eastAsia="Arial" w:hAnsi="Arial"/>
                <w:sz w:val="8"/>
                <w:szCs w:val="8"/>
                <w:b w:val="1"/>
                <w:bCs w:val="1"/>
                <w:color w:val="auto"/>
              </w:rPr>
              <w:t>3-5</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2"/>
          </w:tcPr>
          <w:p>
            <w:pPr>
              <w:ind w:left="180"/>
              <w:spacing w:after="0" w:line="83" w:lineRule="exact"/>
              <w:rPr>
                <w:sz w:val="20"/>
                <w:szCs w:val="20"/>
                <w:color w:val="auto"/>
              </w:rPr>
            </w:pPr>
            <w:r>
              <w:rPr>
                <w:rFonts w:ascii="Arial" w:cs="Arial" w:eastAsia="Arial" w:hAnsi="Arial"/>
                <w:sz w:val="8"/>
                <w:szCs w:val="8"/>
                <w:b w:val="1"/>
                <w:bCs w:val="1"/>
                <w:color w:val="auto"/>
              </w:rPr>
              <w:t>More than</w:t>
            </w: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14"/>
        </w:trPr>
        <w:tc>
          <w:tcPr>
            <w:tcW w:w="34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(millions)</w:t>
            </w: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221"/>
              <w:spacing w:after="0" w:line="114" w:lineRule="exact"/>
              <w:rPr>
                <w:sz w:val="20"/>
                <w:szCs w:val="20"/>
                <w:color w:val="auto"/>
              </w:rPr>
            </w:pPr>
            <w:r>
              <w:rPr>
                <w:rFonts w:ascii="Arial" w:cs="Arial" w:eastAsia="Arial" w:hAnsi="Arial"/>
                <w:sz w:val="10"/>
                <w:szCs w:val="10"/>
                <w:b w:val="1"/>
                <w:bCs w:val="1"/>
                <w:color w:val="auto"/>
                <w:w w:val="95"/>
              </w:rPr>
              <w:t>Less than 1 Year</w:t>
            </w:r>
          </w:p>
        </w:tc>
        <w:tc>
          <w:tcPr>
            <w:tcW w:w="40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b w:val="1"/>
                <w:bCs w:val="1"/>
                <w:color w:val="auto"/>
              </w:rPr>
              <w:t>Years</w:t>
            </w: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b w:val="1"/>
                <w:bCs w:val="1"/>
                <w:color w:val="auto"/>
              </w:rPr>
              <w:t>Years</w:t>
            </w: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423"/>
              <w:spacing w:after="0" w:line="114" w:lineRule="exact"/>
              <w:rPr>
                <w:sz w:val="20"/>
                <w:szCs w:val="20"/>
                <w:color w:val="auto"/>
              </w:rPr>
            </w:pPr>
            <w:r>
              <w:rPr>
                <w:rFonts w:ascii="Arial" w:cs="Arial" w:eastAsia="Arial" w:hAnsi="Arial"/>
                <w:sz w:val="10"/>
                <w:szCs w:val="10"/>
                <w:b w:val="1"/>
                <w:bCs w:val="1"/>
                <w:color w:val="auto"/>
              </w:rPr>
              <w:t>5 Years</w:t>
            </w:r>
          </w:p>
        </w:tc>
        <w:tc>
          <w:tcPr>
            <w:tcW w:w="2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1"/>
              <w:spacing w:after="0" w:line="114" w:lineRule="exact"/>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FF0FC"/>
            </w:tcBorders>
          </w:tcPr>
          <w:p>
            <w:pPr>
              <w:spacing w:after="0"/>
              <w:rPr>
                <w:sz w:val="9"/>
                <w:szCs w:val="9"/>
                <w:color w:val="auto"/>
              </w:rPr>
            </w:pPr>
          </w:p>
        </w:tc>
      </w:tr>
      <w:tr>
        <w:trPr>
          <w:trHeight w:val="142"/>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Long-term debt</w:t>
            </w:r>
            <w:r>
              <w:rPr>
                <w:rFonts w:ascii="Arial" w:cs="Arial" w:eastAsia="Arial" w:hAnsi="Arial"/>
                <w:sz w:val="10"/>
                <w:szCs w:val="10"/>
                <w:color w:val="auto"/>
              </w:rPr>
              <w:t>(a)</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73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w:t>
            </w:r>
          </w:p>
        </w:tc>
        <w:tc>
          <w:tcPr>
            <w:tcW w:w="1240" w:type="dxa"/>
            <w:vAlign w:val="bottom"/>
            <w:gridSpan w:val="2"/>
            <w:shd w:val="clear" w:color="auto" w:fill="CFF0FC"/>
          </w:tcPr>
          <w:p>
            <w:pPr>
              <w:jc w:val="right"/>
              <w:ind w:right="752"/>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3,663</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4,966</w:t>
            </w:r>
          </w:p>
        </w:tc>
        <w:tc>
          <w:tcPr>
            <w:tcW w:w="40" w:type="dxa"/>
            <w:vAlign w:val="bottom"/>
            <w:shd w:val="clear" w:color="auto" w:fill="CFF0FC"/>
          </w:tcPr>
          <w:p>
            <w:pPr>
              <w:spacing w:after="0"/>
              <w:rPr>
                <w:sz w:val="12"/>
                <w:szCs w:val="12"/>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Interest payments on long-term debt obligations</w:t>
            </w:r>
            <w:r>
              <w:rPr>
                <w:rFonts w:ascii="Arial" w:cs="Arial" w:eastAsia="Arial" w:hAnsi="Arial"/>
                <w:sz w:val="10"/>
                <w:szCs w:val="10"/>
                <w:color w:val="auto"/>
              </w:rPr>
              <w:t>(b)</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250</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497</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384</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1,173</w:t>
            </w:r>
          </w:p>
        </w:tc>
        <w:tc>
          <w:tcPr>
            <w:tcW w:w="40" w:type="dxa"/>
            <w:vAlign w:val="bottom"/>
          </w:tcPr>
          <w:p>
            <w:pPr>
              <w:spacing w:after="0"/>
              <w:rPr>
                <w:sz w:val="13"/>
                <w:szCs w:val="13"/>
                <w:color w:val="auto"/>
              </w:rPr>
            </w:pPr>
          </w:p>
        </w:tc>
      </w:tr>
      <w:tr>
        <w:trPr>
          <w:trHeight w:val="153"/>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leases</w:t>
            </w: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3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w:t>
            </w:r>
          </w:p>
        </w:tc>
        <w:tc>
          <w:tcPr>
            <w:tcW w:w="40" w:type="dxa"/>
            <w:vAlign w:val="bottom"/>
            <w:shd w:val="clear" w:color="auto" w:fill="CFF0FC"/>
          </w:tcPr>
          <w:p>
            <w:pPr>
              <w:spacing w:after="0"/>
              <w:rPr>
                <w:sz w:val="13"/>
                <w:szCs w:val="13"/>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Capital leases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88</w:t>
            </w:r>
          </w:p>
        </w:tc>
        <w:tc>
          <w:tcPr>
            <w:tcW w:w="40" w:type="dxa"/>
            <w:vAlign w:val="bottom"/>
          </w:tcPr>
          <w:p>
            <w:pPr>
              <w:spacing w:after="0"/>
              <w:rPr>
                <w:sz w:val="13"/>
                <w:szCs w:val="13"/>
                <w:color w:val="auto"/>
              </w:rPr>
            </w:pPr>
          </w:p>
        </w:tc>
      </w:tr>
      <w:tr>
        <w:trPr>
          <w:trHeight w:val="153"/>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Network deployment</w:t>
            </w:r>
            <w:r>
              <w:rPr>
                <w:rFonts w:ascii="Arial" w:cs="Arial" w:eastAsia="Arial" w:hAnsi="Arial"/>
                <w:sz w:val="10"/>
                <w:szCs w:val="10"/>
                <w:color w:val="auto"/>
              </w:rPr>
              <w:t>(c)</w:t>
            </w: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40" w:type="dxa"/>
            <w:vAlign w:val="bottom"/>
            <w:shd w:val="clear" w:color="auto" w:fill="CFF0FC"/>
          </w:tcPr>
          <w:p>
            <w:pPr>
              <w:spacing w:after="0"/>
              <w:rPr>
                <w:sz w:val="13"/>
                <w:szCs w:val="13"/>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Other Long-Term Liabilities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3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Contingent consideration</w:t>
            </w:r>
            <w:r>
              <w:rPr>
                <w:rFonts w:ascii="Arial" w:cs="Arial" w:eastAsia="Arial" w:hAnsi="Arial"/>
                <w:sz w:val="10"/>
                <w:szCs w:val="10"/>
                <w:color w:val="auto"/>
              </w:rPr>
              <w:t>(d)</w:t>
            </w:r>
          </w:p>
        </w:tc>
        <w:tc>
          <w:tcPr>
            <w:tcW w:w="10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40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380" w:type="dxa"/>
            <w:vAlign w:val="bottom"/>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w:t>
            </w:r>
          </w:p>
        </w:tc>
        <w:tc>
          <w:tcPr>
            <w:tcW w:w="40" w:type="dxa"/>
            <w:vAlign w:val="bottom"/>
            <w:shd w:val="clear" w:color="auto" w:fill="CFF0FC"/>
          </w:tcPr>
          <w:p>
            <w:pPr>
              <w:spacing w:after="0"/>
              <w:rPr>
                <w:sz w:val="13"/>
                <w:szCs w:val="13"/>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2"/>
                <w:szCs w:val="12"/>
                <w:b w:val="1"/>
                <w:bCs w:val="1"/>
                <w:color w:val="auto"/>
              </w:rPr>
              <w:t>Total projected obligations and commitments</w:t>
            </w:r>
            <w:r>
              <w:rPr>
                <w:rFonts w:ascii="Arial" w:cs="Arial" w:eastAsia="Arial" w:hAnsi="Arial"/>
                <w:sz w:val="10"/>
                <w:szCs w:val="10"/>
                <w:b w:val="1"/>
                <w:bCs w:val="1"/>
                <w:color w:val="auto"/>
              </w:rPr>
              <w:t>(e)</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385</w:t>
            </w:r>
          </w:p>
        </w:tc>
        <w:tc>
          <w:tcPr>
            <w:tcW w:w="400" w:type="dxa"/>
            <w:vAlign w:val="bottom"/>
          </w:tcPr>
          <w:p>
            <w:pPr>
              <w:spacing w:after="0"/>
              <w:rPr>
                <w:sz w:val="12"/>
                <w:szCs w:val="12"/>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1,222</w:t>
            </w:r>
          </w:p>
        </w:tc>
        <w:tc>
          <w:tcPr>
            <w:tcW w:w="1240" w:type="dxa"/>
            <w:vAlign w:val="bottom"/>
            <w:gridSpan w:val="2"/>
          </w:tcPr>
          <w:p>
            <w:pPr>
              <w:jc w:val="right"/>
              <w:ind w:right="752"/>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4,066</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709</w:t>
            </w:r>
          </w:p>
        </w:tc>
        <w:tc>
          <w:tcPr>
            <w:tcW w:w="20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6,382</w:t>
            </w:r>
          </w:p>
        </w:tc>
        <w:tc>
          <w:tcPr>
            <w:tcW w:w="40" w:type="dxa"/>
            <w:vAlign w:val="bottom"/>
          </w:tcPr>
          <w:p>
            <w:pPr>
              <w:spacing w:after="0"/>
              <w:rPr>
                <w:sz w:val="12"/>
                <w:szCs w:val="12"/>
                <w:color w:val="auto"/>
              </w:rPr>
            </w:pPr>
          </w:p>
        </w:tc>
      </w:tr>
      <w:tr>
        <w:trPr>
          <w:trHeight w:val="27"/>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63" w:lineRule="exact"/>
        <w:rPr>
          <w:sz w:val="20"/>
          <w:szCs w:val="20"/>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Excludes $119.6 million of unamortized discounts on long-term debt and deferred financing costs.</w:t>
      </w:r>
    </w:p>
    <w:p>
      <w:pPr>
        <w:spacing w:after="0" w:line="14"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1"/>
          <w:szCs w:val="11"/>
          <w:color w:val="auto"/>
        </w:rPr>
      </w:pPr>
      <w:r>
        <w:rPr>
          <w:rFonts w:ascii="Arial" w:cs="Arial" w:eastAsia="Arial" w:hAnsi="Arial"/>
          <w:sz w:val="11"/>
          <w:szCs w:val="11"/>
          <w:color w:val="auto"/>
        </w:rPr>
        <w:t>Interest rates on our Term Loan Facility are based on our swap rates. Excludes the impact to the fourth amendment to our Credit Agreement discussed above in “Liquidity and Capital Resources—Credit Agreement”.</w:t>
      </w:r>
    </w:p>
    <w:p>
      <w:pPr>
        <w:spacing w:after="0" w:line="17" w:lineRule="exact"/>
        <w:rPr>
          <w:rFonts w:ascii="Arial" w:cs="Arial" w:eastAsia="Arial" w:hAnsi="Arial"/>
          <w:sz w:val="11"/>
          <w:szCs w:val="11"/>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Network deployment purchase commitments are for success-based projects for which we have a signed customer contract before we commit resources to expand our network.</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Cash settled contingent consideration related to the August 31, 2016 acquisition of Tower Cloud, Inc. Excludes $10.0 million of share settled contingent consideration.</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Excludes $31.0 million of derivative asset related to interest rate swaps maturing on October 24, 2022.</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ind w:left="8" w:right="120"/>
        <w:spacing w:after="0" w:line="286" w:lineRule="auto"/>
        <w:rPr>
          <w:sz w:val="20"/>
          <w:szCs w:val="20"/>
          <w:color w:val="auto"/>
        </w:rPr>
      </w:pPr>
      <w:r>
        <w:rPr>
          <w:rFonts w:ascii="Arial" w:cs="Arial" w:eastAsia="Arial" w:hAnsi="Arial"/>
          <w:sz w:val="11"/>
          <w:szCs w:val="11"/>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below sets out details regarding our cash dividends on our common stock:</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Period</w:t>
            </w:r>
          </w:p>
        </w:tc>
        <w:tc>
          <w:tcPr>
            <w:tcW w:w="200" w:type="dxa"/>
            <w:vAlign w:val="bottom"/>
            <w:tcBorders>
              <w:bottom w:val="single" w:sz="8" w:color="CFF0FC"/>
            </w:tcBorders>
          </w:tcPr>
          <w:p>
            <w:pPr>
              <w:spacing w:after="0"/>
              <w:rPr>
                <w:sz w:val="10"/>
                <w:szCs w:val="1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Payment Date</w:t>
            </w:r>
          </w:p>
        </w:tc>
        <w:tc>
          <w:tcPr>
            <w:tcW w:w="20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Cash Dividend Per Share</w:t>
            </w:r>
          </w:p>
        </w:tc>
        <w:tc>
          <w:tcPr>
            <w:tcW w:w="300" w:type="dxa"/>
            <w:vAlign w:val="bottom"/>
            <w:tcBorders>
              <w:bottom w:val="single" w:sz="8" w:color="CFF0FC"/>
            </w:tcBorders>
          </w:tcPr>
          <w:p>
            <w:pPr>
              <w:spacing w:after="0"/>
              <w:rPr>
                <w:sz w:val="10"/>
                <w:szCs w:val="1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Record Date</w:t>
            </w:r>
          </w:p>
        </w:tc>
        <w:tc>
          <w:tcPr>
            <w:tcW w:w="20" w:type="dxa"/>
            <w:vAlign w:val="bottom"/>
          </w:tcPr>
          <w:p>
            <w:pPr>
              <w:spacing w:after="0"/>
              <w:rPr>
                <w:sz w:val="10"/>
                <w:szCs w:val="10"/>
                <w:color w:val="auto"/>
              </w:rPr>
            </w:pPr>
          </w:p>
        </w:tc>
      </w:tr>
      <w:tr>
        <w:trPr>
          <w:trHeight w:val="142"/>
        </w:trPr>
        <w:tc>
          <w:tcPr>
            <w:tcW w:w="4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2017 - December 31, 2017</w:t>
            </w:r>
          </w:p>
        </w:tc>
        <w:tc>
          <w:tcPr>
            <w:tcW w:w="226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8"/>
              </w:rPr>
              <w:t>January 12, 2018</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300" w:type="dxa"/>
            <w:vAlign w:val="bottom"/>
            <w:shd w:val="clear" w:color="auto" w:fill="CFF0FC"/>
          </w:tcPr>
          <w:p>
            <w:pPr>
              <w:spacing w:after="0"/>
              <w:rPr>
                <w:sz w:val="12"/>
                <w:szCs w:val="12"/>
                <w:color w:val="auto"/>
              </w:rPr>
            </w:pPr>
          </w:p>
        </w:tc>
        <w:tc>
          <w:tcPr>
            <w:tcW w:w="21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December 29, 2017</w:t>
            </w:r>
          </w:p>
        </w:tc>
        <w:tc>
          <w:tcPr>
            <w:tcW w:w="20" w:type="dxa"/>
            <w:vAlign w:val="bottom"/>
          </w:tcPr>
          <w:p>
            <w:pPr>
              <w:spacing w:after="0"/>
              <w:rPr>
                <w:sz w:val="12"/>
                <w:szCs w:val="12"/>
                <w:color w:val="auto"/>
              </w:rPr>
            </w:pPr>
          </w:p>
        </w:tc>
      </w:tr>
      <w:tr>
        <w:trPr>
          <w:trHeight w:val="153"/>
        </w:trPr>
        <w:tc>
          <w:tcPr>
            <w:tcW w:w="4880" w:type="dxa"/>
            <w:vAlign w:val="bottom"/>
            <w:gridSpan w:val="2"/>
          </w:tcPr>
          <w:p>
            <w:pPr>
              <w:spacing w:after="0"/>
              <w:rPr>
                <w:sz w:val="20"/>
                <w:szCs w:val="20"/>
                <w:color w:val="auto"/>
              </w:rPr>
            </w:pPr>
            <w:r>
              <w:rPr>
                <w:rFonts w:ascii="Arial" w:cs="Arial" w:eastAsia="Arial" w:hAnsi="Arial"/>
                <w:sz w:val="12"/>
                <w:szCs w:val="12"/>
                <w:color w:val="auto"/>
              </w:rPr>
              <w:t>January 1, 2018 - March 31, 2018</w:t>
            </w:r>
          </w:p>
        </w:tc>
        <w:tc>
          <w:tcPr>
            <w:tcW w:w="2260" w:type="dxa"/>
            <w:vAlign w:val="bottom"/>
            <w:gridSpan w:val="2"/>
          </w:tcPr>
          <w:p>
            <w:pPr>
              <w:jc w:val="center"/>
              <w:ind w:right="200"/>
              <w:spacing w:after="0"/>
              <w:rPr>
                <w:sz w:val="20"/>
                <w:szCs w:val="20"/>
                <w:color w:val="auto"/>
              </w:rPr>
            </w:pPr>
            <w:r>
              <w:rPr>
                <w:rFonts w:ascii="Arial" w:cs="Arial" w:eastAsia="Arial" w:hAnsi="Arial"/>
                <w:sz w:val="12"/>
                <w:szCs w:val="12"/>
                <w:color w:val="auto"/>
                <w:w w:val="94"/>
              </w:rPr>
              <w:t>April 13, 2018</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0.60</w:t>
            </w:r>
          </w:p>
        </w:tc>
        <w:tc>
          <w:tcPr>
            <w:tcW w:w="3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2"/>
                <w:szCs w:val="12"/>
                <w:color w:val="auto"/>
                <w:w w:val="91"/>
              </w:rPr>
              <w:t>March 30, 2018</w:t>
            </w:r>
          </w:p>
        </w:tc>
        <w:tc>
          <w:tcPr>
            <w:tcW w:w="20" w:type="dxa"/>
            <w:vAlign w:val="bottom"/>
          </w:tcPr>
          <w:p>
            <w:pPr>
              <w:spacing w:after="0"/>
              <w:rPr>
                <w:sz w:val="13"/>
                <w:szCs w:val="13"/>
                <w:color w:val="auto"/>
              </w:rPr>
            </w:pPr>
          </w:p>
        </w:tc>
      </w:tr>
      <w:tr>
        <w:trPr>
          <w:trHeight w:val="153"/>
        </w:trPr>
        <w:tc>
          <w:tcPr>
            <w:tcW w:w="4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April 1, 2018 - June 30, 2018</w:t>
            </w:r>
          </w:p>
        </w:tc>
        <w:tc>
          <w:tcPr>
            <w:tcW w:w="226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92"/>
              </w:rPr>
              <w:t>July 13, 2018</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300" w:type="dxa"/>
            <w:vAlign w:val="bottom"/>
            <w:shd w:val="clear" w:color="auto" w:fill="CFF0FC"/>
          </w:tcPr>
          <w:p>
            <w:pPr>
              <w:spacing w:after="0"/>
              <w:rPr>
                <w:sz w:val="13"/>
                <w:szCs w:val="13"/>
                <w:color w:val="auto"/>
              </w:rPr>
            </w:pPr>
          </w:p>
        </w:tc>
        <w:tc>
          <w:tcPr>
            <w:tcW w:w="21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June 29, 2018</w:t>
            </w:r>
          </w:p>
        </w:tc>
        <w:tc>
          <w:tcPr>
            <w:tcW w:w="20" w:type="dxa"/>
            <w:vAlign w:val="bottom"/>
          </w:tcPr>
          <w:p>
            <w:pPr>
              <w:spacing w:after="0"/>
              <w:rPr>
                <w:sz w:val="13"/>
                <w:szCs w:val="13"/>
                <w:color w:val="auto"/>
              </w:rPr>
            </w:pPr>
          </w:p>
        </w:tc>
      </w:tr>
      <w:tr>
        <w:trPr>
          <w:trHeight w:val="153"/>
        </w:trPr>
        <w:tc>
          <w:tcPr>
            <w:tcW w:w="4880" w:type="dxa"/>
            <w:vAlign w:val="bottom"/>
            <w:gridSpan w:val="2"/>
          </w:tcPr>
          <w:p>
            <w:pPr>
              <w:spacing w:after="0"/>
              <w:rPr>
                <w:sz w:val="20"/>
                <w:szCs w:val="20"/>
                <w:color w:val="auto"/>
              </w:rPr>
            </w:pPr>
            <w:r>
              <w:rPr>
                <w:rFonts w:ascii="Arial" w:cs="Arial" w:eastAsia="Arial" w:hAnsi="Arial"/>
                <w:sz w:val="12"/>
                <w:szCs w:val="12"/>
                <w:color w:val="auto"/>
              </w:rPr>
              <w:t>July 1, 2018 - September 30, 2018</w:t>
            </w:r>
          </w:p>
        </w:tc>
        <w:tc>
          <w:tcPr>
            <w:tcW w:w="226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October 15, 2018</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0.60</w:t>
            </w:r>
          </w:p>
        </w:tc>
        <w:tc>
          <w:tcPr>
            <w:tcW w:w="3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2"/>
                <w:szCs w:val="12"/>
                <w:color w:val="auto"/>
                <w:w w:val="88"/>
              </w:rPr>
              <w:t>September 28, 2018</w:t>
            </w:r>
          </w:p>
        </w:tc>
        <w:tc>
          <w:tcPr>
            <w:tcW w:w="20" w:type="dxa"/>
            <w:vAlign w:val="bottom"/>
          </w:tcPr>
          <w:p>
            <w:pPr>
              <w:spacing w:after="0"/>
              <w:rPr>
                <w:sz w:val="13"/>
                <w:szCs w:val="13"/>
                <w:color w:val="auto"/>
              </w:rPr>
            </w:pPr>
          </w:p>
        </w:tc>
      </w:tr>
      <w:tr>
        <w:trPr>
          <w:trHeight w:val="153"/>
        </w:trPr>
        <w:tc>
          <w:tcPr>
            <w:tcW w:w="4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2018 - December 31, 2018</w:t>
            </w:r>
          </w:p>
        </w:tc>
        <w:tc>
          <w:tcPr>
            <w:tcW w:w="226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8"/>
              </w:rPr>
              <w:t>January 15, 2019</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300" w:type="dxa"/>
            <w:vAlign w:val="bottom"/>
            <w:shd w:val="clear" w:color="auto" w:fill="CFF0FC"/>
          </w:tcPr>
          <w:p>
            <w:pPr>
              <w:spacing w:after="0"/>
              <w:rPr>
                <w:sz w:val="13"/>
                <w:szCs w:val="13"/>
                <w:color w:val="auto"/>
              </w:rPr>
            </w:pPr>
          </w:p>
        </w:tc>
        <w:tc>
          <w:tcPr>
            <w:tcW w:w="21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December 31, 2018</w:t>
            </w:r>
          </w:p>
        </w:tc>
        <w:tc>
          <w:tcPr>
            <w:tcW w:w="20" w:type="dxa"/>
            <w:vAlign w:val="bottom"/>
          </w:tcPr>
          <w:p>
            <w:pPr>
              <w:spacing w:after="0"/>
              <w:rPr>
                <w:sz w:val="13"/>
                <w:szCs w:val="13"/>
                <w:color w:val="auto"/>
              </w:rPr>
            </w:pPr>
          </w:p>
        </w:tc>
      </w:tr>
      <w:tr>
        <w:trPr>
          <w:trHeight w:val="288"/>
        </w:trPr>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jc w:val="right"/>
              <w:ind w:right="1082"/>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31" w:right="17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recent developments with Windstream, we may take measures to conserve cash, which may include a suspension, delay or reduction in our dividend. Moreover, during the pendency of Windstream’s bankruptcy, or at such earlier time when certain other conditions are specified, (discussed in the second risk factor and “Risk Related to the Status of Uniti as a REIT – REIT distribution requirements could adversely affect our ability to execute our business plan”) our ability to make cash distributions to our shareholders in amounts exceeding 90% of our REIT taxable income, determined without regard to the dividends paid deduction and excluding any net capital gains, generally will be restricted.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Expenditures</w:t>
      </w:r>
    </w:p>
    <w:p>
      <w:pPr>
        <w:spacing w:after="0" w:line="15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Capital expenditures for the Distribution Systems leased under the Master Lease are generally the responsibility of Windstream. The Master Lease stipulates that Windstream can request that we fund $50 million of capital expenditures per year for five years (but in no event to extend beyond the end of the sixth year of the Master Lease); however, Windstream cannot require Uniti to make such capital expenditures. If we elect to fund requested capital expenditures, the annual lease payments will be increased at a floating rate based on our cost of capital. No capital expenditure funding requests were made by Windstream for the year ended December 31, 2018.</w:t>
      </w:r>
    </w:p>
    <w:p>
      <w:pPr>
        <w:spacing w:after="0" w:line="105"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Uniti Fiber and Uniti Towers portfolios, and expect that cash on hand, borrowings under our Revolving Credit Facility, and cash flows provided by operating activities will be sufficient to support these investments.</w:t>
      </w:r>
    </w:p>
    <w:p>
      <w:pPr>
        <w:spacing w:after="0" w:line="125"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In light of recent developments with Windstream, we may to take measures to conserve cash, which may include a suspension, delay or reduction in success-based capital expenditures. We are closely monitoring developments of the Windstream bankruptcy and continually assess our capital expenditure plans in light of such developments.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 Balance-Sheet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of the date of this Annual Report on Form 10-K, we do not have any off-balance sheet arrangements.</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150" w:lineRule="exact"/>
        <w:rPr>
          <w:sz w:val="20"/>
          <w:szCs w:val="20"/>
          <w:color w:val="auto"/>
        </w:rPr>
      </w:pPr>
    </w:p>
    <w:p>
      <w:pPr>
        <w:spacing w:after="0" w:line="327" w:lineRule="auto"/>
        <w:rPr>
          <w:sz w:val="20"/>
          <w:szCs w:val="20"/>
          <w:color w:val="auto"/>
        </w:rPr>
      </w:pPr>
      <w:r>
        <w:rPr>
          <w:rFonts w:ascii="Arial" w:cs="Arial" w:eastAsia="Arial" w:hAnsi="Arial"/>
          <w:sz w:val="10"/>
          <w:szCs w:val="10"/>
          <w:color w:val="auto"/>
        </w:rPr>
        <w:t>Our primary market risk exposure is interest rate risk with respect to our variable rate indebtedness under our Term Loan Facility. In addition, we have a variable rate Revolving Credit Facility in an aggregate principal amount of $750 million, which has $110 million of undrawn borrowing capacity as of December 31, 2018. To manage this exposure under our Term Loan Facility, we have entered into interest rate swap agreements in order to mitigate the interest rate risk inherent in our variable rate Term Loan Facility. As of December 31, 2018, the interest rate risk for our Term Loan Facility has been mitigated through this interest rate swap agreement, and, with the exception of our Revolving Credit Facility, the interest rate for our remaining debt has a fixed rate. A hypothetical 10% change in interest rates effective at December 31, 2018, would have had a $2.0 million impact on Uniti’s results of operations for the year ended December 31, 2018.</w:t>
      </w:r>
    </w:p>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In connection with the fourth amendment to our Credit Agreement obtained on March 18, 2019, the interest rate on our Term Loan Facility increased 200 basis points to LIBOR, subject to a 1.0% floor, plus an applicable margin equal to 5.0%.</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Currency Exchange Rate Fluctuation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Approximately 1% of our revenues were denominated in foreign currencies for the year ended December 31, 2018. Cost of sales and operating costs related to these sales are largely denominated in the same respective currencies, thereby partially limiting our transaction risk exposure. A uniform 10% strengthening in the value of the U.S. dollar relative to the currencies in which our transactions are denominated would have resulted in an increase in net income of less than $0.1 million for the year ended December 31, 2018. This hypothetical calculation assumes that each exchange rate would change in the same direction relative to the U.S. dollar.</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40" w:type="dxa"/>
            <w:vAlign w:val="bottom"/>
            <w:gridSpan w:val="2"/>
          </w:tcPr>
          <w:p>
            <w:pPr>
              <w:jc w:val="center"/>
              <w:ind w:right="3800"/>
              <w:spacing w:after="0"/>
              <w:rPr>
                <w:sz w:val="20"/>
                <w:szCs w:val="20"/>
                <w:color w:val="auto"/>
              </w:rPr>
            </w:pPr>
            <w:r>
              <w:rPr>
                <w:rFonts w:ascii="Arial" w:cs="Arial" w:eastAsia="Arial" w:hAnsi="Arial"/>
                <w:sz w:val="12"/>
                <w:szCs w:val="12"/>
                <w:b w:val="1"/>
                <w:bCs w:val="1"/>
                <w:color w:val="auto"/>
                <w:w w:val="95"/>
              </w:rPr>
              <w:t>Uniti Group Inc.</w:t>
            </w:r>
          </w:p>
        </w:tc>
        <w:tc>
          <w:tcPr>
            <w:tcW w:w="20" w:type="dxa"/>
            <w:vAlign w:val="bottom"/>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40" w:type="dxa"/>
            <w:vAlign w:val="bottom"/>
            <w:gridSpan w:val="2"/>
          </w:tcPr>
          <w:p>
            <w:pPr>
              <w:jc w:val="center"/>
              <w:ind w:right="3800"/>
              <w:spacing w:after="0"/>
              <w:rPr>
                <w:sz w:val="20"/>
                <w:szCs w:val="20"/>
                <w:color w:val="auto"/>
              </w:rPr>
            </w:pPr>
            <w:r>
              <w:rPr>
                <w:rFonts w:ascii="Arial" w:cs="Arial" w:eastAsia="Arial" w:hAnsi="Arial"/>
                <w:sz w:val="12"/>
                <w:szCs w:val="12"/>
                <w:b w:val="1"/>
                <w:bCs w:val="1"/>
                <w:color w:val="auto"/>
                <w:w w:val="89"/>
              </w:rPr>
              <w:t>Consolidated Financial Statements</w:t>
            </w:r>
          </w:p>
        </w:tc>
        <w:tc>
          <w:tcPr>
            <w:tcW w:w="20" w:type="dxa"/>
            <w:vAlign w:val="bottom"/>
          </w:tcPr>
          <w:p>
            <w:pPr>
              <w:spacing w:after="0"/>
              <w:rPr>
                <w:sz w:val="12"/>
                <w:szCs w:val="12"/>
                <w:color w:val="auto"/>
              </w:rPr>
            </w:pPr>
          </w:p>
        </w:tc>
      </w:tr>
      <w:tr>
        <w:trPr>
          <w:trHeight w:val="157"/>
        </w:trPr>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40" w:type="dxa"/>
            <w:vAlign w:val="bottom"/>
            <w:gridSpan w:val="2"/>
          </w:tcPr>
          <w:p>
            <w:pPr>
              <w:jc w:val="center"/>
              <w:ind w:right="3800"/>
              <w:spacing w:after="0"/>
              <w:rPr>
                <w:sz w:val="20"/>
                <w:szCs w:val="20"/>
                <w:color w:val="auto"/>
              </w:rPr>
            </w:pPr>
            <w:r>
              <w:rPr>
                <w:rFonts w:ascii="Arial" w:cs="Arial" w:eastAsia="Arial" w:hAnsi="Arial"/>
                <w:sz w:val="12"/>
                <w:szCs w:val="12"/>
                <w:b w:val="1"/>
                <w:bCs w:val="1"/>
                <w:color w:val="auto"/>
                <w:w w:val="90"/>
              </w:rPr>
              <w:t>Index to Financial Statements</w:t>
            </w:r>
          </w:p>
        </w:tc>
        <w:tc>
          <w:tcPr>
            <w:tcW w:w="20" w:type="dxa"/>
            <w:vAlign w:val="bottom"/>
          </w:tcPr>
          <w:p>
            <w:pPr>
              <w:spacing w:after="0"/>
              <w:rPr>
                <w:sz w:val="13"/>
                <w:szCs w:val="13"/>
                <w:color w:val="auto"/>
              </w:rPr>
            </w:pPr>
          </w:p>
        </w:tc>
      </w:tr>
      <w:tr>
        <w:trPr>
          <w:trHeight w:val="297"/>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Page</w:t>
            </w:r>
          </w:p>
        </w:tc>
        <w:tc>
          <w:tcPr>
            <w:tcW w:w="20" w:type="dxa"/>
            <w:vAlign w:val="bottom"/>
          </w:tcPr>
          <w:p>
            <w:pPr>
              <w:spacing w:after="0"/>
              <w:rPr>
                <w:sz w:val="24"/>
                <w:szCs w:val="24"/>
                <w:color w:val="auto"/>
              </w:rPr>
            </w:pPr>
          </w:p>
        </w:tc>
      </w:tr>
      <w:tr>
        <w:trPr>
          <w:trHeight w:val="115"/>
        </w:trPr>
        <w:tc>
          <w:tcPr>
            <w:tcW w:w="3840" w:type="dxa"/>
            <w:vAlign w:val="bottom"/>
            <w:gridSpan w:val="8"/>
          </w:tcPr>
          <w:p>
            <w:pPr>
              <w:spacing w:after="0" w:line="115" w:lineRule="exact"/>
              <w:rPr>
                <w:rFonts w:ascii="Arial" w:cs="Arial" w:eastAsia="Arial" w:hAnsi="Arial"/>
                <w:sz w:val="12"/>
                <w:szCs w:val="12"/>
                <w:color w:val="0000EE"/>
              </w:rPr>
            </w:pPr>
            <w:hyperlink w:anchor="page56">
              <w:r>
                <w:rPr>
                  <w:rFonts w:ascii="Arial" w:cs="Arial" w:eastAsia="Arial" w:hAnsi="Arial"/>
                  <w:sz w:val="12"/>
                  <w:szCs w:val="12"/>
                  <w:color w:val="0000EE"/>
                </w:rPr>
                <w:t>Report of Independent Registered Public Accounting Firm</w:t>
              </w:r>
            </w:hyperlink>
          </w:p>
        </w:tc>
        <w:tc>
          <w:tcPr>
            <w:tcW w:w="76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56</w:t>
            </w:r>
          </w:p>
        </w:tc>
        <w:tc>
          <w:tcPr>
            <w:tcW w:w="20" w:type="dxa"/>
            <w:vAlign w:val="bottom"/>
          </w:tcPr>
          <w:p>
            <w:pPr>
              <w:spacing w:after="0"/>
              <w:rPr>
                <w:sz w:val="10"/>
                <w:szCs w:val="10"/>
                <w:color w:val="auto"/>
              </w:rPr>
            </w:pPr>
          </w:p>
        </w:tc>
      </w:tr>
      <w:tr>
        <w:trPr>
          <w:trHeight w:val="313"/>
        </w:trPr>
        <w:tc>
          <w:tcPr>
            <w:tcW w:w="2800" w:type="dxa"/>
            <w:vAlign w:val="bottom"/>
            <w:tcBorders>
              <w:top w:val="single" w:sz="8" w:color="0000EE"/>
            </w:tcBorders>
            <w:gridSpan w:val="6"/>
          </w:tcPr>
          <w:p>
            <w:pPr>
              <w:spacing w:after="0"/>
              <w:rPr>
                <w:sz w:val="20"/>
                <w:szCs w:val="20"/>
                <w:color w:val="auto"/>
              </w:rPr>
            </w:pPr>
            <w:r>
              <w:rPr>
                <w:rFonts w:ascii="Arial" w:cs="Arial" w:eastAsia="Arial" w:hAnsi="Arial"/>
                <w:sz w:val="12"/>
                <w:szCs w:val="12"/>
                <w:b w:val="1"/>
                <w:bCs w:val="1"/>
                <w:color w:val="auto"/>
              </w:rPr>
              <w:t>Uniti Group Inc.</w:t>
            </w:r>
          </w:p>
        </w:tc>
        <w:tc>
          <w:tcPr>
            <w:tcW w:w="1040" w:type="dxa"/>
            <w:vAlign w:val="bottom"/>
            <w:gridSpan w:val="2"/>
          </w:tcPr>
          <w:p>
            <w:pPr>
              <w:spacing w:after="0"/>
              <w:rPr>
                <w:sz w:val="24"/>
                <w:szCs w:val="24"/>
                <w:color w:val="auto"/>
              </w:rPr>
            </w:pPr>
          </w:p>
        </w:tc>
        <w:tc>
          <w:tcPr>
            <w:tcW w:w="6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3840" w:type="dxa"/>
            <w:vAlign w:val="bottom"/>
            <w:gridSpan w:val="8"/>
          </w:tcPr>
          <w:p>
            <w:pPr>
              <w:spacing w:after="0" w:line="126" w:lineRule="exact"/>
              <w:rPr>
                <w:rFonts w:ascii="Arial" w:cs="Arial" w:eastAsia="Arial" w:hAnsi="Arial"/>
                <w:sz w:val="12"/>
                <w:szCs w:val="12"/>
                <w:color w:val="0000EE"/>
              </w:rPr>
            </w:pPr>
            <w:hyperlink w:anchor="page58">
              <w:r>
                <w:rPr>
                  <w:rFonts w:ascii="Arial" w:cs="Arial" w:eastAsia="Arial" w:hAnsi="Arial"/>
                  <w:sz w:val="12"/>
                  <w:szCs w:val="12"/>
                  <w:color w:val="0000EE"/>
                </w:rPr>
                <w:t>Consolidated Balance Sheets</w:t>
              </w:r>
            </w:hyperlink>
          </w:p>
        </w:tc>
        <w:tc>
          <w:tcPr>
            <w:tcW w:w="76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58</w:t>
            </w:r>
          </w:p>
        </w:tc>
        <w:tc>
          <w:tcPr>
            <w:tcW w:w="20" w:type="dxa"/>
            <w:vAlign w:val="bottom"/>
          </w:tcPr>
          <w:p>
            <w:pPr>
              <w:spacing w:after="0"/>
              <w:rPr>
                <w:sz w:val="10"/>
                <w:szCs w:val="10"/>
                <w:color w:val="auto"/>
              </w:rPr>
            </w:pPr>
          </w:p>
        </w:tc>
      </w:tr>
      <w:tr>
        <w:trPr>
          <w:trHeight w:val="20"/>
        </w:trPr>
        <w:tc>
          <w:tcPr>
            <w:tcW w:w="1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840" w:type="dxa"/>
            <w:vAlign w:val="bottom"/>
            <w:gridSpan w:val="8"/>
          </w:tcPr>
          <w:p>
            <w:pPr>
              <w:spacing w:after="0" w:line="133" w:lineRule="exact"/>
              <w:rPr>
                <w:rFonts w:ascii="Arial" w:cs="Arial" w:eastAsia="Arial" w:hAnsi="Arial"/>
                <w:sz w:val="12"/>
                <w:szCs w:val="12"/>
                <w:color w:val="0000EE"/>
              </w:rPr>
            </w:pPr>
            <w:hyperlink w:anchor="page59">
              <w:r>
                <w:rPr>
                  <w:rFonts w:ascii="Arial" w:cs="Arial" w:eastAsia="Arial" w:hAnsi="Arial"/>
                  <w:sz w:val="12"/>
                  <w:szCs w:val="12"/>
                  <w:color w:val="0000EE"/>
                </w:rPr>
                <w:t>Consolidated Statements of Income</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59</w:t>
            </w:r>
          </w:p>
        </w:tc>
        <w:tc>
          <w:tcPr>
            <w:tcW w:w="20" w:type="dxa"/>
            <w:vAlign w:val="bottom"/>
          </w:tcPr>
          <w:p>
            <w:pPr>
              <w:spacing w:after="0"/>
              <w:rPr>
                <w:sz w:val="11"/>
                <w:szCs w:val="11"/>
                <w:color w:val="auto"/>
              </w:rPr>
            </w:pP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840" w:type="dxa"/>
            <w:vAlign w:val="bottom"/>
            <w:gridSpan w:val="8"/>
          </w:tcPr>
          <w:p>
            <w:pPr>
              <w:spacing w:after="0" w:line="133" w:lineRule="exact"/>
              <w:rPr>
                <w:rFonts w:ascii="Arial" w:cs="Arial" w:eastAsia="Arial" w:hAnsi="Arial"/>
                <w:sz w:val="12"/>
                <w:szCs w:val="12"/>
                <w:color w:val="0000EE"/>
              </w:rPr>
            </w:pPr>
            <w:hyperlink w:anchor="page60">
              <w:r>
                <w:rPr>
                  <w:rFonts w:ascii="Arial" w:cs="Arial" w:eastAsia="Arial" w:hAnsi="Arial"/>
                  <w:sz w:val="12"/>
                  <w:szCs w:val="12"/>
                  <w:color w:val="0000EE"/>
                </w:rPr>
                <w:t>Consolidated Statements of Comprehensive Income (Loss)</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60</w:t>
            </w:r>
          </w:p>
        </w:tc>
        <w:tc>
          <w:tcPr>
            <w:tcW w:w="20" w:type="dxa"/>
            <w:vAlign w:val="bottom"/>
          </w:tcPr>
          <w:p>
            <w:pPr>
              <w:spacing w:after="0"/>
              <w:rPr>
                <w:sz w:val="11"/>
                <w:szCs w:val="11"/>
                <w:color w:val="auto"/>
              </w:rPr>
            </w:pPr>
          </w:p>
        </w:tc>
      </w:tr>
      <w:tr>
        <w:trPr>
          <w:trHeight w:val="133"/>
        </w:trPr>
        <w:tc>
          <w:tcPr>
            <w:tcW w:w="2380" w:type="dxa"/>
            <w:vAlign w:val="bottom"/>
            <w:tcBorders>
              <w:top w:val="single" w:sz="8" w:color="0000EE"/>
              <w:bottom w:val="single" w:sz="8" w:color="0000EE"/>
            </w:tcBorders>
            <w:gridSpan w:val="5"/>
          </w:tcPr>
          <w:p>
            <w:pPr>
              <w:spacing w:after="0" w:line="133" w:lineRule="exact"/>
              <w:rPr>
                <w:rFonts w:ascii="Arial" w:cs="Arial" w:eastAsia="Arial" w:hAnsi="Arial"/>
                <w:sz w:val="12"/>
                <w:szCs w:val="12"/>
                <w:color w:val="0000EE"/>
                <w:w w:val="90"/>
              </w:rPr>
            </w:pPr>
            <w:hyperlink w:anchor="page61">
              <w:r>
                <w:rPr>
                  <w:rFonts w:ascii="Arial" w:cs="Arial" w:eastAsia="Arial" w:hAnsi="Arial"/>
                  <w:sz w:val="12"/>
                  <w:szCs w:val="12"/>
                  <w:color w:val="0000EE"/>
                  <w:w w:val="90"/>
                </w:rPr>
                <w:t>Consolidated Statements of Shareholders’ Deficit</w:t>
              </w:r>
            </w:hyperlink>
          </w:p>
        </w:tc>
        <w:tc>
          <w:tcPr>
            <w:tcW w:w="440" w:type="dxa"/>
            <w:vAlign w:val="bottom"/>
            <w:tcBorders>
              <w:top w:val="single" w:sz="8" w:color="0000EE"/>
            </w:tcBorders>
            <w:gridSpan w:val="2"/>
          </w:tcPr>
          <w:p>
            <w:pPr>
              <w:spacing w:after="0"/>
              <w:rPr>
                <w:sz w:val="11"/>
                <w:szCs w:val="11"/>
                <w:color w:val="auto"/>
              </w:rPr>
            </w:pPr>
          </w:p>
        </w:tc>
        <w:tc>
          <w:tcPr>
            <w:tcW w:w="1020" w:type="dxa"/>
            <w:vAlign w:val="bottom"/>
          </w:tcPr>
          <w:p>
            <w:pPr>
              <w:spacing w:after="0"/>
              <w:rPr>
                <w:sz w:val="11"/>
                <w:szCs w:val="11"/>
                <w:color w:val="auto"/>
              </w:rPr>
            </w:pPr>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61</w:t>
            </w:r>
          </w:p>
        </w:tc>
        <w:tc>
          <w:tcPr>
            <w:tcW w:w="20" w:type="dxa"/>
            <w:vAlign w:val="bottom"/>
          </w:tcPr>
          <w:p>
            <w:pPr>
              <w:spacing w:after="0"/>
              <w:rPr>
                <w:sz w:val="11"/>
                <w:szCs w:val="11"/>
                <w:color w:val="auto"/>
              </w:rPr>
            </w:pPr>
          </w:p>
        </w:tc>
      </w:tr>
      <w:tr>
        <w:trPr>
          <w:trHeight w:val="133"/>
        </w:trPr>
        <w:tc>
          <w:tcPr>
            <w:tcW w:w="3840" w:type="dxa"/>
            <w:vAlign w:val="bottom"/>
            <w:gridSpan w:val="8"/>
          </w:tcPr>
          <w:p>
            <w:pPr>
              <w:spacing w:after="0" w:line="133" w:lineRule="exact"/>
              <w:rPr>
                <w:rFonts w:ascii="Arial" w:cs="Arial" w:eastAsia="Arial" w:hAnsi="Arial"/>
                <w:sz w:val="12"/>
                <w:szCs w:val="12"/>
                <w:color w:val="0000EE"/>
              </w:rPr>
            </w:pPr>
            <w:hyperlink w:anchor="page63">
              <w:r>
                <w:rPr>
                  <w:rFonts w:ascii="Arial" w:cs="Arial" w:eastAsia="Arial" w:hAnsi="Arial"/>
                  <w:sz w:val="12"/>
                  <w:szCs w:val="12"/>
                  <w:color w:val="0000EE"/>
                </w:rPr>
                <w:t>Consolidated Statements of Cash Flows</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63</w:t>
            </w:r>
          </w:p>
        </w:tc>
        <w:tc>
          <w:tcPr>
            <w:tcW w:w="20" w:type="dxa"/>
            <w:vAlign w:val="bottom"/>
          </w:tcPr>
          <w:p>
            <w:pPr>
              <w:spacing w:after="0"/>
              <w:rPr>
                <w:sz w:val="11"/>
                <w:szCs w:val="11"/>
                <w:color w:val="auto"/>
              </w:rPr>
            </w:pP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840" w:type="dxa"/>
            <w:vAlign w:val="bottom"/>
            <w:gridSpan w:val="8"/>
          </w:tcPr>
          <w:p>
            <w:pPr>
              <w:spacing w:after="0" w:line="133" w:lineRule="exact"/>
              <w:rPr>
                <w:rFonts w:ascii="Arial" w:cs="Arial" w:eastAsia="Arial" w:hAnsi="Arial"/>
                <w:sz w:val="12"/>
                <w:szCs w:val="12"/>
                <w:color w:val="0000EE"/>
              </w:rPr>
            </w:pPr>
            <w:hyperlink w:anchor="page64">
              <w:r>
                <w:rPr>
                  <w:rFonts w:ascii="Arial" w:cs="Arial" w:eastAsia="Arial" w:hAnsi="Arial"/>
                  <w:sz w:val="12"/>
                  <w:szCs w:val="12"/>
                  <w:color w:val="0000EE"/>
                </w:rPr>
                <w:t>Notes to Consolidated Financial Statements</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64</w:t>
            </w:r>
          </w:p>
        </w:tc>
        <w:tc>
          <w:tcPr>
            <w:tcW w:w="20" w:type="dxa"/>
            <w:vAlign w:val="bottom"/>
          </w:tcPr>
          <w:p>
            <w:pPr>
              <w:spacing w:after="0"/>
              <w:rPr>
                <w:sz w:val="11"/>
                <w:szCs w:val="11"/>
                <w:color w:val="auto"/>
              </w:rPr>
            </w:pPr>
          </w:p>
        </w:tc>
      </w:tr>
      <w:tr>
        <w:trPr>
          <w:trHeight w:val="737"/>
        </w:trPr>
        <w:tc>
          <w:tcPr>
            <w:tcW w:w="1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60" w:type="dxa"/>
            <w:vAlign w:val="bottom"/>
          </w:tcPr>
          <w:p>
            <w:pPr>
              <w:jc w:val="center"/>
              <w:ind w:right="2800"/>
              <w:spacing w:after="0"/>
              <w:rPr>
                <w:sz w:val="20"/>
                <w:szCs w:val="20"/>
                <w:color w:val="auto"/>
              </w:rPr>
            </w:pPr>
            <w:r>
              <w:rPr>
                <w:rFonts w:ascii="Arial" w:cs="Arial" w:eastAsia="Arial" w:hAnsi="Arial"/>
                <w:sz w:val="12"/>
                <w:szCs w:val="12"/>
                <w:color w:val="auto"/>
                <w:w w:val="89"/>
              </w:rPr>
              <w:t>55</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3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6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Uniti Group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We have audited the accompanying consolidated balance sheets of Uniti Group Inc. and its subsidiaries (the “Company”) as of December 31, 2018 and 2017, and the related consolidated statements of income, comprehensive income (loss), shareholders’ deficit and cash flows for each of the three years in the period ended December 31, 2018, including the related notes and financial statement schedules listed in the index appearing under Item 15 (collectively referred to as the “consolidated financial statements”). We also have audited the Company's internal control over financial reporting as of December 31, 2018,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(2013) issued by the Committee of Sponsoring Organizations of the Treadway Commission (COSO).</w:t>
      </w:r>
    </w:p>
    <w:p>
      <w:pPr>
        <w:spacing w:after="0" w:line="125"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(2013) issued by the COSO.</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Substantial Doubt About the Company’s Ability to Continue as a Going Concern</w:t>
      </w:r>
    </w:p>
    <w:p>
      <w:pPr>
        <w:spacing w:after="0" w:line="150"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The accompanying consolidated financial statements have been prepared assuming that the Company will continue as a going concern. As discussed in Note 2 to the consolidated financial statements, the Company’s most significant customer, Windstream Holdings, Inc., which accounts for approximately 68.2% of consolidated total revenues for the year ended December 31, 2018, filed a voluntary petition for relief under Chapter 11 of the Bankruptcy Code, and uncertainties surrounding potential impacts to the Company resulting from Windstream Holdings, Inc.’s bankruptcy filing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Opinions</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As described in Management’s Annual Report on Internal Control Over Financial Reporting, management has excluded Information Transport Solutions, Inc. from its assessment of internal control over financial reporting as of December 31, 2018, because it was acquired by the Company in a purchase business combination during 2018. We have also excluded Information Transport Solutions, Inc. from our audit of internal control over financial reporting. Information Transport Solutions, Inc. is a wholly-owned subsidiary whose total assets and total revenues excluded from management’s assessment and our audit of internal control over financial reporting represent 0.4% and 0.9%, respectively, of the related consolidated financial statement amounts as of and for the year ended December 31, 2018.</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50"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5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/s/PricewaterhouseCoopers LLP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18, 2019</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2014.</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20" w:type="dxa"/>
            <w:vAlign w:val="bottom"/>
            <w:gridSpan w:val="3"/>
          </w:tcPr>
          <w:p>
            <w:pPr>
              <w:spacing w:after="0"/>
              <w:rPr>
                <w:sz w:val="20"/>
                <w:szCs w:val="20"/>
                <w:color w:val="auto"/>
              </w:rPr>
            </w:pPr>
            <w:r>
              <w:rPr>
                <w:rFonts w:ascii="Arial" w:cs="Arial" w:eastAsia="Arial" w:hAnsi="Arial"/>
                <w:sz w:val="10"/>
                <w:szCs w:val="10"/>
                <w:color w:val="auto"/>
              </w:rPr>
              <w:t>(Thousands, except par value)</w:t>
            </w:r>
          </w:p>
        </w:tc>
        <w:tc>
          <w:tcPr>
            <w:tcW w:w="280" w:type="dxa"/>
            <w:vAlign w:val="bottom"/>
          </w:tcPr>
          <w:p>
            <w:pPr>
              <w:spacing w:after="0"/>
              <w:rPr>
                <w:sz w:val="10"/>
                <w:szCs w:val="10"/>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December 31, 2018</w:t>
            </w:r>
          </w:p>
        </w:tc>
        <w:tc>
          <w:tcPr>
            <w:tcW w:w="280" w:type="dxa"/>
            <w:vAlign w:val="bottom"/>
          </w:tcPr>
          <w:p>
            <w:pPr>
              <w:spacing w:after="0"/>
              <w:rPr>
                <w:sz w:val="10"/>
                <w:szCs w:val="1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December 31, 2017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Property, plant and equipment, net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3,209,006</w:t>
            </w:r>
          </w:p>
        </w:tc>
        <w:tc>
          <w:tcPr>
            <w:tcW w:w="260" w:type="dxa"/>
            <w:vAlign w:val="bottom"/>
          </w:tcPr>
          <w:p>
            <w:pPr>
              <w:spacing w:after="0"/>
              <w:rPr>
                <w:sz w:val="13"/>
                <w:szCs w:val="13"/>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3,053,889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38,026</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59,765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Accounts receivable, net</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104,063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43,652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Goodwill</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692,385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673,729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Intangible assets, net</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432,821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429,357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Straight-line revenue receivable</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61,785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Derivative asset</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31,043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6,793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Other assets</w:t>
            </w:r>
          </w:p>
        </w:tc>
        <w:tc>
          <w:tcPr>
            <w:tcW w:w="2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23,808</w:t>
            </w:r>
          </w:p>
        </w:tc>
        <w:tc>
          <w:tcPr>
            <w:tcW w:w="2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15,856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20" w:type="dxa"/>
            <w:vAlign w:val="bottom"/>
            <w:gridSpan w:val="3"/>
          </w:tcPr>
          <w:p>
            <w:pPr>
              <w:spacing w:after="0"/>
              <w:rPr>
                <w:sz w:val="20"/>
                <w:szCs w:val="20"/>
                <w:color w:val="auto"/>
              </w:rPr>
            </w:pPr>
            <w:r>
              <w:rPr>
                <w:rFonts w:ascii="Arial" w:cs="Arial" w:eastAsia="Arial" w:hAnsi="Arial"/>
                <w:sz w:val="12"/>
                <w:szCs w:val="12"/>
                <w:b w:val="1"/>
                <w:bCs w:val="1"/>
                <w:color w:val="auto"/>
              </w:rPr>
              <w:t>Total Assets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4,592,937</w:t>
            </w:r>
          </w:p>
        </w:tc>
        <w:tc>
          <w:tcPr>
            <w:tcW w:w="26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4,330,082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Liabilities, Convertible Preferred Stock and Shareholders' Deficit:</w:t>
            </w:r>
          </w:p>
        </w:tc>
        <w:tc>
          <w:tcPr>
            <w:tcW w:w="280" w:type="dxa"/>
            <w:vAlign w:val="bottom"/>
            <w:tcBorders>
              <w:top w:val="single" w:sz="8" w:color="auto"/>
            </w:tcBorders>
            <w:shd w:val="clear" w:color="auto" w:fill="CFF0FC"/>
          </w:tcPr>
          <w:p>
            <w:pPr>
              <w:spacing w:after="0"/>
              <w:rPr>
                <w:sz w:val="24"/>
                <w:szCs w:val="24"/>
                <w:color w:val="auto"/>
              </w:rPr>
            </w:pPr>
          </w:p>
        </w:tc>
        <w:tc>
          <w:tcPr>
            <w:tcW w:w="1460" w:type="dxa"/>
            <w:vAlign w:val="bottom"/>
            <w:tcBorders>
              <w:top w:val="single" w:sz="8" w:color="auto"/>
            </w:tcBorders>
            <w:shd w:val="clear" w:color="auto" w:fill="CFF0FC"/>
          </w:tcPr>
          <w:p>
            <w:pPr>
              <w:spacing w:after="0"/>
              <w:rPr>
                <w:sz w:val="24"/>
                <w:szCs w:val="24"/>
                <w:color w:val="auto"/>
              </w:rPr>
            </w:pPr>
          </w:p>
        </w:tc>
        <w:tc>
          <w:tcPr>
            <w:tcW w:w="260" w:type="dxa"/>
            <w:vAlign w:val="bottom"/>
            <w:tcBorders>
              <w:top w:val="single" w:sz="8" w:color="CFF0FC"/>
            </w:tcBorders>
            <w:shd w:val="clear" w:color="auto" w:fill="CFF0FC"/>
          </w:tcPr>
          <w:p>
            <w:pPr>
              <w:spacing w:after="0"/>
              <w:rPr>
                <w:sz w:val="24"/>
                <w:szCs w:val="24"/>
                <w:color w:val="auto"/>
              </w:rPr>
            </w:pPr>
          </w:p>
        </w:tc>
        <w:tc>
          <w:tcPr>
            <w:tcW w:w="280" w:type="dxa"/>
            <w:vAlign w:val="bottom"/>
            <w:tcBorders>
              <w:top w:val="single" w:sz="8" w:color="auto"/>
            </w:tcBorders>
            <w:shd w:val="clear" w:color="auto" w:fill="CFF0FC"/>
          </w:tcPr>
          <w:p>
            <w:pPr>
              <w:spacing w:after="0"/>
              <w:rPr>
                <w:sz w:val="24"/>
                <w:szCs w:val="24"/>
                <w:color w:val="auto"/>
              </w:rPr>
            </w:pPr>
          </w:p>
        </w:tc>
        <w:tc>
          <w:tcPr>
            <w:tcW w:w="1460" w:type="dxa"/>
            <w:vAlign w:val="bottom"/>
            <w:tcBorders>
              <w:top w:val="single" w:sz="8" w:color="auto"/>
            </w:tcBorders>
            <w:shd w:val="clear" w:color="auto" w:fill="CFF0FC"/>
          </w:tcPr>
          <w:p>
            <w:pPr>
              <w:spacing w:after="0"/>
              <w:rPr>
                <w:sz w:val="24"/>
                <w:szCs w:val="24"/>
                <w:color w:val="auto"/>
              </w:rPr>
            </w:pPr>
          </w:p>
        </w:tc>
        <w:tc>
          <w:tcPr>
            <w:tcW w:w="120" w:type="dxa"/>
            <w:vAlign w:val="bottom"/>
            <w:tcBorders>
              <w:top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Accounts payable, accrued expenses and other liabilities, net</w:t>
            </w:r>
          </w:p>
        </w:tc>
        <w:tc>
          <w:tcPr>
            <w:tcW w:w="2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94,179</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77,634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Accrued interest payable</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28,097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28,684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Deferred revenue</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726,262</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537,553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Dividends payable</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113,744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109,557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Deferred income taxes</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52,434</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55,478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Capital lease obligations</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55,282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56,329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Contingent consideration</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83,401</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tcBorders>
              <w:bottom w:val="single" w:sz="8" w:color="CFF0FC"/>
            </w:tcBorders>
            <w:gridSpan w:val="2"/>
          </w:tcPr>
          <w:p>
            <w:pPr>
              <w:ind w:left="140"/>
              <w:spacing w:after="0"/>
              <w:rPr>
                <w:sz w:val="20"/>
                <w:szCs w:val="20"/>
                <w:color w:val="auto"/>
              </w:rPr>
            </w:pPr>
            <w:r>
              <w:rPr>
                <w:rFonts w:ascii="Arial" w:cs="Arial" w:eastAsia="Arial" w:hAnsi="Arial"/>
                <w:sz w:val="12"/>
                <w:szCs w:val="12"/>
                <w:color w:val="auto"/>
              </w:rPr>
              <w:t>Notes and other debt, net</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4,846,233</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4,482,697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Total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5,999,632</w:t>
            </w:r>
          </w:p>
        </w:tc>
        <w:tc>
          <w:tcPr>
            <w:tcW w:w="26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5,453,694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Commitments and contingencies (Note 15)</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 xml:space="preserve">Convertible Preferred Stock, </w:t>
            </w:r>
            <w:r>
              <w:rPr>
                <w:rFonts w:ascii="Arial" w:cs="Arial" w:eastAsia="Arial" w:hAnsi="Arial"/>
                <w:sz w:val="12"/>
                <w:szCs w:val="12"/>
                <w:color w:val="auto"/>
              </w:rPr>
              <w:t>Series A, $0.0001 par value, 88 shares authorized, issued and outstanding, $87,500 liquidation value</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86,508</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83,530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Shareholders' Deficit:</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w w:val="91"/>
              </w:rPr>
              <w:t>Common stock, $0.0001 par value, 500,000 shares authorized, issued and outstanding: 180,536 shares at December 31, 2018 and 174,852 at December</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31, 2017</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Additional paid-in capital</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757,517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644,328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30,105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gridSpan w:val="2"/>
          </w:tcPr>
          <w:p>
            <w:pPr>
              <w:ind w:left="140"/>
              <w:spacing w:after="0"/>
              <w:rPr>
                <w:sz w:val="20"/>
                <w:szCs w:val="20"/>
                <w:color w:val="auto"/>
              </w:rPr>
            </w:pPr>
            <w:r>
              <w:rPr>
                <w:rFonts w:ascii="Arial" w:cs="Arial" w:eastAsia="Arial" w:hAnsi="Arial"/>
                <w:sz w:val="12"/>
                <w:szCs w:val="12"/>
                <w:color w:val="auto"/>
              </w:rPr>
              <w:t>Distributions in excess of accumulated earnings</w:t>
            </w:r>
          </w:p>
        </w:tc>
        <w:tc>
          <w:tcPr>
            <w:tcW w:w="280" w:type="dxa"/>
            <w:vAlign w:val="bottom"/>
          </w:tcPr>
          <w:p>
            <w:pPr>
              <w:spacing w:after="0"/>
              <w:rPr>
                <w:sz w:val="13"/>
                <w:szCs w:val="1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2"/>
                <w:szCs w:val="12"/>
                <w:color w:val="auto"/>
              </w:rPr>
              <w:t>(2,373,218)</w:t>
            </w:r>
          </w:p>
        </w:tc>
        <w:tc>
          <w:tcPr>
            <w:tcW w:w="280" w:type="dxa"/>
            <w:vAlign w:val="bottom"/>
          </w:tcPr>
          <w:p>
            <w:pPr>
              <w:spacing w:after="0"/>
              <w:rPr>
                <w:sz w:val="13"/>
                <w:szCs w:val="13"/>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2"/>
                <w:szCs w:val="12"/>
                <w:color w:val="auto"/>
              </w:rPr>
              <w:t>(1,960,715)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gridSpan w:val="2"/>
            <w:vMerge w:val="restart"/>
            <w:shd w:val="clear" w:color="auto" w:fill="CFF0FC"/>
          </w:tcPr>
          <w:p>
            <w:pPr>
              <w:ind w:left="140"/>
              <w:spacing w:after="0"/>
              <w:rPr>
                <w:sz w:val="20"/>
                <w:szCs w:val="20"/>
                <w:color w:val="auto"/>
              </w:rPr>
            </w:pPr>
            <w:r>
              <w:rPr>
                <w:rFonts w:ascii="Arial" w:cs="Arial" w:eastAsia="Arial" w:hAnsi="Arial"/>
                <w:sz w:val="12"/>
                <w:szCs w:val="12"/>
                <w:color w:val="auto"/>
              </w:rPr>
              <w:t>Total Uniti shareholders' deficit</w:t>
            </w: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(1,585,578)</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(1,308,549)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tcBorders>
              <w:bottom w:val="single" w:sz="8" w:color="CFF0FC"/>
            </w:tcBorders>
            <w:gridSpan w:val="2"/>
          </w:tcPr>
          <w:p>
            <w:pPr>
              <w:ind w:left="140"/>
              <w:spacing w:after="0"/>
              <w:rPr>
                <w:sz w:val="20"/>
                <w:szCs w:val="20"/>
                <w:color w:val="auto"/>
              </w:rPr>
            </w:pPr>
            <w:r>
              <w:rPr>
                <w:rFonts w:ascii="Arial" w:cs="Arial" w:eastAsia="Arial" w:hAnsi="Arial"/>
                <w:sz w:val="12"/>
                <w:szCs w:val="12"/>
                <w:color w:val="auto"/>
              </w:rPr>
              <w:t>Noncontrolling interests - operating partnership units</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92,375</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101,407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Total shareholders' deficit</w:t>
            </w:r>
          </w:p>
        </w:tc>
        <w:tc>
          <w:tcPr>
            <w:tcW w:w="2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(1,493,203)</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(1,207,142)</w:t>
            </w:r>
          </w:p>
        </w:tc>
        <w:tc>
          <w:tcPr>
            <w:tcW w:w="0" w:type="dxa"/>
            <w:vAlign w:val="bottom"/>
          </w:tcPr>
          <w:p>
            <w:pPr>
              <w:spacing w:after="0"/>
              <w:rPr>
                <w:sz w:val="1"/>
                <w:szCs w:val="1"/>
                <w:color w:val="auto"/>
              </w:rPr>
            </w:pPr>
          </w:p>
        </w:tc>
      </w:tr>
      <w:tr>
        <w:trPr>
          <w:trHeight w:val="149"/>
        </w:trPr>
        <w:tc>
          <w:tcPr>
            <w:tcW w:w="7620" w:type="dxa"/>
            <w:vAlign w:val="bottom"/>
            <w:gridSpan w:val="3"/>
          </w:tcPr>
          <w:p>
            <w:pPr>
              <w:spacing w:after="0"/>
              <w:rPr>
                <w:sz w:val="20"/>
                <w:szCs w:val="20"/>
                <w:color w:val="auto"/>
              </w:rPr>
            </w:pPr>
            <w:r>
              <w:rPr>
                <w:rFonts w:ascii="Arial" w:cs="Arial" w:eastAsia="Arial" w:hAnsi="Arial"/>
                <w:sz w:val="12"/>
                <w:szCs w:val="12"/>
                <w:b w:val="1"/>
                <w:bCs w:val="1"/>
                <w:color w:val="auto"/>
              </w:rPr>
              <w:t>Total Liabilities, Convertible Preferred Stock, and Shareholders' Deficit</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4,592,937</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4,330,082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9"/>
              </w:rPr>
              <w:t>Year Ended December 31,</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280" w:type="dxa"/>
            <w:vAlign w:val="bottom"/>
            <w:gridSpan w:val="3"/>
          </w:tcPr>
          <w:p>
            <w:pPr>
              <w:spacing w:after="0"/>
              <w:rPr>
                <w:sz w:val="20"/>
                <w:szCs w:val="20"/>
                <w:color w:val="auto"/>
              </w:rPr>
            </w:pPr>
            <w:r>
              <w:rPr>
                <w:rFonts w:ascii="Arial" w:cs="Arial" w:eastAsia="Arial" w:hAnsi="Arial"/>
                <w:sz w:val="10"/>
                <w:szCs w:val="10"/>
                <w:color w:val="auto"/>
              </w:rPr>
              <w:t>(Thousands, except per share data)</w:t>
            </w:r>
          </w:p>
        </w:tc>
        <w:tc>
          <w:tcPr>
            <w:tcW w:w="440" w:type="dxa"/>
            <w:vAlign w:val="bottom"/>
          </w:tcPr>
          <w:p>
            <w:pPr>
              <w:spacing w:after="0"/>
              <w:rPr>
                <w:sz w:val="13"/>
                <w:szCs w:val="13"/>
                <w:color w:val="auto"/>
              </w:rPr>
            </w:pPr>
          </w:p>
        </w:tc>
        <w:tc>
          <w:tcPr>
            <w:tcW w:w="1420" w:type="dxa"/>
            <w:vAlign w:val="bottom"/>
          </w:tcPr>
          <w:p>
            <w:pPr>
              <w:jc w:val="right"/>
              <w:ind w:right="780"/>
              <w:spacing w:after="0"/>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ind w:right="801"/>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ind w:right="780"/>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4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tcPr>
          <w:p>
            <w:pPr>
              <w:ind w:left="140"/>
              <w:spacing w:after="0"/>
              <w:rPr>
                <w:sz w:val="20"/>
                <w:szCs w:val="20"/>
                <w:color w:val="auto"/>
              </w:rPr>
            </w:pPr>
            <w:r>
              <w:rPr>
                <w:rFonts w:ascii="Arial" w:cs="Arial" w:eastAsia="Arial" w:hAnsi="Arial"/>
                <w:sz w:val="12"/>
                <w:szCs w:val="12"/>
                <w:color w:val="auto"/>
              </w:rPr>
              <w:t>Leasing</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699,847</w:t>
            </w:r>
          </w:p>
        </w:tc>
        <w:tc>
          <w:tcPr>
            <w:tcW w:w="24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685,099</w:t>
            </w:r>
          </w:p>
        </w:tc>
        <w:tc>
          <w:tcPr>
            <w:tcW w:w="12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676,868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Fiber Infrastructure</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tcPr>
          <w:p>
            <w:pPr>
              <w:ind w:left="140"/>
              <w:spacing w:after="0"/>
              <w:rPr>
                <w:sz w:val="20"/>
                <w:szCs w:val="20"/>
                <w:color w:val="auto"/>
              </w:rPr>
            </w:pPr>
            <w:r>
              <w:rPr>
                <w:rFonts w:ascii="Arial" w:cs="Arial" w:eastAsia="Arial" w:hAnsi="Arial"/>
                <w:sz w:val="12"/>
                <w:szCs w:val="12"/>
                <w:color w:val="auto"/>
              </w:rPr>
              <w:t>Tower</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14,617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10,055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Consumer CLEC</w:t>
            </w:r>
          </w:p>
        </w:tc>
        <w:tc>
          <w:tcPr>
            <w:tcW w:w="4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gridSpan w:val="2"/>
          </w:tcPr>
          <w:p>
            <w:pPr>
              <w:ind w:left="300"/>
              <w:spacing w:after="0"/>
              <w:rPr>
                <w:sz w:val="20"/>
                <w:szCs w:val="20"/>
                <w:color w:val="auto"/>
              </w:rPr>
            </w:pPr>
            <w:r>
              <w:rPr>
                <w:rFonts w:ascii="Arial" w:cs="Arial" w:eastAsia="Arial" w:hAnsi="Arial"/>
                <w:sz w:val="12"/>
                <w:szCs w:val="12"/>
                <w:color w:val="auto"/>
              </w:rPr>
              <w:t>Total revenues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1,017,634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916,032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770,408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4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tcPr>
          <w:p>
            <w:pPr>
              <w:ind w:left="140"/>
              <w:spacing w:after="0"/>
              <w:rPr>
                <w:sz w:val="20"/>
                <w:szCs w:val="20"/>
                <w:color w:val="auto"/>
              </w:rPr>
            </w:pPr>
            <w:r>
              <w:rPr>
                <w:rFonts w:ascii="Arial" w:cs="Arial" w:eastAsia="Arial" w:hAnsi="Arial"/>
                <w:sz w:val="12"/>
                <w:szCs w:val="12"/>
                <w:color w:val="auto"/>
              </w:rPr>
              <w:t>Interest expense, net</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319,591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305,994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275,394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Depreciation and amortization</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tcPr>
          <w:p>
            <w:pPr>
              <w:ind w:left="140"/>
              <w:spacing w:after="0"/>
              <w:rPr>
                <w:sz w:val="20"/>
                <w:szCs w:val="20"/>
                <w:color w:val="auto"/>
              </w:rPr>
            </w:pPr>
            <w:r>
              <w:rPr>
                <w:rFonts w:ascii="Arial" w:cs="Arial" w:eastAsia="Arial" w:hAnsi="Arial"/>
                <w:sz w:val="12"/>
                <w:szCs w:val="12"/>
                <w:color w:val="auto"/>
              </w:rPr>
              <w:t>General and administrative expense</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85,198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72,045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35,402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Operating expense (exclusive of depreciation, accretion and amortization)</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137,065</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102,176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tcPr>
          <w:p>
            <w:pPr>
              <w:ind w:left="140"/>
              <w:spacing w:after="0"/>
              <w:rPr>
                <w:sz w:val="20"/>
                <w:szCs w:val="20"/>
                <w:color w:val="auto"/>
              </w:rPr>
            </w:pPr>
            <w:r>
              <w:rPr>
                <w:rFonts w:ascii="Arial" w:cs="Arial" w:eastAsia="Arial" w:hAnsi="Arial"/>
                <w:sz w:val="12"/>
                <w:szCs w:val="12"/>
                <w:color w:val="auto"/>
              </w:rPr>
              <w:t>Transaction related costs</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17,410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38,005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33,669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Other (income) expense</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(4,504)</w:t>
            </w: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FF0FC"/>
            </w:tcBorders>
            <w:gridSpan w:val="2"/>
          </w:tcPr>
          <w:p>
            <w:pPr>
              <w:ind w:left="300"/>
              <w:spacing w:after="0"/>
              <w:rPr>
                <w:sz w:val="20"/>
                <w:szCs w:val="20"/>
                <w:color w:val="auto"/>
              </w:rPr>
            </w:pPr>
            <w:r>
              <w:rPr>
                <w:rFonts w:ascii="Arial" w:cs="Arial" w:eastAsia="Arial" w:hAnsi="Arial"/>
                <w:sz w:val="12"/>
                <w:szCs w:val="12"/>
                <w:color w:val="auto"/>
              </w:rPr>
              <w:t>Total costs and expenses</w:t>
            </w: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1,006,510</w:t>
            </w:r>
          </w:p>
        </w:tc>
        <w:tc>
          <w:tcPr>
            <w:tcW w:w="24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963,709</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770,103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Income (loss) before income taxes</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11,124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(47,677)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Income tax (benefit) expense</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(5,421)</w:t>
            </w:r>
          </w:p>
        </w:tc>
        <w:tc>
          <w:tcPr>
            <w:tcW w:w="22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(38,849)</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 income (loss)</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16,545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(8,828)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4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358</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gridSpan w:val="3"/>
          </w:tcPr>
          <w:p>
            <w:pPr>
              <w:spacing w:after="0"/>
              <w:rPr>
                <w:sz w:val="20"/>
                <w:szCs w:val="20"/>
                <w:color w:val="auto"/>
              </w:rPr>
            </w:pPr>
            <w:r>
              <w:rPr>
                <w:rFonts w:ascii="Arial" w:cs="Arial" w:eastAsia="Arial" w:hAnsi="Arial"/>
                <w:sz w:val="12"/>
                <w:szCs w:val="12"/>
                <w:b w:val="1"/>
                <w:bCs w:val="1"/>
                <w:color w:val="auto"/>
              </w:rPr>
              <w:t>Net income (loss) attributable to shareholders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16,187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(9,439)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Participating securities' share in earnings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(2,594)</w:t>
            </w:r>
          </w:p>
        </w:tc>
        <w:tc>
          <w:tcPr>
            <w:tcW w:w="22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(1,509)</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tcPr>
          <w:p>
            <w:pPr>
              <w:ind w:left="140"/>
              <w:spacing w:after="0"/>
              <w:rPr>
                <w:sz w:val="20"/>
                <w:szCs w:val="20"/>
                <w:color w:val="auto"/>
              </w:rPr>
            </w:pPr>
            <w:r>
              <w:rPr>
                <w:rFonts w:ascii="Arial" w:cs="Arial" w:eastAsia="Arial" w:hAnsi="Arial"/>
                <w:sz w:val="12"/>
                <w:szCs w:val="12"/>
                <w:color w:val="auto"/>
              </w:rPr>
              <w:t>Dividends declared on convertible preferred stock</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22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(2,624)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(1,743)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22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(2,980)</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(1,985)</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80" w:type="dxa"/>
            <w:vAlign w:val="bottom"/>
            <w:gridSpan w:val="3"/>
            <w:vMerge w:val="continue"/>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7,989</w:t>
            </w:r>
          </w:p>
        </w:tc>
        <w:tc>
          <w:tcPr>
            <w:tcW w:w="24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(16,552)</w:t>
            </w: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(5,497)</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6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Earnings (loss) per common share (Note 13):</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Basic</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(0.10)</w:t>
            </w: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FF0FC"/>
            </w:tcBorders>
            <w:gridSpan w:val="2"/>
            <w:vMerge w:val="restart"/>
          </w:tcPr>
          <w:p>
            <w:pPr>
              <w:ind w:left="140"/>
              <w:spacing w:after="0"/>
              <w:rPr>
                <w:sz w:val="20"/>
                <w:szCs w:val="20"/>
                <w:color w:val="auto"/>
              </w:rPr>
            </w:pPr>
            <w:r>
              <w:rPr>
                <w:rFonts w:ascii="Arial" w:cs="Arial" w:eastAsia="Arial" w:hAnsi="Arial"/>
                <w:sz w:val="12"/>
                <w:szCs w:val="12"/>
                <w:color w:val="auto"/>
              </w:rPr>
              <w:t>Diluted</w:t>
            </w: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0.04</w:t>
            </w:r>
          </w:p>
        </w:tc>
        <w:tc>
          <w:tcPr>
            <w:tcW w:w="24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(0.13)</w:t>
            </w: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6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Weighted-average number of common shares outstanding</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2"/>
                <w:szCs w:val="12"/>
                <w:color w:val="auto"/>
              </w:rPr>
              <w:t>Basic</w:t>
            </w:r>
          </w:p>
        </w:tc>
        <w:tc>
          <w:tcPr>
            <w:tcW w:w="4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176,169</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168,693</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152,473</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gridSpan w:val="2"/>
          </w:tcPr>
          <w:p>
            <w:pPr>
              <w:ind w:left="140"/>
              <w:spacing w:after="0"/>
              <w:rPr>
                <w:sz w:val="20"/>
                <w:szCs w:val="20"/>
                <w:color w:val="auto"/>
              </w:rPr>
            </w:pPr>
            <w:r>
              <w:rPr>
                <w:rFonts w:ascii="Arial" w:cs="Arial" w:eastAsia="Arial" w:hAnsi="Arial"/>
                <w:sz w:val="12"/>
                <w:szCs w:val="12"/>
                <w:color w:val="auto"/>
              </w:rPr>
              <w:t>Diluted</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177,071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168,989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152,473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0"/>
                <w:szCs w:val="10"/>
                <w:b w:val="1"/>
                <w:bCs w:val="1"/>
                <w:color w:val="auto"/>
              </w:rPr>
              <w:t>Year Ended December 31,</w:t>
            </w:r>
          </w:p>
        </w:tc>
        <w:tc>
          <w:tcPr>
            <w:tcW w:w="4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(8,828)</w:t>
            </w: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Unrealized gain (loss) on derivative contracts</w:t>
            </w:r>
          </w:p>
        </w:tc>
        <w:tc>
          <w:tcPr>
            <w:tcW w:w="48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24,251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12,895</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(675)</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60"/>
              <w:spacing w:after="0"/>
              <w:rPr>
                <w:sz w:val="20"/>
                <w:szCs w:val="20"/>
                <w:color w:val="auto"/>
              </w:rPr>
            </w:pPr>
            <w:r>
              <w:rPr>
                <w:rFonts w:ascii="Arial" w:cs="Arial" w:eastAsia="Arial" w:hAnsi="Arial"/>
                <w:sz w:val="12"/>
                <w:szCs w:val="12"/>
                <w:color w:val="auto"/>
              </w:rPr>
              <w:t>Changes in foreign currency translation</w:t>
            </w:r>
          </w:p>
        </w:tc>
        <w:tc>
          <w:tcPr>
            <w:tcW w:w="480" w:type="dxa"/>
            <w:vAlign w:val="bottom"/>
          </w:tcPr>
          <w:p>
            <w:pPr>
              <w:spacing w:after="0"/>
              <w:rPr>
                <w:sz w:val="13"/>
                <w:szCs w:val="13"/>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2"/>
                <w:szCs w:val="12"/>
                <w:color w:val="auto"/>
              </w:rPr>
              <w:t>(1,440)</w:t>
            </w:r>
          </w:p>
        </w:tc>
        <w:tc>
          <w:tcPr>
            <w:tcW w:w="2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1,660</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22,811</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14,555</w:t>
            </w: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(942)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2"/>
                <w:szCs w:val="12"/>
                <w:color w:val="auto"/>
              </w:rPr>
              <w:t>Comprehensive income (loss)</w:t>
            </w: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39,356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5,727</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2"/>
                <w:szCs w:val="12"/>
                <w:color w:val="auto"/>
              </w:rPr>
              <w:t>(1,154)</w:t>
            </w: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Comprehensive income attributable to noncontrolling interest</w:t>
            </w:r>
          </w:p>
        </w:tc>
        <w:tc>
          <w:tcPr>
            <w:tcW w:w="48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884</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976</w:t>
            </w:r>
          </w:p>
        </w:tc>
        <w:tc>
          <w:tcPr>
            <w:tcW w:w="26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gridSpan w:val="2"/>
          </w:tcPr>
          <w:p>
            <w:pPr>
              <w:spacing w:after="0"/>
              <w:rPr>
                <w:sz w:val="20"/>
                <w:szCs w:val="20"/>
                <w:color w:val="auto"/>
              </w:rPr>
            </w:pPr>
            <w:r>
              <w:rPr>
                <w:rFonts w:ascii="Arial" w:cs="Arial" w:eastAsia="Arial" w:hAnsi="Arial"/>
                <w:sz w:val="12"/>
                <w:szCs w:val="12"/>
                <w:b w:val="1"/>
                <w:bCs w:val="1"/>
                <w:color w:val="auto"/>
              </w:rPr>
              <w:t>Comprehensive income (loss) attributable to common shareholders</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38,472</w:t>
            </w:r>
          </w:p>
        </w:tc>
        <w:tc>
          <w:tcPr>
            <w:tcW w:w="2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2"/>
                <w:szCs w:val="12"/>
                <w:color w:val="auto"/>
              </w:rPr>
              <w:t>4,751</w:t>
            </w:r>
          </w:p>
        </w:tc>
        <w:tc>
          <w:tcPr>
            <w:tcW w:w="260" w:type="dxa"/>
            <w:vAlign w:val="bottom"/>
          </w:tcPr>
          <w:p>
            <w:pPr>
              <w:spacing w:after="0"/>
              <w:rPr>
                <w:sz w:val="12"/>
                <w:szCs w:val="12"/>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80"/>
              <w:spacing w:after="0"/>
              <w:rPr>
                <w:sz w:val="20"/>
                <w:szCs w:val="20"/>
                <w:color w:val="auto"/>
              </w:rPr>
            </w:pPr>
            <w:r>
              <w:rPr>
                <w:rFonts w:ascii="Arial" w:cs="Arial" w:eastAsia="Arial" w:hAnsi="Arial"/>
                <w:sz w:val="12"/>
                <w:szCs w:val="12"/>
                <w:color w:val="auto"/>
              </w:rPr>
              <w:t>(1,154)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Shareholders’ Deficit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color w:val="auto"/>
                <w:w w:val="91"/>
              </w:rPr>
              <w:t>Distributions 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gridSpan w:val="3"/>
          </w:tcPr>
          <w:p>
            <w:pPr>
              <w:jc w:val="center"/>
              <w:ind w:right="220"/>
              <w:spacing w:after="0" w:line="99" w:lineRule="exact"/>
              <w:rPr>
                <w:sz w:val="20"/>
                <w:szCs w:val="20"/>
                <w:color w:val="auto"/>
              </w:rPr>
            </w:pPr>
            <w:r>
              <w:rPr>
                <w:rFonts w:ascii="Arial" w:cs="Arial" w:eastAsia="Arial" w:hAnsi="Arial"/>
                <w:sz w:val="10"/>
                <w:szCs w:val="10"/>
                <w:color w:val="auto"/>
                <w:w w:val="88"/>
              </w:rPr>
              <w:t>Accumulated Other</w:t>
            </w:r>
          </w:p>
        </w:tc>
        <w:tc>
          <w:tcPr>
            <w:tcW w:w="60" w:type="dxa"/>
            <w:vAlign w:val="bottom"/>
          </w:tcPr>
          <w:p>
            <w:pPr>
              <w:spacing w:after="0"/>
              <w:rPr>
                <w:sz w:val="8"/>
                <w:szCs w:val="8"/>
                <w:color w:val="auto"/>
              </w:rPr>
            </w:pPr>
          </w:p>
        </w:tc>
        <w:tc>
          <w:tcPr>
            <w:tcW w:w="840" w:type="dxa"/>
            <w:vAlign w:val="bottom"/>
            <w:gridSpan w:val="2"/>
          </w:tcPr>
          <w:p>
            <w:pPr>
              <w:jc w:val="center"/>
              <w:ind w:right="200"/>
              <w:spacing w:after="0" w:line="99" w:lineRule="exact"/>
              <w:rPr>
                <w:sz w:val="20"/>
                <w:szCs w:val="20"/>
                <w:color w:val="auto"/>
              </w:rPr>
            </w:pPr>
            <w:r>
              <w:rPr>
                <w:rFonts w:ascii="Arial" w:cs="Arial" w:eastAsia="Arial" w:hAnsi="Arial"/>
                <w:sz w:val="10"/>
                <w:szCs w:val="10"/>
                <w:color w:val="auto"/>
                <w:w w:val="82"/>
              </w:rPr>
              <w:t>Excess of</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3"/>
          </w:tcPr>
          <w:p>
            <w:pPr>
              <w:jc w:val="right"/>
              <w:ind w:right="280"/>
              <w:spacing w:after="0" w:line="99" w:lineRule="exact"/>
              <w:rPr>
                <w:sz w:val="20"/>
                <w:szCs w:val="20"/>
                <w:color w:val="auto"/>
              </w:rPr>
            </w:pPr>
            <w:r>
              <w:rPr>
                <w:rFonts w:ascii="Arial" w:cs="Arial" w:eastAsia="Arial" w:hAnsi="Arial"/>
                <w:sz w:val="10"/>
                <w:szCs w:val="10"/>
                <w:color w:val="auto"/>
                <w:w w:val="91"/>
              </w:rPr>
              <w:t>Additional Paid-</w:t>
            </w:r>
          </w:p>
        </w:tc>
        <w:tc>
          <w:tcPr>
            <w:tcW w:w="80" w:type="dxa"/>
            <w:vAlign w:val="bottom"/>
          </w:tcPr>
          <w:p>
            <w:pPr>
              <w:spacing w:after="0"/>
              <w:rPr>
                <w:sz w:val="8"/>
                <w:szCs w:val="8"/>
                <w:color w:val="auto"/>
              </w:rPr>
            </w:pPr>
          </w:p>
        </w:tc>
        <w:tc>
          <w:tcPr>
            <w:tcW w:w="940" w:type="dxa"/>
            <w:vAlign w:val="bottom"/>
            <w:gridSpan w:val="2"/>
          </w:tcPr>
          <w:p>
            <w:pPr>
              <w:jc w:val="center"/>
              <w:ind w:right="300"/>
              <w:spacing w:after="0" w:line="99" w:lineRule="exact"/>
              <w:rPr>
                <w:sz w:val="20"/>
                <w:szCs w:val="20"/>
                <w:color w:val="auto"/>
              </w:rPr>
            </w:pPr>
            <w:r>
              <w:rPr>
                <w:rFonts w:ascii="Arial" w:cs="Arial" w:eastAsia="Arial" w:hAnsi="Arial"/>
                <w:sz w:val="10"/>
                <w:szCs w:val="10"/>
                <w:color w:val="auto"/>
                <w:w w:val="85"/>
              </w:rPr>
              <w:t>Comprehensive</w:t>
            </w:r>
          </w:p>
        </w:tc>
        <w:tc>
          <w:tcPr>
            <w:tcW w:w="60" w:type="dxa"/>
            <w:vAlign w:val="bottom"/>
          </w:tcPr>
          <w:p>
            <w:pPr>
              <w:spacing w:after="0"/>
              <w:rPr>
                <w:sz w:val="8"/>
                <w:szCs w:val="8"/>
                <w:color w:val="auto"/>
              </w:rPr>
            </w:pPr>
          </w:p>
        </w:tc>
        <w:tc>
          <w:tcPr>
            <w:tcW w:w="840" w:type="dxa"/>
            <w:vAlign w:val="bottom"/>
            <w:gridSpan w:val="2"/>
          </w:tcPr>
          <w:p>
            <w:pPr>
              <w:jc w:val="center"/>
              <w:ind w:right="200"/>
              <w:spacing w:after="0" w:line="99" w:lineRule="exact"/>
              <w:rPr>
                <w:sz w:val="20"/>
                <w:szCs w:val="20"/>
                <w:color w:val="auto"/>
              </w:rPr>
            </w:pPr>
            <w:r>
              <w:rPr>
                <w:rFonts w:ascii="Arial" w:cs="Arial" w:eastAsia="Arial" w:hAnsi="Arial"/>
                <w:sz w:val="10"/>
                <w:szCs w:val="10"/>
                <w:color w:val="auto"/>
                <w:w w:val="89"/>
              </w:rPr>
              <w:t>Accumulated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w w:val="90"/>
              </w:rPr>
              <w:t>Noncontrolling</w:t>
            </w:r>
          </w:p>
        </w:tc>
        <w:tc>
          <w:tcPr>
            <w:tcW w:w="80" w:type="dxa"/>
            <w:vAlign w:val="bottom"/>
          </w:tcPr>
          <w:p>
            <w:pPr>
              <w:spacing w:after="0"/>
              <w:rPr>
                <w:sz w:val="8"/>
                <w:szCs w:val="8"/>
                <w:color w:val="auto"/>
              </w:rPr>
            </w:pPr>
          </w:p>
        </w:tc>
        <w:tc>
          <w:tcPr>
            <w:tcW w:w="920" w:type="dxa"/>
            <w:vAlign w:val="bottom"/>
            <w:gridSpan w:val="3"/>
          </w:tcPr>
          <w:p>
            <w:pPr>
              <w:jc w:val="right"/>
              <w:ind w:right="140"/>
              <w:spacing w:after="0" w:line="99" w:lineRule="exact"/>
              <w:rPr>
                <w:sz w:val="20"/>
                <w:szCs w:val="20"/>
                <w:color w:val="auto"/>
              </w:rPr>
            </w:pPr>
            <w:r>
              <w:rPr>
                <w:rFonts w:ascii="Arial" w:cs="Arial" w:eastAsia="Arial" w:hAnsi="Arial"/>
                <w:sz w:val="10"/>
                <w:szCs w:val="10"/>
                <w:color w:val="auto"/>
                <w:w w:val="87"/>
              </w:rPr>
              <w:t>Total Shareholders'</w:t>
            </w:r>
          </w:p>
        </w:tc>
        <w:tc>
          <w:tcPr>
            <w:tcW w:w="0" w:type="dxa"/>
            <w:vAlign w:val="bottom"/>
          </w:tcPr>
          <w:p>
            <w:pPr>
              <w:spacing w:after="0"/>
              <w:rPr>
                <w:sz w:val="1"/>
                <w:szCs w:val="1"/>
                <w:color w:val="auto"/>
              </w:rPr>
            </w:pPr>
          </w:p>
        </w:tc>
      </w:tr>
      <w:tr>
        <w:trPr>
          <w:trHeight w:val="112"/>
        </w:trPr>
        <w:tc>
          <w:tcPr>
            <w:tcW w:w="2860" w:type="dxa"/>
            <w:vAlign w:val="bottom"/>
            <w:gridSpan w:val="2"/>
            <w:vMerge w:val="restart"/>
          </w:tcPr>
          <w:p>
            <w:pPr>
              <w:spacing w:after="0"/>
              <w:rPr>
                <w:sz w:val="20"/>
                <w:szCs w:val="20"/>
                <w:color w:val="auto"/>
              </w:rPr>
            </w:pPr>
            <w:r>
              <w:rPr>
                <w:rFonts w:ascii="Arial" w:cs="Arial" w:eastAsia="Arial" w:hAnsi="Arial"/>
                <w:sz w:val="10"/>
                <w:szCs w:val="10"/>
                <w:color w:val="auto"/>
              </w:rPr>
              <w:t>(Thousands, except share data)</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gridSpan w:val="6"/>
          </w:tcPr>
          <w:p>
            <w:pPr>
              <w:ind w:left="20"/>
              <w:spacing w:after="0" w:line="112" w:lineRule="exact"/>
              <w:rPr>
                <w:sz w:val="20"/>
                <w:szCs w:val="20"/>
                <w:color w:val="auto"/>
              </w:rPr>
            </w:pPr>
            <w:r>
              <w:rPr>
                <w:rFonts w:ascii="Arial" w:cs="Arial" w:eastAsia="Arial" w:hAnsi="Arial"/>
                <w:sz w:val="10"/>
                <w:szCs w:val="10"/>
                <w:color w:val="auto"/>
              </w:rPr>
              <w:t>Preferred Stock</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gridSpan w:val="3"/>
          </w:tcPr>
          <w:p>
            <w:pPr>
              <w:jc w:val="right"/>
              <w:ind w:right="31"/>
              <w:spacing w:after="0" w:line="112" w:lineRule="exact"/>
              <w:rPr>
                <w:sz w:val="20"/>
                <w:szCs w:val="20"/>
                <w:color w:val="auto"/>
              </w:rPr>
            </w:pPr>
            <w:r>
              <w:rPr>
                <w:rFonts w:ascii="Arial" w:cs="Arial" w:eastAsia="Arial" w:hAnsi="Arial"/>
                <w:sz w:val="10"/>
                <w:szCs w:val="10"/>
                <w:color w:val="auto"/>
                <w:w w:val="87"/>
              </w:rPr>
              <w:t>Common Stock</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400"/>
              <w:spacing w:after="0" w:line="112" w:lineRule="exact"/>
              <w:rPr>
                <w:sz w:val="20"/>
                <w:szCs w:val="20"/>
                <w:color w:val="auto"/>
              </w:rPr>
            </w:pPr>
            <w:r>
              <w:rPr>
                <w:rFonts w:ascii="Arial" w:cs="Arial" w:eastAsia="Arial" w:hAnsi="Arial"/>
                <w:sz w:val="10"/>
                <w:szCs w:val="10"/>
                <w:color w:val="auto"/>
              </w:rPr>
              <w:t>in Capital</w:t>
            </w:r>
          </w:p>
        </w:tc>
        <w:tc>
          <w:tcPr>
            <w:tcW w:w="80" w:type="dxa"/>
            <w:vAlign w:val="bottom"/>
          </w:tcPr>
          <w:p>
            <w:pPr>
              <w:spacing w:after="0"/>
              <w:rPr>
                <w:sz w:val="9"/>
                <w:szCs w:val="9"/>
                <w:color w:val="auto"/>
              </w:rPr>
            </w:pPr>
          </w:p>
        </w:tc>
        <w:tc>
          <w:tcPr>
            <w:tcW w:w="940" w:type="dxa"/>
            <w:vAlign w:val="bottom"/>
            <w:gridSpan w:val="2"/>
          </w:tcPr>
          <w:p>
            <w:pPr>
              <w:jc w:val="center"/>
              <w:ind w:right="300"/>
              <w:spacing w:after="0" w:line="112" w:lineRule="exact"/>
              <w:rPr>
                <w:sz w:val="20"/>
                <w:szCs w:val="20"/>
                <w:color w:val="auto"/>
              </w:rPr>
            </w:pPr>
            <w:r>
              <w:rPr>
                <w:rFonts w:ascii="Arial" w:cs="Arial" w:eastAsia="Arial" w:hAnsi="Arial"/>
                <w:sz w:val="10"/>
                <w:szCs w:val="10"/>
                <w:color w:val="auto"/>
                <w:w w:val="88"/>
              </w:rPr>
              <w:t>(Loss) Income</w:t>
            </w:r>
          </w:p>
        </w:tc>
        <w:tc>
          <w:tcPr>
            <w:tcW w:w="60" w:type="dxa"/>
            <w:vAlign w:val="bottom"/>
          </w:tcPr>
          <w:p>
            <w:pPr>
              <w:spacing w:after="0"/>
              <w:rPr>
                <w:sz w:val="9"/>
                <w:szCs w:val="9"/>
                <w:color w:val="auto"/>
              </w:rPr>
            </w:pPr>
          </w:p>
        </w:tc>
        <w:tc>
          <w:tcPr>
            <w:tcW w:w="840" w:type="dxa"/>
            <w:vAlign w:val="bottom"/>
            <w:gridSpan w:val="2"/>
          </w:tcPr>
          <w:p>
            <w:pPr>
              <w:jc w:val="center"/>
              <w:ind w:right="180"/>
              <w:spacing w:after="0" w:line="112" w:lineRule="exact"/>
              <w:rPr>
                <w:sz w:val="20"/>
                <w:szCs w:val="20"/>
                <w:color w:val="auto"/>
              </w:rPr>
            </w:pPr>
            <w:r>
              <w:rPr>
                <w:rFonts w:ascii="Arial" w:cs="Arial" w:eastAsia="Arial" w:hAnsi="Arial"/>
                <w:sz w:val="10"/>
                <w:szCs w:val="10"/>
                <w:color w:val="auto"/>
                <w:w w:val="86"/>
              </w:rPr>
              <w:t>Earnings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60"/>
              <w:spacing w:after="0" w:line="112" w:lineRule="exact"/>
              <w:rPr>
                <w:sz w:val="20"/>
                <w:szCs w:val="20"/>
                <w:color w:val="auto"/>
              </w:rPr>
            </w:pPr>
            <w:r>
              <w:rPr>
                <w:rFonts w:ascii="Arial" w:cs="Arial" w:eastAsia="Arial" w:hAnsi="Arial"/>
                <w:sz w:val="10"/>
                <w:szCs w:val="10"/>
                <w:color w:val="auto"/>
              </w:rPr>
              <w:t>Interests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jc w:val="right"/>
              <w:ind w:right="380"/>
              <w:spacing w:after="0" w:line="112" w:lineRule="exact"/>
              <w:rPr>
                <w:sz w:val="20"/>
                <w:szCs w:val="20"/>
                <w:color w:val="auto"/>
              </w:rPr>
            </w:pPr>
            <w:r>
              <w:rPr>
                <w:rFonts w:ascii="Arial" w:cs="Arial" w:eastAsia="Arial" w:hAnsi="Arial"/>
                <w:sz w:val="10"/>
                <w:szCs w:val="10"/>
                <w:color w:val="auto"/>
              </w:rPr>
              <w:t>Deficit</w:t>
            </w:r>
          </w:p>
        </w:tc>
        <w:tc>
          <w:tcPr>
            <w:tcW w:w="0" w:type="dxa"/>
            <w:vAlign w:val="bottom"/>
          </w:tcPr>
          <w:p>
            <w:pPr>
              <w:spacing w:after="0"/>
              <w:rPr>
                <w:sz w:val="1"/>
                <w:szCs w:val="1"/>
                <w:color w:val="auto"/>
              </w:rPr>
            </w:pPr>
          </w:p>
        </w:tc>
      </w:tr>
      <w:tr>
        <w:trPr>
          <w:trHeight w:val="88"/>
        </w:trPr>
        <w:tc>
          <w:tcPr>
            <w:tcW w:w="2860" w:type="dxa"/>
            <w:vAlign w:val="bottom"/>
            <w:gridSpan w:val="2"/>
            <w:vMerge w:val="continue"/>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color w:val="auto"/>
                <w:w w:val="75"/>
              </w:rPr>
              <w:t>Shares</w:t>
            </w:r>
          </w:p>
        </w:tc>
        <w:tc>
          <w:tcPr>
            <w:tcW w:w="440" w:type="dxa"/>
            <w:vAlign w:val="bottom"/>
            <w:tcBorders>
              <w:top w:val="single" w:sz="8" w:color="auto"/>
            </w:tcBorders>
            <w:gridSpan w:val="2"/>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2"/>
          </w:tcPr>
          <w:p>
            <w:pPr>
              <w:jc w:val="right"/>
              <w:ind w:right="126"/>
              <w:spacing w:after="0" w:line="88" w:lineRule="exact"/>
              <w:rPr>
                <w:sz w:val="20"/>
                <w:szCs w:val="20"/>
                <w:color w:val="auto"/>
              </w:rPr>
            </w:pPr>
            <w:r>
              <w:rPr>
                <w:rFonts w:ascii="Arial" w:cs="Arial" w:eastAsia="Arial" w:hAnsi="Arial"/>
                <w:sz w:val="10"/>
                <w:szCs w:val="10"/>
                <w:color w:val="auto"/>
                <w:w w:val="86"/>
              </w:rPr>
              <w:t>Amount</w:t>
            </w: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color w:val="auto"/>
              </w:rPr>
              <w:t>Shares</w:t>
            </w: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2"/>
          </w:tcPr>
          <w:p>
            <w:pPr>
              <w:jc w:val="right"/>
              <w:ind w:right="180"/>
              <w:spacing w:after="0" w:line="88" w:lineRule="exact"/>
              <w:rPr>
                <w:sz w:val="20"/>
                <w:szCs w:val="20"/>
                <w:color w:val="auto"/>
              </w:rPr>
            </w:pPr>
            <w:r>
              <w:rPr>
                <w:rFonts w:ascii="Arial" w:cs="Arial" w:eastAsia="Arial" w:hAnsi="Arial"/>
                <w:sz w:val="10"/>
                <w:szCs w:val="10"/>
                <w:color w:val="auto"/>
                <w:w w:val="86"/>
              </w:rPr>
              <w:t>Amount</w:t>
            </w: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shd w:val="clear" w:color="auto" w:fill="000000"/>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shd w:val="clear" w:color="auto" w:fill="000000"/>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60" w:type="dxa"/>
            <w:vAlign w:val="bottom"/>
            <w:gridSpan w:val="2"/>
            <w:shd w:val="clear" w:color="auto" w:fill="CFF0FC"/>
          </w:tcPr>
          <w:p>
            <w:pPr>
              <w:spacing w:after="0" w:line="122" w:lineRule="exact"/>
              <w:rPr>
                <w:sz w:val="20"/>
                <w:szCs w:val="20"/>
                <w:color w:val="auto"/>
              </w:rPr>
            </w:pPr>
            <w:r>
              <w:rPr>
                <w:rFonts w:ascii="Arial" w:cs="Arial" w:eastAsia="Arial" w:hAnsi="Arial"/>
                <w:sz w:val="11"/>
                <w:szCs w:val="11"/>
                <w:color w:val="auto"/>
              </w:rPr>
              <w:t>Balance at December 31, 2015</w:t>
            </w: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1"/>
                <w:szCs w:val="11"/>
                <w:color w:val="auto"/>
                <w:w w:val="88"/>
              </w:rPr>
              <w:t>149,862,459</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1"/>
                <w:szCs w:val="11"/>
                <w:color w:val="auto"/>
              </w:rPr>
              <w:t>15</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1,392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180"/>
              <w:spacing w:after="0" w:line="119" w:lineRule="exact"/>
              <w:rPr>
                <w:sz w:val="20"/>
                <w:szCs w:val="20"/>
                <w:color w:val="auto"/>
              </w:rPr>
            </w:pPr>
            <w:r>
              <w:rPr>
                <w:rFonts w:ascii="Arial" w:cs="Arial" w:eastAsia="Arial" w:hAnsi="Arial"/>
                <w:sz w:val="11"/>
                <w:szCs w:val="11"/>
                <w:color w:val="auto"/>
              </w:rPr>
              <w:t>(5,427)</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00"/>
              <w:spacing w:after="0" w:line="119" w:lineRule="exact"/>
              <w:rPr>
                <w:sz w:val="20"/>
                <w:szCs w:val="20"/>
                <w:color w:val="auto"/>
              </w:rPr>
            </w:pPr>
            <w:r>
              <w:rPr>
                <w:rFonts w:ascii="Arial" w:cs="Arial" w:eastAsia="Arial" w:hAnsi="Arial"/>
                <w:sz w:val="11"/>
                <w:szCs w:val="11"/>
                <w:color w:val="auto"/>
              </w:rPr>
              <w:t>(1,162,886)</w:t>
            </w:r>
          </w:p>
        </w:tc>
        <w:tc>
          <w:tcPr>
            <w:tcW w:w="160" w:type="dxa"/>
            <w:vAlign w:val="bottom"/>
            <w:gridSpan w:val="2"/>
            <w:shd w:val="clear" w:color="auto" w:fill="CFF0FC"/>
          </w:tcPr>
          <w:p>
            <w:pPr>
              <w:jc w:val="right"/>
              <w:ind w:right="20"/>
              <w:spacing w:after="0" w:line="119" w:lineRule="exact"/>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52"/>
              <w:spacing w:after="0" w:line="119"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80"/>
              <w:spacing w:after="0" w:line="119" w:lineRule="exact"/>
              <w:rPr>
                <w:sz w:val="20"/>
                <w:szCs w:val="20"/>
                <w:color w:val="auto"/>
              </w:rPr>
            </w:pPr>
            <w:r>
              <w:rPr>
                <w:rFonts w:ascii="Arial" w:cs="Arial" w:eastAsia="Arial" w:hAnsi="Arial"/>
                <w:sz w:val="11"/>
                <w:szCs w:val="11"/>
                <w:color w:val="auto"/>
              </w:rPr>
              <w:t>(1,166,906)</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2016 Activity:</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loss</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(212)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Issuance of common stock</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5,077,629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137,665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137,665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(1,985)</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(1,985)</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Other comprehensive loss</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(942)</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(942)</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Common stock dividends</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(370,186)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(370,186)</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Convertible preferred stock dividends</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(1,743)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(1,743)</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Equity issuance cost</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(623)</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(623)</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Net share settlement</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(2,156)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(2,359)</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198,549</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4,846</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Arial" w:cs="Arial" w:eastAsia="Arial" w:hAnsi="Arial"/>
                <w:sz w:val="11"/>
                <w:szCs w:val="11"/>
                <w:color w:val="auto"/>
              </w:rPr>
              <w:t>Balance at December 31, 2016</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155,138,637</w:t>
            </w:r>
          </w:p>
        </w:tc>
        <w:tc>
          <w:tcPr>
            <w:tcW w:w="24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141,092</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(6,369)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(1,537,183)</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40" w:type="dxa"/>
            <w:vAlign w:val="bottom"/>
            <w:gridSpan w:val="2"/>
          </w:tcPr>
          <w:p>
            <w:pPr>
              <w:jc w:val="right"/>
              <w:ind w:right="52"/>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(1,402,445)</w:t>
            </w:r>
          </w:p>
        </w:tc>
        <w:tc>
          <w:tcPr>
            <w:tcW w:w="0" w:type="dxa"/>
            <w:vAlign w:val="bottom"/>
          </w:tcPr>
          <w:p>
            <w:pPr>
              <w:spacing w:after="0"/>
              <w:rPr>
                <w:sz w:val="1"/>
                <w:szCs w:val="1"/>
                <w:color w:val="auto"/>
              </w:rPr>
            </w:pPr>
          </w:p>
        </w:tc>
      </w:tr>
      <w:tr>
        <w:trPr>
          <w:trHeight w:val="144"/>
        </w:trPr>
        <w:tc>
          <w:tcPr>
            <w:tcW w:w="2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color w:val="auto"/>
              </w:rPr>
              <w:t>2017 Activity:</w:t>
            </w:r>
          </w:p>
        </w:tc>
        <w:tc>
          <w:tcPr>
            <w:tcW w:w="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Net (loss) income</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(9,439)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(8,828)</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Issuance of common stock</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19,528,302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517,499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517,501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(2,980)</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(2,980)</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Other comprehensive income</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14,190</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Common stock dividends</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(410,054)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(410,054)</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Distributions to noncontrolling interest</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(4,978)</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(4,978)</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Convertible preferred stock dividends</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(2,624)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(2,624)</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Equity issuance cost</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(18,575)</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(18,575)</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Contributions from noncontrolling interest holders</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105,969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105,969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Purchase of noncontrolling interest</w:t>
            </w: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(560)</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(560)</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Arial" w:cs="Arial" w:eastAsia="Arial" w:hAnsi="Arial"/>
                <w:sz w:val="11"/>
                <w:szCs w:val="11"/>
                <w:color w:val="auto"/>
              </w:rPr>
              <w:t>Net share settlement</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(421)</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(1,415)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(1,836)</w:t>
            </w:r>
          </w:p>
        </w:tc>
        <w:tc>
          <w:tcPr>
            <w:tcW w:w="0" w:type="dxa"/>
            <w:vAlign w:val="bottom"/>
          </w:tcPr>
          <w:p>
            <w:pPr>
              <w:spacing w:after="0"/>
              <w:rPr>
                <w:sz w:val="1"/>
                <w:szCs w:val="1"/>
                <w:color w:val="auto"/>
              </w:rPr>
            </w:pPr>
          </w:p>
        </w:tc>
      </w:tr>
      <w:tr>
        <w:trPr>
          <w:trHeight w:val="146"/>
        </w:trPr>
        <w:tc>
          <w:tcPr>
            <w:tcW w:w="28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184,575</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7,713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Arial" w:cs="Arial" w:eastAsia="Arial" w:hAnsi="Arial"/>
                <w:sz w:val="11"/>
                <w:szCs w:val="11"/>
                <w:color w:val="auto"/>
              </w:rPr>
              <w:t>Balance at December 31, 2017</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174,851,514</w:t>
            </w:r>
          </w:p>
        </w:tc>
        <w:tc>
          <w:tcPr>
            <w:tcW w:w="24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644,328</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7,821</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(1,960,715)</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101,407</w:t>
            </w:r>
          </w:p>
        </w:tc>
        <w:tc>
          <w:tcPr>
            <w:tcW w:w="120" w:type="dxa"/>
            <w:vAlign w:val="bottom"/>
          </w:tcPr>
          <w:p>
            <w:pPr>
              <w:spacing w:after="0"/>
              <w:rPr>
                <w:sz w:val="12"/>
                <w:szCs w:val="12"/>
                <w:color w:val="auto"/>
              </w:rPr>
            </w:pPr>
          </w:p>
        </w:tc>
        <w:tc>
          <w:tcPr>
            <w:tcW w:w="240" w:type="dxa"/>
            <w:vAlign w:val="bottom"/>
            <w:gridSpan w:val="2"/>
          </w:tcPr>
          <w:p>
            <w:pPr>
              <w:jc w:val="right"/>
              <w:ind w:right="52"/>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(1,207,142)</w:t>
            </w:r>
          </w:p>
        </w:tc>
        <w:tc>
          <w:tcPr>
            <w:tcW w:w="0" w:type="dxa"/>
            <w:vAlign w:val="bottom"/>
          </w:tcPr>
          <w:p>
            <w:pPr>
              <w:spacing w:after="0"/>
              <w:rPr>
                <w:sz w:val="1"/>
                <w:szCs w:val="1"/>
                <w:color w:val="auto"/>
              </w:rPr>
            </w:pPr>
          </w:p>
        </w:tc>
      </w:tr>
      <w:tr>
        <w:trPr>
          <w:trHeight w:val="144"/>
        </w:trPr>
        <w:tc>
          <w:tcPr>
            <w:tcW w:w="2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color w:val="auto"/>
              </w:rPr>
              <w:t>2018 Activity:</w:t>
            </w:r>
          </w:p>
        </w:tc>
        <w:tc>
          <w:tcPr>
            <w:tcW w:w="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spacing w:after="0"/>
              <w:rPr>
                <w:sz w:val="20"/>
                <w:szCs w:val="20"/>
                <w:color w:val="auto"/>
              </w:rPr>
            </w:pPr>
            <w:r>
              <w:rPr>
                <w:rFonts w:ascii="Arial" w:cs="Arial" w:eastAsia="Arial" w:hAnsi="Arial"/>
                <w:sz w:val="11"/>
                <w:szCs w:val="11"/>
                <w:color w:val="auto"/>
                <w:w w:val="96"/>
              </w:rPr>
              <w:t>Cumulative effect adjustment for adoption of new accounting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gridSpan w:val="2"/>
          </w:tcPr>
          <w:p>
            <w:pPr>
              <w:spacing w:after="0"/>
              <w:rPr>
                <w:sz w:val="20"/>
                <w:szCs w:val="20"/>
                <w:color w:val="auto"/>
              </w:rPr>
            </w:pPr>
            <w:r>
              <w:rPr>
                <w:rFonts w:ascii="Arial" w:cs="Arial" w:eastAsia="Arial" w:hAnsi="Arial"/>
                <w:sz w:val="11"/>
                <w:szCs w:val="11"/>
                <w:color w:val="auto"/>
              </w:rPr>
              <w:t>standard</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Shareholders’ Deficit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60" w:type="dxa"/>
            <w:vAlign w:val="bottom"/>
            <w:shd w:val="clear" w:color="auto" w:fill="CFF0FC"/>
          </w:tcPr>
          <w:p>
            <w:pPr>
              <w:spacing w:after="0"/>
              <w:rPr>
                <w:sz w:val="20"/>
                <w:szCs w:val="20"/>
                <w:color w:val="auto"/>
              </w:rPr>
            </w:pPr>
            <w:r>
              <w:rPr>
                <w:rFonts w:ascii="Arial" w:cs="Arial" w:eastAsia="Arial" w:hAnsi="Arial"/>
                <w:sz w:val="11"/>
                <w:szCs w:val="11"/>
                <w:color w:val="auto"/>
              </w:rPr>
              <w:t>Net income</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358</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16,545</w:t>
            </w:r>
          </w:p>
        </w:tc>
        <w:tc>
          <w:tcPr>
            <w:tcW w:w="120" w:type="dxa"/>
            <w:vAlign w:val="bottom"/>
            <w:shd w:val="clear" w:color="auto" w:fill="CFF0FC"/>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1"/>
                <w:szCs w:val="11"/>
                <w:color w:val="auto"/>
                <w:w w:val="94"/>
              </w:rPr>
              <w:t>At-the-market issuance of common stock, net of offering costs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5,496,763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109,441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109,442</w:t>
            </w:r>
          </w:p>
        </w:tc>
        <w:tc>
          <w:tcPr>
            <w:tcW w:w="120" w:type="dxa"/>
            <w:vAlign w:val="bottom"/>
          </w:tcPr>
          <w:p>
            <w:pPr>
              <w:spacing w:after="0"/>
              <w:rPr>
                <w:sz w:val="12"/>
                <w:szCs w:val="12"/>
                <w:color w:val="auto"/>
              </w:rPr>
            </w:pPr>
          </w:p>
        </w:tc>
      </w:tr>
      <w:tr>
        <w:trPr>
          <w:trHeight w:val="146"/>
        </w:trPr>
        <w:tc>
          <w:tcPr>
            <w:tcW w:w="286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(2,980)</w:t>
            </w: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(2,980)</w:t>
            </w:r>
          </w:p>
        </w:tc>
      </w:tr>
      <w:tr>
        <w:trPr>
          <w:trHeight w:val="142"/>
        </w:trPr>
        <w:tc>
          <w:tcPr>
            <w:tcW w:w="28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22,284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22,811</w:t>
            </w:r>
          </w:p>
        </w:tc>
        <w:tc>
          <w:tcPr>
            <w:tcW w:w="120" w:type="dxa"/>
            <w:vAlign w:val="bottom"/>
          </w:tcPr>
          <w:p>
            <w:pPr>
              <w:spacing w:after="0"/>
              <w:rPr>
                <w:sz w:val="12"/>
                <w:szCs w:val="12"/>
                <w:color w:val="auto"/>
              </w:rPr>
            </w:pPr>
          </w:p>
        </w:tc>
      </w:tr>
      <w:tr>
        <w:trPr>
          <w:trHeight w:val="146"/>
        </w:trPr>
        <w:tc>
          <w:tcPr>
            <w:tcW w:w="2860" w:type="dxa"/>
            <w:vAlign w:val="bottom"/>
            <w:shd w:val="clear" w:color="auto" w:fill="CFF0FC"/>
          </w:tcPr>
          <w:p>
            <w:pPr>
              <w:spacing w:after="0"/>
              <w:rPr>
                <w:sz w:val="20"/>
                <w:szCs w:val="20"/>
                <w:color w:val="auto"/>
              </w:rPr>
            </w:pPr>
            <w:r>
              <w:rPr>
                <w:rFonts w:ascii="Arial" w:cs="Arial" w:eastAsia="Arial" w:hAnsi="Arial"/>
                <w:sz w:val="11"/>
                <w:szCs w:val="11"/>
                <w:color w:val="auto"/>
              </w:rPr>
              <w:t>Common stock dividends</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(427,656)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(427,656)</w:t>
            </w:r>
          </w:p>
        </w:tc>
      </w:tr>
      <w:tr>
        <w:trPr>
          <w:trHeight w:val="142"/>
        </w:trPr>
        <w:tc>
          <w:tcPr>
            <w:tcW w:w="2860" w:type="dxa"/>
            <w:vAlign w:val="bottom"/>
          </w:tcPr>
          <w:p>
            <w:pPr>
              <w:spacing w:after="0"/>
              <w:rPr>
                <w:sz w:val="20"/>
                <w:szCs w:val="20"/>
                <w:color w:val="auto"/>
              </w:rPr>
            </w:pPr>
            <w:r>
              <w:rPr>
                <w:rFonts w:ascii="Arial" w:cs="Arial" w:eastAsia="Arial" w:hAnsi="Arial"/>
                <w:sz w:val="11"/>
                <w:szCs w:val="11"/>
                <w:color w:val="auto"/>
              </w:rPr>
              <w:t>Distributions to noncontrolling interest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(9,917)</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(9,917)</w:t>
            </w:r>
          </w:p>
        </w:tc>
      </w:tr>
      <w:tr>
        <w:trPr>
          <w:trHeight w:val="146"/>
        </w:trPr>
        <w:tc>
          <w:tcPr>
            <w:tcW w:w="2860" w:type="dxa"/>
            <w:vAlign w:val="bottom"/>
            <w:shd w:val="clear" w:color="auto" w:fill="CFF0FC"/>
          </w:tcPr>
          <w:p>
            <w:pPr>
              <w:spacing w:after="0"/>
              <w:rPr>
                <w:sz w:val="20"/>
                <w:szCs w:val="20"/>
                <w:color w:val="auto"/>
              </w:rPr>
            </w:pPr>
            <w:r>
              <w:rPr>
                <w:rFonts w:ascii="Arial" w:cs="Arial" w:eastAsia="Arial" w:hAnsi="Arial"/>
                <w:sz w:val="11"/>
                <w:szCs w:val="11"/>
                <w:color w:val="auto"/>
              </w:rPr>
              <w:t>Convertible preferred stock dividends</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(2,624)</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(2,624)</w:t>
            </w:r>
          </w:p>
        </w:tc>
      </w:tr>
      <w:tr>
        <w:trPr>
          <w:trHeight w:val="142"/>
        </w:trPr>
        <w:tc>
          <w:tcPr>
            <w:tcW w:w="2860" w:type="dxa"/>
            <w:vAlign w:val="bottom"/>
          </w:tcPr>
          <w:p>
            <w:pPr>
              <w:spacing w:after="0"/>
              <w:rPr>
                <w:sz w:val="20"/>
                <w:szCs w:val="20"/>
                <w:color w:val="auto"/>
              </w:rPr>
            </w:pPr>
            <w:r>
              <w:rPr>
                <w:rFonts w:ascii="Arial" w:cs="Arial" w:eastAsia="Arial" w:hAnsi="Arial"/>
                <w:sz w:val="11"/>
                <w:szCs w:val="11"/>
                <w:color w:val="auto"/>
              </w:rPr>
              <w:t>Net share settlement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(1,336)</w:t>
            </w: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(269)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(1,605)</w:t>
            </w:r>
          </w:p>
        </w:tc>
      </w:tr>
      <w:tr>
        <w:trPr>
          <w:trHeight w:val="146"/>
        </w:trPr>
        <w:tc>
          <w:tcPr>
            <w:tcW w:w="286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187,694</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8,064</w:t>
            </w:r>
          </w:p>
        </w:tc>
        <w:tc>
          <w:tcPr>
            <w:tcW w:w="2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8,064</w:t>
            </w:r>
          </w:p>
        </w:tc>
        <w:tc>
          <w:tcPr>
            <w:tcW w:w="120" w:type="dxa"/>
            <w:vAlign w:val="bottom"/>
            <w:shd w:val="clear" w:color="auto" w:fill="CFF0FC"/>
          </w:tcPr>
          <w:p>
            <w:pPr>
              <w:spacing w:after="0"/>
              <w:rPr>
                <w:sz w:val="12"/>
                <w:szCs w:val="12"/>
                <w:color w:val="auto"/>
              </w:rPr>
            </w:pPr>
          </w:p>
        </w:tc>
      </w:tr>
      <w:tr>
        <w:trPr>
          <w:trHeight w:val="131"/>
        </w:trPr>
        <w:tc>
          <w:tcPr>
            <w:tcW w:w="2860" w:type="dxa"/>
            <w:vAlign w:val="bottom"/>
          </w:tcPr>
          <w:p>
            <w:pPr>
              <w:spacing w:after="0"/>
              <w:rPr>
                <w:sz w:val="20"/>
                <w:szCs w:val="20"/>
                <w:color w:val="auto"/>
              </w:rPr>
            </w:pPr>
            <w:r>
              <w:rPr>
                <w:rFonts w:ascii="Arial" w:cs="Arial" w:eastAsia="Arial" w:hAnsi="Arial"/>
                <w:sz w:val="11"/>
                <w:szCs w:val="11"/>
                <w:color w:val="auto"/>
              </w:rPr>
              <w:t>Balance at December 31, 2018</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180,535,971</w:t>
            </w:r>
          </w:p>
        </w:tc>
        <w:tc>
          <w:tcPr>
            <w:tcW w:w="24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757,517</w:t>
            </w:r>
          </w:p>
        </w:tc>
        <w:tc>
          <w:tcPr>
            <w:tcW w:w="22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30,105</w:t>
            </w:r>
          </w:p>
        </w:tc>
        <w:tc>
          <w:tcPr>
            <w:tcW w:w="22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(2,373,218)</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92,375</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(1,493,203)</w:t>
            </w:r>
          </w:p>
        </w:tc>
      </w:tr>
      <w:tr>
        <w:trPr>
          <w:trHeight w:val="29"/>
        </w:trPr>
        <w:tc>
          <w:tcPr>
            <w:tcW w:w="2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9"/>
              </w:rPr>
              <w:t>Year Ended December 31,</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40" w:type="dxa"/>
            <w:vAlign w:val="bottom"/>
          </w:tcPr>
          <w:p>
            <w:pPr>
              <w:spacing w:after="0"/>
              <w:rPr>
                <w:sz w:val="12"/>
                <w:szCs w:val="12"/>
                <w:color w:val="auto"/>
              </w:rPr>
            </w:pPr>
          </w:p>
        </w:tc>
        <w:tc>
          <w:tcPr>
            <w:tcW w:w="1420" w:type="dxa"/>
            <w:vAlign w:val="bottom"/>
          </w:tcPr>
          <w:p>
            <w:pPr>
              <w:jc w:val="right"/>
              <w:ind w:right="786"/>
              <w:spacing w:after="0"/>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ind w:right="806"/>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ind w:right="786"/>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Cash flow from operating activities</w:t>
            </w:r>
          </w:p>
        </w:tc>
        <w:tc>
          <w:tcPr>
            <w:tcW w:w="14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440" w:type="dxa"/>
            <w:vAlign w:val="bottom"/>
          </w:tcPr>
          <w:p>
            <w:pPr>
              <w:jc w:val="right"/>
              <w:ind w:right="373"/>
              <w:spacing w:after="0"/>
              <w:rPr>
                <w:sz w:val="20"/>
                <w:szCs w:val="20"/>
                <w:color w:val="auto"/>
              </w:rPr>
            </w:pPr>
            <w:r>
              <w:rPr>
                <w:rFonts w:ascii="Arial" w:cs="Arial" w:eastAsia="Arial" w:hAnsi="Arial"/>
                <w:sz w:val="5"/>
                <w:szCs w:val="5"/>
                <w:color w:val="auto"/>
                <w:w w:val="70"/>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16,545</w:t>
            </w:r>
          </w:p>
        </w:tc>
        <w:tc>
          <w:tcPr>
            <w:tcW w:w="24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(8,828)</w:t>
            </w:r>
          </w:p>
        </w:tc>
        <w:tc>
          <w:tcPr>
            <w:tcW w:w="5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Depreciation and amortization</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451,750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434,205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375,970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Amortization of deferred financing costs and debt discount</w:t>
            </w: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24,614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23,102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Deferred income taxes</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1"/>
                <w:szCs w:val="11"/>
                <w:color w:val="auto"/>
              </w:rPr>
              <w:t>(7,385)</w:t>
            </w: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(41,171)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(2,186)</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Straight-line rental revenues</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(15,048)</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(15,136)</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(17,293)</w:t>
            </w: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Stock-based compensation</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8,064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7,713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4,846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Change in fair value of contingent consideration</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(3,721)</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10,736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Other</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7,818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872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Changes in assets and liabilities, net of acquisitions:</w:t>
            </w: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240"/>
              <w:spacing w:after="0"/>
              <w:rPr>
                <w:sz w:val="20"/>
                <w:szCs w:val="20"/>
                <w:color w:val="auto"/>
              </w:rPr>
            </w:pPr>
            <w:r>
              <w:rPr>
                <w:rFonts w:ascii="Arial" w:cs="Arial" w:eastAsia="Arial" w:hAnsi="Arial"/>
                <w:sz w:val="11"/>
                <w:szCs w:val="11"/>
                <w:color w:val="auto"/>
              </w:rPr>
              <w:t>Accounts receivable</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1"/>
                <w:szCs w:val="11"/>
                <w:color w:val="auto"/>
              </w:rPr>
              <w:t>(52,792)</w:t>
            </w: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(10,524)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(3,516)</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Other assets</w:t>
            </w: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(1,560)</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(1,365)</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Accounts payable, accrued expenses and other liabilities</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41,218</w:t>
            </w: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5,851</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cash provided by operating activities</w:t>
            </w:r>
          </w:p>
        </w:tc>
        <w:tc>
          <w:tcPr>
            <w:tcW w:w="44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472,818</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405,260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375,988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rPr>
                <w:sz w:val="20"/>
                <w:szCs w:val="20"/>
                <w:color w:val="auto"/>
              </w:rPr>
            </w:pPr>
            <w:r>
              <w:rPr>
                <w:rFonts w:ascii="Arial" w:cs="Arial" w:eastAsia="Arial" w:hAnsi="Arial"/>
                <w:sz w:val="11"/>
                <w:szCs w:val="11"/>
                <w:b w:val="1"/>
                <w:bCs w:val="1"/>
                <w:color w:val="auto"/>
              </w:rPr>
              <w:t>Cash flow from investing activities</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Acquisition of businesses, net of cash acquired</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(53,669)</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(761,887)</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(488,788)</w:t>
            </w: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Acquisition of ground lease investments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(21,764)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(11,543)</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NMS asset acquisition (Note 5)</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(3,299)</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(69,729)</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Capital expenditures - other</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1"/>
                <w:szCs w:val="11"/>
                <w:color w:val="auto"/>
              </w:rPr>
              <w:t>(423,575)</w:t>
            </w: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(166,028)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(34,900)</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FF0FC"/>
          </w:tcPr>
          <w:p>
            <w:pPr>
              <w:spacing w:after="0"/>
              <w:rPr>
                <w:sz w:val="20"/>
                <w:szCs w:val="20"/>
                <w:color w:val="auto"/>
              </w:rPr>
            </w:pPr>
            <w:r>
              <w:rPr>
                <w:rFonts w:ascii="Arial" w:cs="Arial" w:eastAsia="Arial" w:hAnsi="Arial"/>
                <w:sz w:val="11"/>
                <w:szCs w:val="11"/>
                <w:color w:val="auto"/>
              </w:rPr>
              <w:t>Net cash used in investing activities</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80" w:type="dxa"/>
            <w:vAlign w:val="bottom"/>
            <w:gridSpan w:val="2"/>
            <w:vMerge w:val="continue"/>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(480,543)</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(1,019,408)</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(535,231)</w:t>
            </w: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rPr>
                <w:sz w:val="20"/>
                <w:szCs w:val="20"/>
                <w:color w:val="auto"/>
              </w:rPr>
            </w:pPr>
            <w:r>
              <w:rPr>
                <w:rFonts w:ascii="Arial" w:cs="Arial" w:eastAsia="Arial" w:hAnsi="Arial"/>
                <w:sz w:val="11"/>
                <w:szCs w:val="11"/>
                <w:b w:val="1"/>
                <w:bCs w:val="1"/>
                <w:color w:val="auto"/>
              </w:rPr>
              <w:t>Cash flow from financing activities</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Principal payment on debt</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(21,080)</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(21,080)</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(22,027)</w:t>
            </w: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Dividends paid</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1"/>
                <w:szCs w:val="11"/>
                <w:color w:val="auto"/>
              </w:rPr>
              <w:t>(426,094)</w:t>
            </w: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(400,210)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(367,830)</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Payments of contingent consideration</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(18,640)</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(19,999)</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Proceeds from issuance of Notes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201,000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548,875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Borrowings under revolving credit facility</w:t>
            </w: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500,000</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845,000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641,000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Payments under revolving credit facility</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1"/>
                <w:szCs w:val="11"/>
                <w:color w:val="auto"/>
              </w:rPr>
              <w:t>(140,000)</w:t>
            </w: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(565,000)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(641,000)</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Capital lease payments</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(5,946)</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(3,237)</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(1,549)</w:t>
            </w: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Deferred financing costs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(28,539)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(20,557)</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Common stock issuance, net of costs</w:t>
            </w: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109,441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498,926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Purchase of noncontrolling interest</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(560)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Distributions paid to noncontrolling interest</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(9,917)</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(2,498)</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Net share settlement</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1"/>
                <w:szCs w:val="11"/>
                <w:color w:val="auto"/>
              </w:rPr>
              <w:t>(1,605)</w:t>
            </w: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(1,836)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(2,359)</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FF0FC"/>
          </w:tcPr>
          <w:p>
            <w:pPr>
              <w:spacing w:after="0"/>
              <w:rPr>
                <w:sz w:val="20"/>
                <w:szCs w:val="20"/>
                <w:color w:val="auto"/>
              </w:rPr>
            </w:pPr>
            <w:r>
              <w:rPr>
                <w:rFonts w:ascii="Arial" w:cs="Arial" w:eastAsia="Arial" w:hAnsi="Arial"/>
                <w:sz w:val="11"/>
                <w:szCs w:val="11"/>
                <w:color w:val="auto"/>
              </w:rPr>
              <w:t>Net cash (used in) provided by financing activities</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80" w:type="dxa"/>
            <w:vAlign w:val="bottom"/>
            <w:gridSpan w:val="2"/>
            <w:vMerge w:val="continue"/>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(13,841)</w:t>
            </w:r>
          </w:p>
        </w:tc>
        <w:tc>
          <w:tcPr>
            <w:tcW w:w="22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501,967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188,766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rPr>
                <w:sz w:val="20"/>
                <w:szCs w:val="20"/>
                <w:color w:val="auto"/>
              </w:rPr>
            </w:pPr>
            <w:r>
              <w:rPr>
                <w:rFonts w:ascii="Arial" w:cs="Arial" w:eastAsia="Arial" w:hAnsi="Arial"/>
                <w:sz w:val="11"/>
                <w:szCs w:val="11"/>
                <w:color w:val="auto"/>
              </w:rPr>
              <w:t>Effect of exchange rates on cash and cash equivalents</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1"/>
                <w:szCs w:val="11"/>
                <w:color w:val="auto"/>
              </w:rPr>
              <w:t>(173)</w:t>
            </w:r>
          </w:p>
        </w:tc>
        <w:tc>
          <w:tcPr>
            <w:tcW w:w="22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192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FF0FC"/>
          </w:tcPr>
          <w:p>
            <w:pPr>
              <w:spacing w:after="0"/>
              <w:rPr>
                <w:sz w:val="20"/>
                <w:szCs w:val="20"/>
                <w:color w:val="auto"/>
              </w:rPr>
            </w:pPr>
            <w:r>
              <w:rPr>
                <w:rFonts w:ascii="Arial" w:cs="Arial" w:eastAsia="Arial" w:hAnsi="Arial"/>
                <w:sz w:val="11"/>
                <w:szCs w:val="11"/>
                <w:color w:val="auto"/>
              </w:rPr>
              <w:t>Net (decrease) increase in cash and cash equivalents</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80" w:type="dxa"/>
            <w:vAlign w:val="bottom"/>
            <w:gridSpan w:val="2"/>
            <w:vMerge w:val="continue"/>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(21,739)</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(111,989)</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29,256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Cash and cash equivalents at beginning of period</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59,765</w:t>
            </w: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171,754</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142,498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Cash and cash equivalents at end of period</w:t>
            </w:r>
          </w:p>
        </w:tc>
        <w:tc>
          <w:tcPr>
            <w:tcW w:w="440" w:type="dxa"/>
            <w:vAlign w:val="bottom"/>
            <w:shd w:val="clear" w:color="auto" w:fill="CFF0FC"/>
          </w:tcPr>
          <w:p>
            <w:pPr>
              <w:jc w:val="right"/>
              <w:ind w:right="373"/>
              <w:spacing w:after="0"/>
              <w:rPr>
                <w:sz w:val="20"/>
                <w:szCs w:val="20"/>
                <w:color w:val="auto"/>
              </w:rPr>
            </w:pPr>
            <w:r>
              <w:rPr>
                <w:rFonts w:ascii="Arial" w:cs="Arial" w:eastAsia="Arial" w:hAnsi="Arial"/>
                <w:sz w:val="5"/>
                <w:szCs w:val="5"/>
                <w:color w:val="auto"/>
                <w:w w:val="70"/>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38,026</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59,765</w:t>
            </w:r>
          </w:p>
        </w:tc>
        <w:tc>
          <w:tcPr>
            <w:tcW w:w="1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171,754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280" w:type="dxa"/>
            <w:vAlign w:val="bottom"/>
            <w:tcBorders>
              <w:top w:val="single" w:sz="8" w:color="CFF0FC"/>
            </w:tcBorders>
            <w:gridSpan w:val="2"/>
          </w:tcPr>
          <w:p>
            <w:pPr>
              <w:spacing w:after="0"/>
              <w:rPr>
                <w:sz w:val="20"/>
                <w:szCs w:val="20"/>
                <w:color w:val="auto"/>
              </w:rPr>
            </w:pPr>
            <w:r>
              <w:rPr>
                <w:rFonts w:ascii="Arial" w:cs="Arial" w:eastAsia="Arial" w:hAnsi="Arial"/>
                <w:sz w:val="11"/>
                <w:szCs w:val="11"/>
                <w:b w:val="1"/>
                <w:bCs w:val="1"/>
                <w:color w:val="auto"/>
              </w:rPr>
              <w:t>Non-cash investing and financing activities:</w:t>
            </w:r>
          </w:p>
        </w:tc>
        <w:tc>
          <w:tcPr>
            <w:tcW w:w="4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Property and equipment acquired but not yet paid</w:t>
            </w:r>
          </w:p>
        </w:tc>
        <w:tc>
          <w:tcPr>
            <w:tcW w:w="440" w:type="dxa"/>
            <w:vAlign w:val="bottom"/>
            <w:shd w:val="clear" w:color="auto" w:fill="CFF0FC"/>
          </w:tcPr>
          <w:p>
            <w:pPr>
              <w:jc w:val="right"/>
              <w:ind w:right="373"/>
              <w:spacing w:after="0"/>
              <w:rPr>
                <w:sz w:val="20"/>
                <w:szCs w:val="20"/>
                <w:color w:val="auto"/>
              </w:rPr>
            </w:pPr>
            <w:r>
              <w:rPr>
                <w:rFonts w:ascii="Arial" w:cs="Arial" w:eastAsia="Arial" w:hAnsi="Arial"/>
                <w:sz w:val="5"/>
                <w:szCs w:val="5"/>
                <w:color w:val="auto"/>
                <w:w w:val="70"/>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17,901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15,285</w:t>
            </w:r>
          </w:p>
        </w:tc>
        <w:tc>
          <w:tcPr>
            <w:tcW w:w="1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ind w:left="160"/>
              <w:spacing w:after="0"/>
              <w:rPr>
                <w:sz w:val="20"/>
                <w:szCs w:val="20"/>
                <w:color w:val="auto"/>
              </w:rPr>
            </w:pPr>
            <w:r>
              <w:rPr>
                <w:rFonts w:ascii="Arial" w:cs="Arial" w:eastAsia="Arial" w:hAnsi="Arial"/>
                <w:sz w:val="11"/>
                <w:szCs w:val="11"/>
                <w:color w:val="auto"/>
              </w:rPr>
              <w:t>Tenant capital improvements</w:t>
            </w:r>
          </w:p>
        </w:tc>
        <w:tc>
          <w:tcPr>
            <w:tcW w:w="440" w:type="dxa"/>
            <w:vAlign w:val="bottom"/>
          </w:tcPr>
          <w:p>
            <w:pPr>
              <w:jc w:val="right"/>
              <w:ind w:right="373"/>
              <w:spacing w:after="0"/>
              <w:rPr>
                <w:sz w:val="20"/>
                <w:szCs w:val="20"/>
                <w:color w:val="auto"/>
              </w:rPr>
            </w:pPr>
            <w:r>
              <w:rPr>
                <w:rFonts w:ascii="Arial" w:cs="Arial" w:eastAsia="Arial" w:hAnsi="Arial"/>
                <w:sz w:val="5"/>
                <w:szCs w:val="5"/>
                <w:color w:val="auto"/>
                <w:w w:val="70"/>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153,615</w:t>
            </w:r>
          </w:p>
        </w:tc>
        <w:tc>
          <w:tcPr>
            <w:tcW w:w="24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1"/>
                <w:szCs w:val="11"/>
                <w:color w:val="auto"/>
              </w:rPr>
              <w:t>227,969</w:t>
            </w:r>
          </w:p>
        </w:tc>
        <w:tc>
          <w:tcPr>
            <w:tcW w:w="120" w:type="dxa"/>
            <w:vAlign w:val="bottom"/>
          </w:tcPr>
          <w:p>
            <w:pPr>
              <w:spacing w:after="0"/>
              <w:rPr>
                <w:sz w:val="12"/>
                <w:szCs w:val="12"/>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156,972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Acquisition of businesses through non-cash consideration</w:t>
            </w:r>
          </w:p>
        </w:tc>
        <w:tc>
          <w:tcPr>
            <w:tcW w:w="440" w:type="dxa"/>
            <w:vAlign w:val="bottom"/>
            <w:shd w:val="clear" w:color="auto" w:fill="CFF0FC"/>
          </w:tcPr>
          <w:p>
            <w:pPr>
              <w:jc w:val="right"/>
              <w:ind w:right="373"/>
              <w:spacing w:after="0"/>
              <w:rPr>
                <w:sz w:val="20"/>
                <w:szCs w:val="20"/>
                <w:color w:val="auto"/>
              </w:rPr>
            </w:pPr>
            <w:r>
              <w:rPr>
                <w:rFonts w:ascii="Arial" w:cs="Arial" w:eastAsia="Arial" w:hAnsi="Arial"/>
                <w:sz w:val="5"/>
                <w:szCs w:val="5"/>
                <w:color w:val="auto"/>
                <w:w w:val="70"/>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122,395</w:t>
            </w:r>
          </w:p>
        </w:tc>
        <w:tc>
          <w:tcPr>
            <w:tcW w:w="1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259,996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Organization and Description of Business</w:t>
      </w:r>
    </w:p>
    <w:p>
      <w:pPr>
        <w:spacing w:after="0" w:line="154"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Uniti Group Inc. (the “Company,” “Uniti,” “we,” “us,” or “our”)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0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December 31, 2018, we are the sole general partner of the Operating Partnership and own approximately 97.7% of the partnership interests in the Operating Partnership.</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Basis of Presentation and Consolidation</w:t>
      </w:r>
    </w:p>
    <w:p>
      <w:pPr>
        <w:spacing w:after="0" w:line="154"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accompanying Consolidated Financial Statements include all accounts of the Company and, its wholly-owned and/or controlled subsidiaries, which includes the Operating Partnership. Under the Accounting Standards Codification 810, Consolidation (“ASC 810”), the Operating Partnership is considered a variable interest entity and is consolidated in the Consolidated Financial Statements of Uniti Group Inc. as the Company has determined to be the primary beneficiary. All material intercompany balances and transactions have been eliminated.</w:t>
      </w:r>
    </w:p>
    <w:p>
      <w:pPr>
        <w:spacing w:after="0" w:line="123"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by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1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Going Concern</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0"/>
          <w:szCs w:val="10"/>
          <w:color w:val="auto"/>
        </w:rPr>
        <w:t xml:space="preserve">In accordance with Accounting Standards Update ("ASU") 2014-15, </w:t>
      </w:r>
      <w:r>
        <w:rPr>
          <w:rFonts w:ascii="Arial" w:cs="Arial" w:eastAsia="Arial" w:hAnsi="Arial"/>
          <w:sz w:val="10"/>
          <w:szCs w:val="10"/>
          <w:i w:val="1"/>
          <w:iCs w:val="1"/>
          <w:color w:val="auto"/>
        </w:rPr>
        <w:t>Disclosure of Uncertainties about an Entity's Ability to Continue as a Going Concern (Subtopic 205-40)</w:t>
      </w:r>
      <w:r>
        <w:rPr>
          <w:rFonts w:ascii="Arial" w:cs="Arial" w:eastAsia="Arial" w:hAnsi="Arial"/>
          <w:sz w:val="10"/>
          <w:szCs w:val="10"/>
          <w:color w:val="auto"/>
        </w:rPr>
        <w:t>, the Company’s management has evaluated whether there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are conditions and events, considered in the aggregate, that raise substantial doubt about the Company’s ability to continue as a going concern within one year after the date of the financial statements are issued.</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We are party to a Master Lease agreement (the “Master Lease”) with Windstream Holdings, Inc. (“Windstream Holdings” and together with its consolidated subsidiaries “Windstream”), from which 68.2% of our revenue for the year ended December 31, 2018 was derived. Windstream has been involved in litigation with an entity who acquired certain Windstream debt securities and thereafter issued a notice of default as to such securities related to our spin-off from Windstream (“Spin-Off”). Windstream challenged the matter in federal court and a trial was held in July 2018. On February 15, 2019, the federal court judge issued a ruling against Windstream, finding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w:t>
      </w:r>
    </w:p>
    <w:p>
      <w:pPr>
        <w:spacing w:after="0" w:line="126"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In bankruptcy, Windstream has the option to assume or reject the Master Lease. Because the Master Lease is a single indivisible Master Lease with a single rent payment, the lease must be assumed or rejected in whole and cannot be sub-divided by facility or market. A significant amount of Windstream’s revenue is generated from the use of our network included in the Master Lease, and we believe that the Master Lease is essential to Windstream’s</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1"/>
          <w:szCs w:val="11"/>
          <w:color w:val="auto"/>
        </w:rPr>
        <w:t>operations. Furthermore, Windstream is designated as a “carrier of last resort” in certain markets where it utilizes the Master Lease to provide service to its customers, and Windstream would require approval from the Public Utility Commissions and the Federal Communications Commission to cease providing service in those markets. As a result, we believe the probability of Windstream rejecting the lease in bankruptcy to be remote. However, a rejection of the Master Lease,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pay dividends to our stockholders as required to maintain our status as a REIT. As a result, conditions or events have been identified that are present that raise substantial doubt about the Company’s ability to continue as a going concern.</w:t>
      </w:r>
    </w:p>
    <w:p>
      <w:pPr>
        <w:spacing w:after="0" w:line="115" w:lineRule="exact"/>
        <w:rPr>
          <w:sz w:val="20"/>
          <w:szCs w:val="20"/>
          <w:color w:val="auto"/>
        </w:rPr>
      </w:pPr>
    </w:p>
    <w:p>
      <w:pPr>
        <w:ind w:right="80"/>
        <w:spacing w:after="0" w:line="327" w:lineRule="auto"/>
        <w:rPr>
          <w:sz w:val="20"/>
          <w:szCs w:val="20"/>
          <w:color w:val="auto"/>
        </w:rPr>
      </w:pPr>
      <w:r>
        <w:rPr>
          <w:rFonts w:ascii="Arial" w:cs="Arial" w:eastAsia="Arial" w:hAnsi="Arial"/>
          <w:sz w:val="10"/>
          <w:szCs w:val="10"/>
          <w:color w:val="auto"/>
        </w:rPr>
        <w:t>The Company has considered the mitigating effects of management’s plans to alleviate the substantial doubt about the ability to continue as going concern in the event there is a disruption in the payments due to us under the Master Lease prior to Windstream’s assumption or rejection of the lease. Those plans include deferring, reducing or delaying cash dividends and capital expenditures, if necessary, paying one or more dividends that are required to maintain our REIT status in shares to the extent allowed under the IRS REIT rules, curtailing acquisition activities, accessing the capital markets and identifying alternative sources of liquidity. Based on our analysis, including consideration of the timing of petitioners’ requirements to make post-petition lease payments under U.S. bankruptcy law, we believe that we have adequate liquidity to continue to fund our operations for twelve months after the issuance of the financial statements.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Although management has concluded the probability of a rejection of the Master Lease to be remote, and has noted the absence of any provision in the Master Lease that contemplates renegotiation of the lease and the lack of any ability of the bankruptcy court to unilaterally reset the rent or terms of the lease, it is difficult to predict what could occur in Windstream’s bankruptcy restructuring. The Company has evaluated its ability to continue as a going concern in light of the possibility of a consensual renegotiation of the Master Lease, and the impact of any renegotiated lease on our compliance with our debt covenants. We note that our Credit Agreement prohibits the Company from amending the Master Lease that, among other provisions, pro forma for any such amendment, would result in a consolidated secured leverage ratio that exceeds 5.0 to 1.0. Furthermore, management has no intention to enter into a lease amendment that would violate our debt covenants.</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However, because there can be no certainty as of the outcome of Windstream’s decision to assume or reject the Master Lease, uncertainties exist as to the outcome or impacts of any potential consensual renegotiation of the Master Lease.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Therefore, substantial doubt about our ability to continue as a going concern within one year after the issuance of the financial statements exists.</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consolidated financial statements have been prepared on a going concern basis, which contemplates the realization of assets and satisfaction of liabilities in the ordinary course of business. The financial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statements do not include any adjustments that might be necessary if the Company is unable to continue as a going concern.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u w:val="single" w:color="auto"/>
          <w:color w:val="auto"/>
        </w:rPr>
        <w:t>Use of Estimates</w:t>
      </w:r>
      <w:r>
        <w:rPr>
          <w:rFonts w:ascii="Arial" w:cs="Arial" w:eastAsia="Arial" w:hAnsi="Arial"/>
          <w:sz w:val="11"/>
          <w:szCs w:val="11"/>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2"/>
          <w:szCs w:val="12"/>
          <w:u w:val="single" w:color="auto"/>
          <w:color w:val="auto"/>
        </w:rPr>
        <w:t>Property, Plant and Equipment</w:t>
      </w:r>
      <w:r>
        <w:rPr>
          <w:rFonts w:ascii="Arial" w:cs="Arial" w:eastAsia="Arial" w:hAnsi="Arial"/>
          <w:sz w:val="12"/>
          <w:szCs w:val="12"/>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capitalizes a portion of the interest costs it incurs for assets that require a period of time to get them ready for their intended use. The amount of interest that is capitalized is based on the average accumulated expenditures made during the period involved in bringing the assets comprising a network to an operational state at the Company’s weighted average interest rate during the respective accounting period.</w:t>
      </w:r>
    </w:p>
    <w:p>
      <w:pPr>
        <w:spacing w:after="0" w:line="125" w:lineRule="exact"/>
        <w:rPr>
          <w:sz w:val="20"/>
          <w:szCs w:val="20"/>
          <w:color w:val="auto"/>
        </w:rPr>
      </w:pPr>
    </w:p>
    <w:p>
      <w:pPr>
        <w:jc w:val="both"/>
        <w:ind w:right="80"/>
        <w:spacing w:after="0" w:line="147" w:lineRule="exact"/>
        <w:rPr>
          <w:sz w:val="20"/>
          <w:szCs w:val="20"/>
          <w:color w:val="auto"/>
        </w:rPr>
      </w:pPr>
      <w:r>
        <w:rPr>
          <w:rFonts w:ascii="Arial" w:cs="Arial" w:eastAsia="Arial" w:hAnsi="Arial"/>
          <w:sz w:val="12"/>
          <w:szCs w:val="12"/>
          <w:color w:val="auto"/>
        </w:rPr>
        <w:t>The Company also enters into leasing arrangements providing for the long</w:t>
      </w:r>
      <w:r>
        <w:rPr>
          <w:rFonts w:ascii="MS PGothic" w:cs="MS PGothic" w:eastAsia="MS PGothic" w:hAnsi="MS PGothic"/>
          <w:sz w:val="12"/>
          <w:szCs w:val="12"/>
          <w:color w:val="auto"/>
        </w:rPr>
        <w:t>‑</w:t>
      </w:r>
      <w:r>
        <w:rPr>
          <w:rFonts w:ascii="Arial" w:cs="Arial" w:eastAsia="Arial" w:hAnsi="Arial"/>
          <w:sz w:val="12"/>
          <w:szCs w:val="12"/>
          <w:color w:val="auto"/>
        </w:rPr>
        <w:t>term use of constructed fiber that is then integrated into the Company’s network infrastructure. For each lease that qualifies as a capital lease, the present value of the lease payments, which may include both periodic lease payments over the term of the lease as well as upfront payments to the lessor, is capitalized at the inception of the lease and included in property and equipment. As of December 31, 2018 and 2017, the accumulated amortization of our capital lease assets was $15.8 million and $10.1 million, respectively.</w:t>
      </w:r>
    </w:p>
    <w:p>
      <w:pPr>
        <w:spacing w:after="0" w:line="137"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Certain property, plant and equipment acquired as part of our spin-off from Windstream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capital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will begin once the construction period has ceased and the related asset has been placed into service, in which it will be depreciated over its useful life.</w:t>
      </w:r>
    </w:p>
    <w:p>
      <w:pPr>
        <w:spacing w:after="0" w:line="124"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Costs of maintenance and repairs to property, plant and equipment subject triple-net leasing arrangements are the responsibility of our tenant. Costs of maintenance and repairs to property, plant and equipment not subject to triple-net leasing arrangements are expensed as incurred.</w:t>
      </w:r>
    </w:p>
    <w:p>
      <w:pPr>
        <w:spacing w:after="0" w:line="115" w:lineRule="exact"/>
        <w:rPr>
          <w:sz w:val="20"/>
          <w:szCs w:val="20"/>
          <w:color w:val="auto"/>
        </w:rPr>
      </w:pPr>
    </w:p>
    <w:p>
      <w:pPr>
        <w:jc w:val="both"/>
        <w:ind w:right="380"/>
        <w:spacing w:after="0" w:line="263" w:lineRule="auto"/>
        <w:rPr>
          <w:sz w:val="20"/>
          <w:szCs w:val="20"/>
          <w:color w:val="auto"/>
        </w:rPr>
      </w:pPr>
      <w:r>
        <w:rPr>
          <w:rFonts w:ascii="Arial" w:cs="Arial" w:eastAsia="Arial" w:hAnsi="Arial"/>
          <w:sz w:val="12"/>
          <w:szCs w:val="12"/>
          <w:color w:val="auto"/>
        </w:rPr>
        <w:t>We acquire real property interests from third parties who own land where communications infrastructure assets are located and desire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Real property interests are recorded in property, plant and equipment on our Consolidated Balance Sheet.</w:t>
      </w:r>
    </w:p>
    <w:p>
      <w:pPr>
        <w:spacing w:after="0" w:line="123"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u w:val="single" w:color="auto"/>
          <w:color w:val="auto"/>
        </w:rPr>
        <w:t>Tenant Capital Improvements</w:t>
      </w:r>
      <w:r>
        <w:rPr>
          <w:rFonts w:ascii="Arial" w:cs="Arial" w:eastAsia="Arial" w:hAnsi="Arial"/>
          <w:sz w:val="11"/>
          <w:szCs w:val="11"/>
          <w:color w:val="auto"/>
        </w:rPr>
        <w:t>—Our lease with Windstream provides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At December 31, 2018 and 2017, the net book value of TCIs recorded as a component of property, plant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and equipment on our Consolidated Balance Sheet was $562.9 million and $432.4 million, respectively. For the years ended December 31, 2018, 2017 and 2016, we recognized $23.1 million, $14.3 million, and $6.1 million of revenue and depreciation expense related to TCIs, respectively.</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u w:val="single" w:color="auto"/>
          <w:color w:val="auto"/>
        </w:rPr>
        <w:t>Impairment of Long-Lived Assets</w:t>
      </w:r>
      <w:r>
        <w:rPr>
          <w:rFonts w:ascii="Arial" w:cs="Arial" w:eastAsia="Arial" w:hAnsi="Arial"/>
          <w:sz w:val="12"/>
          <w:szCs w:val="12"/>
          <w:color w:val="auto"/>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During the years ended December 31, 2018, 2017 and 2016, there were no events or changes in circumstances indicating that the carrying amount of any of our assets groups to not be recoverable from future undiscounted net cash flows we expect the asset groups to generate, and no impairment losses were recognized.</w:t>
      </w:r>
    </w:p>
    <w:p>
      <w:pPr>
        <w:spacing w:after="0" w:line="125" w:lineRule="exact"/>
        <w:rPr>
          <w:sz w:val="20"/>
          <w:szCs w:val="20"/>
          <w:color w:val="auto"/>
        </w:rPr>
      </w:pPr>
    </w:p>
    <w:p>
      <w:pPr>
        <w:spacing w:after="0" w:line="146" w:lineRule="exact"/>
        <w:rPr>
          <w:sz w:val="20"/>
          <w:szCs w:val="20"/>
          <w:color w:val="auto"/>
        </w:rPr>
      </w:pPr>
      <w:r>
        <w:rPr>
          <w:rFonts w:ascii="Arial" w:cs="Arial" w:eastAsia="Arial" w:hAnsi="Arial"/>
          <w:sz w:val="11"/>
          <w:szCs w:val="11"/>
          <w:u w:val="single" w:color="auto"/>
          <w:color w:val="auto"/>
        </w:rPr>
        <w:t>Asset Retirement Obligations</w:t>
      </w:r>
      <w:r>
        <w:rPr>
          <w:rFonts w:ascii="Arial" w:cs="Arial" w:eastAsia="Arial" w:hAnsi="Arial"/>
          <w:sz w:val="11"/>
          <w:szCs w:val="11"/>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The associated asset retirement costs are capitalized as an additional carrying amount of the related long</w:t>
      </w:r>
      <w:r>
        <w:rPr>
          <w:rFonts w:ascii="MS PGothic" w:cs="MS PGothic" w:eastAsia="MS PGothic" w:hAnsi="MS PGothic"/>
          <w:sz w:val="11"/>
          <w:szCs w:val="11"/>
          <w:color w:val="auto"/>
        </w:rPr>
        <w:t>‑</w:t>
      </w:r>
      <w:r>
        <w:rPr>
          <w:rFonts w:ascii="Arial" w:cs="Arial" w:eastAsia="Arial" w:hAnsi="Arial"/>
          <w:sz w:val="11"/>
          <w:szCs w:val="11"/>
          <w:color w:val="auto"/>
        </w:rPr>
        <w:t>lived asset and depreciated on a straight-line basis over the asset’s useful life. As of December 31, 2018 and 2017, our aggregate carrying amount of asset retirement obligations totaled $10.4 million and $9.4 million, respectively. During the year ended December 31, 2018 and 2017, we incurred liabilities of $0.1 million and $4.4 million related to asset retirement obligations, respectively. During the year ended December 31, 2018, 2017, and 2016, we recognized $0.9 million, $4.4 million, and $0.8 million of accretion expense related to asset retirement obligations,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Cash and Cash Equivalents</w:t>
      </w:r>
      <w:r>
        <w:rPr>
          <w:rFonts w:ascii="Arial" w:cs="Arial" w:eastAsia="Arial" w:hAnsi="Arial"/>
          <w:sz w:val="11"/>
          <w:szCs w:val="11"/>
          <w:color w:val="auto"/>
        </w:rPr>
        <w:t>—Cash and cash equivalents include all non-restricted cash held at financial institutions and other non-restricted highly liquid short-term investments with original maturities of three months or less.</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u w:val="single" w:color="auto"/>
          <w:color w:val="auto"/>
        </w:rPr>
        <w:t>Derivative Instruments and Hedging Activities</w:t>
      </w:r>
      <w:r>
        <w:rPr>
          <w:rFonts w:ascii="Arial" w:cs="Arial" w:eastAsia="Arial" w:hAnsi="Arial"/>
          <w:sz w:val="12"/>
          <w:szCs w:val="12"/>
          <w:color w:val="auto"/>
        </w:rPr>
        <w:t xml:space="preserve">—We account for our derivatives in accordance with FASB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in which we reflect all derivative instruments at fair value as either assets or liabilities on our Consolidated Balance Sheet.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See Note 6 and Note 8.</w:t>
      </w:r>
    </w:p>
    <w:p>
      <w:pPr>
        <w:spacing w:after="0" w:line="125" w:lineRule="exact"/>
        <w:rPr>
          <w:sz w:val="20"/>
          <w:szCs w:val="20"/>
          <w:color w:val="auto"/>
        </w:rPr>
      </w:pPr>
    </w:p>
    <w:p>
      <w:pPr>
        <w:ind w:right="160"/>
        <w:spacing w:after="0" w:line="380" w:lineRule="auto"/>
        <w:rPr>
          <w:sz w:val="20"/>
          <w:szCs w:val="20"/>
          <w:color w:val="auto"/>
        </w:rPr>
      </w:pPr>
      <w:r>
        <w:rPr>
          <w:rFonts w:ascii="Arial" w:cs="Arial" w:eastAsia="Arial" w:hAnsi="Arial"/>
          <w:sz w:val="10"/>
          <w:szCs w:val="10"/>
          <w:u w:val="single" w:color="auto"/>
          <w:color w:val="auto"/>
        </w:rPr>
        <w:t>Intangible Assets</w:t>
      </w:r>
      <w:r>
        <w:rPr>
          <w:rFonts w:ascii="Arial" w:cs="Arial" w:eastAsia="Arial" w:hAnsi="Arial"/>
          <w:sz w:val="10"/>
          <w:szCs w:val="10"/>
          <w:color w:val="auto"/>
        </w:rPr>
        <w:t>—Intangible assets are presented in the financial statements at cost less accumulated amortization and are amortized using the straight-line method over their estimated useful lives with the exception of the customer list intangible assets related to our Consumer CLEC Business, which were brought over at carry-over basis at the time of Spin-Off, and are amortized using the sum-of-the-years’-digits method over their estimated useful lives.</w:t>
      </w:r>
    </w:p>
    <w:p>
      <w:pPr>
        <w:spacing w:after="0" w:line="68"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u w:val="single" w:color="auto"/>
          <w:color w:val="auto"/>
        </w:rPr>
        <w:t>Foreign Currency Translation</w:t>
      </w:r>
      <w:r>
        <w:rPr>
          <w:rFonts w:ascii="Arial" w:cs="Arial" w:eastAsia="Arial" w:hAnsi="Arial"/>
          <w:sz w:val="12"/>
          <w:szCs w:val="12"/>
          <w:color w:val="auto"/>
        </w:rPr>
        <w:t>—The financial statements of our international subsidiaries whose functional currency is the local currency, and includes the Mexican Peso and Colombian Peso,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equity.</w:t>
      </w:r>
    </w:p>
    <w:p>
      <w:pPr>
        <w:spacing w:after="0" w:line="123"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u w:val="single" w:color="auto"/>
          <w:color w:val="auto"/>
        </w:rPr>
        <w:t>Reclassifications</w:t>
      </w:r>
      <w:r>
        <w:rPr>
          <w:rFonts w:ascii="Arial" w:cs="Arial" w:eastAsia="Arial" w:hAnsi="Arial"/>
          <w:sz w:val="12"/>
          <w:szCs w:val="12"/>
          <w:color w:val="auto"/>
        </w:rPr>
        <w:t>—During 2017 and forward, we managed and reported our operations in four reportable business segments: Leasing, Fiber Infrastructure, Towers and Consumer CLEC. Certain prior year asset categories and related amounts in Note 7 have been reclassified to conform with current year presentation.</w:t>
      </w:r>
    </w:p>
    <w:p>
      <w:pPr>
        <w:spacing w:after="0" w:line="115"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u w:val="single" w:color="auto"/>
          <w:color w:val="auto"/>
        </w:rPr>
        <w:t>Transaction Related Costs</w:t>
      </w:r>
      <w:r>
        <w:rPr>
          <w:rFonts w:ascii="Arial" w:cs="Arial" w:eastAsia="Arial" w:hAnsi="Arial"/>
          <w:sz w:val="11"/>
          <w:szCs w:val="11"/>
          <w:color w:val="auto"/>
        </w:rPr>
        <w:t>—The Company expenses transaction related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associated with an acquisition. Integration costs include direct costs necessary to integrate an acquired business, including professional services, systems and data conversion, severance and retention bonuses payable to employees of an acquired business.</w:t>
      </w:r>
    </w:p>
    <w:p>
      <w:pPr>
        <w:spacing w:after="0" w:line="115"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u w:val="single" w:color="auto"/>
          <w:color w:val="auto"/>
        </w:rPr>
        <w:t>Debt Issuance Costs</w:t>
      </w:r>
      <w:r>
        <w:rPr>
          <w:rFonts w:ascii="Arial" w:cs="Arial" w:eastAsia="Arial" w:hAnsi="Arial"/>
          <w:sz w:val="12"/>
          <w:szCs w:val="12"/>
          <w:color w:val="auto"/>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u w:val="single" w:color="auto"/>
          <w:color w:val="auto"/>
        </w:rPr>
        <w:t>Revenue Recognition</w:t>
      </w:r>
      <w:r>
        <w:rPr>
          <w:rFonts w:ascii="Arial" w:cs="Arial" w:eastAsia="Arial" w:hAnsi="Arial"/>
          <w:sz w:val="12"/>
          <w:szCs w:val="12"/>
          <w:color w:val="auto"/>
        </w:rPr>
        <w:t>—We recognize leasing revenues on a straight-line basis over the applicable lease term when collectability is reasonably assured. Recognizing leasing income on a straight-line basis generally results in recognized revenues during the first half of the lease term in excess of cash amounts contractually due from our tenants, creating a straight-line rent receivable.</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evaluate the collectability of straight-line rent receivables and record a provision for doubtful accounts if management believes the receivables to be uncollectible. At December 31, 2018 and 2017, no allowance was recorded related to our straight-line rent receivable.</w:t>
      </w:r>
    </w:p>
    <w:p>
      <w:pPr>
        <w:spacing w:after="0" w:line="115"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We lease certain assets to Windstream under a triple-net lease, whereby Windstream is responsible for the costs related to operating the Distribution Systems, including property taxes, insurance and maintenance and repair costs. As a result, we do not record an obligation related to the payment of property taxes or insurance, as Windstream makes direct payments to the taxing authorities and insurance carriers, respectively.</w:t>
      </w:r>
    </w:p>
    <w:p>
      <w:pPr>
        <w:spacing w:after="0" w:line="92" w:lineRule="exact"/>
        <w:rPr>
          <w:sz w:val="20"/>
          <w:szCs w:val="20"/>
          <w:color w:val="auto"/>
        </w:rPr>
      </w:pPr>
    </w:p>
    <w:p>
      <w:pPr>
        <w:spacing w:after="0" w:line="145" w:lineRule="exact"/>
        <w:rPr>
          <w:sz w:val="20"/>
          <w:szCs w:val="20"/>
          <w:color w:val="auto"/>
        </w:rPr>
      </w:pPr>
      <w:r>
        <w:rPr>
          <w:rFonts w:ascii="Arial" w:cs="Arial" w:eastAsia="Arial" w:hAnsi="Arial"/>
          <w:sz w:val="12"/>
          <w:szCs w:val="12"/>
          <w:color w:val="auto"/>
        </w:rPr>
        <w:t xml:space="preserve">The Company adopted ASU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(“Topic 606”) on January 1, 2018 (see Note 4). Prior to the adoption of Topic 606, the Company recognized service revenues related to its broadband transport and backhaul communications services when (i) persuasive evidence of an arrangement exists, (ii) the services have been provided to the customer, (iii) the sales price was fixed or determinable, and (iv) the collection of the sales price is reasonably assured. Services provided to the Company’s customers are rendered pursuant to contractual fee</w:t>
      </w:r>
      <w:r>
        <w:rPr>
          <w:rFonts w:ascii="MS PGothic" w:cs="MS PGothic" w:eastAsia="MS PGothic" w:hAnsi="MS PGothic"/>
          <w:sz w:val="12"/>
          <w:szCs w:val="12"/>
          <w:color w:val="auto"/>
        </w:rPr>
        <w:t>‑</w:t>
      </w:r>
      <w:r>
        <w:rPr>
          <w:rFonts w:ascii="Arial" w:cs="Arial" w:eastAsia="Arial" w:hAnsi="Arial"/>
          <w:sz w:val="12"/>
          <w:szCs w:val="12"/>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39" w:lineRule="exact"/>
        <w:rPr>
          <w:sz w:val="20"/>
          <w:szCs w:val="20"/>
          <w:color w:val="auto"/>
        </w:rPr>
      </w:pPr>
    </w:p>
    <w:p>
      <w:pPr>
        <w:ind w:right="100"/>
        <w:spacing w:after="0" w:line="327" w:lineRule="auto"/>
        <w:rPr>
          <w:sz w:val="20"/>
          <w:szCs w:val="20"/>
          <w:color w:val="auto"/>
        </w:rPr>
      </w:pPr>
      <w:r>
        <w:rPr>
          <w:rFonts w:ascii="Arial" w:cs="Arial" w:eastAsia="Arial" w:hAnsi="Arial"/>
          <w:sz w:val="10"/>
          <w:szCs w:val="10"/>
          <w:color w:val="auto"/>
        </w:rPr>
        <w:t>We evaluate the collectability of service receivables by considering a variety of factors. The Company typically does not require collateral. When the Company becomes aware of a specific customer’s inability to meet its financial obligations, the Company records a specific reserve for bad debt to reduce the related accounts receivable to the amount the Company reasonably believes is collectible. When appropriate, the Company also records reserves for bad debts for all other customers based on a variety of factors including the length of time the receivable is past due, the financial health of the customer, macroeconomic considerations and historical experience. If circumstances related to specific customers change, the Company adjusts its estimates of the recoverability of receivables as needed. At December 31, 2018 and 2017, the allowance recorded for service receivables was $2.3 million and $1.0 million, respectively.</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Consumer CLEC Business revenues are primarily derived from providing access to or usage of leased networks and facilities and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2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u w:val="single" w:color="auto"/>
          <w:color w:val="auto"/>
        </w:rPr>
        <w:t>Stock-Based Compensation</w:t>
      </w:r>
      <w:r>
        <w:rPr>
          <w:rFonts w:ascii="Arial" w:cs="Arial" w:eastAsia="Arial" w:hAnsi="Arial"/>
          <w:sz w:val="12"/>
          <w:szCs w:val="12"/>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value of restricted stock-based payments is based on the market value of our common stock on the date of grant. The fair value of performance-based awards, which have performance conditions, is based on a Monte Carlo simulation. The fair value of all stock-based compensation is recognized over the period during which an employee is required to provide services in exchange for the award. See Note 11.</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u w:val="single" w:color="auto"/>
          <w:color w:val="auto"/>
        </w:rPr>
        <w:t>Income Taxes</w:t>
      </w:r>
      <w:r>
        <w:rPr>
          <w:rFonts w:ascii="Arial" w:cs="Arial" w:eastAsia="Arial" w:hAnsi="Arial"/>
          <w:sz w:val="12"/>
          <w:szCs w:val="12"/>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2018,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Subject to the temporary restriction imposed by the waiver and amendment to our Credit Agreement (see Note 10), our ability to make cash distributions to our shareholders in amounts exceeding 90% of our REIT taxable income, determined without regard to the dividends paid deduction and excluding any capital gains, generally will be restricted.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5"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taxable REIT subsidiaries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unrecognized tax benefits of $3.0 million recorded in deferred incomes taxes on our Consolidated Balance Sheet.</w:t>
      </w:r>
    </w:p>
    <w:p>
      <w:pPr>
        <w:spacing w:after="0" w:line="12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Company will be subject to a federal corporate level tax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u w:val="single" w:color="auto"/>
          <w:color w:val="auto"/>
        </w:rPr>
        <w:t>Business Combinations</w:t>
      </w:r>
      <w:r>
        <w:rPr>
          <w:rFonts w:ascii="Arial" w:cs="Arial" w:eastAsia="Arial" w:hAnsi="Arial"/>
          <w:sz w:val="12"/>
          <w:szCs w:val="12"/>
          <w:color w:val="auto"/>
        </w:rPr>
        <w:t xml:space="preserve">—In accordance with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For acquisitions meeting the definition of a business combination, any excess of the purchase price paid by the Company over the amounts recognized for assets acquired and liabilities assumed is recorded as goodwill.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 For acquisitions meeting the definition of an asset acquisition, the fair value of the consideration transferred, including transaction costs, is allocated to the assets acquired and liabilities assumed based on their relative fair values. No goodwill is recognized in an asset acquisition.</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u w:val="single" w:color="auto"/>
          <w:color w:val="auto"/>
        </w:rPr>
        <w:t>Noncontrolling Interest</w:t>
      </w:r>
      <w:r>
        <w:rPr>
          <w:rFonts w:ascii="Arial" w:cs="Arial" w:eastAsia="Arial" w:hAnsi="Arial"/>
          <w:sz w:val="12"/>
          <w:szCs w:val="12"/>
          <w:color w:val="auto"/>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operations, we allocate net income (loss) attributable to noncontrolling interests to arrive at net income (loss) attributable to shareholders based on their proportionate share.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transactions that result in changes to the Company's ownership interest in our operating partnership, the carrying amount of noncontrolling interests is adjusted to reflect such changes. The difference between the fair value of the consideration received or paid and the amount by which the noncontrolling interest is adjusted is reflected as an adjustment to additional paid-in capital on the consolidated balance sheets.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u w:val="single" w:color="auto"/>
          <w:color w:val="auto"/>
        </w:rPr>
        <w:t>Goodwill</w:t>
      </w:r>
      <w:r>
        <w:rPr>
          <w:rFonts w:ascii="Arial" w:cs="Arial" w:eastAsia="Arial" w:hAnsi="Arial"/>
          <w:sz w:val="12"/>
          <w:szCs w:val="12"/>
          <w:color w:val="auto"/>
        </w:rPr>
        <w:t xml:space="preserve">—Goodwill is recognized for the excess of purchase price over the fair value of net assets of businesses acquired. Goodwill is reviewed for impairment at least annually. In accordance with ASC 350-20, </w:t>
      </w:r>
      <w:r>
        <w:rPr>
          <w:rFonts w:ascii="Arial" w:cs="Arial" w:eastAsia="Arial" w:hAnsi="Arial"/>
          <w:sz w:val="12"/>
          <w:szCs w:val="12"/>
          <w:i w:val="1"/>
          <w:iCs w:val="1"/>
          <w:color w:val="auto"/>
        </w:rPr>
        <w:t>Intangibles-Goodwill and</w:t>
      </w:r>
      <w:r>
        <w:rPr>
          <w:rFonts w:ascii="Arial" w:cs="Arial" w:eastAsia="Arial" w:hAnsi="Arial"/>
          <w:sz w:val="12"/>
          <w:szCs w:val="12"/>
          <w:color w:val="auto"/>
        </w:rPr>
        <w:t xml:space="preserve"> </w:t>
      </w:r>
      <w:r>
        <w:rPr>
          <w:rFonts w:ascii="Arial" w:cs="Arial" w:eastAsia="Arial" w:hAnsi="Arial"/>
          <w:sz w:val="12"/>
          <w:szCs w:val="12"/>
          <w:i w:val="1"/>
          <w:iCs w:val="1"/>
          <w:color w:val="auto"/>
        </w:rPr>
        <w:t>Other</w:t>
      </w:r>
      <w:r>
        <w:rPr>
          <w:rFonts w:ascii="Arial" w:cs="Arial" w:eastAsia="Arial" w:hAnsi="Arial"/>
          <w:sz w:val="12"/>
          <w:szCs w:val="12"/>
          <w:color w:val="auto"/>
        </w:rPr>
        <w:t>, we evaluate goodwill for impairment between annual impairment tests if an event occurs or circumstances change that would more likely than not reduce the fair value of a reporting unit below its carrying amount. Unless</w:t>
      </w:r>
      <w:r>
        <w:rPr>
          <w:rFonts w:ascii="Arial" w:cs="Arial" w:eastAsia="Arial" w:hAnsi="Arial"/>
          <w:sz w:val="12"/>
          <w:szCs w:val="12"/>
          <w:i w:val="1"/>
          <w:iCs w:val="1"/>
          <w:color w:val="auto"/>
        </w:rPr>
        <w:t xml:space="preserve"> </w:t>
      </w:r>
      <w:r>
        <w:rPr>
          <w:rFonts w:ascii="Arial" w:cs="Arial" w:eastAsia="Arial" w:hAnsi="Arial"/>
          <w:sz w:val="12"/>
          <w:szCs w:val="12"/>
          <w:color w:val="auto"/>
        </w:rPr>
        <w:t>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determination of the fair value of each reporting unit; and an assumption as to the form of the transaction in which the reporting unit would be acquired by a market participant (either a taxable or nontaxable transaction).</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If the carrying value of a reporting unit's net assets is less than its fair value, no indication of impairment exists. If the carrying amount of the reporting unit is greater than the fair value of the reporting unit, an impairment loss must be recognized for the excess and charged to operations not exceed the carrying value of goodwill.</w:t>
      </w:r>
    </w:p>
    <w:p>
      <w:pPr>
        <w:spacing w:after="0" w:line="123"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Inherent in our preparation of cash flow projections are significant assumptions and estimates derived from a review of our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Potential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events that could negatively impact these assumptions or estimates include customer losses or poor execution of our business plans, which impact growth, cost escalation impacting margin, the level of capital expenditures required to sustain our growth and market factors, including stock price fluctuations and increased rates, impacting our cost of capital. The market approach uses market data of comparable business and acquisition multiples paid in recent transactions to estimate fair value. Declines in the comparable business and acquisitions multiples could affect the likelihood and amount of potential impairment.</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of December 31, 2018 and 2017, all of our Goodwill is included in our Fiber Infrastructure segment. We performed our goodwill impairment analysis during the fourth quarter and we concluded the implied fair value of our Fiber Infrastructure reporting unit was in excess of its carrying value by less than 5%. During the years ended December 31, 2018 and 2017, no impairment losses were recognized.</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light of the recent developments below surrounding Windstream, as discussed in “Concentration of Credit Risks”, if there were to be changes in assumptions impacting the forecasted cash flows at Uniti Fiber, our conclusions regarding the likelihood and amount of any potential impairment could change.</w:t>
      </w:r>
    </w:p>
    <w:p>
      <w:pPr>
        <w:spacing w:after="0" w:line="11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u w:val="single" w:color="auto"/>
          <w:color w:val="auto"/>
        </w:rPr>
        <w:t>Earnings per Share</w:t>
      </w:r>
      <w:r>
        <w:rPr>
          <w:rFonts w:ascii="Arial" w:cs="Arial" w:eastAsia="Arial" w:hAnsi="Arial"/>
          <w:sz w:val="12"/>
          <w:szCs w:val="12"/>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15" w:lineRule="exact"/>
        <w:rPr>
          <w:sz w:val="20"/>
          <w:szCs w:val="20"/>
          <w:color w:val="auto"/>
        </w:rPr>
      </w:pPr>
    </w:p>
    <w:p>
      <w:pPr>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Basic earnings per share includes only the weighted average number of common shares outstanding during the period. Dilutive earnings per share includes the weighted average number of common shares and the dilutive effect of restricted stock and performance-based awards outstanding during the period, when such awards are dilutive. See </w:t>
      </w:r>
      <w:hyperlink w:anchor="page93">
        <w:r>
          <w:rPr>
            <w:rFonts w:ascii="Arial" w:cs="Arial" w:eastAsia="Arial" w:hAnsi="Arial"/>
            <w:sz w:val="12"/>
            <w:szCs w:val="12"/>
            <w:u w:val="single" w:color="auto"/>
            <w:color w:val="0000EE"/>
          </w:rPr>
          <w:t>Note 13.</w:t>
        </w:r>
      </w:hyperlink>
    </w:p>
    <w:p>
      <w:pPr>
        <w:spacing w:after="0" w:line="115" w:lineRule="exact"/>
        <w:rPr>
          <w:sz w:val="20"/>
          <w:szCs w:val="20"/>
          <w:color w:val="auto"/>
        </w:rPr>
      </w:pPr>
    </w:p>
    <w:p>
      <w:pPr>
        <w:spacing w:after="0" w:line="279" w:lineRule="auto"/>
        <w:rPr>
          <w:sz w:val="20"/>
          <w:szCs w:val="20"/>
          <w:color w:val="auto"/>
        </w:rPr>
      </w:pPr>
      <w:r>
        <w:rPr>
          <w:rFonts w:ascii="Arial" w:cs="Arial" w:eastAsia="Arial" w:hAnsi="Arial"/>
          <w:sz w:val="11"/>
          <w:szCs w:val="11"/>
          <w:u w:val="single" w:color="auto"/>
          <w:color w:val="auto"/>
        </w:rPr>
        <w:t>Concentration of Credit Risks</w:t>
      </w:r>
      <w:r>
        <w:rPr>
          <w:rFonts w:ascii="Arial" w:cs="Arial" w:eastAsia="Arial" w:hAnsi="Arial"/>
          <w:sz w:val="11"/>
          <w:szCs w:val="11"/>
          <w:color w:val="auto"/>
        </w:rPr>
        <w:t>—We are party to a Master Lease with Windstream from which substantially all of Uniti’s leasing revenues and operating cash flows are currently derived. Revenue under the Master Lease provided 68.2% of our revenue for the year ended December 31, 2018, 74.8% of our revenue for the year ended December 31, 2017, and 87.9% of our revenue for the year ended December 31, 2016.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multiple times over the past 12 months. In addition, Windstream has been involved in litigation with an entity who acquired certain Windstream debt securities and thereafter issued a notice of default as to such securities relating to our spin-off from Windstream. On December 7, 2017, the entity issued a notice of acceleration to Windstream claiming that the alleged default had matured into an “event of default” and that the principal amount, along with accrued interest, of such securities was due and payable immediately.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In response to the adverse outcome, on February 25, 2019, Windstream filed a voluntary petition for relief under Chapter 11 of the Bankruptcy Code in the U.S. Bankruptcy Court for the Southern District of New York.</w:t>
      </w:r>
    </w:p>
    <w:p>
      <w:pPr>
        <w:spacing w:after="0" w:line="150" w:lineRule="exact"/>
        <w:rPr>
          <w:sz w:val="20"/>
          <w:szCs w:val="20"/>
          <w:color w:val="auto"/>
        </w:rPr>
      </w:pPr>
    </w:p>
    <w:p>
      <w:pPr>
        <w:ind w:right="20"/>
        <w:spacing w:after="0" w:line="290" w:lineRule="auto"/>
        <w:rPr>
          <w:rFonts w:ascii="Arial" w:cs="Arial" w:eastAsia="Arial" w:hAnsi="Arial"/>
          <w:sz w:val="11"/>
          <w:szCs w:val="11"/>
          <w:color w:val="auto"/>
        </w:rPr>
      </w:pPr>
      <w:r>
        <w:rPr>
          <w:rFonts w:ascii="Arial" w:cs="Arial" w:eastAsia="Arial" w:hAnsi="Arial"/>
          <w:sz w:val="11"/>
          <w:szCs w:val="11"/>
          <w:color w:val="auto"/>
        </w:rPr>
        <w:t xml:space="preserve">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w:t>
      </w:r>
      <w:hyperlink w:anchor="page64">
        <w:r>
          <w:rPr>
            <w:rFonts w:ascii="Arial" w:cs="Arial" w:eastAsia="Arial" w:hAnsi="Arial"/>
            <w:sz w:val="11"/>
            <w:szCs w:val="11"/>
            <w:u w:val="single" w:color="auto"/>
            <w:color w:val="0000EE"/>
          </w:rPr>
          <w:t>Note 2</w:t>
        </w:r>
      </w:hyperlink>
      <w:r>
        <w:rPr>
          <w:rFonts w:ascii="Arial" w:cs="Arial" w:eastAsia="Arial" w:hAnsi="Arial"/>
          <w:sz w:val="11"/>
          <w:szCs w:val="11"/>
          <w:color w:val="auto"/>
        </w:rPr>
        <w:t>. A rejection by Windstream of the Master Lease or its inability or unwillingness to meet its rent and other obligations under the Master Lease could materially adversely affect our consolidated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liquidity, and financial condition, including our ability to service debt, comply with debt covenants and pay dividends to our stockholders as required to maintain our status as a REIT.</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Windstream is a publicly traded company and is subject to the periodic filing requirements of the Securities Exchange Act of 1934, as amended. Windstream filings can be found at www.sec.gov. Windstream filings are not incorporated by reference in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Recently Adopted Accounting Pronouncements</w:t>
      </w:r>
    </w:p>
    <w:p>
      <w:pPr>
        <w:spacing w:after="0" w:line="15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 xml:space="preserve">In August 2016, the FASB issued ASU No. 2016-15, </w:t>
      </w:r>
      <w:r>
        <w:rPr>
          <w:rFonts w:ascii="Arial" w:cs="Arial" w:eastAsia="Arial" w:hAnsi="Arial"/>
          <w:sz w:val="11"/>
          <w:szCs w:val="11"/>
          <w:i w:val="1"/>
          <w:iCs w:val="1"/>
          <w:color w:val="auto"/>
        </w:rPr>
        <w:t>Statement of Cash Flows (Topic 230): Classification of Certain Cash Receipts and Cash Payments</w:t>
      </w:r>
      <w:r>
        <w:rPr>
          <w:rFonts w:ascii="Arial" w:cs="Arial" w:eastAsia="Arial" w:hAnsi="Arial"/>
          <w:sz w:val="11"/>
          <w:szCs w:val="11"/>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We adopted ASU 2016-15 effective January 1, 2018, and there was no material impact on our financial position.</w:t>
      </w:r>
    </w:p>
    <w:p>
      <w:pPr>
        <w:spacing w:after="0" w:line="109"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In August 2017, the FASB issued ASU No. 2017-12</w:t>
      </w:r>
      <w:r>
        <w:rPr>
          <w:rFonts w:ascii="Arial" w:cs="Arial" w:eastAsia="Arial" w:hAnsi="Arial"/>
          <w:sz w:val="12"/>
          <w:szCs w:val="12"/>
          <w:i w:val="1"/>
          <w:iCs w:val="1"/>
          <w:color w:val="auto"/>
        </w:rPr>
        <w:t>, Derivatives and Hedging (Topic 815): Targeted Improvements to Accounting for Hedging Activities</w:t>
      </w:r>
      <w:r>
        <w:rPr>
          <w:rFonts w:ascii="Arial" w:cs="Arial" w:eastAsia="Arial" w:hAnsi="Arial"/>
          <w:sz w:val="12"/>
          <w:szCs w:val="12"/>
          <w:color w:val="auto"/>
        </w:rPr>
        <w:t xml:space="preserve"> (“ASU 2017-12”), which amends and simplifies existing guidance in order to allow companies to more accurately present the economic effects of risk management activities in the financial statements. ASU 2017-12 is effective for annual periods beginning after December 15, 2018 and interim periods within those annual periods, and earlier adoption is permitted. We adopted ASU 2017-12 effective January 1, 2018, and there was no material impact on our financial position.</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February 2017, the FASB issued ASU No. 2017-05, </w:t>
      </w:r>
      <w:r>
        <w:rPr>
          <w:rFonts w:ascii="Arial" w:cs="Arial" w:eastAsia="Arial" w:hAnsi="Arial"/>
          <w:sz w:val="11"/>
          <w:szCs w:val="11"/>
          <w:i w:val="1"/>
          <w:iCs w:val="1"/>
          <w:color w:val="auto"/>
        </w:rPr>
        <w:t>Other Income - Gains and Losses from the Derecognition of Nonfinancial Assets (Subtopic 610-20): Clarifying the Scope of Asset Derecognition Guidance and Accounting for Partial</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Sales of Nonfinancial Assets </w:t>
      </w:r>
      <w:r>
        <w:rPr>
          <w:rFonts w:ascii="Arial" w:cs="Arial" w:eastAsia="Arial" w:hAnsi="Arial"/>
          <w:sz w:val="11"/>
          <w:szCs w:val="11"/>
          <w:color w:val="auto"/>
        </w:rPr>
        <w:t>(“ASU 2017-05”), which provides guidance for recognizing gains and losses from the transfer of nonfinancial assets and for partial sales of nonfinancial assets, and is effective for financial statements issued for</w:t>
      </w:r>
      <w:r>
        <w:rPr>
          <w:rFonts w:ascii="Arial" w:cs="Arial" w:eastAsia="Arial" w:hAnsi="Arial"/>
          <w:sz w:val="11"/>
          <w:szCs w:val="11"/>
          <w:i w:val="1"/>
          <w:iCs w:val="1"/>
          <w:color w:val="auto"/>
        </w:rPr>
        <w:t xml:space="preserve"> </w:t>
      </w:r>
      <w:r>
        <w:rPr>
          <w:rFonts w:ascii="Arial" w:cs="Arial" w:eastAsia="Arial" w:hAnsi="Arial"/>
          <w:sz w:val="11"/>
          <w:szCs w:val="11"/>
          <w:color w:val="auto"/>
        </w:rPr>
        <w:t>fiscal years and interim periods beginning after December 15, 2017. We adopted ASU 2017-05 effective January 1, 2018, using the modified retrospective approach and there was no material impact on our financial position.</w:t>
      </w:r>
    </w:p>
    <w:p>
      <w:pPr>
        <w:spacing w:after="0" w:line="105" w:lineRule="exact"/>
        <w:rPr>
          <w:sz w:val="20"/>
          <w:szCs w:val="20"/>
          <w:color w:val="auto"/>
        </w:rPr>
      </w:pPr>
    </w:p>
    <w:p>
      <w:pPr>
        <w:ind w:right="180"/>
        <w:spacing w:after="0" w:line="290" w:lineRule="auto"/>
        <w:rPr>
          <w:rFonts w:ascii="Arial" w:cs="Arial" w:eastAsia="Arial" w:hAnsi="Arial"/>
          <w:sz w:val="11"/>
          <w:szCs w:val="11"/>
          <w:color w:val="auto"/>
        </w:rPr>
      </w:pPr>
      <w:r>
        <w:rPr>
          <w:rFonts w:ascii="Arial" w:cs="Arial" w:eastAsia="Arial" w:hAnsi="Arial"/>
          <w:sz w:val="11"/>
          <w:szCs w:val="11"/>
          <w:color w:val="auto"/>
        </w:rPr>
        <w:t xml:space="preserve">In May 2014, the FASB issued ASU No. 2014-09, </w:t>
      </w:r>
      <w:r>
        <w:rPr>
          <w:rFonts w:ascii="Arial" w:cs="Arial" w:eastAsia="Arial" w:hAnsi="Arial"/>
          <w:sz w:val="11"/>
          <w:szCs w:val="11"/>
          <w:i w:val="1"/>
          <w:iCs w:val="1"/>
          <w:color w:val="auto"/>
        </w:rPr>
        <w:t>Revenue from Contracts with Customers (Topic 606)</w:t>
      </w:r>
      <w:r>
        <w:rPr>
          <w:rFonts w:ascii="Arial" w:cs="Arial" w:eastAsia="Arial" w:hAnsi="Arial"/>
          <w:sz w:val="11"/>
          <w:szCs w:val="11"/>
          <w:color w:val="auto"/>
        </w:rPr>
        <w:t>.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Topic 606 is effective for annual periods beginning after December 15, 2017 and interim periods within those annual periods. We adopted Topic 606 as of January 1, 2018 using the modified retrospective transition method. See Note 4</w:t>
      </w:r>
      <w:hyperlink w:anchor="page73">
        <w:r>
          <w:rPr>
            <w:rFonts w:ascii="Arial" w:cs="Arial" w:eastAsia="Arial" w:hAnsi="Arial"/>
            <w:sz w:val="11"/>
            <w:szCs w:val="11"/>
            <w:u w:val="single" w:color="auto"/>
            <w:color w:val="0000EE"/>
          </w:rPr>
          <w:t>.</w:t>
        </w:r>
      </w:hyperlink>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Recent Accounting Pronouncements Not Yet Adopted</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The accounting for lessors remains largely unchanged from existing guidance. Leases with a term of 12 months or less will be accounted for similar to existing guidance for operating leases today. The provisions of this guidance are effective for annual periods beginning after December 31, 2018, and for interim periods therein, and it is required to applied using the modified retrospective approach for all leases existing as of the effective date. The Company is currently evaluating this guidance to determine the impact it will have on our financial statements by reviewing its existing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operating lease contracts, including ground, tower, equipment, office and fiber lease arrangements, in which we are the lessee and service contracts that may include embedded leases. The Company expects a gross-up of its Consolidated Balance Sheets as a result of recognizing lease liabilities and right-of-use assets; the extent of the impact of a gross-up is under evaluation. The Company does not anticipate material changes to the recognition of operating lease expense in its Consolidated Statements of Income.</w:t>
      </w:r>
    </w:p>
    <w:p>
      <w:pPr>
        <w:spacing w:after="0" w:line="123"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 xml:space="preserve">In January 2018, the FASB issued ASU 2018-01, </w:t>
      </w:r>
      <w:r>
        <w:rPr>
          <w:rFonts w:ascii="Arial" w:cs="Arial" w:eastAsia="Arial" w:hAnsi="Arial"/>
          <w:sz w:val="11"/>
          <w:szCs w:val="11"/>
          <w:i w:val="1"/>
          <w:iCs w:val="1"/>
          <w:color w:val="auto"/>
        </w:rPr>
        <w:t>Leases</w:t>
      </w:r>
      <w:r>
        <w:rPr>
          <w:rFonts w:ascii="Arial" w:cs="Arial" w:eastAsia="Arial" w:hAnsi="Arial"/>
          <w:sz w:val="11"/>
          <w:szCs w:val="11"/>
          <w:color w:val="auto"/>
        </w:rPr>
        <w:t xml:space="preserve"> (Topic 842) – Land Easement Practical Expedient for Transition to Topic 842. This standard permits an entity to elect an optional transition practical expedient to not evaluate land easements that exist or expire before the Company's adoption of ASC 842 and that were not previously accounted for as leases under ASC 840. The Company intends to elect this transition provision.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Revenues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 xml:space="preserve">Adoption of ASC Topic 606, </w:t>
      </w:r>
      <w:r>
        <w:rPr>
          <w:rFonts w:ascii="Arial" w:cs="Arial" w:eastAsia="Arial" w:hAnsi="Arial"/>
          <w:sz w:val="12"/>
          <w:szCs w:val="12"/>
          <w:i w:val="1"/>
          <w:iCs w:val="1"/>
          <w:u w:val="single" w:color="auto"/>
          <w:color w:val="auto"/>
        </w:rPr>
        <w:t>Revenue from Contracts with Customers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Except for the changes below, we have consistently applied the accounting policies to all periods presented in these Consolidated Financial Statements.</w:t>
      </w:r>
    </w:p>
    <w:p>
      <w:pPr>
        <w:spacing w:after="0" w:line="150" w:lineRule="exact"/>
        <w:rPr>
          <w:sz w:val="20"/>
          <w:szCs w:val="20"/>
          <w:color w:val="auto"/>
        </w:rPr>
      </w:pPr>
    </w:p>
    <w:p>
      <w:pPr>
        <w:jc w:val="both"/>
        <w:ind w:right="360"/>
        <w:spacing w:after="0" w:line="298" w:lineRule="auto"/>
        <w:rPr>
          <w:sz w:val="20"/>
          <w:szCs w:val="20"/>
          <w:color w:val="auto"/>
        </w:rPr>
      </w:pPr>
      <w:r>
        <w:rPr>
          <w:rFonts w:ascii="Arial" w:cs="Arial" w:eastAsia="Arial" w:hAnsi="Arial"/>
          <w:sz w:val="11"/>
          <w:szCs w:val="11"/>
          <w:color w:val="auto"/>
        </w:rPr>
        <w:t xml:space="preserve">On January 1, 2018, we adopted Topic 606 using the modified retrospective method, whereby the cumulative effect of initially applying Topic 606 is recognized as an adjustment to the opening balance of equity at January 1, 2018. Therefore, comparative information has not been adjusted and continues to be reported under ASC 605, </w:t>
      </w:r>
      <w:r>
        <w:rPr>
          <w:rFonts w:ascii="Arial" w:cs="Arial" w:eastAsia="Arial" w:hAnsi="Arial"/>
          <w:sz w:val="11"/>
          <w:szCs w:val="11"/>
          <w:i w:val="1"/>
          <w:iCs w:val="1"/>
          <w:color w:val="auto"/>
        </w:rPr>
        <w:t>Revenue Recognition</w:t>
      </w:r>
      <w:r>
        <w:rPr>
          <w:rFonts w:ascii="Arial" w:cs="Arial" w:eastAsia="Arial" w:hAnsi="Arial"/>
          <w:sz w:val="11"/>
          <w:szCs w:val="11"/>
          <w:color w:val="auto"/>
        </w:rPr>
        <w:t>. We recorded a net increase to opening retained earnings of $1.9 million as of January 1, 2018 due to the cumulative impact of adopting Topic 606, with the impact primarily related to commission costs that are capitalized under Topic 606 which were previously expensed.</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The details of the significant changes and quantitative impact of the changes are set out below. We have applied this guidance only to contracts that were not completed as of January 1, 2018, the date of initial application.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Commissions</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 xml:space="preserve">We previously recognized commission fees related to obtaining a contract as selling expenses when incurred. Under Topic 606 and Topic 340, </w:t>
      </w:r>
      <w:r>
        <w:rPr>
          <w:rFonts w:ascii="Arial" w:cs="Arial" w:eastAsia="Arial" w:hAnsi="Arial"/>
          <w:sz w:val="12"/>
          <w:szCs w:val="12"/>
          <w:i w:val="1"/>
          <w:iCs w:val="1"/>
          <w:color w:val="auto"/>
        </w:rPr>
        <w:t>Other Assets and Deferred Costs</w:t>
      </w:r>
      <w:r>
        <w:rPr>
          <w:rFonts w:ascii="Arial" w:cs="Arial" w:eastAsia="Arial" w:hAnsi="Arial"/>
          <w:sz w:val="12"/>
          <w:szCs w:val="12"/>
          <w:color w:val="auto"/>
        </w:rPr>
        <w:t>, when they are incremental or expected to be recovered, we capitalize those commission fees as costs of obtaining a contract and amortize them consistently with the pattern of transfer of the product or service to which the asset relates. These amortized costs are included in general and administrative expense on the Consolidated Statements of Income. These deferred balances were $2.5 million and $4.9 million at January 1, 2018 and December 31, 2018, respectively, and included in Other Assets on the Consolidated Balance Sheets; Other Assets would have been lower by those amounts under revenue recognition and cost guidance applicable to us prior to the adoption of Topic 606 and Topic 340. For the year ended December 31, 2018, the impact to costs as a result of applying Topic 606 was a decrease of $2.4 million, as compared to what the general and administrative expense would have been under previous revenue and cost recognition guidance. There would have been no other differences in our Consolidated Balance Sheets as of December 31, 2018 or Consolidated Statements of Income for the year ended December 31, 2018 under previous revenue and cost recognition guidance as compared to Topic 606 and Topic 340.</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Nature of goods and services</w:t>
      </w:r>
    </w:p>
    <w:p>
      <w:pPr>
        <w:spacing w:after="0" w:line="150" w:lineRule="exact"/>
        <w:rPr>
          <w:sz w:val="20"/>
          <w:szCs w:val="20"/>
          <w:color w:val="auto"/>
        </w:rPr>
      </w:pPr>
    </w:p>
    <w:p>
      <w:pPr>
        <w:spacing w:after="0"/>
        <w:rPr>
          <w:rFonts w:ascii="Arial" w:cs="Arial" w:eastAsia="Arial" w:hAnsi="Arial"/>
          <w:sz w:val="12"/>
          <w:szCs w:val="12"/>
          <w:color w:val="auto"/>
        </w:rPr>
      </w:pPr>
      <w:r>
        <w:rPr>
          <w:rFonts w:ascii="Arial" w:cs="Arial" w:eastAsia="Arial" w:hAnsi="Arial"/>
          <w:sz w:val="12"/>
          <w:szCs w:val="12"/>
          <w:color w:val="auto"/>
        </w:rPr>
        <w:t>The following is a description of principal activities, separated by reportable segments (see Note 14</w:t>
      </w:r>
      <w:hyperlink w:anchor="page94">
        <w:r>
          <w:rPr>
            <w:rFonts w:ascii="Arial" w:cs="Arial" w:eastAsia="Arial" w:hAnsi="Arial"/>
            <w:sz w:val="12"/>
            <w:szCs w:val="12"/>
            <w:u w:val="single" w:color="auto"/>
            <w:color w:val="0000EE"/>
          </w:rPr>
          <w:t>), from which the Company generates it</w:t>
        </w:r>
      </w:hyperlink>
      <w:r>
        <w:rPr>
          <w:rFonts w:ascii="Arial" w:cs="Arial" w:eastAsia="Arial" w:hAnsi="Arial"/>
          <w:sz w:val="12"/>
          <w:szCs w:val="12"/>
          <w:color w:val="auto"/>
        </w:rPr>
        <w:t>s revenues.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Leasing</w:t>
      </w:r>
    </w:p>
    <w:p>
      <w:pPr>
        <w:spacing w:after="0" w:line="150"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 xml:space="preserve">Leasing revenue represents the results from our leasing program, Uniti Leasing, which is engaged in the acquisition of mission-critical communications assets and leasing them back to anchor customers on either an exclusive or shared-tenant basis. Due to the nature of these activities, they are outside the scope of the guidance of Topic 606, and are recognized under other applicable guidance, including ASC 840, </w:t>
      </w:r>
      <w:r>
        <w:rPr>
          <w:rFonts w:ascii="Arial" w:cs="Arial" w:eastAsia="Arial" w:hAnsi="Arial"/>
          <w:sz w:val="11"/>
          <w:szCs w:val="11"/>
          <w:i w:val="1"/>
          <w:iCs w:val="1"/>
          <w:color w:val="auto"/>
        </w:rPr>
        <w:t>Leases</w:t>
      </w:r>
      <w:r>
        <w:rPr>
          <w:rFonts w:ascii="Arial" w:cs="Arial" w:eastAsia="Arial" w:hAnsi="Arial"/>
          <w:sz w:val="11"/>
          <w:szCs w:val="11"/>
          <w:color w:val="auto"/>
        </w:rPr>
        <w:t xml:space="preserve"> (“Topic 840”).</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73" w:name="page74"/>
    <w:bookmarkEnd w:id="7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Fiber Infrastructure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Fiber Infrastructure segment represents the operations of our fiber business, Uniti Fiber, which provides (i) consumer, enterprise, wholesale and backhaul lit fiber, (ii) E-rate, (iii) small cell, (iv) construction services, (v) dark fiber and</w:t>
      </w:r>
    </w:p>
    <w:p>
      <w:pPr>
        <w:spacing w:after="0" w:line="26"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other revenue generating activities.</w:t>
      </w:r>
    </w:p>
    <w:p>
      <w:pPr>
        <w:spacing w:after="0" w:line="141" w:lineRule="exact"/>
        <w:rPr>
          <w:rFonts w:ascii="Arial" w:cs="Arial" w:eastAsia="Arial" w:hAnsi="Arial"/>
          <w:sz w:val="12"/>
          <w:szCs w:val="12"/>
          <w:color w:val="auto"/>
        </w:rPr>
      </w:pPr>
    </w:p>
    <w:p>
      <w:pPr>
        <w:ind w:left="1328" w:right="40" w:hanging="887"/>
        <w:spacing w:after="0" w:line="263" w:lineRule="auto"/>
        <w:tabs>
          <w:tab w:leader="none" w:pos="1328" w:val="left"/>
        </w:tabs>
        <w:numPr>
          <w:ilvl w:val="1"/>
          <w:numId w:val="10"/>
        </w:numPr>
        <w:rPr>
          <w:rFonts w:ascii="Arial" w:cs="Arial" w:eastAsia="Arial" w:hAnsi="Arial"/>
          <w:sz w:val="12"/>
          <w:szCs w:val="12"/>
          <w:color w:val="auto"/>
        </w:rPr>
      </w:pPr>
      <w:r>
        <w:rPr>
          <w:rFonts w:ascii="Arial" w:cs="Arial" w:eastAsia="Arial" w:hAnsi="Arial"/>
          <w:sz w:val="12"/>
          <w:szCs w:val="12"/>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22" w:lineRule="exact"/>
        <w:rPr>
          <w:rFonts w:ascii="Arial" w:cs="Arial" w:eastAsia="Arial" w:hAnsi="Arial"/>
          <w:sz w:val="12"/>
          <w:szCs w:val="12"/>
          <w:color w:val="auto"/>
        </w:rPr>
      </w:pPr>
    </w:p>
    <w:p>
      <w:pPr>
        <w:ind w:left="1328" w:right="20" w:hanging="887"/>
        <w:spacing w:after="0" w:line="263" w:lineRule="auto"/>
        <w:tabs>
          <w:tab w:leader="none" w:pos="1328" w:val="left"/>
        </w:tabs>
        <w:numPr>
          <w:ilvl w:val="1"/>
          <w:numId w:val="10"/>
        </w:numPr>
        <w:rPr>
          <w:rFonts w:ascii="Arial" w:cs="Arial" w:eastAsia="Arial" w:hAnsi="Arial"/>
          <w:sz w:val="12"/>
          <w:szCs w:val="12"/>
          <w:color w:val="auto"/>
        </w:rPr>
      </w:pPr>
      <w:r>
        <w:rPr>
          <w:rFonts w:ascii="Arial" w:cs="Arial" w:eastAsia="Arial" w:hAnsi="Arial"/>
          <w:sz w:val="12"/>
          <w:szCs w:val="12"/>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22" w:lineRule="exact"/>
        <w:rPr>
          <w:rFonts w:ascii="Arial" w:cs="Arial" w:eastAsia="Arial" w:hAnsi="Arial"/>
          <w:sz w:val="12"/>
          <w:szCs w:val="12"/>
          <w:color w:val="auto"/>
        </w:rPr>
      </w:pPr>
    </w:p>
    <w:p>
      <w:pPr>
        <w:jc w:val="both"/>
        <w:ind w:left="1328" w:right="340" w:hanging="887"/>
        <w:spacing w:after="0" w:line="340" w:lineRule="auto"/>
        <w:tabs>
          <w:tab w:leader="none" w:pos="1328" w:val="left"/>
        </w:tabs>
        <w:numPr>
          <w:ilvl w:val="1"/>
          <w:numId w:val="10"/>
        </w:numPr>
        <w:rPr>
          <w:rFonts w:ascii="Arial" w:cs="Arial" w:eastAsia="Arial" w:hAnsi="Arial"/>
          <w:sz w:val="10"/>
          <w:szCs w:val="10"/>
          <w:color w:val="auto"/>
        </w:rPr>
      </w:pPr>
      <w:r>
        <w:rPr>
          <w:rFonts w:ascii="Arial" w:cs="Arial" w:eastAsia="Arial" w:hAnsi="Arial"/>
          <w:sz w:val="10"/>
          <w:szCs w:val="10"/>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87" w:lineRule="exact"/>
        <w:rPr>
          <w:rFonts w:ascii="Arial" w:cs="Arial" w:eastAsia="Arial" w:hAnsi="Arial"/>
          <w:sz w:val="10"/>
          <w:szCs w:val="10"/>
          <w:color w:val="auto"/>
        </w:rPr>
      </w:pPr>
    </w:p>
    <w:p>
      <w:pPr>
        <w:ind w:left="1328" w:right="80" w:hanging="887"/>
        <w:spacing w:after="0" w:line="263" w:lineRule="auto"/>
        <w:tabs>
          <w:tab w:leader="none" w:pos="1328" w:val="left"/>
        </w:tabs>
        <w:numPr>
          <w:ilvl w:val="1"/>
          <w:numId w:val="10"/>
        </w:numPr>
        <w:rPr>
          <w:rFonts w:ascii="Arial" w:cs="Arial" w:eastAsia="Arial" w:hAnsi="Arial"/>
          <w:sz w:val="12"/>
          <w:szCs w:val="12"/>
          <w:color w:val="auto"/>
        </w:rPr>
      </w:pPr>
      <w:r>
        <w:rPr>
          <w:rFonts w:ascii="Arial" w:cs="Arial" w:eastAsia="Arial" w:hAnsi="Arial"/>
          <w:sz w:val="12"/>
          <w:szCs w:val="12"/>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22" w:lineRule="exact"/>
        <w:rPr>
          <w:rFonts w:ascii="Arial" w:cs="Arial" w:eastAsia="Arial" w:hAnsi="Arial"/>
          <w:sz w:val="12"/>
          <w:szCs w:val="12"/>
          <w:color w:val="auto"/>
        </w:rPr>
      </w:pPr>
    </w:p>
    <w:p>
      <w:pPr>
        <w:ind w:left="1328" w:right="40" w:hanging="887"/>
        <w:spacing w:after="0" w:line="263" w:lineRule="auto"/>
        <w:tabs>
          <w:tab w:leader="none" w:pos="1328" w:val="left"/>
        </w:tabs>
        <w:numPr>
          <w:ilvl w:val="1"/>
          <w:numId w:val="10"/>
        </w:numPr>
        <w:rPr>
          <w:rFonts w:ascii="Arial" w:cs="Arial" w:eastAsia="Arial" w:hAnsi="Arial"/>
          <w:sz w:val="12"/>
          <w:szCs w:val="12"/>
          <w:color w:val="auto"/>
        </w:rPr>
      </w:pPr>
      <w:r>
        <w:rPr>
          <w:rFonts w:ascii="Arial" w:cs="Arial" w:eastAsia="Arial" w:hAnsi="Arial"/>
          <w:sz w:val="12"/>
          <w:szCs w:val="12"/>
          <w:color w:val="auto"/>
        </w:rPr>
        <w:t>Dark fiber arrangements represent operating leases under Topic 840 and is outside the scope of Topic 606.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22" w:lineRule="exact"/>
        <w:rPr>
          <w:rFonts w:ascii="Arial" w:cs="Arial" w:eastAsia="Arial" w:hAnsi="Arial"/>
          <w:sz w:val="12"/>
          <w:szCs w:val="12"/>
          <w:color w:val="auto"/>
        </w:rPr>
      </w:pPr>
    </w:p>
    <w:p>
      <w:pPr>
        <w:ind w:left="1328" w:right="40" w:hanging="887"/>
        <w:spacing w:after="0" w:line="245" w:lineRule="auto"/>
        <w:tabs>
          <w:tab w:leader="none" w:pos="1328" w:val="left"/>
        </w:tabs>
        <w:numPr>
          <w:ilvl w:val="1"/>
          <w:numId w:val="10"/>
        </w:numPr>
        <w:rPr>
          <w:rFonts w:ascii="Arial" w:cs="Arial" w:eastAsia="Arial" w:hAnsi="Arial"/>
          <w:sz w:val="14"/>
          <w:szCs w:val="14"/>
          <w:color w:val="auto"/>
        </w:rPr>
      </w:pPr>
      <w:r>
        <w:rPr>
          <w:rFonts w:ascii="Arial" w:cs="Arial" w:eastAsia="Arial" w:hAnsi="Arial"/>
          <w:sz w:val="12"/>
          <w:szCs w:val="12"/>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Towers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Towers segment represents the operations of our towers business, Uniti Towers, through which we acquire and construct tower and tower-related real estate, which we then lease to our customers in the United States and Latin America.</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Revenue from our towers business qualifies as a lease under Topic 840 and is outside the scope of Topic 606.</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Consumer CLEC</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74" w:name="page75"/>
    <w:bookmarkEnd w:id="7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left="8" w:right="60"/>
        <w:spacing w:after="0" w:line="263" w:lineRule="auto"/>
        <w:rPr>
          <w:sz w:val="20"/>
          <w:szCs w:val="20"/>
          <w:color w:val="auto"/>
        </w:rPr>
      </w:pPr>
      <w:r>
        <w:rPr>
          <w:rFonts w:ascii="Arial" w:cs="Arial" w:eastAsia="Arial" w:hAnsi="Arial"/>
          <w:sz w:val="12"/>
          <w:szCs w:val="12"/>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000" w:type="dxa"/>
            <w:vAlign w:val="bottom"/>
            <w:gridSpan w:val="3"/>
          </w:tcPr>
          <w:p>
            <w:pPr>
              <w:spacing w:after="0"/>
              <w:rPr>
                <w:sz w:val="20"/>
                <w:szCs w:val="20"/>
                <w:color w:val="auto"/>
              </w:rPr>
            </w:pPr>
            <w:r>
              <w:rPr>
                <w:rFonts w:ascii="Arial" w:cs="Arial" w:eastAsia="Arial" w:hAnsi="Arial"/>
                <w:sz w:val="12"/>
                <w:szCs w:val="12"/>
                <w:color w:val="auto"/>
              </w:rPr>
              <w:t>Disaggregation of Revenue</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6000" w:type="dxa"/>
            <w:vAlign w:val="bottom"/>
            <w:gridSpan w:val="3"/>
          </w:tcPr>
          <w:p>
            <w:pPr>
              <w:spacing w:after="0"/>
              <w:rPr>
                <w:sz w:val="20"/>
                <w:szCs w:val="20"/>
                <w:color w:val="auto"/>
              </w:rPr>
            </w:pPr>
            <w:r>
              <w:rPr>
                <w:rFonts w:ascii="Arial" w:cs="Arial" w:eastAsia="Arial" w:hAnsi="Arial"/>
                <w:sz w:val="12"/>
                <w:szCs w:val="12"/>
                <w:color w:val="auto"/>
              </w:rPr>
              <w:t>The following table presents our revenues disaggregated by revenue stream.</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1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(Thousands)</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2017</w:t>
            </w:r>
            <w:r>
              <w:rPr>
                <w:rFonts w:ascii="Arial" w:cs="Arial" w:eastAsia="Arial" w:hAnsi="Arial"/>
                <w:sz w:val="10"/>
                <w:szCs w:val="10"/>
                <w:b w:val="1"/>
                <w:bCs w:val="1"/>
                <w:color w:val="auto"/>
              </w:rPr>
              <w:t>(1)</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2016</w:t>
            </w:r>
            <w:r>
              <w:rPr>
                <w:rFonts w:ascii="Arial" w:cs="Arial" w:eastAsia="Arial" w:hAnsi="Arial"/>
                <w:sz w:val="10"/>
                <w:szCs w:val="10"/>
                <w:b w:val="1"/>
                <w:bCs w:val="1"/>
                <w:color w:val="auto"/>
              </w:rPr>
              <w:t>(1)</w:t>
            </w:r>
          </w:p>
        </w:tc>
        <w:tc>
          <w:tcPr>
            <w:tcW w:w="120" w:type="dxa"/>
            <w:vAlign w:val="bottom"/>
            <w:tcBorders>
              <w:bottom w:val="single" w:sz="8" w:color="CFF0FC"/>
            </w:tcBorders>
          </w:tcPr>
          <w:p>
            <w:pPr>
              <w:spacing w:after="0"/>
              <w:rPr>
                <w:sz w:val="13"/>
                <w:szCs w:val="13"/>
                <w:color w:val="auto"/>
              </w:rPr>
            </w:pPr>
          </w:p>
        </w:tc>
      </w:tr>
      <w:tr>
        <w:trPr>
          <w:trHeight w:val="142"/>
        </w:trPr>
        <w:tc>
          <w:tcPr>
            <w:tcW w:w="6000" w:type="dxa"/>
            <w:vAlign w:val="bottom"/>
            <w:gridSpan w:val="3"/>
            <w:shd w:val="clear" w:color="auto" w:fill="CFF0FC"/>
          </w:tcPr>
          <w:p>
            <w:pPr>
              <w:spacing w:after="0"/>
              <w:rPr>
                <w:sz w:val="20"/>
                <w:szCs w:val="20"/>
                <w:color w:val="auto"/>
              </w:rPr>
            </w:pPr>
            <w:r>
              <w:rPr>
                <w:rFonts w:ascii="Arial" w:cs="Arial" w:eastAsia="Arial" w:hAnsi="Arial"/>
                <w:sz w:val="12"/>
                <w:szCs w:val="12"/>
                <w:i w:val="1"/>
                <w:iCs w:val="1"/>
                <w:color w:val="auto"/>
              </w:rPr>
              <w:t>Revenue disaggregated by revenue stream</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000" w:type="dxa"/>
            <w:vAlign w:val="bottom"/>
            <w:gridSpan w:val="3"/>
          </w:tcPr>
          <w:p>
            <w:pPr>
              <w:spacing w:after="0"/>
              <w:rPr>
                <w:sz w:val="20"/>
                <w:szCs w:val="20"/>
                <w:color w:val="auto"/>
              </w:rPr>
            </w:pPr>
            <w:r>
              <w:rPr>
                <w:rFonts w:ascii="Arial" w:cs="Arial" w:eastAsia="Arial" w:hAnsi="Arial"/>
                <w:sz w:val="12"/>
                <w:szCs w:val="12"/>
                <w:color w:val="auto"/>
              </w:rPr>
              <w:t>Revenue from contracts with customers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Fiber Infrastructure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6000" w:type="dxa"/>
            <w:vAlign w:val="bottom"/>
            <w:gridSpan w:val="3"/>
          </w:tcPr>
          <w:p>
            <w:pPr>
              <w:ind w:left="240"/>
              <w:spacing w:after="0"/>
              <w:rPr>
                <w:sz w:val="20"/>
                <w:szCs w:val="20"/>
                <w:color w:val="auto"/>
              </w:rPr>
            </w:pPr>
            <w:r>
              <w:rPr>
                <w:rFonts w:ascii="Arial" w:cs="Arial" w:eastAsia="Arial" w:hAnsi="Arial"/>
                <w:sz w:val="12"/>
                <w:szCs w:val="12"/>
                <w:color w:val="auto"/>
              </w:rPr>
              <w:t>Lit backhaul</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132,361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117,574</w:t>
            </w:r>
          </w:p>
        </w:tc>
        <w:tc>
          <w:tcPr>
            <w:tcW w:w="300" w:type="dxa"/>
            <w:vAlign w:val="bottom"/>
          </w:tcPr>
          <w:p>
            <w:pPr>
              <w:spacing w:after="0"/>
              <w:rPr>
                <w:sz w:val="13"/>
                <w:szCs w:val="13"/>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54,739</w:t>
            </w:r>
          </w:p>
        </w:tc>
        <w:tc>
          <w:tcPr>
            <w:tcW w:w="120" w:type="dxa"/>
            <w:vAlign w:val="bottom"/>
          </w:tcPr>
          <w:p>
            <w:pPr>
              <w:spacing w:after="0"/>
              <w:rPr>
                <w:sz w:val="13"/>
                <w:szCs w:val="13"/>
                <w:color w:val="auto"/>
              </w:rPr>
            </w:pPr>
          </w:p>
        </w:tc>
      </w:tr>
      <w:tr>
        <w:trPr>
          <w:trHeight w:val="153"/>
        </w:trPr>
        <w:tc>
          <w:tcPr>
            <w:tcW w:w="600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Enterprise and wholesale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63,519</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36,542</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7,140</w:t>
            </w:r>
          </w:p>
        </w:tc>
        <w:tc>
          <w:tcPr>
            <w:tcW w:w="120" w:type="dxa"/>
            <w:vAlign w:val="bottom"/>
            <w:shd w:val="clear" w:color="auto" w:fill="CFF0FC"/>
          </w:tcPr>
          <w:p>
            <w:pPr>
              <w:spacing w:after="0"/>
              <w:rPr>
                <w:sz w:val="13"/>
                <w:szCs w:val="13"/>
                <w:color w:val="auto"/>
              </w:rPr>
            </w:pPr>
          </w:p>
        </w:tc>
      </w:tr>
      <w:tr>
        <w:trPr>
          <w:trHeight w:val="153"/>
        </w:trPr>
        <w:tc>
          <w:tcPr>
            <w:tcW w:w="6000" w:type="dxa"/>
            <w:vAlign w:val="bottom"/>
            <w:gridSpan w:val="3"/>
          </w:tcPr>
          <w:p>
            <w:pPr>
              <w:ind w:left="240"/>
              <w:spacing w:after="0"/>
              <w:rPr>
                <w:sz w:val="20"/>
                <w:szCs w:val="20"/>
                <w:color w:val="auto"/>
              </w:rPr>
            </w:pPr>
            <w:r>
              <w:rPr>
                <w:rFonts w:ascii="Arial" w:cs="Arial" w:eastAsia="Arial" w:hAnsi="Arial"/>
                <w:sz w:val="12"/>
                <w:szCs w:val="12"/>
                <w:color w:val="auto"/>
              </w:rPr>
              <w:t>E-Rate and government</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74,752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43,021</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8,062</w:t>
            </w:r>
          </w:p>
        </w:tc>
        <w:tc>
          <w:tcPr>
            <w:tcW w:w="120" w:type="dxa"/>
            <w:vAlign w:val="bottom"/>
          </w:tcPr>
          <w:p>
            <w:pPr>
              <w:spacing w:after="0"/>
              <w:rPr>
                <w:sz w:val="13"/>
                <w:szCs w:val="13"/>
                <w:color w:val="auto"/>
              </w:rPr>
            </w:pPr>
          </w:p>
        </w:tc>
      </w:tr>
      <w:tr>
        <w:trPr>
          <w:trHeight w:val="153"/>
        </w:trPr>
        <w:tc>
          <w:tcPr>
            <w:tcW w:w="600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4,492</w:t>
            </w:r>
          </w:p>
        </w:tc>
        <w:tc>
          <w:tcPr>
            <w:tcW w:w="3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454</w:t>
            </w:r>
          </w:p>
        </w:tc>
        <w:tc>
          <w:tcPr>
            <w:tcW w:w="3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252</w:t>
            </w:r>
          </w:p>
        </w:tc>
        <w:tc>
          <w:tcPr>
            <w:tcW w:w="120" w:type="dxa"/>
            <w:vAlign w:val="bottom"/>
            <w:shd w:val="clear" w:color="auto" w:fill="CFF0FC"/>
          </w:tcPr>
          <w:p>
            <w:pPr>
              <w:spacing w:after="0"/>
              <w:rPr>
                <w:sz w:val="13"/>
                <w:szCs w:val="13"/>
                <w:color w:val="auto"/>
              </w:rPr>
            </w:pPr>
          </w:p>
        </w:tc>
      </w:tr>
      <w:tr>
        <w:trPr>
          <w:trHeight w:val="142"/>
        </w:trPr>
        <w:tc>
          <w:tcPr>
            <w:tcW w:w="6000" w:type="dxa"/>
            <w:vAlign w:val="bottom"/>
            <w:gridSpan w:val="3"/>
          </w:tcPr>
          <w:p>
            <w:pPr>
              <w:ind w:left="80"/>
              <w:spacing w:after="0"/>
              <w:rPr>
                <w:sz w:val="20"/>
                <w:szCs w:val="20"/>
                <w:color w:val="auto"/>
              </w:rPr>
            </w:pPr>
            <w:r>
              <w:rPr>
                <w:rFonts w:ascii="Arial" w:cs="Arial" w:eastAsia="Arial" w:hAnsi="Arial"/>
                <w:sz w:val="12"/>
                <w:szCs w:val="12"/>
                <w:color w:val="auto"/>
              </w:rPr>
              <w:t>Fiber Infrastructure</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275,124</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197,591</w:t>
            </w:r>
          </w:p>
        </w:tc>
        <w:tc>
          <w:tcPr>
            <w:tcW w:w="30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70,193</w:t>
            </w:r>
          </w:p>
        </w:tc>
        <w:tc>
          <w:tcPr>
            <w:tcW w:w="120" w:type="dxa"/>
            <w:vAlign w:val="bottom"/>
          </w:tcPr>
          <w:p>
            <w:pPr>
              <w:spacing w:after="0"/>
              <w:rPr>
                <w:sz w:val="12"/>
                <w:szCs w:val="12"/>
                <w:color w:val="auto"/>
              </w:rPr>
            </w:pPr>
          </w:p>
        </w:tc>
      </w:tr>
      <w:tr>
        <w:trPr>
          <w:trHeight w:val="153"/>
        </w:trPr>
        <w:tc>
          <w:tcPr>
            <w:tcW w:w="60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Consumer CLEC</w:t>
            </w: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3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3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120" w:type="dxa"/>
            <w:vAlign w:val="bottom"/>
            <w:shd w:val="clear" w:color="auto" w:fill="CFF0FC"/>
          </w:tcPr>
          <w:p>
            <w:pPr>
              <w:spacing w:after="0"/>
              <w:rPr>
                <w:sz w:val="13"/>
                <w:szCs w:val="13"/>
                <w:color w:val="auto"/>
              </w:rPr>
            </w:pPr>
          </w:p>
        </w:tc>
      </w:tr>
      <w:tr>
        <w:trPr>
          <w:trHeight w:val="142"/>
        </w:trPr>
        <w:tc>
          <w:tcPr>
            <w:tcW w:w="6000" w:type="dxa"/>
            <w:vAlign w:val="bottom"/>
            <w:gridSpan w:val="3"/>
          </w:tcPr>
          <w:p>
            <w:pPr>
              <w:spacing w:after="0"/>
              <w:rPr>
                <w:sz w:val="20"/>
                <w:szCs w:val="20"/>
                <w:color w:val="auto"/>
              </w:rPr>
            </w:pPr>
            <w:r>
              <w:rPr>
                <w:rFonts w:ascii="Arial" w:cs="Arial" w:eastAsia="Arial" w:hAnsi="Arial"/>
                <w:sz w:val="12"/>
                <w:szCs w:val="12"/>
                <w:color w:val="auto"/>
              </w:rPr>
              <w:t>Total revenue from contracts with customers</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289,055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215,678</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92,665</w:t>
            </w:r>
          </w:p>
        </w:tc>
        <w:tc>
          <w:tcPr>
            <w:tcW w:w="120" w:type="dxa"/>
            <w:vAlign w:val="bottom"/>
          </w:tcPr>
          <w:p>
            <w:pPr>
              <w:spacing w:after="0"/>
              <w:rPr>
                <w:sz w:val="12"/>
                <w:szCs w:val="12"/>
                <w:color w:val="auto"/>
              </w:rPr>
            </w:pPr>
          </w:p>
        </w:tc>
      </w:tr>
      <w:tr>
        <w:trPr>
          <w:trHeight w:val="153"/>
        </w:trPr>
        <w:tc>
          <w:tcPr>
            <w:tcW w:w="60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Revenue accounted for under other applicable guidance</w:t>
            </w: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728,579</w:t>
            </w:r>
          </w:p>
        </w:tc>
        <w:tc>
          <w:tcPr>
            <w:tcW w:w="3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700,354</w:t>
            </w:r>
          </w:p>
        </w:tc>
        <w:tc>
          <w:tcPr>
            <w:tcW w:w="3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677,743</w:t>
            </w:r>
          </w:p>
        </w:tc>
        <w:tc>
          <w:tcPr>
            <w:tcW w:w="120" w:type="dxa"/>
            <w:vAlign w:val="bottom"/>
            <w:shd w:val="clear" w:color="auto" w:fill="CFF0FC"/>
          </w:tcPr>
          <w:p>
            <w:pPr>
              <w:spacing w:after="0"/>
              <w:rPr>
                <w:sz w:val="13"/>
                <w:szCs w:val="13"/>
                <w:color w:val="auto"/>
              </w:rPr>
            </w:pPr>
          </w:p>
        </w:tc>
      </w:tr>
      <w:tr>
        <w:trPr>
          <w:trHeight w:val="149"/>
        </w:trPr>
        <w:tc>
          <w:tcPr>
            <w:tcW w:w="6000" w:type="dxa"/>
            <w:vAlign w:val="bottom"/>
            <w:gridSpan w:val="3"/>
          </w:tcPr>
          <w:p>
            <w:pPr>
              <w:spacing w:after="0"/>
              <w:rPr>
                <w:sz w:val="20"/>
                <w:szCs w:val="20"/>
                <w:color w:val="auto"/>
              </w:rPr>
            </w:pPr>
            <w:r>
              <w:rPr>
                <w:rFonts w:ascii="Arial" w:cs="Arial" w:eastAsia="Arial" w:hAnsi="Arial"/>
                <w:sz w:val="12"/>
                <w:szCs w:val="12"/>
                <w:color w:val="auto"/>
              </w:rPr>
              <w:t>Total revenue</w:t>
            </w: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1,017,634</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916,032</w:t>
            </w:r>
          </w:p>
        </w:tc>
        <w:tc>
          <w:tcPr>
            <w:tcW w:w="300" w:type="dxa"/>
            <w:vAlign w:val="bottom"/>
          </w:tcPr>
          <w:p>
            <w:pPr>
              <w:spacing w:after="0"/>
              <w:rPr>
                <w:sz w:val="12"/>
                <w:szCs w:val="12"/>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770,408</w:t>
            </w:r>
          </w:p>
        </w:tc>
        <w:tc>
          <w:tcPr>
            <w:tcW w:w="120" w:type="dxa"/>
            <w:vAlign w:val="bottom"/>
          </w:tcPr>
          <w:p>
            <w:pPr>
              <w:spacing w:after="0"/>
              <w:rPr>
                <w:sz w:val="12"/>
                <w:szCs w:val="12"/>
                <w:color w:val="auto"/>
              </w:rPr>
            </w:pPr>
          </w:p>
        </w:tc>
      </w:tr>
    </w:tbl>
    <w:p>
      <w:pPr>
        <w:spacing w:after="0" w:line="24" w:lineRule="exact"/>
        <w:rPr>
          <w:sz w:val="20"/>
          <w:szCs w:val="20"/>
          <w:color w:val="auto"/>
        </w:rPr>
      </w:pPr>
    </w:p>
    <w:p>
      <w:pPr>
        <w:ind w:left="448" w:hanging="448"/>
        <w:spacing w:after="0"/>
        <w:tabs>
          <w:tab w:leader="none" w:pos="448" w:val="left"/>
        </w:tabs>
        <w:numPr>
          <w:ilvl w:val="0"/>
          <w:numId w:val="11"/>
        </w:numPr>
        <w:rPr>
          <w:rFonts w:ascii="Arial" w:cs="Arial" w:eastAsia="Arial" w:hAnsi="Arial"/>
          <w:sz w:val="10"/>
          <w:szCs w:val="10"/>
          <w:color w:val="auto"/>
        </w:rPr>
      </w:pPr>
      <w:r>
        <w:rPr>
          <w:rFonts w:ascii="Arial" w:cs="Arial" w:eastAsia="Arial" w:hAnsi="Arial"/>
          <w:sz w:val="10"/>
          <w:szCs w:val="10"/>
          <w:color w:val="auto"/>
        </w:rPr>
        <w:t>As noted above, prior period amounts have not been adjusted under the modified retrospective method.</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January 1, 2018 and December 31, 2018 lease receivables were $10.9 million and $45.5 million, respectively, and receivables from contracts with customers were $31.2 million and $57.1 million,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Contract Assets (Unbilled Revenue) and Liabilities (Deferred Revenue)</w:t>
      </w:r>
    </w:p>
    <w:p>
      <w:pPr>
        <w:spacing w:after="0" w:line="150" w:lineRule="exact"/>
        <w:rPr>
          <w:sz w:val="20"/>
          <w:szCs w:val="20"/>
          <w:color w:val="auto"/>
        </w:rPr>
      </w:pPr>
    </w:p>
    <w:p>
      <w:pPr>
        <w:ind w:left="8" w:right="60"/>
        <w:spacing w:after="0" w:line="255" w:lineRule="auto"/>
        <w:rPr>
          <w:sz w:val="20"/>
          <w:szCs w:val="20"/>
          <w:color w:val="auto"/>
        </w:rPr>
      </w:pPr>
      <w:r>
        <w:rPr>
          <w:rFonts w:ascii="Arial" w:cs="Arial" w:eastAsia="Arial" w:hAnsi="Arial"/>
          <w:sz w:val="12"/>
          <w:szCs w:val="12"/>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year ended December 31, 2018, we recognized revenues of $14.7 million that was included in the January 1, 2018 contract liabilities balance.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about contract assets and contract liabilities accounted for under Topic 606.</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(Thousands)</w:t>
            </w:r>
          </w:p>
        </w:tc>
        <w:tc>
          <w:tcPr>
            <w:tcW w:w="22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Contract Assets</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Contract Liabilities</w:t>
            </w:r>
          </w:p>
        </w:tc>
        <w:tc>
          <w:tcPr>
            <w:tcW w:w="120" w:type="dxa"/>
            <w:vAlign w:val="bottom"/>
            <w:tcBorders>
              <w:bottom w:val="single" w:sz="8" w:color="CFF0FC"/>
            </w:tcBorders>
          </w:tcPr>
          <w:p>
            <w:pPr>
              <w:spacing w:after="0"/>
              <w:rPr>
                <w:sz w:val="13"/>
                <w:szCs w:val="13"/>
                <w:color w:val="auto"/>
              </w:rPr>
            </w:pPr>
          </w:p>
        </w:tc>
      </w:tr>
      <w:tr>
        <w:trPr>
          <w:trHeight w:val="142"/>
        </w:trPr>
        <w:tc>
          <w:tcPr>
            <w:tcW w:w="6960" w:type="dxa"/>
            <w:vAlign w:val="bottom"/>
            <w:shd w:val="clear" w:color="auto" w:fill="CFF0FC"/>
          </w:tcPr>
          <w:p>
            <w:pPr>
              <w:spacing w:after="0"/>
              <w:rPr>
                <w:sz w:val="20"/>
                <w:szCs w:val="20"/>
                <w:color w:val="auto"/>
              </w:rPr>
            </w:pPr>
            <w:r>
              <w:rPr>
                <w:rFonts w:ascii="Arial" w:cs="Arial" w:eastAsia="Arial" w:hAnsi="Arial"/>
                <w:sz w:val="12"/>
                <w:szCs w:val="12"/>
                <w:color w:val="auto"/>
              </w:rPr>
              <w:t>Balance at January 1, 2018</w:t>
            </w:r>
          </w:p>
        </w:tc>
        <w:tc>
          <w:tcPr>
            <w:tcW w:w="220" w:type="dxa"/>
            <w:vAlign w:val="bottom"/>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ind w:right="138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2,490</w:t>
            </w:r>
          </w:p>
        </w:tc>
        <w:tc>
          <w:tcPr>
            <w:tcW w:w="3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26,256</w:t>
            </w:r>
          </w:p>
        </w:tc>
        <w:tc>
          <w:tcPr>
            <w:tcW w:w="120" w:type="dxa"/>
            <w:vAlign w:val="bottom"/>
            <w:shd w:val="clear" w:color="auto" w:fill="CFF0FC"/>
          </w:tcPr>
          <w:p>
            <w:pPr>
              <w:spacing w:after="0"/>
              <w:rPr>
                <w:sz w:val="12"/>
                <w:szCs w:val="12"/>
                <w:color w:val="auto"/>
              </w:rPr>
            </w:pPr>
          </w:p>
        </w:tc>
      </w:tr>
      <w:tr>
        <w:trPr>
          <w:trHeight w:val="149"/>
        </w:trPr>
        <w:tc>
          <w:tcPr>
            <w:tcW w:w="6960" w:type="dxa"/>
            <w:vAlign w:val="bottom"/>
          </w:tcPr>
          <w:p>
            <w:pPr>
              <w:spacing w:after="0"/>
              <w:rPr>
                <w:sz w:val="20"/>
                <w:szCs w:val="20"/>
                <w:color w:val="auto"/>
              </w:rPr>
            </w:pPr>
            <w:r>
              <w:rPr>
                <w:rFonts w:ascii="Arial" w:cs="Arial" w:eastAsia="Arial" w:hAnsi="Arial"/>
                <w:sz w:val="12"/>
                <w:szCs w:val="12"/>
                <w:color w:val="auto"/>
              </w:rPr>
              <w:t>Balance at December 31, 2018</w:t>
            </w: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ind w:right="138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5,540</w:t>
            </w:r>
          </w:p>
        </w:tc>
        <w:tc>
          <w:tcPr>
            <w:tcW w:w="34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15,473</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Transaction Price Allocated to Remaining Performance Obligations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Performance obligations within contracts to stand ready to provide services are typically satisfied over time or as those services are provided. Contract assets primarily relate to costs incremental to obtaining contracts and contract liabilities primarily relate to deferred revenue from non-recurring charges. The deferred revenue is recognized, and the liability reduced, over the contract term as the Company completes the performance obligation. As of December 31, 2018, our future revenues (i.e. transaction price related to remaining performance obligations) under contract accounted for under Topic 606 totaled $646.7 million, of which $572.0 million is related to contracts that are currently being invoiced and have an average remaining contract term of 2.7 years, while $74.7 million represents our backlog for sales bookings which have yet to be installed and have an average remaining contract term of 4.5 years.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Practical Expedients and Exemptions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do not disclose the value of unsatisfied performance obligations for contracts that have an original expected duration of one year or less.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exclude from the transaction price any amounts collected from customers for sales taxes and therefore, they are not included in revenue.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Business Combinations and Asset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Network Management Holdings LTD</w:t>
      </w:r>
    </w:p>
    <w:p>
      <w:pPr>
        <w:spacing w:after="0" w:line="150" w:lineRule="exact"/>
        <w:rPr>
          <w:sz w:val="20"/>
          <w:szCs w:val="20"/>
          <w:color w:val="auto"/>
        </w:rPr>
      </w:pPr>
    </w:p>
    <w:p>
      <w:pPr>
        <w:ind w:right="60"/>
        <w:spacing w:after="0" w:line="280" w:lineRule="auto"/>
        <w:rPr>
          <w:rFonts w:ascii="Arial" w:cs="Arial" w:eastAsia="Arial" w:hAnsi="Arial"/>
          <w:sz w:val="11"/>
          <w:szCs w:val="11"/>
          <w:color w:val="auto"/>
        </w:rPr>
      </w:pPr>
      <w:r>
        <w:rPr>
          <w:rFonts w:ascii="Arial" w:cs="Arial" w:eastAsia="Arial" w:hAnsi="Arial"/>
          <w:sz w:val="11"/>
          <w:szCs w:val="11"/>
          <w:color w:val="auto"/>
        </w:rPr>
        <w:t xml:space="preserve">On January 31, 2017, we completed the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in operation as of the transaction close date was $62.6 million, which was funded through cash on hand, and is presented in NMS asset acquisition on the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and Equipment and Intangibles over their respective historical tax bases. Under the terms of the purchase agreement, we will acquire the towers under development when construction is completed. The NMS towers are reflected in our Towers segment. See </w:t>
      </w:r>
      <w:hyperlink w:anchor="page94">
        <w:r>
          <w:rPr>
            <w:rFonts w:ascii="Arial" w:cs="Arial" w:eastAsia="Arial" w:hAnsi="Arial"/>
            <w:sz w:val="11"/>
            <w:szCs w:val="11"/>
            <w:u w:val="single" w:color="auto"/>
            <w:color w:val="auto"/>
          </w:rPr>
          <w:t>Note 14</w:t>
        </w:r>
        <w:r>
          <w:rPr>
            <w:rFonts w:ascii="Arial" w:cs="Arial" w:eastAsia="Arial" w:hAnsi="Arial"/>
            <w:sz w:val="11"/>
            <w:szCs w:val="11"/>
            <w:u w:val="single" w:color="auto"/>
            <w:color w:val="0000EE"/>
          </w:rPr>
          <w:t>. The following is a summary of the estimated fair values of the assets acquired and liabilities assumed</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as of the acquisition date: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0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jc w:val="right"/>
              <w:ind w:right="921"/>
              <w:spacing w:after="0"/>
              <w:rPr>
                <w:sz w:val="20"/>
                <w:szCs w:val="20"/>
                <w:color w:val="auto"/>
              </w:rPr>
            </w:pPr>
            <w:r>
              <w:rPr>
                <w:rFonts w:ascii="Arial" w:cs="Arial" w:eastAsia="Arial" w:hAnsi="Arial"/>
                <w:sz w:val="10"/>
                <w:szCs w:val="10"/>
                <w:b w:val="1"/>
                <w:bCs w:val="1"/>
                <w:color w:val="auto"/>
              </w:rPr>
              <w:t>(thousands)</w:t>
            </w:r>
          </w:p>
        </w:tc>
        <w:tc>
          <w:tcPr>
            <w:tcW w:w="100" w:type="dxa"/>
            <w:vAlign w:val="bottom"/>
            <w:tcBorders>
              <w:bottom w:val="single" w:sz="8" w:color="CFF0FC"/>
            </w:tcBorders>
          </w:tcPr>
          <w:p>
            <w:pPr>
              <w:spacing w:after="0"/>
              <w:rPr>
                <w:sz w:val="10"/>
                <w:szCs w:val="10"/>
                <w:color w:val="auto"/>
              </w:rPr>
            </w:pPr>
          </w:p>
        </w:tc>
      </w:tr>
      <w:tr>
        <w:trPr>
          <w:trHeight w:val="160"/>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36,417</w:t>
            </w:r>
          </w:p>
        </w:tc>
        <w:tc>
          <w:tcPr>
            <w:tcW w:w="100" w:type="dxa"/>
            <w:vAlign w:val="bottom"/>
            <w:shd w:val="clear" w:color="auto" w:fill="CFF0FC"/>
          </w:tcPr>
          <w:p>
            <w:pPr>
              <w:spacing w:after="0"/>
              <w:rPr>
                <w:sz w:val="13"/>
                <w:szCs w:val="13"/>
                <w:color w:val="auto"/>
              </w:rPr>
            </w:pP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Accounts receivable</w:t>
            </w:r>
          </w:p>
        </w:tc>
        <w:tc>
          <w:tcPr>
            <w:tcW w:w="52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2,826</w:t>
            </w:r>
          </w:p>
        </w:tc>
        <w:tc>
          <w:tcPr>
            <w:tcW w:w="100" w:type="dxa"/>
            <w:vAlign w:val="bottom"/>
          </w:tcPr>
          <w:p>
            <w:pPr>
              <w:spacing w:after="0"/>
              <w:rPr>
                <w:sz w:val="13"/>
                <w:szCs w:val="13"/>
                <w:color w:val="auto"/>
              </w:rPr>
            </w:pPr>
          </w:p>
        </w:tc>
      </w:tr>
      <w:tr>
        <w:trPr>
          <w:trHeight w:val="153"/>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52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1,623</w:t>
            </w:r>
          </w:p>
        </w:tc>
        <w:tc>
          <w:tcPr>
            <w:tcW w:w="100" w:type="dxa"/>
            <w:vAlign w:val="bottom"/>
            <w:shd w:val="clear" w:color="auto" w:fill="CFF0FC"/>
          </w:tcPr>
          <w:p>
            <w:pPr>
              <w:spacing w:after="0"/>
              <w:rPr>
                <w:sz w:val="13"/>
                <w:szCs w:val="13"/>
                <w:color w:val="auto"/>
              </w:rPr>
            </w:pP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52,437</w:t>
            </w:r>
          </w:p>
        </w:tc>
        <w:tc>
          <w:tcPr>
            <w:tcW w:w="100" w:type="dxa"/>
            <w:vAlign w:val="bottom"/>
          </w:tcPr>
          <w:p>
            <w:pPr>
              <w:spacing w:after="0"/>
              <w:rPr>
                <w:sz w:val="13"/>
                <w:szCs w:val="13"/>
                <w:color w:val="auto"/>
              </w:rPr>
            </w:pPr>
          </w:p>
        </w:tc>
      </w:tr>
      <w:tr>
        <w:trPr>
          <w:trHeight w:val="153"/>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(8,895)</w:t>
            </w: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Intangible liabilities</w:t>
            </w:r>
          </w:p>
        </w:tc>
        <w:tc>
          <w:tcPr>
            <w:tcW w:w="520" w:type="dxa"/>
            <w:vAlign w:val="bottom"/>
          </w:tcPr>
          <w:p>
            <w:pPr>
              <w:spacing w:after="0"/>
              <w:rPr>
                <w:sz w:val="13"/>
                <w:szCs w:val="13"/>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2"/>
                <w:szCs w:val="12"/>
                <w:color w:val="auto"/>
              </w:rPr>
              <w:t>(3,440)</w:t>
            </w:r>
          </w:p>
        </w:tc>
      </w:tr>
      <w:tr>
        <w:trPr>
          <w:trHeight w:val="153"/>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2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(18,403)</w:t>
            </w:r>
          </w:p>
        </w:tc>
      </w:tr>
      <w:tr>
        <w:trPr>
          <w:trHeight w:val="149"/>
        </w:trPr>
        <w:tc>
          <w:tcPr>
            <w:tcW w:w="8940" w:type="dxa"/>
            <w:vAlign w:val="bottom"/>
            <w:gridSpan w:val="2"/>
          </w:tcPr>
          <w:p>
            <w:pPr>
              <w:spacing w:after="0"/>
              <w:rPr>
                <w:sz w:val="20"/>
                <w:szCs w:val="20"/>
                <w:color w:val="auto"/>
              </w:rPr>
            </w:pPr>
            <w:r>
              <w:rPr>
                <w:rFonts w:ascii="Arial" w:cs="Arial" w:eastAsia="Arial" w:hAnsi="Arial"/>
                <w:sz w:val="12"/>
                <w:szCs w:val="12"/>
                <w:color w:val="auto"/>
              </w:rPr>
              <w:t>Total purchase consideration</w:t>
            </w: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62,565</w:t>
            </w:r>
          </w:p>
        </w:tc>
        <w:tc>
          <w:tcPr>
            <w:tcW w:w="100" w:type="dxa"/>
            <w:vAlign w:val="bottom"/>
          </w:tcPr>
          <w:p>
            <w:pPr>
              <w:spacing w:after="0"/>
              <w:rPr>
                <w:sz w:val="12"/>
                <w:szCs w:val="12"/>
                <w:color w:val="auto"/>
              </w:rPr>
            </w:pPr>
          </w:p>
        </w:tc>
      </w:tr>
    </w:tbl>
    <w:p>
      <w:pPr>
        <w:spacing w:after="0" w:line="207" w:lineRule="exact"/>
        <w:rPr>
          <w:sz w:val="20"/>
          <w:szCs w:val="20"/>
          <w:color w:val="auto"/>
        </w:rPr>
      </w:pPr>
    </w:p>
    <w:p>
      <w:pPr>
        <w:ind w:right="120"/>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See </w:t>
      </w:r>
      <w:hyperlink w:anchor="page86">
        <w:r>
          <w:rPr>
            <w:rFonts w:ascii="Arial" w:cs="Arial" w:eastAsia="Arial" w:hAnsi="Arial"/>
            <w:sz w:val="12"/>
            <w:szCs w:val="12"/>
            <w:u w:val="single" w:color="auto"/>
            <w:color w:val="auto"/>
          </w:rPr>
          <w:t>Note 9</w:t>
        </w:r>
        <w:r>
          <w:rPr>
            <w:rFonts w:ascii="Arial" w:cs="Arial" w:eastAsia="Arial" w:hAnsi="Arial"/>
            <w:sz w:val="12"/>
            <w:szCs w:val="12"/>
            <w:u w:val="single" w:color="auto"/>
            <w:color w:val="0000EE"/>
          </w:rPr>
          <w:t>.</w:t>
        </w:r>
      </w:hyperlink>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2018, we have acquired 89 of the 105 towers that were under development at the time of the NMS acquisition, and 16 of the development towers were cancelled and will not be completed and purchased.</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2018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Transport Solutions, Inc.</w:t>
      </w:r>
    </w:p>
    <w:p>
      <w:pPr>
        <w:spacing w:after="0" w:line="150" w:lineRule="exact"/>
        <w:rPr>
          <w:sz w:val="20"/>
          <w:szCs w:val="20"/>
          <w:color w:val="auto"/>
        </w:rPr>
      </w:pPr>
    </w:p>
    <w:p>
      <w:pPr>
        <w:jc w:val="both"/>
        <w:ind w:right="20"/>
        <w:spacing w:after="0" w:line="259" w:lineRule="auto"/>
        <w:rPr>
          <w:rFonts w:ascii="Arial" w:cs="Arial" w:eastAsia="Arial" w:hAnsi="Arial"/>
          <w:sz w:val="12"/>
          <w:szCs w:val="12"/>
          <w:color w:val="0000EE"/>
        </w:rPr>
      </w:pPr>
      <w:r>
        <w:rPr>
          <w:rFonts w:ascii="Arial" w:cs="Arial" w:eastAsia="Arial" w:hAnsi="Arial"/>
          <w:sz w:val="12"/>
          <w:szCs w:val="12"/>
          <w:color w:val="auto"/>
        </w:rPr>
        <w:t xml:space="preserve">On October 19, 2018, we acquired 100% of the outstanding equity of Information Transport Solutions, Inc. (“ITS”) for cash consideration of $59.6 million. ITS is a full-service managed services provider of technology solutions, primarily to educational institutions in Alabama and Florida. This acquisition expands Uniti Fiber’s product offerings and strengthens relationships with new and existing E-Rate customers. The acquisition was recorded by allocating the costs of the </w:t>
      </w:r>
      <w:hyperlink w:anchor="page94">
        <w:r>
          <w:rPr>
            <w:rFonts w:ascii="Arial" w:cs="Arial" w:eastAsia="Arial" w:hAnsi="Arial"/>
            <w:sz w:val="12"/>
            <w:szCs w:val="12"/>
            <w:color w:val="auto"/>
          </w:rPr>
          <w:t xml:space="preserve">assets acquired based on their estimated fair values at the acquisition date. The excess of the cost of the acquisition over the fair value of the assets acquired is recorded as goodwill within our Fiber Infrastructure segment. See </w:t>
        </w:r>
        <w:r>
          <w:rPr>
            <w:rFonts w:ascii="Arial" w:cs="Arial" w:eastAsia="Arial" w:hAnsi="Arial"/>
            <w:sz w:val="12"/>
            <w:szCs w:val="12"/>
            <w:u w:val="single" w:color="auto"/>
            <w:color w:val="auto"/>
          </w:rPr>
          <w:t>Note 14</w:t>
        </w:r>
        <w:r>
          <w:rPr>
            <w:rFonts w:ascii="Arial" w:cs="Arial" w:eastAsia="Arial" w:hAnsi="Arial"/>
            <w:sz w:val="12"/>
            <w:szCs w:val="12"/>
            <w:u w:val="single" w:color="auto"/>
            <w:color w:val="0000EE"/>
          </w:rPr>
          <w:t>. The</w:t>
        </w:r>
      </w:hyperlink>
      <w:r>
        <w:rPr>
          <w:rFonts w:ascii="Arial" w:cs="Arial" w:eastAsia="Arial" w:hAnsi="Arial"/>
          <w:sz w:val="12"/>
          <w:szCs w:val="12"/>
          <w:color w:val="auto"/>
        </w:rPr>
        <w:t xml:space="preserve"> </w:t>
      </w:r>
      <w:hyperlink w:anchor="page94">
        <w:r>
          <w:rPr>
            <w:rFonts w:ascii="Arial" w:cs="Arial" w:eastAsia="Arial" w:hAnsi="Arial"/>
            <w:sz w:val="12"/>
            <w:szCs w:val="12"/>
            <w:u w:val="single" w:color="auto"/>
            <w:color w:val="0000EE"/>
          </w:rPr>
          <w:t>following is a summary of the estimated fair values of the assets acquired and liabilities assumed</w:t>
        </w:r>
        <w:r>
          <w:rPr>
            <w:rFonts w:ascii="Arial" w:cs="Arial" w:eastAsia="Arial" w:hAnsi="Arial"/>
            <w:sz w:val="12"/>
            <w:szCs w:val="12"/>
            <w:color w:val="0000EE"/>
          </w:rPr>
          <w:t xml:space="preserve"> </w:t>
        </w:r>
        <w:r>
          <w:rPr>
            <w:rFonts w:ascii="Arial" w:cs="Arial" w:eastAsia="Arial" w:hAnsi="Arial"/>
            <w:sz w:val="12"/>
            <w:szCs w:val="12"/>
            <w:color w:val="000000"/>
          </w:rPr>
          <w:t>as of the acquisition date: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1143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2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4,270</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5,931</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3,909</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7,238</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11,210</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30,254</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(2,645)</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(567)</w:t>
            </w:r>
          </w:p>
        </w:tc>
      </w:tr>
      <w:tr>
        <w:trPr>
          <w:trHeight w:val="149"/>
        </w:trPr>
        <w:tc>
          <w:tcPr>
            <w:tcW w:w="8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59,600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53"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above purchase price allocation is considered preliminary and is subject to revision when the valuation of assets and liabilities is finalized upon receipt of the final valuation report from a third party valuation specialist, and resolution of contractual adjustments, such as working capital adjustments, set forth in the merger agreement, which is anticipated to be finalized during the first half of 2019.</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goodwill arising from the transaction is primarily attributable to strategic opportunities that arose from the acquisition of ITS, including strengthening relationships with new and existing E-Rate customers and anticipated incremental sales and cost savings. For federal income tax purposes, the transaction was treated as a taxable acquisition. Thus, all of the goodwill is expected to be deductible for tax purposes.</w:t>
      </w:r>
    </w:p>
    <w:p>
      <w:pPr>
        <w:spacing w:after="0" w:line="11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acquired an intangible asset that was assigned to customer relationships of $30.3 million (14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acquired business contributed revenue of $9.0 million and an operating income of $0.5 million, which excludes transaction related costs, to our consolidated results from the date of acquisition through December 31, 2018. We recorded transaction related costs related to the acquisition of ITS for the year ended December 31, 2018 of $0.3 million within transaction related costs on the Consolidated Statement of Income.</w:t>
      </w:r>
    </w:p>
    <w:p>
      <w:pPr>
        <w:spacing w:after="0" w:line="115"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The following table presents the unaudited pro forma summary of our financial results as if the ITS acquisition had occurred on January 1, 2017. The pro forma results include additional amortization resulting from purchase accounting adjustments related to the intangible asset. The pro forma results do not include any synergies or other benefits of the acquisition. The pro forma results are not indicative of future results of operations, or results that might have been achieved had the acquisition been consummated on January 1, 2017.</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center"/>
              <w:ind w:left="571"/>
              <w:spacing w:after="0"/>
              <w:rPr>
                <w:sz w:val="20"/>
                <w:szCs w:val="20"/>
                <w:color w:val="auto"/>
              </w:rPr>
            </w:pPr>
            <w:r>
              <w:rPr>
                <w:rFonts w:ascii="Arial" w:cs="Arial" w:eastAsia="Arial" w:hAnsi="Arial"/>
                <w:sz w:val="10"/>
                <w:szCs w:val="10"/>
                <w:b w:val="1"/>
                <w:bCs w:val="1"/>
                <w:color w:val="auto"/>
                <w:w w:val="87"/>
              </w:rPr>
              <w:t>Year Ended</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60" w:type="dxa"/>
            <w:vAlign w:val="bottom"/>
            <w:gridSpan w:val="2"/>
          </w:tcPr>
          <w:p>
            <w:pPr>
              <w:jc w:val="right"/>
              <w:ind w:right="1180"/>
              <w:spacing w:after="0"/>
              <w:rPr>
                <w:sz w:val="20"/>
                <w:szCs w:val="20"/>
                <w:color w:val="auto"/>
              </w:rPr>
            </w:pPr>
            <w:r>
              <w:rPr>
                <w:rFonts w:ascii="Arial" w:cs="Arial" w:eastAsia="Arial" w:hAnsi="Arial"/>
                <w:sz w:val="10"/>
                <w:szCs w:val="10"/>
                <w:b w:val="1"/>
                <w:bCs w:val="1"/>
                <w:color w:val="auto"/>
              </w:rPr>
              <w:t>Year Ended</w:t>
            </w:r>
          </w:p>
        </w:tc>
      </w:tr>
      <w:tr>
        <w:trPr>
          <w:trHeight w:val="152"/>
        </w:trPr>
        <w:tc>
          <w:tcPr>
            <w:tcW w:w="6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center"/>
              <w:ind w:left="571"/>
              <w:spacing w:after="0"/>
              <w:rPr>
                <w:sz w:val="20"/>
                <w:szCs w:val="20"/>
                <w:color w:val="auto"/>
              </w:rPr>
            </w:pPr>
            <w:r>
              <w:rPr>
                <w:rFonts w:ascii="Arial" w:cs="Arial" w:eastAsia="Arial" w:hAnsi="Arial"/>
                <w:sz w:val="10"/>
                <w:szCs w:val="10"/>
                <w:b w:val="1"/>
                <w:bCs w:val="1"/>
                <w:color w:val="auto"/>
                <w:w w:val="84"/>
              </w:rPr>
              <w:t>December 31, 2018</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706"/>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tcBorders>
              <w:bottom w:val="single" w:sz="8" w:color="CFF0FC"/>
            </w:tcBorders>
          </w:tcPr>
          <w:p>
            <w:pPr>
              <w:spacing w:after="0"/>
              <w:rPr>
                <w:sz w:val="13"/>
                <w:szCs w:val="13"/>
                <w:color w:val="auto"/>
              </w:rPr>
            </w:pPr>
          </w:p>
        </w:tc>
      </w:tr>
      <w:tr>
        <w:trPr>
          <w:trHeight w:val="142"/>
        </w:trPr>
        <w:tc>
          <w:tcPr>
            <w:tcW w:w="63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1660" w:type="dxa"/>
            <w:vAlign w:val="bottom"/>
            <w:shd w:val="clear" w:color="auto" w:fill="CFF0FC"/>
          </w:tcPr>
          <w:p>
            <w:pPr>
              <w:jc w:val="right"/>
              <w:ind w:right="155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1,054,192</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967,512</w:t>
            </w:r>
          </w:p>
        </w:tc>
        <w:tc>
          <w:tcPr>
            <w:tcW w:w="280" w:type="dxa"/>
            <w:vAlign w:val="bottom"/>
            <w:shd w:val="clear" w:color="auto" w:fill="CFF0FC"/>
          </w:tcPr>
          <w:p>
            <w:pPr>
              <w:spacing w:after="0"/>
              <w:rPr>
                <w:sz w:val="12"/>
                <w:szCs w:val="12"/>
                <w:color w:val="auto"/>
              </w:rPr>
            </w:pPr>
          </w:p>
        </w:tc>
      </w:tr>
      <w:tr>
        <w:trPr>
          <w:trHeight w:val="153"/>
        </w:trPr>
        <w:tc>
          <w:tcPr>
            <w:tcW w:w="6360" w:type="dxa"/>
            <w:vAlign w:val="bottom"/>
            <w:gridSpan w:val="2"/>
          </w:tcPr>
          <w:p>
            <w:pPr>
              <w:spacing w:after="0"/>
              <w:rPr>
                <w:sz w:val="20"/>
                <w:szCs w:val="20"/>
                <w:color w:val="auto"/>
              </w:rPr>
            </w:pPr>
            <w:r>
              <w:rPr>
                <w:rFonts w:ascii="Arial" w:cs="Arial" w:eastAsia="Arial" w:hAnsi="Arial"/>
                <w:sz w:val="12"/>
                <w:szCs w:val="12"/>
                <w:color w:val="auto"/>
              </w:rPr>
              <w:t>Pro forma net income (loss)</w:t>
            </w:r>
          </w:p>
        </w:tc>
        <w:tc>
          <w:tcPr>
            <w:tcW w:w="16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17,727</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2"/>
                <w:szCs w:val="12"/>
                <w:color w:val="auto"/>
              </w:rPr>
              <w:t>(6,763)</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2017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Southern Light, LLC</w:t>
      </w:r>
    </w:p>
    <w:p>
      <w:pPr>
        <w:spacing w:after="0" w:line="150" w:lineRule="exact"/>
        <w:rPr>
          <w:sz w:val="20"/>
          <w:szCs w:val="20"/>
          <w:color w:val="auto"/>
        </w:rPr>
      </w:pPr>
    </w:p>
    <w:p>
      <w:pPr>
        <w:ind w:right="40"/>
        <w:spacing w:after="0" w:line="259" w:lineRule="auto"/>
        <w:rPr>
          <w:rFonts w:ascii="Arial" w:cs="Arial" w:eastAsia="Arial" w:hAnsi="Arial"/>
          <w:sz w:val="12"/>
          <w:szCs w:val="12"/>
          <w:color w:val="0000EE"/>
        </w:rPr>
      </w:pPr>
      <w:r>
        <w:rPr>
          <w:rFonts w:ascii="Arial" w:cs="Arial" w:eastAsia="Arial" w:hAnsi="Arial"/>
          <w:sz w:val="12"/>
          <w:szCs w:val="12"/>
          <w:color w:val="auto"/>
        </w:rPr>
        <w:t xml:space="preserve">On July 3, 2017, we acquired 100% of the outstanding equity of Southern Light for $638.1 million in cash and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The acquisition was recorded by allocating the costs of the </w:t>
      </w:r>
      <w:hyperlink w:anchor="page94">
        <w:r>
          <w:rPr>
            <w:rFonts w:ascii="Arial" w:cs="Arial" w:eastAsia="Arial" w:hAnsi="Arial"/>
            <w:sz w:val="12"/>
            <w:szCs w:val="12"/>
            <w:color w:val="auto"/>
          </w:rPr>
          <w:t xml:space="preserve">assets acquired based on their estimated fair values at the acquisition date. The excess of the cost of the acquisition over the fair value of the assets acquired is recorded as goodwill within our Fiber Infrastructure segment. See </w:t>
        </w:r>
        <w:r>
          <w:rPr>
            <w:rFonts w:ascii="Arial" w:cs="Arial" w:eastAsia="Arial" w:hAnsi="Arial"/>
            <w:sz w:val="12"/>
            <w:szCs w:val="12"/>
            <w:u w:val="single" w:color="auto"/>
            <w:color w:val="auto"/>
          </w:rPr>
          <w:t>Note 14</w:t>
        </w:r>
        <w:r>
          <w:rPr>
            <w:rFonts w:ascii="Arial" w:cs="Arial" w:eastAsia="Arial" w:hAnsi="Arial"/>
            <w:sz w:val="12"/>
            <w:szCs w:val="12"/>
            <w:u w:val="single" w:color="auto"/>
            <w:color w:val="0000EE"/>
          </w:rPr>
          <w:t>. The</w:t>
        </w:r>
      </w:hyperlink>
      <w:r>
        <w:rPr>
          <w:rFonts w:ascii="Arial" w:cs="Arial" w:eastAsia="Arial" w:hAnsi="Arial"/>
          <w:sz w:val="12"/>
          <w:szCs w:val="12"/>
          <w:color w:val="auto"/>
        </w:rPr>
        <w:t xml:space="preserve"> </w:t>
      </w:r>
      <w:hyperlink w:anchor="page94">
        <w:r>
          <w:rPr>
            <w:rFonts w:ascii="Arial" w:cs="Arial" w:eastAsia="Arial" w:hAnsi="Arial"/>
            <w:sz w:val="12"/>
            <w:szCs w:val="12"/>
            <w:u w:val="single" w:color="auto"/>
            <w:color w:val="0000EE"/>
          </w:rPr>
          <w:t>following is a summary of the estimated fair values of the assets acquired and liabilities assumed</w:t>
        </w:r>
        <w:r>
          <w:rPr>
            <w:rFonts w:ascii="Arial" w:cs="Arial" w:eastAsia="Arial" w:hAnsi="Arial"/>
            <w:sz w:val="12"/>
            <w:szCs w:val="12"/>
            <w:color w:val="0000EE"/>
          </w:rPr>
          <w:t xml:space="preserve"> </w:t>
        </w:r>
        <w:r>
          <w:rPr>
            <w:rFonts w:ascii="Arial" w:cs="Arial" w:eastAsia="Arial" w:hAnsi="Arial"/>
            <w:sz w:val="12"/>
            <w:szCs w:val="12"/>
            <w:color w:val="000000"/>
          </w:rPr>
          <w:t>as of the acquisition date:</w:t>
        </w:r>
      </w:hyperlink>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4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279,467</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1,992</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11,139</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1,287</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319,508</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160,100</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(19,846)</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00" w:type="dxa"/>
            <w:vAlign w:val="bottom"/>
          </w:tcPr>
          <w:p>
            <w:pPr>
              <w:spacing w:after="0"/>
              <w:rPr>
                <w:sz w:val="13"/>
                <w:szCs w:val="13"/>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(38,134)</w:t>
            </w: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0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(9,892)</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00" w:type="dxa"/>
            <w:vAlign w:val="bottom"/>
          </w:tcPr>
          <w:p>
            <w:pPr>
              <w:spacing w:after="0"/>
              <w:rPr>
                <w:sz w:val="13"/>
                <w:szCs w:val="13"/>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(3,189)</w:t>
            </w:r>
          </w:p>
        </w:tc>
      </w:tr>
      <w:tr>
        <w:trPr>
          <w:trHeight w:val="149"/>
        </w:trPr>
        <w:tc>
          <w:tcPr>
            <w:tcW w:w="8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702,432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During the second quarter of 2018, the purchase price allocation was adjusted to record $0.9 million of deferred tax liabilities that existed at the date of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goodwill arising from the transaction is primarily attributable to the expansion of our fiber network through the complementary nature of Southern Light’s fiber network to our existing fiber network, including anticipated</w:t>
      </w:r>
    </w:p>
    <w:p>
      <w:pPr>
        <w:spacing w:after="0" w:line="26" w:lineRule="exact"/>
        <w:rPr>
          <w:sz w:val="20"/>
          <w:szCs w:val="20"/>
          <w:color w:val="auto"/>
        </w:rPr>
      </w:pPr>
    </w:p>
    <w:p>
      <w:pPr>
        <w:ind w:right="40"/>
        <w:spacing w:after="0" w:line="306" w:lineRule="auto"/>
        <w:rPr>
          <w:sz w:val="20"/>
          <w:szCs w:val="20"/>
          <w:color w:val="auto"/>
        </w:rPr>
      </w:pPr>
      <w:r>
        <w:rPr>
          <w:rFonts w:ascii="Arial" w:cs="Arial" w:eastAsia="Arial" w:hAnsi="Arial"/>
          <w:sz w:val="11"/>
          <w:szCs w:val="11"/>
          <w:color w:val="auto"/>
        </w:rPr>
        <w:t>incremental sales and cost savings. For federal income tax purposes, the transaction was treated as partially taxable (for portion paid in cash) and partially non-taxable (for portion paid with common units in the Operating Partnership). The portion of the acquisition that was treated as a taxable acquisition resulted in tax deductible goodwill. No tax deductible goodwill resulted from the portion of the acquisition that was treated as non-taxable.</w:t>
      </w:r>
    </w:p>
    <w:p>
      <w:pPr>
        <w:spacing w:after="0" w:line="101"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We acquired an intangible asset that was assigned to customer relationships of $160.1 million (15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23"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The acquired business contributed revenue of $45.5 million and an operating income of $4.6 million, which excludes transaction related costs, to our consolidated results from the date of acquisition through December 31, 2017. We recorded transaction related costs related to the acquisition of Southern Light for the year ended December 31, 2017 of $14.8 million within transaction related costs on the Consolidated Statement of Income.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The acquisition of Southern Light was structured in a manner such that Southern Light ended up being owned by a subsidiary of ours with a pre-existing valuation allowance primarily related to deferred tax assets associated with net operating loss carryforwards. The acquisition of Southern Light also resulted in a change to our assessment of the need for a valuation allowance against these deferred tax assets, which resulted in a decrease to the valuation allowance of $8.0 million. The decrease in valuation allowance was recorded as an income tax benefit during the year ended December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Hunt Telecommunications, LLC</w:t>
      </w:r>
    </w:p>
    <w:p>
      <w:pPr>
        <w:spacing w:after="0" w:line="150" w:lineRule="exact"/>
        <w:rPr>
          <w:sz w:val="20"/>
          <w:szCs w:val="20"/>
          <w:color w:val="auto"/>
        </w:rPr>
      </w:pPr>
    </w:p>
    <w:p>
      <w:pPr>
        <w:ind w:right="80"/>
        <w:spacing w:after="0" w:line="254" w:lineRule="auto"/>
        <w:rPr>
          <w:rFonts w:ascii="Arial" w:cs="Arial" w:eastAsia="Arial" w:hAnsi="Arial"/>
          <w:sz w:val="12"/>
          <w:szCs w:val="12"/>
          <w:color w:val="auto"/>
        </w:rPr>
      </w:pPr>
      <w:r>
        <w:rPr>
          <w:rFonts w:ascii="Arial" w:cs="Arial" w:eastAsia="Arial" w:hAnsi="Arial"/>
          <w:sz w:val="12"/>
          <w:szCs w:val="12"/>
          <w:color w:val="auto"/>
        </w:rPr>
        <w:t xml:space="preserve">On July 3, 2017, we acquired 100% of the outstanding equity of Hunt for $129.3 million in cash and 1.6 million common units in the Operating Partnership with an acquisition date fair value of $41.6 million. Additional contingent consideration of up to $17 million, with an acquisition date fair value of $16.4 million, may be paid upon the achievement of certain financial revenue milestones by delivering shares of our common stock. See </w:t>
      </w:r>
      <w:hyperlink w:anchor="page82">
        <w:r>
          <w:rPr>
            <w:rFonts w:ascii="Arial" w:cs="Arial" w:eastAsia="Arial" w:hAnsi="Arial"/>
            <w:sz w:val="12"/>
            <w:szCs w:val="12"/>
            <w:u w:val="single" w:color="auto"/>
            <w:color w:val="auto"/>
          </w:rPr>
          <w:t>Note 6</w:t>
        </w:r>
        <w:r>
          <w:rPr>
            <w:rFonts w:ascii="Arial" w:cs="Arial" w:eastAsia="Arial" w:hAnsi="Arial"/>
            <w:sz w:val="14"/>
            <w:szCs w:val="14"/>
            <w:u w:val="single" w:color="auto"/>
            <w:color w:val="0000EE"/>
          </w:rPr>
          <w:t>.</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Hunt is a leading provider of data transport to K-12 schools and government agencies with a dense fiber network in Louisiana.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See </w:t>
      </w:r>
      <w:hyperlink w:anchor="page94">
        <w:r>
          <w:rPr>
            <w:rFonts w:ascii="Arial" w:cs="Arial" w:eastAsia="Arial" w:hAnsi="Arial"/>
            <w:sz w:val="12"/>
            <w:szCs w:val="12"/>
            <w:u w:val="single" w:color="auto"/>
            <w:color w:val="auto"/>
          </w:rPr>
          <w:t>Note 14</w:t>
        </w:r>
      </w:hyperlink>
      <w:r>
        <w:rPr>
          <w:rFonts w:ascii="Arial" w:cs="Arial" w:eastAsia="Arial" w:hAnsi="Arial"/>
          <w:sz w:val="12"/>
          <w:szCs w:val="12"/>
          <w:color w:val="auto"/>
        </w:rPr>
        <w:t>. The following is a summary of the estimated fair values of the assets acquired and liabilities assumed as of the acquisition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4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59,682</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3,181</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4,906</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413</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99,580</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73,000</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(3,741)</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00" w:type="dxa"/>
            <w:vAlign w:val="bottom"/>
          </w:tcPr>
          <w:p>
            <w:pPr>
              <w:spacing w:after="0"/>
              <w:rPr>
                <w:sz w:val="13"/>
                <w:szCs w:val="13"/>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(6,036)</w:t>
            </w: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0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(43,550)</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00" w:type="dxa"/>
            <w:vAlign w:val="bottom"/>
          </w:tcPr>
          <w:p>
            <w:pPr>
              <w:spacing w:after="0"/>
              <w:rPr>
                <w:sz w:val="13"/>
                <w:szCs w:val="13"/>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(164)</w:t>
            </w:r>
          </w:p>
        </w:tc>
      </w:tr>
      <w:tr>
        <w:trPr>
          <w:trHeight w:val="149"/>
        </w:trPr>
        <w:tc>
          <w:tcPr>
            <w:tcW w:w="8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187,271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7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During the first quarter of 2018, the purchase price allocation was adjusted to record certain deferred revenues and accrued liabilities that existed at the date of acquisition. Deferred revenue and accrued liabilities increased $2.2 million and $1.2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During the second quarter of 2018, the purchase price allocation was adjusted to record $3.2 million of deferred tax liabilities that existed at the date of acquisition.</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goodwill arising from the transaction is primarily attributable to the expansion of our fiber network through the complementary nature of Hunt’s fiber network to our existing fiber network, including anticipated incremental sales and cost savings. The goodwill is not expected to be deductible for tax purposes.</w:t>
      </w:r>
    </w:p>
    <w:p>
      <w:pPr>
        <w:spacing w:after="0" w:line="11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acquired an intangible asset that was assigned to customer relationships of $73 million (18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23"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 acquired business contributed revenue of $16.5 million and an operating income of $2.7 million, which excludes transaction and transition costs, to our consolidated results from the date of acquisition through December 31, 2017. We recorded transaction related costs related to the acquisition of Hunt for the year ended December 31, 2017 of $5.9 million within transaction related costs on the Consolidated Statement of Income.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The following table presents the unaudited pro forma summary of our financial results as if the Southern Light and Hunt business combinations had occurred on January 1, 2016. The pro forma results include additional depreciation and amortization resulting from purchase accounting adjustments,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on January 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jc w:val="center"/>
              <w:ind w:left="512"/>
              <w:spacing w:after="0"/>
              <w:rPr>
                <w:sz w:val="20"/>
                <w:szCs w:val="20"/>
                <w:color w:val="auto"/>
              </w:rPr>
            </w:pPr>
            <w:r>
              <w:rPr>
                <w:rFonts w:ascii="Arial" w:cs="Arial" w:eastAsia="Arial" w:hAnsi="Arial"/>
                <w:sz w:val="10"/>
                <w:szCs w:val="10"/>
                <w:b w:val="1"/>
                <w:bCs w:val="1"/>
                <w:color w:val="auto"/>
                <w:w w:val="87"/>
              </w:rPr>
              <w:t>Year Ended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0"/>
                <w:szCs w:val="10"/>
                <w:b w:val="1"/>
                <w:bCs w:val="1"/>
                <w:color w:val="auto"/>
              </w:rPr>
              <w:t>Year Ended</w:t>
            </w:r>
          </w:p>
        </w:tc>
      </w:tr>
      <w:tr>
        <w:trPr>
          <w:trHeight w:val="152"/>
        </w:trPr>
        <w:tc>
          <w:tcPr>
            <w:tcW w:w="6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6"/>
              </w:rPr>
              <w:t>December 31, 2017</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726"/>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13"/>
                <w:szCs w:val="13"/>
                <w:color w:val="auto"/>
              </w:rPr>
            </w:pPr>
          </w:p>
        </w:tc>
      </w:tr>
      <w:tr>
        <w:trPr>
          <w:trHeight w:val="142"/>
        </w:trPr>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1880" w:type="dxa"/>
            <w:vAlign w:val="bottom"/>
            <w:gridSpan w:val="2"/>
            <w:shd w:val="clear" w:color="auto" w:fill="CFF0FC"/>
          </w:tcPr>
          <w:p>
            <w:pPr>
              <w:jc w:val="right"/>
              <w:ind w:right="1612"/>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980,303</w:t>
            </w:r>
          </w:p>
        </w:tc>
        <w:tc>
          <w:tcPr>
            <w:tcW w:w="68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891,373</w:t>
            </w:r>
          </w:p>
        </w:tc>
        <w:tc>
          <w:tcPr>
            <w:tcW w:w="120" w:type="dxa"/>
            <w:vAlign w:val="bottom"/>
            <w:shd w:val="clear" w:color="auto" w:fill="CFF0FC"/>
          </w:tcPr>
          <w:p>
            <w:pPr>
              <w:spacing w:after="0"/>
              <w:rPr>
                <w:sz w:val="12"/>
                <w:szCs w:val="12"/>
                <w:color w:val="auto"/>
              </w:rPr>
            </w:pPr>
          </w:p>
        </w:tc>
      </w:tr>
      <w:tr>
        <w:trPr>
          <w:trHeight w:val="153"/>
        </w:trPr>
        <w:tc>
          <w:tcPr>
            <w:tcW w:w="6300" w:type="dxa"/>
            <w:vAlign w:val="bottom"/>
          </w:tcPr>
          <w:p>
            <w:pPr>
              <w:spacing w:after="0"/>
              <w:rPr>
                <w:sz w:val="20"/>
                <w:szCs w:val="20"/>
                <w:color w:val="auto"/>
              </w:rPr>
            </w:pPr>
            <w:r>
              <w:rPr>
                <w:rFonts w:ascii="Arial" w:cs="Arial" w:eastAsia="Arial" w:hAnsi="Arial"/>
                <w:sz w:val="12"/>
                <w:szCs w:val="12"/>
                <w:color w:val="auto"/>
              </w:rPr>
              <w:t>Pro forma net income (loss)</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4,267</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(2,482)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2016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Tower Cloud,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On August 31, 2016, we acquired 100% of the outstanding equity of Tower Cloud, Inc. (“Tower Cloud”) for $187.5 million in cash and 1.9 million shares of our common stock with an acquisition date fair value of $58.5</w:t>
      </w:r>
    </w:p>
    <w:p>
      <w:pPr>
        <w:spacing w:after="0" w:line="15" w:lineRule="exact"/>
        <w:rPr>
          <w:sz w:val="20"/>
          <w:szCs w:val="20"/>
          <w:color w:val="auto"/>
        </w:rPr>
      </w:pPr>
    </w:p>
    <w:p>
      <w:pPr>
        <w:spacing w:after="0" w:line="279" w:lineRule="auto"/>
        <w:rPr>
          <w:rFonts w:ascii="Arial" w:cs="Arial" w:eastAsia="Arial" w:hAnsi="Arial"/>
          <w:sz w:val="11"/>
          <w:szCs w:val="11"/>
          <w:color w:val="auto"/>
        </w:rPr>
      </w:pPr>
      <w:r>
        <w:rPr>
          <w:rFonts w:ascii="Arial" w:cs="Arial" w:eastAsia="Arial" w:hAnsi="Arial"/>
          <w:sz w:val="11"/>
          <w:szCs w:val="11"/>
          <w:color w:val="auto"/>
        </w:rPr>
        <w:t xml:space="preserve">million. Additional contingent consideration of up to $130 million, with an acquisition date fair value of $98.6 million, may be paid upon the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Tower Cloud provides data transport services, with particular focus on providing infrastructure solutions to the wireless and enterprise sectors, including fiber-to-the-tower backhaul, small cell networks, and dark fiber deployments. Following the close of the transaction, the Tower Cloud business and the previously acquired PEG Bandwidth business were combined into a unified fiber infrastructure organization, Uniti Fiber. The operating results from this acquisition are included in the consolidated financial statements from the acquisition date. The acquisition was recorded by allocating the costs of the assets acquired based on their estimated fair values at the acquisition date. The excess of the cost of the acquisition over </w:t>
      </w:r>
      <w:hyperlink w:anchor="page94">
        <w:r>
          <w:rPr>
            <w:rFonts w:ascii="Arial" w:cs="Arial" w:eastAsia="Arial" w:hAnsi="Arial"/>
            <w:sz w:val="11"/>
            <w:szCs w:val="11"/>
            <w:color w:val="auto"/>
          </w:rPr>
          <w:t xml:space="preserve">the fair value of the assets acquired is recorded as goodwill within our Fiber Infrastructure segment. See </w:t>
        </w:r>
        <w:r>
          <w:rPr>
            <w:rFonts w:ascii="Arial" w:cs="Arial" w:eastAsia="Arial" w:hAnsi="Arial"/>
            <w:sz w:val="11"/>
            <w:szCs w:val="11"/>
            <w:u w:val="single" w:color="auto"/>
            <w:color w:val="0000EE"/>
          </w:rPr>
          <w:t>Note 14</w:t>
        </w:r>
        <w:r>
          <w:rPr>
            <w:rFonts w:ascii="Arial" w:cs="Arial" w:eastAsia="Arial" w:hAnsi="Arial"/>
            <w:sz w:val="11"/>
            <w:szCs w:val="11"/>
            <w:u w:val="single" w:color="auto"/>
            <w:color w:val="auto"/>
          </w:rPr>
          <w:t>. During the first quarter of 2017, certain contractual working capital adjustments resulted in a $0.2 million reduction of the</w:t>
        </w:r>
      </w:hyperlink>
      <w:r>
        <w:rPr>
          <w:rFonts w:ascii="Arial" w:cs="Arial" w:eastAsia="Arial" w:hAnsi="Arial"/>
          <w:sz w:val="11"/>
          <w:szCs w:val="11"/>
          <w:color w:val="auto"/>
        </w:rPr>
        <w:t xml:space="preserve"> </w:t>
      </w:r>
      <w:hyperlink w:anchor="page94">
        <w:r>
          <w:rPr>
            <w:rFonts w:ascii="Arial" w:cs="Arial" w:eastAsia="Arial" w:hAnsi="Arial"/>
            <w:sz w:val="11"/>
            <w:szCs w:val="11"/>
            <w:u w:val="single" w:color="auto"/>
            <w:color w:val="auto"/>
          </w:rPr>
          <w:t>purchase</w:t>
        </w:r>
        <w:r>
          <w:rPr>
            <w:rFonts w:ascii="Arial" w:cs="Arial" w:eastAsia="Arial" w:hAnsi="Arial"/>
            <w:sz w:val="11"/>
            <w:szCs w:val="11"/>
            <w:color w:val="auto"/>
          </w:rPr>
          <w:t xml:space="preserve"> price and goodwill. The following is a summary of the estimated fair values of the assets acquired and liabilities assumed as of the acquisition date:</w:t>
        </w:r>
      </w:hyperlink>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2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163,680</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14,346</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3,043</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2,595</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117,032</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116,218</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(16,782)</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(23,900)</w:t>
            </w: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(24,866)</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(6,750)</w:t>
            </w:r>
          </w:p>
        </w:tc>
      </w:tr>
      <w:tr>
        <w:trPr>
          <w:trHeight w:val="149"/>
        </w:trPr>
        <w:tc>
          <w:tcPr>
            <w:tcW w:w="8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344,616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goodwill is primarily attributable to strategic opportunities that arose from the acquisition of Tower Cloud. The acquisition was treated as a taxable acquisition of the outstanding stock of Tower Cloud, Inc. Thus, none of the goodwill is expected to be deductible for tax purposes.</w:t>
      </w:r>
    </w:p>
    <w:p>
      <w:pPr>
        <w:spacing w:after="0" w:line="11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We acquired an intangible asset that was assigned to customer relationships of $116.2 million (30 year life). The Company determined the useful life for the customer relationship by applying an income approach (using the multi-period excess earnings method with a discount rate commensurate to the risk of the asset) and resulted from two key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considerations: attrition rate and cumulative present value of cash flows, including assessing the period over which the asset is expected to contribute to the Company’s future cash flows.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Tower Cloud had federal net operating loss (“NOL”) carryforwards of approximately $81.2 million at the date of the acquisition, which will expire between 2026 and 2036. As a result of the change in ownership, the utilization of NOL carryforwards is subject to limitations imposed by the Internal Revenue Code. The gross deferred tax assets associated with the NOL and other temporary differences as of August 31, 2016 were approximately $37.0 million. A net deferred tax liability of $24.8 million was recorded in connection with the acquisition, which is primarily related to the excess of the recorded amounts for Property, Plant and Equipment and Intangible Assets over their respective historical tax bases.</w:t>
      </w:r>
    </w:p>
    <w:p>
      <w:pPr>
        <w:spacing w:after="0" w:line="125" w:lineRule="exact"/>
        <w:rPr>
          <w:sz w:val="20"/>
          <w:szCs w:val="20"/>
          <w:color w:val="auto"/>
        </w:rPr>
      </w:pPr>
    </w:p>
    <w:p>
      <w:pPr>
        <w:ind w:right="260"/>
        <w:spacing w:after="0" w:line="323" w:lineRule="auto"/>
        <w:rPr>
          <w:sz w:val="20"/>
          <w:szCs w:val="20"/>
          <w:color w:val="auto"/>
        </w:rPr>
      </w:pPr>
      <w:r>
        <w:rPr>
          <w:rFonts w:ascii="Arial" w:cs="Arial" w:eastAsia="Arial" w:hAnsi="Arial"/>
          <w:sz w:val="11"/>
          <w:szCs w:val="11"/>
          <w:color w:val="auto"/>
        </w:rPr>
        <w:t>The acquired business contributed revenue of $13.5 million and an operating loss of $2.1 million, which excludes transaction and transition costs, to our consolidated results from the date of acquisition through December 31, 2016. We recorded transaction related costs related to the acquisition of Tower Cloud for the year ended December 31, 2016 of $9.1 million within transaction related costs on the Consolidated Statement of Income.</w:t>
      </w:r>
    </w:p>
    <w:p>
      <w:pPr>
        <w:spacing w:after="0" w:line="92"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The following table presents the unaudited pro forma summary of our financial results as if the business combination had occurred as of the Spin-Off.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the Spin-Off.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360" w:type="dxa"/>
            <w:vAlign w:val="bottom"/>
            <w:gridSpan w:val="2"/>
          </w:tcPr>
          <w:p>
            <w:pPr>
              <w:jc w:val="right"/>
              <w:ind w:right="2000"/>
              <w:spacing w:after="0"/>
              <w:rPr>
                <w:sz w:val="20"/>
                <w:szCs w:val="20"/>
                <w:color w:val="auto"/>
              </w:rPr>
            </w:pPr>
            <w:r>
              <w:rPr>
                <w:rFonts w:ascii="Arial" w:cs="Arial" w:eastAsia="Arial" w:hAnsi="Arial"/>
                <w:sz w:val="10"/>
                <w:szCs w:val="10"/>
                <w:b w:val="1"/>
                <w:bCs w:val="1"/>
                <w:color w:val="auto"/>
              </w:rPr>
              <w:t>Year Ended</w:t>
            </w:r>
          </w:p>
        </w:tc>
      </w:tr>
      <w:tr>
        <w:trPr>
          <w:trHeight w:val="152"/>
        </w:trPr>
        <w:tc>
          <w:tcPr>
            <w:tcW w:w="7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jc w:val="right"/>
              <w:ind w:right="1466"/>
              <w:spacing w:after="0"/>
              <w:rPr>
                <w:sz w:val="20"/>
                <w:szCs w:val="20"/>
                <w:color w:val="auto"/>
              </w:rPr>
            </w:pPr>
            <w:r>
              <w:rPr>
                <w:rFonts w:ascii="Arial" w:cs="Arial" w:eastAsia="Arial" w:hAnsi="Arial"/>
                <w:sz w:val="10"/>
                <w:szCs w:val="10"/>
                <w:b w:val="1"/>
                <w:bCs w:val="1"/>
                <w:color w:val="auto"/>
              </w:rPr>
              <w:t>December 31, 2016</w:t>
            </w:r>
          </w:p>
        </w:tc>
        <w:tc>
          <w:tcPr>
            <w:tcW w:w="340" w:type="dxa"/>
            <w:vAlign w:val="bottom"/>
            <w:tcBorders>
              <w:bottom w:val="single" w:sz="8" w:color="CFF0FC"/>
            </w:tcBorders>
          </w:tcPr>
          <w:p>
            <w:pPr>
              <w:spacing w:after="0"/>
              <w:rPr>
                <w:sz w:val="13"/>
                <w:szCs w:val="13"/>
                <w:color w:val="auto"/>
              </w:rPr>
            </w:pPr>
          </w:p>
        </w:tc>
      </w:tr>
      <w:tr>
        <w:trPr>
          <w:trHeight w:val="142"/>
        </w:trPr>
        <w:tc>
          <w:tcPr>
            <w:tcW w:w="7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780" w:type="dxa"/>
            <w:vAlign w:val="bottom"/>
            <w:shd w:val="clear" w:color="auto" w:fill="CFF0FC"/>
          </w:tcPr>
          <w:p>
            <w:pPr>
              <w:jc w:val="right"/>
              <w:ind w:right="670"/>
              <w:spacing w:after="0"/>
              <w:rPr>
                <w:sz w:val="20"/>
                <w:szCs w:val="20"/>
                <w:color w:val="auto"/>
              </w:rPr>
            </w:pPr>
            <w:r>
              <w:rPr>
                <w:rFonts w:ascii="Arial" w:cs="Arial" w:eastAsia="Arial" w:hAnsi="Arial"/>
                <w:sz w:val="10"/>
                <w:szCs w:val="10"/>
                <w:color w:val="auto"/>
                <w:w w:val="71"/>
              </w:rPr>
              <w:t>$</w:t>
            </w:r>
          </w:p>
        </w:tc>
        <w:tc>
          <w:tcPr>
            <w:tcW w:w="3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798,054</w:t>
            </w:r>
          </w:p>
        </w:tc>
        <w:tc>
          <w:tcPr>
            <w:tcW w:w="340" w:type="dxa"/>
            <w:vAlign w:val="bottom"/>
            <w:shd w:val="clear" w:color="auto" w:fill="CFF0FC"/>
          </w:tcPr>
          <w:p>
            <w:pPr>
              <w:spacing w:after="0"/>
              <w:rPr>
                <w:sz w:val="12"/>
                <w:szCs w:val="12"/>
                <w:color w:val="auto"/>
              </w:rPr>
            </w:pPr>
          </w:p>
        </w:tc>
      </w:tr>
      <w:tr>
        <w:trPr>
          <w:trHeight w:val="153"/>
        </w:trPr>
        <w:tc>
          <w:tcPr>
            <w:tcW w:w="7340" w:type="dxa"/>
            <w:vAlign w:val="bottom"/>
            <w:gridSpan w:val="2"/>
          </w:tcPr>
          <w:p>
            <w:pPr>
              <w:spacing w:after="0"/>
              <w:rPr>
                <w:sz w:val="20"/>
                <w:szCs w:val="20"/>
                <w:color w:val="auto"/>
              </w:rPr>
            </w:pPr>
            <w:r>
              <w:rPr>
                <w:rFonts w:ascii="Arial" w:cs="Arial" w:eastAsia="Arial" w:hAnsi="Arial"/>
                <w:sz w:val="12"/>
                <w:szCs w:val="12"/>
                <w:color w:val="auto"/>
              </w:rPr>
              <w:t>Pro forma net (loss) income</w:t>
            </w:r>
          </w:p>
        </w:tc>
        <w:tc>
          <w:tcPr>
            <w:tcW w:w="780" w:type="dxa"/>
            <w:vAlign w:val="bottom"/>
          </w:tcPr>
          <w:p>
            <w:pPr>
              <w:spacing w:after="0"/>
              <w:rPr>
                <w:sz w:val="13"/>
                <w:szCs w:val="13"/>
                <w:color w:val="auto"/>
              </w:rPr>
            </w:pPr>
          </w:p>
        </w:tc>
        <w:tc>
          <w:tcPr>
            <w:tcW w:w="3360" w:type="dxa"/>
            <w:vAlign w:val="bottom"/>
            <w:gridSpan w:val="2"/>
          </w:tcPr>
          <w:p>
            <w:pPr>
              <w:jc w:val="right"/>
              <w:ind w:right="300"/>
              <w:spacing w:after="0"/>
              <w:rPr>
                <w:sz w:val="20"/>
                <w:szCs w:val="20"/>
                <w:color w:val="auto"/>
              </w:rPr>
            </w:pPr>
            <w:r>
              <w:rPr>
                <w:rFonts w:ascii="Arial" w:cs="Arial" w:eastAsia="Arial" w:hAnsi="Arial"/>
                <w:sz w:val="12"/>
                <w:szCs w:val="12"/>
                <w:color w:val="auto"/>
              </w:rPr>
              <w:t>(3,581)</w:t>
            </w:r>
          </w:p>
        </w:tc>
      </w:tr>
      <w:tr>
        <w:trPr>
          <w:trHeight w:val="252"/>
        </w:trPr>
        <w:tc>
          <w:tcPr>
            <w:tcW w:w="7340" w:type="dxa"/>
            <w:vAlign w:val="bottom"/>
            <w:gridSpan w:val="2"/>
          </w:tcPr>
          <w:p>
            <w:pPr>
              <w:spacing w:after="0"/>
              <w:rPr>
                <w:sz w:val="20"/>
                <w:szCs w:val="20"/>
                <w:color w:val="auto"/>
              </w:rPr>
            </w:pPr>
            <w:r>
              <w:rPr>
                <w:rFonts w:ascii="Arial" w:cs="Arial" w:eastAsia="Arial" w:hAnsi="Arial"/>
                <w:sz w:val="12"/>
                <w:szCs w:val="12"/>
                <w:i w:val="1"/>
                <w:iCs w:val="1"/>
                <w:color w:val="auto"/>
              </w:rPr>
              <w:t>PEG Bandwidth, LLC</w:t>
            </w:r>
          </w:p>
        </w:tc>
        <w:tc>
          <w:tcPr>
            <w:tcW w:w="7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135" w:lineRule="exact"/>
        <w:rPr>
          <w:sz w:val="20"/>
          <w:szCs w:val="20"/>
          <w:color w:val="auto"/>
        </w:rPr>
      </w:pPr>
    </w:p>
    <w:p>
      <w:pPr>
        <w:ind w:right="40"/>
        <w:spacing w:after="0" w:line="257" w:lineRule="auto"/>
        <w:rPr>
          <w:rFonts w:ascii="Arial" w:cs="Arial" w:eastAsia="Arial" w:hAnsi="Arial"/>
          <w:sz w:val="12"/>
          <w:szCs w:val="12"/>
          <w:color w:val="auto"/>
        </w:rPr>
      </w:pPr>
      <w:r>
        <w:rPr>
          <w:rFonts w:ascii="Arial" w:cs="Arial" w:eastAsia="Arial" w:hAnsi="Arial"/>
          <w:sz w:val="12"/>
          <w:szCs w:val="12"/>
          <w:color w:val="auto"/>
        </w:rPr>
        <w:t xml:space="preserve">On May 2, 2016, we acquired 100% of the outstanding equity of PEG Bandwidth for $322.5 million in cash, the issuance of 87,500 shares of our 3.00% Series A Convertible Preferred Stock (“Series A Shares”) with a fair value of $78.6 million and 1 million shares of our common stock with an acquisition date fair value of $23.2 million. PEG Bandwidth is a leading provider of infrastructure solutions, including cell site backhaul and dark fiber, to the telecommunications industry. The operating results from this acquisition are included in the consolidated financial statements from the acquisition date.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See </w:t>
      </w:r>
      <w:hyperlink w:anchor="page94">
        <w:r>
          <w:rPr>
            <w:rFonts w:ascii="Arial" w:cs="Arial" w:eastAsia="Arial" w:hAnsi="Arial"/>
            <w:sz w:val="12"/>
            <w:szCs w:val="12"/>
            <w:u w:val="single" w:color="auto"/>
            <w:color w:val="auto"/>
          </w:rPr>
          <w:t>Note 14</w:t>
        </w:r>
        <w:r>
          <w:rPr>
            <w:rFonts w:ascii="Arial" w:cs="Arial" w:eastAsia="Arial" w:hAnsi="Arial"/>
            <w:sz w:val="12"/>
            <w:szCs w:val="12"/>
            <w:u w:val="single" w:color="auto"/>
            <w:color w:val="0000EE"/>
          </w:rPr>
          <w:t>. The following</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is a summary of the estimated fair values of the assets acquired and liabilities assumed as of the acquisition date: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8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300" w:type="dxa"/>
            <w:vAlign w:val="bottom"/>
            <w:gridSpan w:val="3"/>
            <w:shd w:val="clear" w:color="auto" w:fill="CFF0FC"/>
          </w:tcPr>
          <w:p>
            <w:pPr>
              <w:jc w:val="right"/>
              <w:ind w:right="410"/>
              <w:spacing w:after="0"/>
              <w:rPr>
                <w:sz w:val="20"/>
                <w:szCs w:val="20"/>
                <w:color w:val="auto"/>
              </w:rPr>
            </w:pPr>
            <w:r>
              <w:rPr>
                <w:rFonts w:ascii="Arial" w:cs="Arial" w:eastAsia="Arial" w:hAnsi="Arial"/>
                <w:sz w:val="12"/>
                <w:szCs w:val="12"/>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293,030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1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7,003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4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6,584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180" w:type="dxa"/>
            <w:vAlign w:val="bottom"/>
          </w:tcPr>
          <w:p>
            <w:pPr>
              <w:spacing w:after="0"/>
              <w:rPr>
                <w:sz w:val="20"/>
                <w:szCs w:val="20"/>
                <w:color w:val="auto"/>
              </w:rPr>
            </w:pPr>
            <w:r>
              <w:rPr>
                <w:rFonts w:ascii="Arial" w:cs="Arial" w:eastAsia="Arial" w:hAnsi="Arial"/>
                <w:sz w:val="12"/>
                <w:szCs w:val="12"/>
                <w:color w:val="auto"/>
              </w:rPr>
              <w:t>Other assets</w:t>
            </w: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5,161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Goodwill</w:t>
            </w:r>
          </w:p>
        </w:tc>
        <w:tc>
          <w:tcPr>
            <w:tcW w:w="4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145,054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180" w:type="dxa"/>
            <w:vAlign w:val="bottom"/>
          </w:tcPr>
          <w:p>
            <w:pPr>
              <w:spacing w:after="0"/>
              <w:rPr>
                <w:sz w:val="20"/>
                <w:szCs w:val="20"/>
                <w:color w:val="auto"/>
              </w:rPr>
            </w:pPr>
            <w:r>
              <w:rPr>
                <w:rFonts w:ascii="Arial" w:cs="Arial" w:eastAsia="Arial" w:hAnsi="Arial"/>
                <w:sz w:val="12"/>
                <w:szCs w:val="12"/>
                <w:color w:val="auto"/>
              </w:rPr>
              <w:t>Intangible assets</w:t>
            </w: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38,000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4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(8,643)</w:t>
            </w:r>
          </w:p>
        </w:tc>
        <w:tc>
          <w:tcPr>
            <w:tcW w:w="20" w:type="dxa"/>
            <w:vAlign w:val="bottom"/>
          </w:tcPr>
          <w:p>
            <w:pPr>
              <w:spacing w:after="0"/>
              <w:rPr>
                <w:sz w:val="13"/>
                <w:szCs w:val="13"/>
                <w:color w:val="auto"/>
              </w:rPr>
            </w:pPr>
          </w:p>
        </w:tc>
      </w:tr>
      <w:tr>
        <w:trPr>
          <w:trHeight w:val="153"/>
        </w:trPr>
        <w:tc>
          <w:tcPr>
            <w:tcW w:w="4180" w:type="dxa"/>
            <w:vAlign w:val="bottom"/>
          </w:tcPr>
          <w:p>
            <w:pPr>
              <w:spacing w:after="0"/>
              <w:rPr>
                <w:sz w:val="20"/>
                <w:szCs w:val="20"/>
                <w:color w:val="auto"/>
              </w:rPr>
            </w:pPr>
            <w:r>
              <w:rPr>
                <w:rFonts w:ascii="Arial" w:cs="Arial" w:eastAsia="Arial" w:hAnsi="Arial"/>
                <w:sz w:val="12"/>
                <w:szCs w:val="12"/>
                <w:color w:val="auto"/>
              </w:rPr>
              <w:t>Deferred revenue</w:t>
            </w: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(12,700)</w:t>
            </w:r>
          </w:p>
        </w:tc>
        <w:tc>
          <w:tcPr>
            <w:tcW w:w="20" w:type="dxa"/>
            <w:vAlign w:val="bottom"/>
          </w:tcPr>
          <w:p>
            <w:pPr>
              <w:spacing w:after="0"/>
              <w:rPr>
                <w:sz w:val="13"/>
                <w:szCs w:val="13"/>
                <w:color w:val="auto"/>
              </w:rPr>
            </w:pPr>
          </w:p>
        </w:tc>
      </w:tr>
      <w:tr>
        <w:trPr>
          <w:trHeight w:val="153"/>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Capital lease obligations</w:t>
            </w:r>
          </w:p>
        </w:tc>
        <w:tc>
          <w:tcPr>
            <w:tcW w:w="4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(49,195)</w:t>
            </w:r>
          </w:p>
        </w:tc>
        <w:tc>
          <w:tcPr>
            <w:tcW w:w="20" w:type="dxa"/>
            <w:vAlign w:val="bottom"/>
          </w:tcPr>
          <w:p>
            <w:pPr>
              <w:spacing w:after="0"/>
              <w:rPr>
                <w:sz w:val="13"/>
                <w:szCs w:val="13"/>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2"/>
                <w:szCs w:val="12"/>
                <w:color w:val="auto"/>
              </w:rPr>
              <w:t>Total purchase consideration</w:t>
            </w:r>
          </w:p>
        </w:tc>
        <w:tc>
          <w:tcPr>
            <w:tcW w:w="4780" w:type="dxa"/>
            <w:vAlign w:val="bottom"/>
            <w:gridSpan w:val="2"/>
          </w:tcPr>
          <w:p>
            <w:pPr>
              <w:spacing w:after="0"/>
              <w:rPr>
                <w:sz w:val="12"/>
                <w:szCs w:val="12"/>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424,294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4180" w:type="dxa"/>
            <w:vAlign w:val="bottom"/>
          </w:tcPr>
          <w:p>
            <w:pPr>
              <w:spacing w:after="0"/>
              <w:rPr>
                <w:sz w:val="24"/>
                <w:szCs w:val="24"/>
                <w:color w:val="auto"/>
              </w:rPr>
            </w:pPr>
          </w:p>
        </w:tc>
        <w:tc>
          <w:tcPr>
            <w:tcW w:w="4540" w:type="dxa"/>
            <w:vAlign w:val="bottom"/>
          </w:tcPr>
          <w:p>
            <w:pPr>
              <w:jc w:val="right"/>
              <w:ind w:right="2860"/>
              <w:spacing w:after="0"/>
              <w:rPr>
                <w:sz w:val="20"/>
                <w:szCs w:val="20"/>
                <w:color w:val="auto"/>
              </w:rPr>
            </w:pPr>
            <w:r>
              <w:rPr>
                <w:rFonts w:ascii="Arial" w:cs="Arial" w:eastAsia="Arial" w:hAnsi="Arial"/>
                <w:sz w:val="12"/>
                <w:szCs w:val="12"/>
                <w:color w:val="auto"/>
              </w:rPr>
              <w:t>81</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180" w:type="dxa"/>
            <w:vAlign w:val="bottom"/>
            <w:tcBorders>
              <w:bottom w:val="single" w:sz="8" w:color="9A9A9A"/>
            </w:tcBorders>
          </w:tcPr>
          <w:p>
            <w:pPr>
              <w:spacing w:after="0"/>
              <w:rPr>
                <w:sz w:val="6"/>
                <w:szCs w:val="6"/>
                <w:color w:val="auto"/>
              </w:rPr>
            </w:pPr>
          </w:p>
        </w:tc>
        <w:tc>
          <w:tcPr>
            <w:tcW w:w="4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goodwill is primarily attributable to strategic opportunities that arose from the acquisition of PEG Bandwidth. The goodwill is expected to be deductible for tax purposes.</w:t>
      </w:r>
    </w:p>
    <w:p>
      <w:pPr>
        <w:spacing w:after="0" w:line="150"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Of the $38 million of acquired intangible assets, $36 million was assigned to customer relationships (weighted average 17 year life) and $2 million was assigned to trademarks (indefinite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23"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The acquired business contributed revenue of $57.0 million and an operating loss of $8.8 million, which excludes transaction and transition costs, to our consolidated results from the date of acquisition through December 31, 2016. We recorded transaction related costs related to the acquisition of PEG Bandwidth for the year ended December 31, 2016 of $11.2 million within transaction related costs on the Consolidated Statement of Income.</w:t>
      </w:r>
    </w:p>
    <w:p>
      <w:pPr>
        <w:spacing w:after="0" w:line="92" w:lineRule="exact"/>
        <w:rPr>
          <w:sz w:val="20"/>
          <w:szCs w:val="20"/>
          <w:color w:val="auto"/>
        </w:rPr>
      </w:pPr>
    </w:p>
    <w:p>
      <w:pPr>
        <w:jc w:val="both"/>
        <w:ind w:right="160"/>
        <w:spacing w:after="0" w:line="298" w:lineRule="auto"/>
        <w:rPr>
          <w:sz w:val="20"/>
          <w:szCs w:val="20"/>
          <w:color w:val="auto"/>
        </w:rPr>
      </w:pPr>
      <w:r>
        <w:rPr>
          <w:rFonts w:ascii="Arial" w:cs="Arial" w:eastAsia="Arial" w:hAnsi="Arial"/>
          <w:sz w:val="11"/>
          <w:szCs w:val="11"/>
          <w:color w:val="auto"/>
        </w:rPr>
        <w:t>The following table presents the unaudited pro forma summary of our financial results as if the business combination had occurred as of the Spin-Off.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the Spin-Off.</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80" w:type="dxa"/>
            <w:vAlign w:val="bottom"/>
            <w:gridSpan w:val="2"/>
          </w:tcPr>
          <w:p>
            <w:pPr>
              <w:ind w:left="900"/>
              <w:spacing w:after="0"/>
              <w:rPr>
                <w:sz w:val="20"/>
                <w:szCs w:val="20"/>
                <w:color w:val="auto"/>
              </w:rPr>
            </w:pPr>
            <w:r>
              <w:rPr>
                <w:rFonts w:ascii="Arial" w:cs="Arial" w:eastAsia="Arial" w:hAnsi="Arial"/>
                <w:sz w:val="10"/>
                <w:szCs w:val="10"/>
                <w:b w:val="1"/>
                <w:bCs w:val="1"/>
                <w:color w:val="auto"/>
              </w:rPr>
              <w:t>Year Ended</w:t>
            </w:r>
          </w:p>
        </w:tc>
      </w:tr>
      <w:tr>
        <w:trPr>
          <w:trHeight w:val="152"/>
        </w:trPr>
        <w:tc>
          <w:tcPr>
            <w:tcW w:w="7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jc w:val="right"/>
              <w:ind w:right="1486"/>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13"/>
                <w:szCs w:val="13"/>
                <w:color w:val="auto"/>
              </w:rPr>
            </w:pPr>
          </w:p>
        </w:tc>
      </w:tr>
      <w:tr>
        <w:trPr>
          <w:trHeight w:val="142"/>
        </w:trPr>
        <w:tc>
          <w:tcPr>
            <w:tcW w:w="7260" w:type="dxa"/>
            <w:vAlign w:val="bottom"/>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1040" w:type="dxa"/>
            <w:vAlign w:val="bottom"/>
            <w:gridSpan w:val="2"/>
            <w:shd w:val="clear" w:color="auto" w:fill="CFF0FC"/>
          </w:tcPr>
          <w:p>
            <w:pPr>
              <w:jc w:val="right"/>
              <w:ind w:right="740"/>
              <w:spacing w:after="0"/>
              <w:rPr>
                <w:sz w:val="20"/>
                <w:szCs w:val="20"/>
                <w:color w:val="auto"/>
              </w:rPr>
            </w:pPr>
            <w:r>
              <w:rPr>
                <w:rFonts w:ascii="Arial" w:cs="Arial" w:eastAsia="Arial" w:hAnsi="Arial"/>
                <w:sz w:val="12"/>
                <w:szCs w:val="12"/>
                <w:color w:val="auto"/>
              </w:rPr>
              <w:t>$</w:t>
            </w:r>
          </w:p>
        </w:tc>
        <w:tc>
          <w:tcPr>
            <w:tcW w:w="3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797,637</w:t>
            </w:r>
          </w:p>
        </w:tc>
        <w:tc>
          <w:tcPr>
            <w:tcW w:w="120" w:type="dxa"/>
            <w:vAlign w:val="bottom"/>
            <w:shd w:val="clear" w:color="auto" w:fill="CFF0FC"/>
          </w:tcPr>
          <w:p>
            <w:pPr>
              <w:spacing w:after="0"/>
              <w:rPr>
                <w:sz w:val="12"/>
                <w:szCs w:val="12"/>
                <w:color w:val="auto"/>
              </w:rPr>
            </w:pPr>
          </w:p>
        </w:tc>
      </w:tr>
      <w:tr>
        <w:trPr>
          <w:trHeight w:val="153"/>
        </w:trPr>
        <w:tc>
          <w:tcPr>
            <w:tcW w:w="7260" w:type="dxa"/>
            <w:vAlign w:val="bottom"/>
          </w:tcPr>
          <w:p>
            <w:pPr>
              <w:spacing w:after="0"/>
              <w:rPr>
                <w:sz w:val="20"/>
                <w:szCs w:val="20"/>
                <w:color w:val="auto"/>
              </w:rPr>
            </w:pPr>
            <w:r>
              <w:rPr>
                <w:rFonts w:ascii="Arial" w:cs="Arial" w:eastAsia="Arial" w:hAnsi="Arial"/>
                <w:sz w:val="12"/>
                <w:szCs w:val="12"/>
                <w:color w:val="auto"/>
              </w:rPr>
              <w:t>Pro forma net income</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60" w:type="dxa"/>
            <w:vAlign w:val="bottom"/>
          </w:tcPr>
          <w:p>
            <w:pPr>
              <w:jc w:val="right"/>
              <w:spacing w:after="0"/>
              <w:rPr>
                <w:sz w:val="20"/>
                <w:szCs w:val="20"/>
                <w:color w:val="auto"/>
              </w:rPr>
            </w:pPr>
            <w:r>
              <w:rPr>
                <w:rFonts w:ascii="Arial" w:cs="Arial" w:eastAsia="Arial" w:hAnsi="Arial"/>
                <w:sz w:val="12"/>
                <w:szCs w:val="12"/>
                <w:color w:val="auto"/>
              </w:rPr>
              <w:t>6,264</w:t>
            </w:r>
          </w:p>
        </w:tc>
        <w:tc>
          <w:tcPr>
            <w:tcW w:w="120" w:type="dxa"/>
            <w:vAlign w:val="bottom"/>
          </w:tcPr>
          <w:p>
            <w:pPr>
              <w:spacing w:after="0"/>
              <w:rPr>
                <w:sz w:val="13"/>
                <w:szCs w:val="13"/>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Summit Wireless Infrastructure, LLC</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On January 22, 2016, we acquired 100% of the outstanding equity of Summit Wireless Infrastructure LLC (“Summit”). Summit builds, owns and operates telecommunication infrastructure serving wireless carriers in Mexico. Consideration given to acquire Summit included performance-based shares of common equity valued at $1.1 million, which will vest in full on the third anniversary of the closing date, subject to Summit meeting certain performance targets, and the assumption of Summit’s existing debt. The financial results of Summit are included in the Towers segment from the date of acquisition and were not material, individually or in the aggregate, to our results of operations and therefore, pro forma financial information has not been presented.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Fair Value of Financial Instruments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 xml:space="preserve">FASB ASC 820, </w:t>
      </w:r>
      <w:r>
        <w:rPr>
          <w:rFonts w:ascii="Arial" w:cs="Arial" w:eastAsia="Arial" w:hAnsi="Arial"/>
          <w:sz w:val="12"/>
          <w:szCs w:val="12"/>
          <w:i w:val="1"/>
          <w:iCs w:val="1"/>
          <w:color w:val="auto"/>
        </w:rPr>
        <w:t>Fair Value Measurements</w:t>
      </w:r>
      <w:r>
        <w:rPr>
          <w:rFonts w:ascii="Arial" w:cs="Arial" w:eastAsia="Arial" w:hAnsi="Arial"/>
          <w:sz w:val="12"/>
          <w:szCs w:val="12"/>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1 </w:t>
      </w:r>
      <w:r>
        <w:rPr>
          <w:rFonts w:ascii="Arial" w:cs="Arial" w:eastAsia="Arial" w:hAnsi="Arial"/>
          <w:sz w:val="12"/>
          <w:szCs w:val="12"/>
          <w:color w:val="auto"/>
        </w:rPr>
        <w:t>– Quoted prices (unadjusted) in active markets for identical assets or liabilities that the reporting entity can access at the assessment 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2 </w:t>
      </w:r>
      <w:r>
        <w:rPr>
          <w:rFonts w:ascii="Arial" w:cs="Arial" w:eastAsia="Arial" w:hAnsi="Arial"/>
          <w:sz w:val="12"/>
          <w:szCs w:val="12"/>
          <w:color w:val="auto"/>
        </w:rPr>
        <w:t>– Inputs other than quoted prices included within Level 1 that are observable for the asset or liability, either directly or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3 </w:t>
      </w:r>
      <w:r>
        <w:rPr>
          <w:rFonts w:ascii="Arial" w:cs="Arial" w:eastAsia="Arial" w:hAnsi="Arial"/>
          <w:sz w:val="12"/>
          <w:szCs w:val="12"/>
          <w:color w:val="auto"/>
        </w:rPr>
        <w:t>– Unobservable inputs for the asset or liability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Our financial instruments consist of cash and cash equivalents, accounts and other receivables, derivative instruments, contingent consideration, our outstanding notes and other debt, and accounts, interest and dividends payable.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of our financial instruments at December 31, 2018 and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center"/>
              <w:ind w:left="131"/>
              <w:spacing w:after="0"/>
              <w:rPr>
                <w:sz w:val="20"/>
                <w:szCs w:val="20"/>
                <w:color w:val="auto"/>
              </w:rPr>
            </w:pPr>
            <w:r>
              <w:rPr>
                <w:rFonts w:ascii="Arial" w:cs="Arial" w:eastAsia="Arial" w:hAnsi="Arial"/>
                <w:sz w:val="10"/>
                <w:szCs w:val="10"/>
                <w:b w:val="1"/>
                <w:bCs w:val="1"/>
                <w:color w:val="auto"/>
                <w:w w:val="85"/>
              </w:rPr>
              <w:t>Quoted Prices in</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3"/>
              <w:spacing w:after="0"/>
              <w:rPr>
                <w:sz w:val="20"/>
                <w:szCs w:val="20"/>
                <w:color w:val="auto"/>
              </w:rPr>
            </w:pPr>
            <w:r>
              <w:rPr>
                <w:rFonts w:ascii="Arial" w:cs="Arial" w:eastAsia="Arial" w:hAnsi="Arial"/>
                <w:sz w:val="10"/>
                <w:szCs w:val="10"/>
                <w:b w:val="1"/>
                <w:bCs w:val="1"/>
                <w:color w:val="auto"/>
                <w:w w:val="87"/>
              </w:rPr>
              <w:t>Prices with Other</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jc w:val="center"/>
              <w:ind w:left="131"/>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83"/>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1440" w:type="dxa"/>
            <w:vAlign w:val="bottom"/>
            <w:gridSpan w:val="4"/>
          </w:tcPr>
          <w:p>
            <w:pPr>
              <w:ind w:left="260"/>
              <w:spacing w:after="0" w:line="99" w:lineRule="exact"/>
              <w:rPr>
                <w:sz w:val="20"/>
                <w:szCs w:val="20"/>
                <w:color w:val="auto"/>
              </w:rPr>
            </w:pPr>
            <w:r>
              <w:rPr>
                <w:rFonts w:ascii="Arial" w:cs="Arial" w:eastAsia="Arial" w:hAnsi="Arial"/>
                <w:sz w:val="10"/>
                <w:szCs w:val="10"/>
                <w:b w:val="1"/>
                <w:bCs w:val="1"/>
                <w:color w:val="auto"/>
                <w:w w:val="95"/>
              </w:rPr>
              <w:t>Prices with Unobservable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66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Total</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jc w:val="center"/>
              <w:ind w:left="131"/>
              <w:spacing w:after="0" w:line="114" w:lineRule="exact"/>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center"/>
              <w:ind w:right="83"/>
              <w:spacing w:after="0" w:line="114" w:lineRule="exact"/>
              <w:rPr>
                <w:sz w:val="20"/>
                <w:szCs w:val="20"/>
                <w:color w:val="auto"/>
              </w:rPr>
            </w:pPr>
            <w:r>
              <w:rPr>
                <w:rFonts w:ascii="Arial" w:cs="Arial" w:eastAsia="Arial" w:hAnsi="Arial"/>
                <w:sz w:val="10"/>
                <w:szCs w:val="10"/>
                <w:b w:val="1"/>
                <w:bCs w:val="1"/>
                <w:color w:val="auto"/>
                <w:w w:val="88"/>
              </w:rPr>
              <w:t>(Level 2)</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Inputs (Level 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At December 31, 2018</w:t>
            </w: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Assets</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Derivative asset</w:t>
            </w:r>
          </w:p>
        </w:tc>
        <w:tc>
          <w:tcPr>
            <w:tcW w:w="1960" w:type="dxa"/>
            <w:vAlign w:val="bottom"/>
            <w:gridSpan w:val="3"/>
            <w:shd w:val="clear" w:color="auto" w:fill="CFF0FC"/>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31,043</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31,043</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31,043</w:t>
            </w:r>
          </w:p>
        </w:tc>
        <w:tc>
          <w:tcPr>
            <w:tcW w:w="260" w:type="dxa"/>
            <w:vAlign w:val="bottom"/>
          </w:tcPr>
          <w:p>
            <w:pPr>
              <w:spacing w:after="0"/>
              <w:rPr>
                <w:sz w:val="12"/>
                <w:szCs w:val="12"/>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31,043</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spacing w:after="0"/>
              <w:rPr>
                <w:sz w:val="20"/>
                <w:szCs w:val="20"/>
                <w:color w:val="auto"/>
              </w:rPr>
            </w:pPr>
            <w:r>
              <w:rPr>
                <w:rFonts w:ascii="Arial" w:cs="Arial" w:eastAsia="Arial" w:hAnsi="Arial"/>
                <w:sz w:val="12"/>
                <w:szCs w:val="12"/>
                <w:color w:val="auto"/>
              </w:rPr>
              <w:t>Liabilities</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secured term loan B - variable rate, due October 24, 2022</w:t>
            </w: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1,877,303</w:t>
            </w:r>
          </w:p>
        </w:tc>
        <w:tc>
          <w:tcPr>
            <w:tcW w:w="260" w:type="dxa"/>
            <w:vAlign w:val="bottom"/>
          </w:tcPr>
          <w:p>
            <w:pPr>
              <w:spacing w:after="0"/>
              <w:rPr>
                <w:sz w:val="13"/>
                <w:szCs w:val="13"/>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1,877,303</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secured notes - 6.00% , due April 15, 2023</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504,625</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504,625</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unsecured notes - 8.25%, due October 15, 2023</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965,700</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965,700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unsecured notes - 7.125%, due December 15, 2024</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496,500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496,500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secured revolving credit facility, variable rate, due April 24, 2020</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639,936</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639,936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Contingent consideration</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83,401</w:t>
            </w:r>
          </w:p>
        </w:tc>
        <w:tc>
          <w:tcPr>
            <w:tcW w:w="26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83,401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20"/>
                <w:szCs w:val="20"/>
                <w:color w:val="auto"/>
              </w:rPr>
            </w:pPr>
            <w:r>
              <w:rPr>
                <w:rFonts w:ascii="Arial" w:cs="Arial" w:eastAsia="Arial" w:hAnsi="Arial"/>
                <w:sz w:val="12"/>
                <w:szCs w:val="12"/>
                <w:color w:val="auto"/>
              </w:rPr>
              <w:t>Total</w:t>
            </w: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4,567,465</w:t>
            </w:r>
          </w:p>
        </w:tc>
        <w:tc>
          <w:tcPr>
            <w:tcW w:w="260" w:type="dxa"/>
            <w:vAlign w:val="bottom"/>
          </w:tcPr>
          <w:p>
            <w:pPr>
              <w:spacing w:after="0"/>
              <w:rPr>
                <w:sz w:val="12"/>
                <w:szCs w:val="12"/>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4,484,064</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83,401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top w:val="single" w:sz="8" w:color="auto"/>
            </w:tcBorders>
          </w:tcPr>
          <w:p>
            <w:pPr>
              <w:jc w:val="center"/>
              <w:ind w:left="131"/>
              <w:spacing w:after="0"/>
              <w:rPr>
                <w:sz w:val="20"/>
                <w:szCs w:val="20"/>
                <w:color w:val="auto"/>
              </w:rPr>
            </w:pPr>
            <w:r>
              <w:rPr>
                <w:rFonts w:ascii="Arial" w:cs="Arial" w:eastAsia="Arial" w:hAnsi="Arial"/>
                <w:sz w:val="10"/>
                <w:szCs w:val="10"/>
                <w:b w:val="1"/>
                <w:bCs w:val="1"/>
                <w:color w:val="auto"/>
                <w:w w:val="85"/>
              </w:rPr>
              <w:t>Quoted Prices in</w:t>
            </w:r>
          </w:p>
        </w:tc>
        <w:tc>
          <w:tcPr>
            <w:tcW w:w="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87"/>
              </w:rPr>
              <w:t>Prices with Other</w:t>
            </w: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jc w:val="center"/>
              <w:ind w:left="131"/>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83"/>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1440" w:type="dxa"/>
            <w:vAlign w:val="bottom"/>
            <w:gridSpan w:val="4"/>
          </w:tcPr>
          <w:p>
            <w:pPr>
              <w:ind w:left="260"/>
              <w:spacing w:after="0" w:line="99" w:lineRule="exact"/>
              <w:rPr>
                <w:sz w:val="20"/>
                <w:szCs w:val="20"/>
                <w:color w:val="auto"/>
              </w:rPr>
            </w:pPr>
            <w:r>
              <w:rPr>
                <w:rFonts w:ascii="Arial" w:cs="Arial" w:eastAsia="Arial" w:hAnsi="Arial"/>
                <w:sz w:val="10"/>
                <w:szCs w:val="10"/>
                <w:b w:val="1"/>
                <w:bCs w:val="1"/>
                <w:color w:val="auto"/>
                <w:w w:val="95"/>
              </w:rPr>
              <w:t>Prices with Unobservable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66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Total</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jc w:val="center"/>
              <w:ind w:left="131"/>
              <w:spacing w:after="0" w:line="114" w:lineRule="exact"/>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center"/>
              <w:ind w:right="83"/>
              <w:spacing w:after="0" w:line="114" w:lineRule="exact"/>
              <w:rPr>
                <w:sz w:val="20"/>
                <w:szCs w:val="20"/>
                <w:color w:val="auto"/>
              </w:rPr>
            </w:pPr>
            <w:r>
              <w:rPr>
                <w:rFonts w:ascii="Arial" w:cs="Arial" w:eastAsia="Arial" w:hAnsi="Arial"/>
                <w:sz w:val="10"/>
                <w:szCs w:val="10"/>
                <w:b w:val="1"/>
                <w:bCs w:val="1"/>
                <w:color w:val="auto"/>
                <w:w w:val="88"/>
              </w:rPr>
              <w:t>(Level 2)</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Inputs (Level 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At December 31, 2017</w:t>
            </w: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Assets</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Derivative asset</w:t>
            </w:r>
          </w:p>
        </w:tc>
        <w:tc>
          <w:tcPr>
            <w:tcW w:w="1960" w:type="dxa"/>
            <w:vAlign w:val="bottom"/>
            <w:gridSpan w:val="3"/>
            <w:shd w:val="clear" w:color="auto" w:fill="CFF0FC"/>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2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6,793</w:t>
            </w:r>
          </w:p>
        </w:tc>
        <w:tc>
          <w:tcPr>
            <w:tcW w:w="260" w:type="dxa"/>
            <w:vAlign w:val="bottom"/>
          </w:tcPr>
          <w:p>
            <w:pPr>
              <w:spacing w:after="0"/>
              <w:rPr>
                <w:sz w:val="12"/>
                <w:szCs w:val="12"/>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6,793</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spacing w:after="0"/>
              <w:rPr>
                <w:sz w:val="20"/>
                <w:szCs w:val="20"/>
                <w:color w:val="auto"/>
              </w:rPr>
            </w:pPr>
            <w:r>
              <w:rPr>
                <w:rFonts w:ascii="Arial" w:cs="Arial" w:eastAsia="Arial" w:hAnsi="Arial"/>
                <w:sz w:val="12"/>
                <w:szCs w:val="12"/>
                <w:color w:val="auto"/>
              </w:rPr>
              <w:t>Liabilities</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secured term loan B - variable rate, due October 24, 2022</w:t>
            </w: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2,011,237</w:t>
            </w:r>
          </w:p>
        </w:tc>
        <w:tc>
          <w:tcPr>
            <w:tcW w:w="260" w:type="dxa"/>
            <w:vAlign w:val="bottom"/>
          </w:tcPr>
          <w:p>
            <w:pPr>
              <w:spacing w:after="0"/>
              <w:rPr>
                <w:sz w:val="13"/>
                <w:szCs w:val="13"/>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2,011,237</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secured notes - 6.00% , due April 15, 2023</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540,375</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540,375</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unsecured notes - 8.25%, due October 15, 2023</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1,073,925</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1,073,925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unsecured notes - 7.125%, due December 15, 2024</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542,250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542,250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secured revolving credit facility, variable rate, due April 24, 2020</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279,972</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279,972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Contingent consideration</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105,762</w:t>
            </w:r>
          </w:p>
        </w:tc>
        <w:tc>
          <w:tcPr>
            <w:tcW w:w="26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105,762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20"/>
                <w:szCs w:val="20"/>
                <w:color w:val="auto"/>
              </w:rPr>
            </w:pPr>
            <w:r>
              <w:rPr>
                <w:rFonts w:ascii="Arial" w:cs="Arial" w:eastAsia="Arial" w:hAnsi="Arial"/>
                <w:sz w:val="12"/>
                <w:szCs w:val="12"/>
                <w:color w:val="auto"/>
              </w:rPr>
              <w:t>Total</w:t>
            </w: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4,553,521</w:t>
            </w:r>
          </w:p>
        </w:tc>
        <w:tc>
          <w:tcPr>
            <w:tcW w:w="260" w:type="dxa"/>
            <w:vAlign w:val="bottom"/>
          </w:tcPr>
          <w:p>
            <w:pPr>
              <w:spacing w:after="0"/>
              <w:rPr>
                <w:sz w:val="12"/>
                <w:szCs w:val="12"/>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4,447,759</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105,762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83</w:t>
            </w: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6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cash and cash equivalents, accounts and other receivables, and accounts, interest and dividends payable approximate fair values due to the short-term nature of these financial instruments.</w:t>
      </w:r>
    </w:p>
    <w:p>
      <w:pPr>
        <w:spacing w:after="0" w:line="150" w:lineRule="exact"/>
        <w:rPr>
          <w:sz w:val="20"/>
          <w:szCs w:val="20"/>
          <w:color w:val="auto"/>
        </w:rPr>
      </w:pPr>
    </w:p>
    <w:p>
      <w:pPr>
        <w:ind w:right="80"/>
        <w:spacing w:after="0" w:line="281" w:lineRule="auto"/>
        <w:rPr>
          <w:sz w:val="20"/>
          <w:szCs w:val="20"/>
          <w:color w:val="auto"/>
        </w:rPr>
      </w:pPr>
      <w:r>
        <w:rPr>
          <w:rFonts w:ascii="Arial" w:cs="Arial" w:eastAsia="Arial" w:hAnsi="Arial"/>
          <w:sz w:val="11"/>
          <w:szCs w:val="11"/>
          <w:color w:val="auto"/>
        </w:rPr>
        <w:t>The total principal balance of our Notes and other debt was $5.0 billion at December 31, 2018, with a fair value of $4.5 billion. The estimated fair value of the Notes and other debt was based on available external pricing data and current market rates for similar debt instruments, among other factors, which are classified as Level 2 inputs within the fair value hierarchy. Derivative instruments are carried at fair value. See Note 8. The fair value of our interest rate swap is determined based on the present value of expected future cash flows using observable, quoted LIBOR swap rates for the full term of the swap and also incorporate credit valuation adjustments to appropriately reflect both Uniti 's own non-performance risk and non-performance risk of the respective counterparties. The Company has determined that the majority of the inputs used to value its derivative instruments fall within Level 2 of the fair value hierarchy; however the associated credit valuation adjustments utilized Level 3 inputs, such as estimates of credit spreads, to evaluate the likelihood of default by the Company and its counterparties. As of December 31, 2018,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instruments valuation in Level 2 of the fair value hierarchy.</w:t>
      </w:r>
    </w:p>
    <w:p>
      <w:pPr>
        <w:spacing w:after="0" w:line="116" w:lineRule="exact"/>
        <w:rPr>
          <w:sz w:val="20"/>
          <w:szCs w:val="20"/>
          <w:color w:val="auto"/>
        </w:rPr>
      </w:pPr>
    </w:p>
    <w:p>
      <w:pPr>
        <w:ind w:right="140"/>
        <w:spacing w:after="0" w:line="290" w:lineRule="auto"/>
        <w:rPr>
          <w:sz w:val="20"/>
          <w:szCs w:val="20"/>
          <w:color w:val="auto"/>
        </w:rPr>
      </w:pPr>
      <w:r>
        <w:rPr>
          <w:rFonts w:ascii="Arial" w:cs="Arial" w:eastAsia="Arial" w:hAnsi="Arial"/>
          <w:sz w:val="11"/>
          <w:szCs w:val="11"/>
          <w:color w:val="auto"/>
        </w:rPr>
        <w:t>As part of the acquisition of Hunt on July 3, 2017, we may be obligated to pay contingent consideration (the “Hunt Contingent Consideration”) upon the achievement of certain defined revenue milestones; therefore, we have recorded the estimated fair value of contingent consideration of approximately $10.0 million as of December 31, 2018. See Note 5. In accordance with the Hunt merger agreement, Uniti common shares will be used to satisfy the contingent consideration payment. The fair value of the Hunt Contingent Consideration at December 31, 2018 was determined using the closing price of our common shares in the active market and probability estimates of future earnings and is classified as Level 3. On January 4, 2019, we settled the Hunt Contingent Consideration in full satisfaction of the obligation through the issuance of 645,385 common shares having a fair value of $11.2 million.</w:t>
      </w:r>
    </w:p>
    <w:p>
      <w:pPr>
        <w:spacing w:after="0" w:line="109"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$73.4 million as of December 31, 2018. The fair value of the contingent consideration as of December 31, 2018, was determined using a discounted cash flow model and probability adjusted estimates of the operational milestones and is classified as Level 3. During the year ended December 31, 2018, we paid $18.6 million for the achievement of certain milestones in accordance with the Tower Cloud merger agreement.</w:t>
      </w:r>
    </w:p>
    <w:p>
      <w:pPr>
        <w:spacing w:after="0" w:line="10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Changes in the fair value of contingent consideration will be recorded in our Consolidated Statement of Income in the period in which the change occurs. For the year ended December 31, 2018, there was a $3.7 million decrease in the fair value of the contingent consideration that was recorded in Other expense on the Consolidated Statements of Income.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roll forward of our liability measured at fair value on a recurring basis using unobservable inputs (Level 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86"/>
              </w:rPr>
              <w:t>(Gain)/Loss included 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4"/>
        </w:trPr>
        <w:tc>
          <w:tcPr>
            <w:tcW w:w="50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center"/>
              <w:ind w:right="44"/>
              <w:spacing w:after="0" w:line="114" w:lineRule="exact"/>
              <w:rPr>
                <w:sz w:val="20"/>
                <w:szCs w:val="20"/>
                <w:color w:val="auto"/>
              </w:rPr>
            </w:pPr>
            <w:r>
              <w:rPr>
                <w:rFonts w:ascii="Arial" w:cs="Arial" w:eastAsia="Arial" w:hAnsi="Arial"/>
                <w:sz w:val="10"/>
                <w:szCs w:val="10"/>
                <w:b w:val="1"/>
                <w:bCs w:val="1"/>
                <w:color w:val="auto"/>
                <w:w w:val="86"/>
              </w:rPr>
              <w:t>December 31, 2017</w:t>
            </w:r>
          </w:p>
        </w:tc>
        <w:tc>
          <w:tcPr>
            <w:tcW w:w="240" w:type="dxa"/>
            <w:vAlign w:val="bottom"/>
            <w:tcBorders>
              <w:bottom w:val="single" w:sz="8" w:color="CFF0FC"/>
            </w:tcBorders>
          </w:tcPr>
          <w:p>
            <w:pPr>
              <w:spacing w:after="0"/>
              <w:rPr>
                <w:sz w:val="9"/>
                <w:szCs w:val="9"/>
                <w:color w:val="auto"/>
              </w:rPr>
            </w:pPr>
          </w:p>
        </w:tc>
        <w:tc>
          <w:tcPr>
            <w:tcW w:w="1000" w:type="dxa"/>
            <w:vAlign w:val="bottom"/>
            <w:tcBorders>
              <w:bottom w:val="single" w:sz="8" w:color="auto"/>
            </w:tcBorders>
            <w:gridSpan w:val="2"/>
          </w:tcPr>
          <w:p>
            <w:pPr>
              <w:ind w:left="40"/>
              <w:spacing w:after="0" w:line="114" w:lineRule="exact"/>
              <w:rPr>
                <w:sz w:val="20"/>
                <w:szCs w:val="20"/>
                <w:color w:val="auto"/>
              </w:rPr>
            </w:pPr>
            <w:r>
              <w:rPr>
                <w:rFonts w:ascii="Arial" w:cs="Arial" w:eastAsia="Arial" w:hAnsi="Arial"/>
                <w:sz w:val="10"/>
                <w:szCs w:val="10"/>
                <w:b w:val="1"/>
                <w:bCs w:val="1"/>
                <w:color w:val="auto"/>
                <w:w w:val="90"/>
              </w:rPr>
              <w:t>Transfers into Level 3</w:t>
            </w:r>
          </w:p>
        </w:tc>
        <w:tc>
          <w:tcPr>
            <w:tcW w:w="2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66"/>
              <w:spacing w:after="0" w:line="114" w:lineRule="exact"/>
              <w:rPr>
                <w:sz w:val="20"/>
                <w:szCs w:val="20"/>
                <w:color w:val="auto"/>
              </w:rPr>
            </w:pPr>
            <w:r>
              <w:rPr>
                <w:rFonts w:ascii="Arial" w:cs="Arial" w:eastAsia="Arial" w:hAnsi="Arial"/>
                <w:sz w:val="10"/>
                <w:szCs w:val="10"/>
                <w:b w:val="1"/>
                <w:bCs w:val="1"/>
                <w:color w:val="auto"/>
                <w:w w:val="86"/>
              </w:rPr>
              <w:t>earnings</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80"/>
              <w:spacing w:after="0" w:line="114" w:lineRule="exact"/>
              <w:rPr>
                <w:sz w:val="20"/>
                <w:szCs w:val="20"/>
                <w:color w:val="auto"/>
              </w:rPr>
            </w:pPr>
            <w:r>
              <w:rPr>
                <w:rFonts w:ascii="Arial" w:cs="Arial" w:eastAsia="Arial" w:hAnsi="Arial"/>
                <w:sz w:val="10"/>
                <w:szCs w:val="10"/>
                <w:b w:val="1"/>
                <w:bCs w:val="1"/>
                <w:color w:val="auto"/>
              </w:rPr>
              <w:t>Settlements</w:t>
            </w:r>
          </w:p>
        </w:tc>
        <w:tc>
          <w:tcPr>
            <w:tcW w:w="2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126"/>
              <w:spacing w:after="0" w:line="114" w:lineRule="exact"/>
              <w:rPr>
                <w:sz w:val="20"/>
                <w:szCs w:val="20"/>
                <w:color w:val="auto"/>
              </w:rPr>
            </w:pPr>
            <w:r>
              <w:rPr>
                <w:rFonts w:ascii="Arial" w:cs="Arial" w:eastAsia="Arial" w:hAnsi="Arial"/>
                <w:sz w:val="10"/>
                <w:szCs w:val="10"/>
                <w:b w:val="1"/>
                <w:bCs w:val="1"/>
                <w:color w:val="auto"/>
                <w:w w:val="88"/>
              </w:rPr>
              <w:t>December 31, 2018</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Contingent consideration</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105,762</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ind w:left="420"/>
              <w:spacing w:after="0"/>
              <w:rPr>
                <w:sz w:val="20"/>
                <w:szCs w:val="20"/>
                <w:color w:val="auto"/>
              </w:rPr>
            </w:pPr>
            <w:r>
              <w:rPr>
                <w:rFonts w:ascii="Arial" w:cs="Arial" w:eastAsia="Arial" w:hAnsi="Arial"/>
                <w:sz w:val="12"/>
                <w:szCs w:val="12"/>
                <w:color w:val="auto"/>
                <w:w w:val="82"/>
              </w:rPr>
              <w:t>—</w:t>
            </w:r>
          </w:p>
        </w:tc>
        <w:tc>
          <w:tcPr>
            <w:tcW w:w="46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(3,721)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(18,640)</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83,401</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432"/>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424"/>
              <w:spacing w:after="0"/>
              <w:rPr>
                <w:sz w:val="20"/>
                <w:szCs w:val="20"/>
                <w:color w:val="auto"/>
              </w:rPr>
            </w:pPr>
            <w:r>
              <w:rPr>
                <w:rFonts w:ascii="Arial" w:cs="Arial" w:eastAsia="Arial" w:hAnsi="Arial"/>
                <w:sz w:val="12"/>
                <w:szCs w:val="12"/>
                <w:color w:val="auto"/>
              </w:rPr>
              <w:t>84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0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Property, Plant and Equipment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property, plant and equipment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80" w:type="dxa"/>
            <w:vAlign w:val="bottom"/>
            <w:tcBorders>
              <w:bottom w:val="single" w:sz="8" w:color="CFF0FC"/>
            </w:tcBorders>
          </w:tcPr>
          <w:p>
            <w:pPr>
              <w:spacing w:after="0"/>
              <w:rPr>
                <w:sz w:val="10"/>
                <w:szCs w:val="10"/>
                <w:color w:val="auto"/>
              </w:rPr>
            </w:pPr>
          </w:p>
        </w:tc>
        <w:tc>
          <w:tcPr>
            <w:tcW w:w="17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Depreciable Lives</w:t>
            </w:r>
          </w:p>
        </w:tc>
        <w:tc>
          <w:tcPr>
            <w:tcW w:w="18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December 31, 2018</w:t>
            </w:r>
          </w:p>
        </w:tc>
        <w:tc>
          <w:tcPr>
            <w:tcW w:w="3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December 31, 2017</w:t>
            </w:r>
          </w:p>
        </w:tc>
        <w:tc>
          <w:tcPr>
            <w:tcW w:w="120" w:type="dxa"/>
            <w:vAlign w:val="bottom"/>
            <w:tcBorders>
              <w:bottom w:val="single" w:sz="8" w:color="CFF0FC"/>
            </w:tcBorders>
          </w:tcPr>
          <w:p>
            <w:pPr>
              <w:spacing w:after="0"/>
              <w:rPr>
                <w:sz w:val="10"/>
                <w:szCs w:val="10"/>
                <w:color w:val="auto"/>
              </w:rPr>
            </w:pPr>
          </w:p>
        </w:tc>
      </w:tr>
      <w:tr>
        <w:trPr>
          <w:trHeight w:val="142"/>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Indefinite</w:t>
            </w: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29,304</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27,110</w:t>
            </w:r>
          </w:p>
        </w:tc>
        <w:tc>
          <w:tcPr>
            <w:tcW w:w="120" w:type="dxa"/>
            <w:vAlign w:val="bottom"/>
            <w:shd w:val="clear" w:color="auto" w:fill="CFF0FC"/>
          </w:tcPr>
          <w:p>
            <w:pPr>
              <w:spacing w:after="0"/>
              <w:rPr>
                <w:sz w:val="12"/>
                <w:szCs w:val="12"/>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Building and improvements</w:t>
            </w:r>
          </w:p>
        </w:tc>
        <w:tc>
          <w:tcPr>
            <w:tcW w:w="1780" w:type="dxa"/>
            <w:vAlign w:val="bottom"/>
          </w:tcPr>
          <w:p>
            <w:pPr>
              <w:jc w:val="right"/>
              <w:spacing w:after="0"/>
              <w:rPr>
                <w:sz w:val="20"/>
                <w:szCs w:val="20"/>
                <w:color w:val="auto"/>
              </w:rPr>
            </w:pPr>
            <w:r>
              <w:rPr>
                <w:rFonts w:ascii="Arial" w:cs="Arial" w:eastAsia="Arial" w:hAnsi="Arial"/>
                <w:sz w:val="12"/>
                <w:szCs w:val="12"/>
                <w:color w:val="auto"/>
              </w:rPr>
              <w:t>3 - 40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340,238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333,121</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Real property interests</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See Note 3</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34,878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34,580</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Poles</w:t>
            </w:r>
          </w:p>
        </w:tc>
        <w:tc>
          <w:tcPr>
            <w:tcW w:w="1780" w:type="dxa"/>
            <w:vAlign w:val="bottom"/>
          </w:tcPr>
          <w:p>
            <w:pPr>
              <w:jc w:val="right"/>
              <w:spacing w:after="0"/>
              <w:rPr>
                <w:sz w:val="20"/>
                <w:szCs w:val="20"/>
                <w:color w:val="auto"/>
              </w:rPr>
            </w:pPr>
            <w:r>
              <w:rPr>
                <w:rFonts w:ascii="Arial" w:cs="Arial" w:eastAsia="Arial" w:hAnsi="Arial"/>
                <w:sz w:val="12"/>
                <w:szCs w:val="12"/>
                <w:color w:val="auto"/>
              </w:rPr>
              <w:t>30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248,989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243,710</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Fiber</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3,005,304</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2,671,216</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Equipment</w:t>
            </w:r>
          </w:p>
        </w:tc>
        <w:tc>
          <w:tcPr>
            <w:tcW w:w="1780" w:type="dxa"/>
            <w:vAlign w:val="bottom"/>
          </w:tcPr>
          <w:p>
            <w:pPr>
              <w:jc w:val="right"/>
              <w:spacing w:after="0"/>
              <w:rPr>
                <w:sz w:val="20"/>
                <w:szCs w:val="20"/>
                <w:color w:val="auto"/>
              </w:rPr>
            </w:pPr>
            <w:r>
              <w:rPr>
                <w:rFonts w:ascii="Arial" w:cs="Arial" w:eastAsia="Arial" w:hAnsi="Arial"/>
                <w:sz w:val="12"/>
                <w:szCs w:val="12"/>
                <w:color w:val="auto"/>
              </w:rPr>
              <w:t>5 - 7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256,838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201,490</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Copper</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 years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3,721,649</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3,656,384</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Conduit</w:t>
            </w:r>
          </w:p>
        </w:tc>
        <w:tc>
          <w:tcPr>
            <w:tcW w:w="1780" w:type="dxa"/>
            <w:vAlign w:val="bottom"/>
          </w:tcPr>
          <w:p>
            <w:pPr>
              <w:jc w:val="right"/>
              <w:spacing w:after="0"/>
              <w:rPr>
                <w:sz w:val="20"/>
                <w:szCs w:val="20"/>
                <w:color w:val="auto"/>
              </w:rPr>
            </w:pPr>
            <w:r>
              <w:rPr>
                <w:rFonts w:ascii="Arial" w:cs="Arial" w:eastAsia="Arial" w:hAnsi="Arial"/>
                <w:sz w:val="12"/>
                <w:szCs w:val="12"/>
                <w:color w:val="auto"/>
              </w:rPr>
              <w:t>30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89,692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91,210</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Tower assets</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 years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120,073</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59,610</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Capital lease assets</w:t>
            </w:r>
          </w:p>
        </w:tc>
        <w:tc>
          <w:tcPr>
            <w:tcW w:w="1780" w:type="dxa"/>
            <w:vAlign w:val="bottom"/>
          </w:tcPr>
          <w:p>
            <w:pPr>
              <w:jc w:val="right"/>
              <w:spacing w:after="0"/>
              <w:rPr>
                <w:sz w:val="20"/>
                <w:szCs w:val="20"/>
                <w:color w:val="auto"/>
              </w:rPr>
            </w:pPr>
            <w:r>
              <w:rPr>
                <w:rFonts w:ascii="Arial" w:cs="Arial" w:eastAsia="Arial" w:hAnsi="Arial"/>
                <w:sz w:val="12"/>
                <w:szCs w:val="12"/>
                <w:color w:val="auto"/>
              </w:rPr>
              <w:t>See Note 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123,017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93,465</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See Note 3</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137,585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112,489</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1780" w:type="dxa"/>
            <w:vAlign w:val="bottom"/>
          </w:tcPr>
          <w:p>
            <w:pPr>
              <w:jc w:val="right"/>
              <w:spacing w:after="0"/>
              <w:rPr>
                <w:sz w:val="20"/>
                <w:szCs w:val="20"/>
                <w:color w:val="auto"/>
              </w:rPr>
            </w:pPr>
            <w:r>
              <w:rPr>
                <w:rFonts w:ascii="Arial" w:cs="Arial" w:eastAsia="Arial" w:hAnsi="Arial"/>
                <w:sz w:val="12"/>
                <w:szCs w:val="12"/>
                <w:color w:val="auto"/>
              </w:rPr>
              <w:t>15 - 20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11,524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10,232</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Corporate assets</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3 - 7 years</w:t>
            </w:r>
          </w:p>
        </w:tc>
        <w:tc>
          <w:tcPr>
            <w:tcW w:w="1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4,214</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7,970</w:t>
            </w:r>
          </w:p>
        </w:tc>
        <w:tc>
          <w:tcPr>
            <w:tcW w:w="120" w:type="dxa"/>
            <w:vAlign w:val="bottom"/>
            <w:shd w:val="clear" w:color="auto" w:fill="CFF0FC"/>
          </w:tcPr>
          <w:p>
            <w:pPr>
              <w:spacing w:after="0"/>
              <w:rPr>
                <w:sz w:val="13"/>
                <w:szCs w:val="13"/>
                <w:color w:val="auto"/>
              </w:rPr>
            </w:pPr>
          </w:p>
        </w:tc>
      </w:tr>
      <w:tr>
        <w:trPr>
          <w:trHeight w:val="142"/>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8,123,305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7,542,587</w:t>
            </w:r>
          </w:p>
        </w:tc>
        <w:tc>
          <w:tcPr>
            <w:tcW w:w="120" w:type="dxa"/>
            <w:vAlign w:val="bottom"/>
          </w:tcPr>
          <w:p>
            <w:pPr>
              <w:spacing w:after="0"/>
              <w:rPr>
                <w:sz w:val="12"/>
                <w:szCs w:val="12"/>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(4,914,299)</w:t>
            </w:r>
          </w:p>
        </w:tc>
        <w:tc>
          <w:tcPr>
            <w:tcW w:w="2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(4,488,698)</w:t>
            </w:r>
          </w:p>
        </w:tc>
      </w:tr>
      <w:tr>
        <w:trPr>
          <w:trHeight w:val="149"/>
        </w:trPr>
        <w:tc>
          <w:tcPr>
            <w:tcW w:w="5800" w:type="dxa"/>
            <w:vAlign w:val="bottom"/>
            <w:gridSpan w:val="2"/>
          </w:tcPr>
          <w:p>
            <w:pPr>
              <w:spacing w:after="0"/>
              <w:rPr>
                <w:sz w:val="20"/>
                <w:szCs w:val="20"/>
                <w:color w:val="auto"/>
              </w:rPr>
            </w:pPr>
            <w:r>
              <w:rPr>
                <w:rFonts w:ascii="Arial" w:cs="Arial" w:eastAsia="Arial" w:hAnsi="Arial"/>
                <w:sz w:val="12"/>
                <w:szCs w:val="12"/>
                <w:color w:val="auto"/>
              </w:rPr>
              <w:t>Property, plant and equipment, net</w:t>
            </w: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3,209,006</w:t>
            </w:r>
          </w:p>
        </w:tc>
        <w:tc>
          <w:tcPr>
            <w:tcW w:w="3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3,053,889</w:t>
            </w:r>
          </w:p>
        </w:tc>
        <w:tc>
          <w:tcPr>
            <w:tcW w:w="120" w:type="dxa"/>
            <w:vAlign w:val="bottom"/>
          </w:tcPr>
          <w:p>
            <w:pPr>
              <w:spacing w:after="0"/>
              <w:rPr>
                <w:sz w:val="12"/>
                <w:szCs w:val="1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Capital lease assets above represent fiber leases, where we have the exclusive, unrestricted, and indefeasible right to use one, a pair, or more strands of fiber of a fiber cable.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for the years ended December 31, 2018, 2017, and 2016 was $425.2 million, $415.9 million and $369.9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Derivative Instruments and Hedging Activities</w:t>
      </w:r>
    </w:p>
    <w:p>
      <w:pPr>
        <w:spacing w:after="0" w:line="154"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We are party to interest rate swap agreements to mitigate the interest rate risk inherent in our variable rate Senior Secured Term Loan B facility. These interest rate swaps are designated as cash flow hedges and have a notional value of $2.07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and the presentation in our Consolidated Balance Sheet: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6"/>
              </w:rPr>
              <w:t>Location on Consolidated</w:t>
            </w: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35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9"/>
                <w:szCs w:val="9"/>
                <w:color w:val="auto"/>
              </w:rPr>
            </w:pPr>
          </w:p>
        </w:tc>
        <w:tc>
          <w:tcPr>
            <w:tcW w:w="3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Balance Sheet</w:t>
            </w:r>
          </w:p>
        </w:tc>
        <w:tc>
          <w:tcPr>
            <w:tcW w:w="2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right"/>
              <w:ind w:right="546"/>
              <w:spacing w:after="0" w:line="114" w:lineRule="exact"/>
              <w:rPr>
                <w:sz w:val="20"/>
                <w:szCs w:val="20"/>
                <w:color w:val="auto"/>
              </w:rPr>
            </w:pPr>
            <w:r>
              <w:rPr>
                <w:rFonts w:ascii="Arial" w:cs="Arial" w:eastAsia="Arial" w:hAnsi="Arial"/>
                <w:sz w:val="10"/>
                <w:szCs w:val="10"/>
                <w:b w:val="1"/>
                <w:bCs w:val="1"/>
                <w:color w:val="auto"/>
              </w:rPr>
              <w:t>December 31, 2018</w:t>
            </w:r>
          </w:p>
        </w:tc>
        <w:tc>
          <w:tcPr>
            <w:tcW w:w="3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right"/>
              <w:ind w:right="546"/>
              <w:spacing w:after="0" w:line="114" w:lineRule="exact"/>
              <w:rPr>
                <w:sz w:val="20"/>
                <w:szCs w:val="20"/>
                <w:color w:val="auto"/>
              </w:rPr>
            </w:pPr>
            <w:r>
              <w:rPr>
                <w:rFonts w:ascii="Arial" w:cs="Arial" w:eastAsia="Arial" w:hAnsi="Arial"/>
                <w:sz w:val="10"/>
                <w:szCs w:val="10"/>
                <w:b w:val="1"/>
                <w:bCs w:val="1"/>
                <w:color w:val="auto"/>
              </w:rPr>
              <w:t>December 31, 2017</w:t>
            </w:r>
          </w:p>
        </w:tc>
        <w:tc>
          <w:tcPr>
            <w:tcW w:w="120" w:type="dxa"/>
            <w:vAlign w:val="bottom"/>
            <w:tcBorders>
              <w:bottom w:val="single" w:sz="8" w:color="CFF0FC"/>
            </w:tcBorders>
          </w:tcPr>
          <w:p>
            <w:pPr>
              <w:spacing w:after="0"/>
              <w:rPr>
                <w:sz w:val="9"/>
                <w:szCs w:val="9"/>
                <w:color w:val="auto"/>
              </w:rPr>
            </w:pPr>
          </w:p>
        </w:tc>
      </w:tr>
      <w:tr>
        <w:trPr>
          <w:trHeight w:val="142"/>
        </w:trPr>
        <w:tc>
          <w:tcPr>
            <w:tcW w:w="3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rate swaps</w:t>
            </w:r>
          </w:p>
        </w:tc>
        <w:tc>
          <w:tcPr>
            <w:tcW w:w="344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8"/>
              </w:rPr>
              <w:t>Derivative asset</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31,043</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120" w:type="dxa"/>
            <w:vAlign w:val="bottom"/>
            <w:shd w:val="clear" w:color="auto" w:fill="CFF0FC"/>
          </w:tcPr>
          <w:p>
            <w:pPr>
              <w:spacing w:after="0"/>
              <w:rPr>
                <w:sz w:val="12"/>
                <w:szCs w:val="12"/>
                <w:color w:val="auto"/>
              </w:rPr>
            </w:pPr>
          </w:p>
        </w:tc>
      </w:tr>
    </w:tbl>
    <w:p>
      <w:pPr>
        <w:spacing w:after="0" w:line="279"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As of December 31, 2018 and 2017, all of the interest rate swaps were valued in net unrealized gain positions and recognized as an asset balance within the derivative asset balance on the Consolidated Balance Sheets. For the years ended December 31, 2018, 2017 and 2016, the amount recorded in other comprehensive income related to the unrealized gain on derivative instruments was $21.6 million, $7.7 million and $24.5 million, respectively. The amount reclassified out of other comprehensive income into interest expense on our Consolidated Statement of Income for the years ended December 31, 2018, 2017 and 2016 was $2.6 million, $20.6 million and $23.8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respectively. For the years ended December 31, 2018, 2017 and 2016, there were no ineffective portions of the change in fair value derivatives.</w:t>
      </w:r>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Amounts reported in accumulated other comprehensive income related to derivatives will be reclassified to interest expense as interest payments are made on our variable-rate debt. During the next twelve months, ending December 31, 2019, we estimate that $4.1 million will be reclassified as a decrease to interest expense.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Goodwill and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Changes in the carrying amount of goodwill occurring during the year ended December 31, 2018 and 2017,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6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0"/>
                <w:szCs w:val="10"/>
                <w:b w:val="1"/>
                <w:bCs w:val="1"/>
                <w:color w:val="auto"/>
                <w:w w:val="93"/>
              </w:rPr>
              <w:t>Fiber Infrastructure</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Total</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at December 31, 2016</w:t>
            </w: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262,334</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262,334</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Goodwill purchase accounting adjustments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5"/>
          </w:tcPr>
          <w:p>
            <w:pPr>
              <w:jc w:val="right"/>
              <w:ind w:right="20"/>
              <w:spacing w:after="0"/>
              <w:rPr>
                <w:sz w:val="20"/>
                <w:szCs w:val="20"/>
                <w:color w:val="auto"/>
              </w:rPr>
            </w:pPr>
            <w:r>
              <w:rPr>
                <w:rFonts w:ascii="Arial" w:cs="Arial" w:eastAsia="Arial" w:hAnsi="Arial"/>
                <w:sz w:val="12"/>
                <w:szCs w:val="12"/>
                <w:color w:val="auto"/>
              </w:rPr>
              <w:t>(248)</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(248)</w:t>
            </w:r>
          </w:p>
        </w:tc>
        <w:tc>
          <w:tcPr>
            <w:tcW w:w="20" w:type="dxa"/>
            <w:vAlign w:val="bottom"/>
          </w:tcPr>
          <w:p>
            <w:pPr>
              <w:spacing w:after="0"/>
              <w:rPr>
                <w:sz w:val="13"/>
                <w:szCs w:val="13"/>
                <w:color w:val="auto"/>
              </w:rPr>
            </w:pPr>
          </w:p>
        </w:tc>
      </w:tr>
      <w:tr>
        <w:trPr>
          <w:trHeight w:val="153"/>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associated with 2017 acquisitions</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2"/>
                <w:szCs w:val="12"/>
                <w:color w:val="auto"/>
              </w:rPr>
              <w:t>411,643</w:t>
            </w: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411,643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gridSpan w:val="2"/>
          </w:tcPr>
          <w:p>
            <w:pPr>
              <w:spacing w:after="0"/>
              <w:rPr>
                <w:sz w:val="20"/>
                <w:szCs w:val="20"/>
                <w:color w:val="auto"/>
              </w:rPr>
            </w:pPr>
            <w:r>
              <w:rPr>
                <w:rFonts w:ascii="Arial" w:cs="Arial" w:eastAsia="Arial" w:hAnsi="Arial"/>
                <w:sz w:val="12"/>
                <w:szCs w:val="12"/>
                <w:color w:val="auto"/>
              </w:rPr>
              <w:t>Goodwill at December 31, 2017</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tcPr>
          <w:p>
            <w:pPr>
              <w:jc w:val="right"/>
              <w:spacing w:after="0"/>
              <w:rPr>
                <w:sz w:val="20"/>
                <w:szCs w:val="20"/>
                <w:color w:val="auto"/>
              </w:rPr>
            </w:pPr>
            <w:r>
              <w:rPr>
                <w:rFonts w:ascii="Arial" w:cs="Arial" w:eastAsia="Arial" w:hAnsi="Arial"/>
                <w:sz w:val="12"/>
                <w:szCs w:val="12"/>
                <w:color w:val="auto"/>
              </w:rPr>
              <w:t>673,729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673,729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purchase accounting adjustments</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7,446</w:t>
            </w: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7,446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Goodwill associated with 2018 acquisitions</w:t>
            </w:r>
          </w:p>
        </w:tc>
        <w:tc>
          <w:tcPr>
            <w:tcW w:w="62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11,210</w:t>
            </w: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11,210</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Goodwill at December 31, 2018</w:t>
            </w:r>
          </w:p>
        </w:tc>
        <w:tc>
          <w:tcPr>
            <w:tcW w:w="6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2"/>
                <w:szCs w:val="12"/>
                <w:color w:val="auto"/>
              </w:rPr>
              <w:t>692,385</w:t>
            </w:r>
          </w:p>
        </w:tc>
        <w:tc>
          <w:tcPr>
            <w:tcW w:w="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692,385</w:t>
            </w: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4000" w:type="dxa"/>
            <w:vAlign w:val="bottom"/>
            <w:gridSpan w:val="2"/>
          </w:tcPr>
          <w:p>
            <w:pPr>
              <w:spacing w:after="0"/>
              <w:rPr>
                <w:sz w:val="20"/>
                <w:szCs w:val="20"/>
                <w:color w:val="auto"/>
              </w:rPr>
            </w:pPr>
            <w:r>
              <w:rPr>
                <w:rFonts w:ascii="Arial" w:cs="Arial" w:eastAsia="Arial" w:hAnsi="Arial"/>
                <w:sz w:val="12"/>
                <w:szCs w:val="12"/>
                <w:color w:val="auto"/>
              </w:rPr>
              <w:t>The carrying value of our other intangible assets is as follows:</w:t>
            </w: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6"/>
        </w:trPr>
        <w:tc>
          <w:tcPr>
            <w:tcW w:w="400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6"/>
              </w:rPr>
              <w:t>December 31, 2018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December 31, 2017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3"/>
        </w:trPr>
        <w:tc>
          <w:tcPr>
            <w:tcW w:w="3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3"/>
          </w:tcPr>
          <w:p>
            <w:pPr>
              <w:jc w:val="center"/>
              <w:ind w:right="140"/>
              <w:spacing w:after="0" w:line="83" w:lineRule="exact"/>
              <w:rPr>
                <w:sz w:val="20"/>
                <w:szCs w:val="20"/>
                <w:color w:val="auto"/>
              </w:rPr>
            </w:pPr>
            <w:r>
              <w:rPr>
                <w:rFonts w:ascii="Arial" w:cs="Arial" w:eastAsia="Arial" w:hAnsi="Arial"/>
                <w:sz w:val="8"/>
                <w:szCs w:val="8"/>
                <w:b w:val="1"/>
                <w:bCs w:val="1"/>
                <w:color w:val="auto"/>
              </w:rPr>
              <w:t>Cumulative Translation</w:t>
            </w: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3"/>
          </w:tcPr>
          <w:p>
            <w:pPr>
              <w:jc w:val="right"/>
              <w:ind w:right="240"/>
              <w:spacing w:after="0" w:line="83"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4"/>
          </w:tcPr>
          <w:p>
            <w:pPr>
              <w:jc w:val="center"/>
              <w:spacing w:after="0" w:line="83" w:lineRule="exact"/>
              <w:rPr>
                <w:sz w:val="20"/>
                <w:szCs w:val="20"/>
                <w:color w:val="auto"/>
              </w:rPr>
            </w:pPr>
            <w:r>
              <w:rPr>
                <w:rFonts w:ascii="Arial" w:cs="Arial" w:eastAsia="Arial" w:hAnsi="Arial"/>
                <w:sz w:val="8"/>
                <w:szCs w:val="8"/>
                <w:b w:val="1"/>
                <w:bCs w:val="1"/>
                <w:color w:val="auto"/>
              </w:rPr>
              <w:t>Cumulative Translation</w:t>
            </w: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jc w:val="right"/>
              <w:ind w:right="202"/>
              <w:spacing w:after="0" w:line="83" w:lineRule="exact"/>
              <w:rPr>
                <w:sz w:val="20"/>
                <w:szCs w:val="20"/>
                <w:color w:val="auto"/>
              </w:rPr>
            </w:pPr>
            <w:r>
              <w:rPr>
                <w:rFonts w:ascii="Arial" w:cs="Arial" w:eastAsia="Arial" w:hAnsi="Arial"/>
                <w:sz w:val="8"/>
                <w:szCs w:val="8"/>
                <w:b w:val="1"/>
                <w:bCs w:val="1"/>
                <w:color w:val="auto"/>
              </w:rPr>
              <w:t>Accumulated</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4"/>
        </w:trPr>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Cost</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7"/>
              </w:rPr>
              <w:t>Adjustment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rPr>
              <w:t>Amortization</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tcPr>
          <w:p>
            <w:pPr>
              <w:jc w:val="right"/>
              <w:ind w:right="560"/>
              <w:spacing w:after="0" w:line="114" w:lineRule="exact"/>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0"/>
              </w:rPr>
              <w:t>Adjustment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91"/>
              </w:rPr>
              <w:t>Amortization</w:t>
            </w:r>
          </w:p>
        </w:tc>
        <w:tc>
          <w:tcPr>
            <w:tcW w:w="20" w:type="dxa"/>
            <w:vAlign w:val="bottom"/>
          </w:tcPr>
          <w:p>
            <w:pPr>
              <w:spacing w:after="0"/>
              <w:rPr>
                <w:sz w:val="9"/>
                <w:szCs w:val="9"/>
                <w:color w:val="auto"/>
              </w:rPr>
            </w:pPr>
          </w:p>
        </w:tc>
      </w:tr>
      <w:tr>
        <w:trPr>
          <w:trHeight w:val="151"/>
        </w:trPr>
        <w:tc>
          <w:tcPr>
            <w:tcW w:w="4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Indefinite life intangible assets:</w:t>
            </w:r>
          </w:p>
        </w:tc>
        <w:tc>
          <w:tcPr>
            <w:tcW w:w="6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Trade name</w:t>
            </w:r>
          </w:p>
        </w:tc>
        <w:tc>
          <w:tcPr>
            <w:tcW w:w="620" w:type="dxa"/>
            <w:vAlign w:val="bottom"/>
          </w:tcPr>
          <w:p>
            <w:pPr>
              <w:jc w:val="right"/>
              <w:ind w:right="51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2,000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2,000</w:t>
            </w:r>
          </w:p>
        </w:tc>
        <w:tc>
          <w:tcPr>
            <w:tcW w:w="140" w:type="dxa"/>
            <w:vAlign w:val="bottom"/>
          </w:tcPr>
          <w:p>
            <w:pPr>
              <w:spacing w:after="0"/>
              <w:rPr>
                <w:sz w:val="13"/>
                <w:szCs w:val="13"/>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9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000" w:type="dxa"/>
            <w:vAlign w:val="bottom"/>
            <w:gridSpan w:val="2"/>
          </w:tcPr>
          <w:p>
            <w:pPr>
              <w:spacing w:after="0"/>
              <w:rPr>
                <w:sz w:val="20"/>
                <w:szCs w:val="20"/>
                <w:color w:val="auto"/>
              </w:rPr>
            </w:pPr>
            <w:r>
              <w:rPr>
                <w:rFonts w:ascii="Arial" w:cs="Arial" w:eastAsia="Arial" w:hAnsi="Arial"/>
                <w:sz w:val="12"/>
                <w:szCs w:val="12"/>
                <w:color w:val="auto"/>
              </w:rPr>
              <w:t>Finite life intangible assets: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Customer lists</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451,997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(69,393)</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421,743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(46,049)</w:t>
            </w:r>
          </w:p>
        </w:tc>
        <w:tc>
          <w:tcPr>
            <w:tcW w:w="20" w:type="dxa"/>
            <w:vAlign w:val="bottom"/>
          </w:tcPr>
          <w:p>
            <w:pPr>
              <w:spacing w:after="0"/>
              <w:rPr>
                <w:sz w:val="13"/>
                <w:szCs w:val="13"/>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2"/>
                <w:szCs w:val="12"/>
                <w:color w:val="auto"/>
              </w:rPr>
              <w:t>Tenant contracts</w:t>
            </w:r>
          </w:p>
        </w:tc>
        <w:tc>
          <w:tcPr>
            <w:tcW w:w="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37,386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2"/>
                <w:szCs w:val="12"/>
                <w:color w:val="auto"/>
              </w:rPr>
              <w:t>(3,293)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37,386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1,141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(1,605)</w:t>
            </w:r>
          </w:p>
        </w:tc>
        <w:tc>
          <w:tcPr>
            <w:tcW w:w="20" w:type="dxa"/>
            <w:vAlign w:val="bottom"/>
          </w:tcPr>
          <w:p>
            <w:pPr>
              <w:spacing w:after="0"/>
              <w:rPr>
                <w:sz w:val="14"/>
                <w:szCs w:val="14"/>
                <w:color w:val="auto"/>
              </w:rPr>
            </w:pPr>
          </w:p>
        </w:tc>
      </w:tr>
      <w:tr>
        <w:trPr>
          <w:trHeight w:val="162"/>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Network</w:t>
            </w:r>
            <w:r>
              <w:rPr>
                <w:rFonts w:ascii="Arial" w:cs="Arial" w:eastAsia="Arial" w:hAnsi="Arial"/>
                <w:sz w:val="10"/>
                <w:szCs w:val="10"/>
                <w:color w:val="auto"/>
              </w:rPr>
              <w:t>(1)</w:t>
            </w:r>
          </w:p>
        </w:tc>
        <w:tc>
          <w:tcPr>
            <w:tcW w:w="6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(1,192)</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410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(581)</w:t>
            </w:r>
          </w:p>
        </w:tc>
        <w:tc>
          <w:tcPr>
            <w:tcW w:w="20" w:type="dxa"/>
            <w:vAlign w:val="bottom"/>
          </w:tcPr>
          <w:p>
            <w:pPr>
              <w:spacing w:after="0"/>
              <w:rPr>
                <w:sz w:val="14"/>
                <w:szCs w:val="14"/>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Acquired below-market leases</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1,509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2"/>
                <w:szCs w:val="12"/>
                <w:color w:val="auto"/>
              </w:rPr>
              <w:t>(289)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(138)</w:t>
            </w:r>
          </w:p>
        </w:tc>
        <w:tc>
          <w:tcPr>
            <w:tcW w:w="20" w:type="dxa"/>
            <w:vAlign w:val="bottom"/>
          </w:tcPr>
          <w:p>
            <w:pPr>
              <w:spacing w:after="0"/>
              <w:rPr>
                <w:sz w:val="13"/>
                <w:szCs w:val="13"/>
                <w:color w:val="auto"/>
              </w:rPr>
            </w:pPr>
          </w:p>
        </w:tc>
      </w:tr>
      <w:tr>
        <w:trPr>
          <w:trHeight w:val="151"/>
        </w:trPr>
        <w:tc>
          <w:tcPr>
            <w:tcW w:w="39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2"/>
                <w:szCs w:val="12"/>
                <w:color w:val="auto"/>
              </w:rPr>
              <w:t>Total intangible assets</w:t>
            </w:r>
          </w:p>
        </w:tc>
        <w:tc>
          <w:tcPr>
            <w:tcW w:w="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87"/>
              </w:rPr>
              <w:t>506,988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477,730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amortization</w:t>
            </w:r>
          </w:p>
        </w:tc>
        <w:tc>
          <w:tcPr>
            <w:tcW w:w="6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8"/>
              </w:rPr>
              <w:t>(74,167)</w:t>
            </w: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(48,373)</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40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Total intangible assets, net</w:t>
            </w:r>
          </w:p>
        </w:tc>
        <w:tc>
          <w:tcPr>
            <w:tcW w:w="6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7"/>
              </w:rPr>
              <w:t>432,821</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429,357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4000" w:type="dxa"/>
            <w:vAlign w:val="bottom"/>
            <w:gridSpan w:val="2"/>
          </w:tcPr>
          <w:p>
            <w:pPr>
              <w:spacing w:after="0"/>
              <w:rPr>
                <w:sz w:val="20"/>
                <w:szCs w:val="20"/>
                <w:color w:val="auto"/>
              </w:rPr>
            </w:pPr>
            <w:r>
              <w:rPr>
                <w:rFonts w:ascii="Arial" w:cs="Arial" w:eastAsia="Arial" w:hAnsi="Arial"/>
                <w:sz w:val="12"/>
                <w:szCs w:val="12"/>
                <w:color w:val="auto"/>
              </w:rPr>
              <w:t>Finite life intangible liabilities: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Acquired above-market leases</w:t>
            </w:r>
          </w:p>
        </w:tc>
        <w:tc>
          <w:tcPr>
            <w:tcW w:w="620" w:type="dxa"/>
            <w:vAlign w:val="bottom"/>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(182)</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(624)</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3,440</w:t>
            </w:r>
          </w:p>
        </w:tc>
        <w:tc>
          <w:tcPr>
            <w:tcW w:w="140" w:type="dxa"/>
            <w:vAlign w:val="bottom"/>
            <w:shd w:val="clear" w:color="auto" w:fill="CFF0FC"/>
          </w:tcPr>
          <w:p>
            <w:pPr>
              <w:spacing w:after="0"/>
              <w:rPr>
                <w:sz w:val="14"/>
                <w:szCs w:val="14"/>
                <w:color w:val="auto"/>
              </w:rPr>
            </w:pPr>
          </w:p>
        </w:tc>
        <w:tc>
          <w:tcPr>
            <w:tcW w:w="20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(317)</w:t>
            </w:r>
          </w:p>
        </w:tc>
        <w:tc>
          <w:tcPr>
            <w:tcW w:w="20" w:type="dxa"/>
            <w:vAlign w:val="bottom"/>
          </w:tcPr>
          <w:p>
            <w:pPr>
              <w:spacing w:after="0"/>
              <w:rPr>
                <w:sz w:val="14"/>
                <w:szCs w:val="14"/>
                <w:color w:val="auto"/>
              </w:rPr>
            </w:pPr>
          </w:p>
        </w:tc>
      </w:tr>
      <w:tr>
        <w:trPr>
          <w:trHeight w:val="151"/>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w:t>
            </w:r>
          </w:p>
        </w:tc>
        <w:tc>
          <w:tcPr>
            <w:tcW w:w="6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2"/>
                <w:szCs w:val="12"/>
                <w:color w:val="auto"/>
              </w:rPr>
              <w:t>Less: Accumulated amortization</w:t>
            </w:r>
          </w:p>
        </w:tc>
        <w:tc>
          <w:tcPr>
            <w:tcW w:w="6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(624)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(317)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 net</w:t>
            </w:r>
            <w:r>
              <w:rPr>
                <w:rFonts w:ascii="Arial" w:cs="Arial" w:eastAsia="Arial" w:hAnsi="Arial"/>
                <w:sz w:val="10"/>
                <w:szCs w:val="10"/>
                <w:color w:val="auto"/>
              </w:rPr>
              <w:t>(2)</w:t>
            </w:r>
          </w:p>
        </w:tc>
        <w:tc>
          <w:tcPr>
            <w:tcW w:w="6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2,634</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9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4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3,138</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3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423"/>
              <w:spacing w:after="0"/>
              <w:rPr>
                <w:sz w:val="20"/>
                <w:szCs w:val="20"/>
                <w:color w:val="auto"/>
              </w:rPr>
            </w:pPr>
            <w:r>
              <w:rPr>
                <w:rFonts w:ascii="Arial" w:cs="Arial" w:eastAsia="Arial" w:hAnsi="Arial"/>
                <w:sz w:val="12"/>
                <w:szCs w:val="12"/>
                <w:color w:val="auto"/>
              </w:rPr>
              <w:t>86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72"/>
        </w:trPr>
        <w:tc>
          <w:tcPr>
            <w:tcW w:w="3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0" w:right="179" w:bottom="1440" w:gutter="0" w:footer="0" w:header="0"/>
        </w:sectPr>
      </w:pPr>
    </w:p>
    <w:bookmarkStart w:id="86" w:name="page87"/>
    <w:bookmarkEnd w:id="86"/>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ind w:left="448" w:hanging="448"/>
        <w:spacing w:after="0"/>
        <w:tabs>
          <w:tab w:leader="none" w:pos="448" w:val="left"/>
        </w:tabs>
        <w:numPr>
          <w:ilvl w:val="0"/>
          <w:numId w:val="12"/>
        </w:numPr>
        <w:rPr>
          <w:rFonts w:ascii="Arial" w:cs="Arial" w:eastAsia="Arial" w:hAnsi="Arial"/>
          <w:sz w:val="10"/>
          <w:szCs w:val="10"/>
          <w:color w:val="auto"/>
        </w:rPr>
      </w:pPr>
      <w:r>
        <w:rPr>
          <w:rFonts w:ascii="Arial" w:cs="Arial" w:eastAsia="Arial" w:hAnsi="Arial"/>
          <w:sz w:val="12"/>
          <w:szCs w:val="12"/>
          <w:color w:val="auto"/>
        </w:rPr>
        <w:t>Reflects the potential to lease additional tower capacity on the existing towers due to their geographical location and capacity as of the valuation date.</w:t>
      </w:r>
    </w:p>
    <w:p>
      <w:pPr>
        <w:spacing w:after="0" w:line="150" w:lineRule="exact"/>
        <w:rPr>
          <w:rFonts w:ascii="Arial" w:cs="Arial" w:eastAsia="Arial" w:hAnsi="Arial"/>
          <w:sz w:val="10"/>
          <w:szCs w:val="10"/>
          <w:color w:val="auto"/>
        </w:rPr>
      </w:pPr>
    </w:p>
    <w:p>
      <w:pPr>
        <w:ind w:left="448" w:hanging="448"/>
        <w:spacing w:after="0"/>
        <w:tabs>
          <w:tab w:leader="none" w:pos="448" w:val="left"/>
        </w:tabs>
        <w:numPr>
          <w:ilvl w:val="0"/>
          <w:numId w:val="12"/>
        </w:numPr>
        <w:rPr>
          <w:rFonts w:ascii="Arial" w:cs="Arial" w:eastAsia="Arial" w:hAnsi="Arial"/>
          <w:sz w:val="10"/>
          <w:szCs w:val="10"/>
          <w:color w:val="auto"/>
        </w:rPr>
      </w:pPr>
      <w:r>
        <w:rPr>
          <w:rFonts w:ascii="Arial" w:cs="Arial" w:eastAsia="Arial" w:hAnsi="Arial"/>
          <w:sz w:val="12"/>
          <w:szCs w:val="12"/>
          <w:color w:val="auto"/>
        </w:rPr>
        <w:t>Recorded in accounts payable, accrued expenses and other liabilities, net on the Consolidated Balance Sheet.</w:t>
      </w:r>
    </w:p>
    <w:p>
      <w:pPr>
        <w:spacing w:after="0" w:line="150" w:lineRule="exact"/>
        <w:rPr>
          <w:sz w:val="20"/>
          <w:szCs w:val="20"/>
          <w:color w:val="auto"/>
        </w:rPr>
      </w:pPr>
    </w:p>
    <w:p>
      <w:pPr>
        <w:ind w:left="8" w:right="200"/>
        <w:spacing w:after="0" w:line="323" w:lineRule="auto"/>
        <w:rPr>
          <w:sz w:val="20"/>
          <w:szCs w:val="20"/>
          <w:color w:val="auto"/>
        </w:rPr>
      </w:pPr>
      <w:r>
        <w:rPr>
          <w:rFonts w:ascii="Arial" w:cs="Arial" w:eastAsia="Arial" w:hAnsi="Arial"/>
          <w:sz w:val="11"/>
          <w:szCs w:val="11"/>
          <w:color w:val="auto"/>
        </w:rPr>
        <w:t>As of December 31, 2018, the remaining weighted average amortization period of the Company’s intangible assets was 18.3 years. Amortization expense for the years ended December 31, 2018, 2017 and 2016 was $25.5 million, $18.3 million and $6.1 million, respectively. Amortization expense is estimated to be $26.6 million in 2019, $26.1 million in 2020, $25.6 million in 2021, $25.2 million in 2022 and $25.1 million in 2023.</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10. Notes and Other Debt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Notes and other debt is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7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1680" w:type="dxa"/>
            <w:vAlign w:val="bottom"/>
            <w:tcBorders>
              <w:bottom w:val="single" w:sz="8" w:color="auto"/>
            </w:tcBorders>
            <w:gridSpan w:val="5"/>
          </w:tcPr>
          <w:p>
            <w:pPr>
              <w:jc w:val="right"/>
              <w:ind w:right="403"/>
              <w:spacing w:after="0"/>
              <w:rPr>
                <w:sz w:val="20"/>
                <w:szCs w:val="20"/>
                <w:color w:val="auto"/>
              </w:rPr>
            </w:pPr>
            <w:r>
              <w:rPr>
                <w:rFonts w:ascii="Arial" w:cs="Arial" w:eastAsia="Arial" w:hAnsi="Arial"/>
                <w:sz w:val="10"/>
                <w:szCs w:val="10"/>
                <w:b w:val="1"/>
                <w:bCs w:val="1"/>
                <w:color w:val="auto"/>
              </w:rPr>
              <w:t>December 31, 2018</w:t>
            </w:r>
          </w:p>
        </w:tc>
        <w:tc>
          <w:tcPr>
            <w:tcW w:w="30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0"/>
                <w:szCs w:val="10"/>
                <w:b w:val="1"/>
                <w:bCs w:val="1"/>
                <w:color w:val="auto"/>
              </w:rPr>
              <w:t>December 31, 2017</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Principal amount</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4,965,808</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4,626,887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20" w:type="dxa"/>
            <w:vAlign w:val="bottom"/>
          </w:tcPr>
          <w:p>
            <w:pPr>
              <w:spacing w:after="0"/>
              <w:rPr>
                <w:sz w:val="20"/>
                <w:szCs w:val="20"/>
                <w:color w:val="auto"/>
              </w:rPr>
            </w:pPr>
            <w:r>
              <w:rPr>
                <w:rFonts w:ascii="Arial" w:cs="Arial" w:eastAsia="Arial" w:hAnsi="Arial"/>
                <w:sz w:val="12"/>
                <w:szCs w:val="12"/>
                <w:color w:val="auto"/>
              </w:rPr>
              <w:t>Less unamortized discount, premium and debt issuance costs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01"/>
              <w:spacing w:after="0"/>
              <w:rPr>
                <w:sz w:val="20"/>
                <w:szCs w:val="20"/>
                <w:color w:val="auto"/>
              </w:rPr>
            </w:pPr>
            <w:r>
              <w:rPr>
                <w:rFonts w:ascii="Arial" w:cs="Arial" w:eastAsia="Arial" w:hAnsi="Arial"/>
                <w:sz w:val="12"/>
                <w:szCs w:val="12"/>
                <w:color w:val="auto"/>
              </w:rPr>
              <w:t>(119,575)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(144,190)</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Notes and other debt less unamortized discount and debt issuance costs</w:t>
            </w: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7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4,846,233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4,482,697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572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Notes and other debt at December 31, 2018 and 2017 consisted of the following:</w:t>
            </w: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7"/>
          </w:tcPr>
          <w:p>
            <w:pPr>
              <w:jc w:val="right"/>
              <w:ind w:right="1100"/>
              <w:spacing w:after="0"/>
              <w:rPr>
                <w:sz w:val="20"/>
                <w:szCs w:val="20"/>
                <w:color w:val="auto"/>
              </w:rPr>
            </w:pPr>
            <w:r>
              <w:rPr>
                <w:rFonts w:ascii="Arial" w:cs="Arial" w:eastAsia="Arial" w:hAnsi="Arial"/>
                <w:sz w:val="10"/>
                <w:szCs w:val="10"/>
                <w:b w:val="1"/>
                <w:bCs w:val="1"/>
                <w:color w:val="auto"/>
              </w:rPr>
              <w:t>December 31, 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gridSpan w:val="6"/>
          </w:tcPr>
          <w:p>
            <w:pPr>
              <w:jc w:val="right"/>
              <w:ind w:right="1020"/>
              <w:spacing w:after="0"/>
              <w:rPr>
                <w:sz w:val="20"/>
                <w:szCs w:val="20"/>
                <w:color w:val="auto"/>
              </w:rPr>
            </w:pPr>
            <w:r>
              <w:rPr>
                <w:rFonts w:ascii="Arial" w:cs="Arial" w:eastAsia="Arial" w:hAnsi="Arial"/>
                <w:sz w:val="10"/>
                <w:szCs w:val="10"/>
                <w:b w:val="1"/>
                <w:bCs w:val="1"/>
                <w:color w:val="auto"/>
              </w:rPr>
              <w:t>December 31, 2017</w:t>
            </w:r>
          </w:p>
        </w:tc>
        <w:tc>
          <w:tcPr>
            <w:tcW w:w="0" w:type="dxa"/>
            <w:vAlign w:val="bottom"/>
          </w:tcPr>
          <w:p>
            <w:pPr>
              <w:spacing w:after="0"/>
              <w:rPr>
                <w:sz w:val="1"/>
                <w:szCs w:val="1"/>
                <w:color w:val="auto"/>
              </w:rPr>
            </w:pPr>
          </w:p>
        </w:tc>
      </w:tr>
      <w:tr>
        <w:trPr>
          <w:trHeight w:val="83"/>
        </w:trPr>
        <w:tc>
          <w:tcPr>
            <w:tcW w:w="5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gridSpan w:val="3"/>
          </w:tcPr>
          <w:p>
            <w:pPr>
              <w:jc w:val="center"/>
              <w:ind w:right="52"/>
              <w:spacing w:after="0" w:line="83" w:lineRule="exact"/>
              <w:rPr>
                <w:sz w:val="20"/>
                <w:szCs w:val="20"/>
                <w:color w:val="auto"/>
              </w:rPr>
            </w:pPr>
            <w:r>
              <w:rPr>
                <w:rFonts w:ascii="Arial" w:cs="Arial" w:eastAsia="Arial" w:hAnsi="Arial"/>
                <w:sz w:val="8"/>
                <w:szCs w:val="8"/>
                <w:b w:val="1"/>
                <w:bCs w:val="1"/>
                <w:color w:val="auto"/>
              </w:rPr>
              <w:t>Unamortized Discount,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5"/>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Premium and Debt Issuance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3"/>
          </w:tcPr>
          <w:p>
            <w:pPr>
              <w:jc w:val="right"/>
              <w:ind w:right="160"/>
              <w:spacing w:after="0" w:line="99" w:lineRule="exact"/>
              <w:rPr>
                <w:sz w:val="20"/>
                <w:szCs w:val="20"/>
                <w:color w:val="auto"/>
              </w:rPr>
            </w:pPr>
            <w:r>
              <w:rPr>
                <w:rFonts w:ascii="Arial" w:cs="Arial" w:eastAsia="Arial" w:hAnsi="Arial"/>
                <w:sz w:val="10"/>
                <w:szCs w:val="10"/>
                <w:b w:val="1"/>
                <w:bCs w:val="1"/>
                <w:color w:val="auto"/>
                <w:w w:val="88"/>
              </w:rPr>
              <w:t>Unamortized Discount and</w:t>
            </w:r>
          </w:p>
        </w:tc>
        <w:tc>
          <w:tcPr>
            <w:tcW w:w="0" w:type="dxa"/>
            <w:vAlign w:val="bottom"/>
          </w:tcPr>
          <w:p>
            <w:pPr>
              <w:spacing w:after="0"/>
              <w:rPr>
                <w:sz w:val="1"/>
                <w:szCs w:val="1"/>
                <w:color w:val="auto"/>
              </w:rPr>
            </w:pPr>
          </w:p>
        </w:tc>
      </w:tr>
      <w:tr>
        <w:trPr>
          <w:trHeight w:val="114"/>
        </w:trPr>
        <w:tc>
          <w:tcPr>
            <w:tcW w:w="572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Principal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center"/>
              <w:ind w:right="540"/>
              <w:spacing w:after="0" w:line="114" w:lineRule="exact"/>
              <w:rPr>
                <w:sz w:val="20"/>
                <w:szCs w:val="20"/>
                <w:color w:val="auto"/>
              </w:rPr>
            </w:pPr>
            <w:r>
              <w:rPr>
                <w:rFonts w:ascii="Arial" w:cs="Arial" w:eastAsia="Arial" w:hAnsi="Arial"/>
                <w:sz w:val="10"/>
                <w:szCs w:val="10"/>
                <w:b w:val="1"/>
                <w:bCs w:val="1"/>
                <w:color w:val="auto"/>
                <w:w w:val="86"/>
              </w:rPr>
              <w:t>Costs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tcPr>
          <w:p>
            <w:pPr>
              <w:jc w:val="right"/>
              <w:ind w:right="380"/>
              <w:spacing w:after="0" w:line="114" w:lineRule="exact"/>
              <w:rPr>
                <w:sz w:val="20"/>
                <w:szCs w:val="20"/>
                <w:color w:val="auto"/>
              </w:rPr>
            </w:pPr>
            <w:r>
              <w:rPr>
                <w:rFonts w:ascii="Arial" w:cs="Arial" w:eastAsia="Arial" w:hAnsi="Arial"/>
                <w:sz w:val="10"/>
                <w:szCs w:val="10"/>
                <w:b w:val="1"/>
                <w:bCs w:val="1"/>
                <w:color w:val="auto"/>
              </w:rPr>
              <w:t>Principal</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87"/>
              </w:rPr>
              <w:t>Debt Issuance Costs</w:t>
            </w:r>
          </w:p>
        </w:tc>
        <w:tc>
          <w:tcPr>
            <w:tcW w:w="0" w:type="dxa"/>
            <w:vAlign w:val="bottom"/>
          </w:tcPr>
          <w:p>
            <w:pPr>
              <w:spacing w:after="0"/>
              <w:rPr>
                <w:sz w:val="1"/>
                <w:szCs w:val="1"/>
                <w:color w:val="auto"/>
              </w:rPr>
            </w:pPr>
          </w:p>
        </w:tc>
      </w:tr>
      <w:tr>
        <w:trPr>
          <w:trHeight w:val="133"/>
        </w:trPr>
        <w:tc>
          <w:tcPr>
            <w:tcW w:w="5720" w:type="dxa"/>
            <w:vAlign w:val="bottom"/>
            <w:tcBorders>
              <w:top w:val="single" w:sz="8" w:color="auto"/>
            </w:tcBorders>
            <w:shd w:val="clear" w:color="auto" w:fill="CFF0FC"/>
          </w:tcPr>
          <w:p>
            <w:pPr>
              <w:spacing w:after="0" w:line="133" w:lineRule="exact"/>
              <w:rPr>
                <w:sz w:val="20"/>
                <w:szCs w:val="20"/>
                <w:color w:val="auto"/>
              </w:rPr>
            </w:pPr>
            <w:r>
              <w:rPr>
                <w:rFonts w:ascii="Arial" w:cs="Arial" w:eastAsia="Arial" w:hAnsi="Arial"/>
                <w:sz w:val="12"/>
                <w:szCs w:val="12"/>
                <w:color w:val="auto"/>
              </w:rPr>
              <w:t>Senior secured term loan B - variable rate, due October 24, 2022</w:t>
            </w:r>
          </w:p>
        </w:tc>
        <w:tc>
          <w:tcPr>
            <w:tcW w:w="14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5.66%)</w:t>
            </w:r>
          </w:p>
        </w:tc>
        <w:tc>
          <w:tcPr>
            <w:tcW w:w="400" w:type="dxa"/>
            <w:vAlign w:val="bottom"/>
            <w:gridSpan w:val="2"/>
            <w:shd w:val="clear" w:color="auto" w:fill="CFF0FC"/>
          </w:tcPr>
          <w:p>
            <w:pPr>
              <w:jc w:val="right"/>
              <w:ind w:right="15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2,065,808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4"/>
            <w:shd w:val="clear" w:color="auto" w:fill="CFF0FC"/>
          </w:tcPr>
          <w:p>
            <w:pPr>
              <w:jc w:val="right"/>
              <w:ind w:right="100"/>
              <w:spacing w:after="0"/>
              <w:rPr>
                <w:sz w:val="20"/>
                <w:szCs w:val="20"/>
                <w:color w:val="auto"/>
              </w:rPr>
            </w:pPr>
            <w:r>
              <w:rPr>
                <w:rFonts w:ascii="Arial" w:cs="Arial" w:eastAsia="Arial" w:hAnsi="Arial"/>
                <w:sz w:val="12"/>
                <w:szCs w:val="12"/>
                <w:color w:val="auto"/>
              </w:rPr>
              <w:t>(70,337)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6"/>
              </w:rPr>
              <w:t>2,086,887</w:t>
            </w:r>
          </w:p>
        </w:tc>
        <w:tc>
          <w:tcPr>
            <w:tcW w:w="360" w:type="dxa"/>
            <w:vAlign w:val="bottom"/>
            <w:gridSpan w:val="2"/>
            <w:shd w:val="clear" w:color="auto" w:fill="CFF0FC"/>
          </w:tcPr>
          <w:p>
            <w:pPr>
              <w:jc w:val="right"/>
              <w:ind w:right="12"/>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(87,140)</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Senior secured notes - 6.00%, due April 15, 2023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20"/>
                <w:szCs w:val="20"/>
                <w:color w:val="auto"/>
              </w:rPr>
            </w:pPr>
            <w:r>
              <w:rPr>
                <w:rFonts w:ascii="Arial" w:cs="Arial" w:eastAsia="Arial" w:hAnsi="Arial"/>
                <w:sz w:val="12"/>
                <w:szCs w:val="12"/>
                <w:color w:val="auto"/>
              </w:rPr>
              <w:t>(discount is based on imputed interest rate of 6.29%)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550,000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2"/>
                <w:szCs w:val="12"/>
                <w:color w:val="auto"/>
              </w:rPr>
              <w:t>(7,116)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550,000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(8,508)</w:t>
            </w:r>
          </w:p>
        </w:tc>
        <w:tc>
          <w:tcPr>
            <w:tcW w:w="0" w:type="dxa"/>
            <w:vAlign w:val="bottom"/>
          </w:tcPr>
          <w:p>
            <w:pPr>
              <w:spacing w:after="0"/>
              <w:rPr>
                <w:sz w:val="1"/>
                <w:szCs w:val="1"/>
                <w:color w:val="auto"/>
              </w:rPr>
            </w:pPr>
          </w:p>
        </w:tc>
      </w:tr>
      <w:tr>
        <w:trPr>
          <w:trHeight w:val="144"/>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Senior unsecured notes - 8.25%, due October 15, 2023</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9.06%)</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4"/>
            <w:shd w:val="clear" w:color="auto" w:fill="CFF0FC"/>
          </w:tcPr>
          <w:p>
            <w:pPr>
              <w:jc w:val="right"/>
              <w:ind w:right="100"/>
              <w:spacing w:after="0"/>
              <w:rPr>
                <w:sz w:val="20"/>
                <w:szCs w:val="20"/>
                <w:color w:val="auto"/>
              </w:rPr>
            </w:pPr>
            <w:r>
              <w:rPr>
                <w:rFonts w:ascii="Arial" w:cs="Arial" w:eastAsia="Arial" w:hAnsi="Arial"/>
                <w:sz w:val="12"/>
                <w:szCs w:val="12"/>
                <w:color w:val="auto"/>
              </w:rPr>
              <w:t>(34,900)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6"/>
              </w:rPr>
              <w:t>1,110,000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(40,467)</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Senior unsecured notes - 7.125%, due December 15, 2024</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4"/>
            <w:shd w:val="clear" w:color="auto" w:fill="CFF0FC"/>
          </w:tcPr>
          <w:p>
            <w:pPr>
              <w:jc w:val="right"/>
              <w:ind w:right="100"/>
              <w:spacing w:after="0"/>
              <w:rPr>
                <w:sz w:val="20"/>
                <w:szCs w:val="20"/>
                <w:color w:val="auto"/>
              </w:rPr>
            </w:pPr>
            <w:r>
              <w:rPr>
                <w:rFonts w:ascii="Arial" w:cs="Arial" w:eastAsia="Arial" w:hAnsi="Arial"/>
                <w:sz w:val="12"/>
                <w:szCs w:val="12"/>
                <w:color w:val="auto"/>
              </w:rPr>
              <w:t>(7,222)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600,000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(8,075)</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Senior secured revolving credit facility, variable rate, due April 24, 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640,000</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280,000</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4,965,808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4"/>
            <w:shd w:val="clear" w:color="auto" w:fill="CFF0FC"/>
          </w:tcPr>
          <w:p>
            <w:pPr>
              <w:jc w:val="right"/>
              <w:ind w:right="100"/>
              <w:spacing w:after="0"/>
              <w:rPr>
                <w:sz w:val="20"/>
                <w:szCs w:val="20"/>
                <w:color w:val="auto"/>
              </w:rPr>
            </w:pPr>
            <w:r>
              <w:rPr>
                <w:rFonts w:ascii="Arial" w:cs="Arial" w:eastAsia="Arial" w:hAnsi="Arial"/>
                <w:sz w:val="12"/>
                <w:szCs w:val="12"/>
                <w:color w:val="auto"/>
              </w:rPr>
              <w:t>(119,575)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6"/>
              </w:rPr>
              <w:t>4,626,887</w:t>
            </w:r>
          </w:p>
        </w:tc>
        <w:tc>
          <w:tcPr>
            <w:tcW w:w="360" w:type="dxa"/>
            <w:vAlign w:val="bottom"/>
            <w:gridSpan w:val="2"/>
            <w:shd w:val="clear" w:color="auto" w:fill="CFF0FC"/>
          </w:tcPr>
          <w:p>
            <w:pPr>
              <w:jc w:val="right"/>
              <w:ind w:right="12"/>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(144,190)</w:t>
            </w:r>
          </w:p>
        </w:tc>
        <w:tc>
          <w:tcPr>
            <w:tcW w:w="0" w:type="dxa"/>
            <w:vAlign w:val="bottom"/>
          </w:tcPr>
          <w:p>
            <w:pPr>
              <w:spacing w:after="0"/>
              <w:rPr>
                <w:sz w:val="1"/>
                <w:szCs w:val="1"/>
                <w:color w:val="auto"/>
              </w:rPr>
            </w:pPr>
          </w:p>
        </w:tc>
      </w:tr>
      <w:tr>
        <w:trPr>
          <w:trHeight w:val="27"/>
        </w:trPr>
        <w:tc>
          <w:tcPr>
            <w:tcW w:w="57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December 31, 2018, notes and other debt included the following: (i) $2.1 billion under the senior secured term loan B facility that matures on October 24, 2022 (“Term Loan Facility”) pursuant to the credit agreement by and among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Operating Partnership, CSL Capital, LLC and Uniti Group Finance Inc., the guarantors and lenders party thereto and Bank of America, N.A., as administrative agent and collateral agent (the “Credit Agreement”); (ii) $550.0 million</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aggregate principal amount of 6.00% Senior Secured Notes due April 15, 2023 (the “Secured Notes”); (iii) $1.11 billion aggregate principal amount of 8.25% Senior Unsecured Notes due October 15, 2023 (the “2023 Notes”); and (iv)</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$600.0 million aggregate principal amount of 7.125% Senior Unsecured Notes due December 15, 2024 (the “2024 Notes” and together with the Secured Notes and 2023 Notes, the “Notes”), and (v) $640.0 million under the senior secured</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revolving credit facility, variable rate, that matures April 24, 2020 pursuant</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to the Credit Agreement (the “Revolving Credit Facility” and, together with the Term Loan Facility, the “Facilities”).</w:t>
      </w:r>
    </w:p>
    <w:p>
      <w:pPr>
        <w:spacing w:after="0" w:line="150" w:lineRule="exact"/>
        <w:rPr>
          <w:sz w:val="20"/>
          <w:szCs w:val="20"/>
          <w:color w:val="auto"/>
        </w:rPr>
      </w:pPr>
    </w:p>
    <w:p>
      <w:pPr>
        <w:spacing w:after="0" w:line="320" w:lineRule="auto"/>
        <w:rPr>
          <w:sz w:val="20"/>
          <w:szCs w:val="20"/>
          <w:color w:val="auto"/>
        </w:rPr>
      </w:pPr>
      <w:r>
        <w:rPr>
          <w:rFonts w:ascii="Arial" w:cs="Arial" w:eastAsia="Arial" w:hAnsi="Arial"/>
          <w:sz w:val="10"/>
          <w:szCs w:val="10"/>
          <w:color w:val="auto"/>
        </w:rPr>
        <w:t>During 2017, the Company completed its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 In connection with the up-REIT Reorganization, the Operating Partnership replaced the Company and assumed its obligations as an obligor under the Notes and Facilities. The Company subsequently became a guarantor of the Notes and Facilities. Because the Operating Partnership is not a corporation, a corporate co-obligor that is a subsidiary of the Operating Partnership was also added to the Notes and Credit Agreement as part of the up-REIT Reorganization. As discussed below,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Operating Partnership and its wholly-owned subsidiaries, CSL Capital, LLC, and Uniti Group Finance Inc. (collectively, the “Borrowers”) are party to the Credit Agreement, which provides for the Term Loan Facility (in an initial principal amount of $2.14 billion) and the Revolving Credit Facility. The term loans were repriced on February 9, 2017 and now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129" w:lineRule="exact"/>
        <w:rPr>
          <w:sz w:val="20"/>
          <w:szCs w:val="20"/>
          <w:color w:val="auto"/>
        </w:rPr>
      </w:pPr>
    </w:p>
    <w:p>
      <w:pPr>
        <w:ind w:right="60"/>
        <w:spacing w:after="0" w:line="279" w:lineRule="auto"/>
        <w:rPr>
          <w:sz w:val="20"/>
          <w:szCs w:val="20"/>
          <w:color w:val="auto"/>
        </w:rPr>
      </w:pPr>
      <w:r>
        <w:rPr>
          <w:rFonts w:ascii="Arial" w:cs="Arial" w:eastAsia="Arial" w:hAnsi="Arial"/>
          <w:sz w:val="11"/>
          <w:szCs w:val="11"/>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2018, the Borrowers were in compliance with all of the covenants under the Credit Agreement. However, we would be in breach of the requirement to deliver audited financial statements without a going concern opinion if we were unable to provide 2018 audited financial statements without a going concern opinion to the lenders under our Credit Agreement by March 31, 2019.</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“Amendment”) to our Credit Agreement. During the pendency of Windstream’s bankruptcy, or at such earlier time when certain other conditions are specified, the Amendment generally limits our ability under the Credit Agreement to (i) prepay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unsecured indebtedness and (ii) pay cash dividends in excess of 90% of our REIT taxable income, determined without regard to the dividends paid deduction and excluding any net capital gains. The Amendment also increases the interest rate on our Term Loan Facility, which will now bear a rate of LIBOR, subject to a 1.0% floor, plus an applicable margin equal to 5.0%, a 200 basis point increase over our previous rate. This increase will be in effect though the remaining term of the facility, which matures on October 24, 2022.</w:t>
      </w:r>
    </w:p>
    <w:p>
      <w:pPr>
        <w:spacing w:after="0" w:line="123"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A termination of the Master Lease would result in an “event of default” under the Credit Agreement, if a replacement lease was not entered into within ninety (90) calendar days and we do not maintain pro forma compliance with a consolidated secured leverage ratio, as defined in the Credit Agreement, of 5.00 to 1.00.</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The Notes</w:t>
      </w:r>
    </w:p>
    <w:p>
      <w:pPr>
        <w:spacing w:after="0" w:line="150"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05" w:lineRule="exact"/>
        <w:rPr>
          <w:sz w:val="20"/>
          <w:szCs w:val="20"/>
          <w:color w:val="auto"/>
        </w:rPr>
      </w:pPr>
    </w:p>
    <w:p>
      <w:pPr>
        <w:ind w:right="100"/>
        <w:spacing w:after="0" w:line="340" w:lineRule="auto"/>
        <w:rPr>
          <w:sz w:val="20"/>
          <w:szCs w:val="20"/>
          <w:color w:val="auto"/>
        </w:rPr>
      </w:pPr>
      <w:r>
        <w:rPr>
          <w:rFonts w:ascii="Arial" w:cs="Arial" w:eastAsia="Arial" w:hAnsi="Arial"/>
          <w:sz w:val="10"/>
          <w:szCs w:val="10"/>
          <w:color w:val="auto"/>
        </w:rPr>
        <w:t>The Operating Partnership and its wholly-owned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failure to provide 2018 financial statements without a going concern opinion to the lenders under our Credit Agreement by March 31, 2019 would constitute a breach of the covenants of our Credit Agreement and, absent the waiver by our lenders, would constitute an immediate event of default. If any event of default were to occur under our Credit Agreement and the Credit Agreement’s administrative agent declares all outstanding loans immediately due and payable, such an acceleration would trigger cross-default provisions within the indentures governing our senior notes and thereby entitle the trustee and noteholders to accelerate the repayment of the Secured Notes, the 2023 Notes and the 2024 Notes.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Deferred Financing Cost</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Income. For the year ended December 31, 2018, 2017 and 2016, we recognized $14.7 million, $13.6 million and $7.8 million of non-cash interest expense, respectively, related to the amortization of deferred financing costs.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Aggregate annual maturities of our long-term obligations at December 31, 2018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6220" w:type="dxa"/>
            <w:vAlign w:val="bottom"/>
            <w:tcBorders>
              <w:bottom w:val="single" w:sz="8" w:color="auto"/>
            </w:tcBorders>
          </w:tcPr>
          <w:p>
            <w:pPr>
              <w:spacing w:after="0"/>
              <w:rPr>
                <w:sz w:val="10"/>
                <w:szCs w:val="10"/>
                <w:color w:val="auto"/>
              </w:rPr>
            </w:pPr>
          </w:p>
        </w:tc>
        <w:tc>
          <w:tcPr>
            <w:tcW w:w="820" w:type="dxa"/>
            <w:vAlign w:val="bottom"/>
            <w:tcBorders>
              <w:bottom w:val="single" w:sz="8" w:color="CFF0FC"/>
            </w:tcBorders>
          </w:tcPr>
          <w:p>
            <w:pPr>
              <w:spacing w:after="0"/>
              <w:rPr>
                <w:sz w:val="10"/>
                <w:szCs w:val="10"/>
                <w:color w:val="auto"/>
              </w:rPr>
            </w:pPr>
          </w:p>
        </w:tc>
        <w:tc>
          <w:tcPr>
            <w:tcW w:w="12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7040" w:type="dxa"/>
            <w:vAlign w:val="bottom"/>
            <w:gridSpan w:val="2"/>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21,080</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080" w:type="dxa"/>
            <w:vAlign w:val="bottom"/>
          </w:tcPr>
          <w:p>
            <w:pPr>
              <w:spacing w:after="0"/>
              <w:rPr>
                <w:sz w:val="20"/>
                <w:szCs w:val="20"/>
                <w:color w:val="auto"/>
              </w:rPr>
            </w:pPr>
            <w:r>
              <w:rPr>
                <w:rFonts w:ascii="Arial" w:cs="Arial" w:eastAsia="Arial" w:hAnsi="Arial"/>
                <w:sz w:val="12"/>
                <w:szCs w:val="12"/>
                <w:color w:val="auto"/>
              </w:rPr>
              <w:t>2020</w:t>
            </w:r>
          </w:p>
        </w:tc>
        <w:tc>
          <w:tcPr>
            <w:tcW w:w="6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661,080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6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21,080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Pr>
          <w:p>
            <w:pPr>
              <w:spacing w:after="0"/>
              <w:rPr>
                <w:sz w:val="20"/>
                <w:szCs w:val="20"/>
                <w:color w:val="auto"/>
              </w:rPr>
            </w:pPr>
            <w:r>
              <w:rPr>
                <w:rFonts w:ascii="Arial" w:cs="Arial" w:eastAsia="Arial" w:hAnsi="Arial"/>
                <w:sz w:val="12"/>
                <w:szCs w:val="12"/>
                <w:color w:val="auto"/>
              </w:rPr>
              <w:t>2022</w:t>
            </w:r>
          </w:p>
        </w:tc>
        <w:tc>
          <w:tcPr>
            <w:tcW w:w="6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2,002,568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6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1,660,000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6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600,000</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7040" w:type="dxa"/>
            <w:vAlign w:val="bottom"/>
            <w:gridSpan w:val="2"/>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4,965,808</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401"/>
        </w:trPr>
        <w:tc>
          <w:tcPr>
            <w:tcW w:w="3080" w:type="dxa"/>
            <w:vAlign w:val="bottom"/>
            <w:tcBorders>
              <w:top w:val="single" w:sz="8" w:color="CFF0FC"/>
            </w:tcBorders>
          </w:tcPr>
          <w:p>
            <w:pPr>
              <w:spacing w:after="0"/>
              <w:rPr>
                <w:sz w:val="24"/>
                <w:szCs w:val="24"/>
                <w:color w:val="auto"/>
              </w:rPr>
            </w:pPr>
          </w:p>
        </w:tc>
        <w:tc>
          <w:tcPr>
            <w:tcW w:w="6220" w:type="dxa"/>
            <w:vAlign w:val="bottom"/>
            <w:tcBorders>
              <w:top w:val="single" w:sz="8" w:color="CFF0FC"/>
            </w:tcBorders>
          </w:tcPr>
          <w:p>
            <w:pPr>
              <w:jc w:val="right"/>
              <w:ind w:right="3440"/>
              <w:spacing w:after="0"/>
              <w:rPr>
                <w:sz w:val="20"/>
                <w:szCs w:val="20"/>
                <w:color w:val="auto"/>
              </w:rPr>
            </w:pPr>
            <w:r>
              <w:rPr>
                <w:rFonts w:ascii="Arial" w:cs="Arial" w:eastAsia="Arial" w:hAnsi="Arial"/>
                <w:sz w:val="12"/>
                <w:szCs w:val="12"/>
                <w:color w:val="auto"/>
              </w:rPr>
              <w:t>89</w:t>
            </w:r>
          </w:p>
        </w:tc>
        <w:tc>
          <w:tcPr>
            <w:tcW w:w="8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080" w:type="dxa"/>
            <w:vAlign w:val="bottom"/>
            <w:tcBorders>
              <w:bottom w:val="single" w:sz="8" w:color="9A9A9A"/>
            </w:tcBorders>
          </w:tcPr>
          <w:p>
            <w:pPr>
              <w:spacing w:after="0"/>
              <w:rPr>
                <w:sz w:val="6"/>
                <w:szCs w:val="6"/>
                <w:color w:val="auto"/>
              </w:rPr>
            </w:pPr>
          </w:p>
        </w:tc>
        <w:tc>
          <w:tcPr>
            <w:tcW w:w="62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89" w:name="page90"/>
    <w:bookmarkEnd w:id="89"/>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discussed in Note 7, we have acquired property pursuant to capital leases. At December 31, 2018, future minimum lease payments under capital lease obligations are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3840" w:type="dxa"/>
            <w:vAlign w:val="bottom"/>
            <w:tcBorders>
              <w:bottom w:val="single" w:sz="8" w:color="auto"/>
            </w:tcBorders>
          </w:tcPr>
          <w:p>
            <w:pPr>
              <w:spacing w:after="0"/>
              <w:rPr>
                <w:sz w:val="10"/>
                <w:szCs w:val="10"/>
                <w:color w:val="auto"/>
              </w:rPr>
            </w:pPr>
          </w:p>
        </w:tc>
        <w:tc>
          <w:tcPr>
            <w:tcW w:w="880" w:type="dxa"/>
            <w:vAlign w:val="bottom"/>
            <w:tcBorders>
              <w:bottom w:val="single" w:sz="8" w:color="CFF0FC"/>
            </w:tcBorders>
          </w:tcPr>
          <w:p>
            <w:pPr>
              <w:spacing w:after="0"/>
              <w:rPr>
                <w:sz w:val="10"/>
                <w:szCs w:val="10"/>
                <w:color w:val="auto"/>
              </w:rPr>
            </w:pPr>
          </w:p>
        </w:tc>
        <w:tc>
          <w:tcPr>
            <w:tcW w:w="118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r>
      <w:tr>
        <w:trPr>
          <w:trHeight w:val="142"/>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4720" w:type="dxa"/>
            <w:vAlign w:val="bottom"/>
            <w:gridSpan w:val="2"/>
            <w:shd w:val="clear" w:color="auto" w:fill="CFF0FC"/>
          </w:tcPr>
          <w:p>
            <w:pPr>
              <w:jc w:val="right"/>
              <w:ind w:right="77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8,683</w:t>
            </w:r>
          </w:p>
        </w:tc>
        <w:tc>
          <w:tcPr>
            <w:tcW w:w="120" w:type="dxa"/>
            <w:vAlign w:val="bottom"/>
            <w:shd w:val="clear" w:color="auto" w:fill="CFF0FC"/>
          </w:tcPr>
          <w:p>
            <w:pPr>
              <w:spacing w:after="0"/>
              <w:rPr>
                <w:sz w:val="12"/>
                <w:szCs w:val="12"/>
                <w:color w:val="auto"/>
              </w:rPr>
            </w:pP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2020</w:t>
            </w:r>
          </w:p>
        </w:tc>
        <w:tc>
          <w:tcPr>
            <w:tcW w:w="3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7,357</w:t>
            </w:r>
          </w:p>
        </w:tc>
        <w:tc>
          <w:tcPr>
            <w:tcW w:w="120" w:type="dxa"/>
            <w:vAlign w:val="bottom"/>
          </w:tcPr>
          <w:p>
            <w:pPr>
              <w:spacing w:after="0"/>
              <w:rPr>
                <w:sz w:val="13"/>
                <w:szCs w:val="13"/>
                <w:color w:val="auto"/>
              </w:rPr>
            </w:pP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38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6,638</w:t>
            </w:r>
          </w:p>
        </w:tc>
        <w:tc>
          <w:tcPr>
            <w:tcW w:w="120" w:type="dxa"/>
            <w:vAlign w:val="bottom"/>
            <w:shd w:val="clear" w:color="auto" w:fill="CFF0FC"/>
          </w:tcPr>
          <w:p>
            <w:pPr>
              <w:spacing w:after="0"/>
              <w:rPr>
                <w:sz w:val="13"/>
                <w:szCs w:val="13"/>
                <w:color w:val="auto"/>
              </w:rPr>
            </w:pP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2022</w:t>
            </w:r>
          </w:p>
        </w:tc>
        <w:tc>
          <w:tcPr>
            <w:tcW w:w="3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6,484</w:t>
            </w:r>
          </w:p>
        </w:tc>
        <w:tc>
          <w:tcPr>
            <w:tcW w:w="120" w:type="dxa"/>
            <w:vAlign w:val="bottom"/>
          </w:tcPr>
          <w:p>
            <w:pPr>
              <w:spacing w:after="0"/>
              <w:rPr>
                <w:sz w:val="13"/>
                <w:szCs w:val="13"/>
                <w:color w:val="auto"/>
              </w:rPr>
            </w:pP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38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6,457</w:t>
            </w:r>
          </w:p>
        </w:tc>
        <w:tc>
          <w:tcPr>
            <w:tcW w:w="120" w:type="dxa"/>
            <w:vAlign w:val="bottom"/>
            <w:shd w:val="clear" w:color="auto" w:fill="CFF0FC"/>
          </w:tcPr>
          <w:p>
            <w:pPr>
              <w:spacing w:after="0"/>
              <w:rPr>
                <w:sz w:val="13"/>
                <w:szCs w:val="13"/>
                <w:color w:val="auto"/>
              </w:rPr>
            </w:pPr>
          </w:p>
        </w:tc>
      </w:tr>
      <w:tr>
        <w:trPr>
          <w:trHeight w:val="153"/>
        </w:trPr>
        <w:tc>
          <w:tcPr>
            <w:tcW w:w="54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38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52,533</w:t>
            </w:r>
          </w:p>
        </w:tc>
        <w:tc>
          <w:tcPr>
            <w:tcW w:w="120" w:type="dxa"/>
            <w:vAlign w:val="bottom"/>
            <w:tcBorders>
              <w:bottom w:val="single" w:sz="8" w:color="CFF0FC"/>
            </w:tcBorders>
          </w:tcPr>
          <w:p>
            <w:pPr>
              <w:spacing w:after="0"/>
              <w:rPr>
                <w:sz w:val="13"/>
                <w:szCs w:val="13"/>
                <w:color w:val="auto"/>
              </w:rPr>
            </w:pPr>
          </w:p>
        </w:tc>
      </w:tr>
      <w:tr>
        <w:trPr>
          <w:trHeight w:val="142"/>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Total minimum payments</w:t>
            </w:r>
          </w:p>
        </w:tc>
        <w:tc>
          <w:tcPr>
            <w:tcW w:w="38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88,152</w:t>
            </w:r>
          </w:p>
        </w:tc>
        <w:tc>
          <w:tcPr>
            <w:tcW w:w="120" w:type="dxa"/>
            <w:vAlign w:val="bottom"/>
            <w:shd w:val="clear" w:color="auto" w:fill="CFF0FC"/>
          </w:tcPr>
          <w:p>
            <w:pPr>
              <w:spacing w:after="0"/>
              <w:rPr>
                <w:sz w:val="12"/>
                <w:szCs w:val="12"/>
                <w:color w:val="auto"/>
              </w:rPr>
            </w:pP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Less amount representing interest</w:t>
            </w:r>
          </w:p>
        </w:tc>
        <w:tc>
          <w:tcPr>
            <w:tcW w:w="3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(32,870)</w:t>
            </w:r>
          </w:p>
        </w:tc>
      </w:tr>
      <w:tr>
        <w:trPr>
          <w:trHeight w:val="158"/>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384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55,282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11. Stock-Based Compensation</w:t>
      </w:r>
    </w:p>
    <w:p>
      <w:pPr>
        <w:spacing w:after="0" w:line="154"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auto"/>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Restricted Awards</w:t>
      </w:r>
    </w:p>
    <w:p>
      <w:pPr>
        <w:spacing w:after="0" w:line="150" w:lineRule="exact"/>
        <w:rPr>
          <w:sz w:val="20"/>
          <w:szCs w:val="20"/>
          <w:color w:val="auto"/>
        </w:rPr>
      </w:pPr>
    </w:p>
    <w:p>
      <w:pPr>
        <w:ind w:left="8" w:right="80"/>
        <w:spacing w:after="0" w:line="259" w:lineRule="auto"/>
        <w:rPr>
          <w:sz w:val="20"/>
          <w:szCs w:val="20"/>
          <w:color w:val="auto"/>
        </w:rPr>
      </w:pPr>
      <w:r>
        <w:rPr>
          <w:rFonts w:ascii="Arial" w:cs="Arial" w:eastAsia="Arial" w:hAnsi="Arial"/>
          <w:sz w:val="12"/>
          <w:szCs w:val="12"/>
          <w:color w:val="auto"/>
        </w:rPr>
        <w:t>During the year ended December 31, 2018, the Company granted 396,705 shares of restricted stock to employees, which had a fair value of $5.5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2018, there were 4,724,876 shares available for future issuance under the Equity Plan. The following table sets forth the number of unvested restricted stock awards and the weighted-average fair value of these awards at the date of grant:</w:t>
      </w:r>
    </w:p>
    <w:p>
      <w:pPr>
        <w:spacing w:after="0" w:line="3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40" w:type="dxa"/>
            <w:vAlign w:val="bottom"/>
            <w:tcBorders>
              <w:bottom w:val="single" w:sz="8" w:color="CFF0FC"/>
            </w:tcBorders>
          </w:tcPr>
          <w:p>
            <w:pPr>
              <w:spacing w:after="0"/>
              <w:rPr>
                <w:sz w:val="10"/>
                <w:szCs w:val="10"/>
                <w:color w:val="auto"/>
              </w:rPr>
            </w:pPr>
          </w:p>
        </w:tc>
        <w:tc>
          <w:tcPr>
            <w:tcW w:w="150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w w:val="95"/>
              </w:rPr>
              <w:t>Restricted Awards</w:t>
            </w: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88"/>
              </w:rPr>
              <w:t>Weighted Average Fair Value at Grant Date</w:t>
            </w:r>
          </w:p>
        </w:tc>
        <w:tc>
          <w:tcPr>
            <w:tcW w:w="24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r>
      <w:tr>
        <w:trPr>
          <w:trHeight w:val="142"/>
        </w:trPr>
        <w:tc>
          <w:tcPr>
            <w:tcW w:w="6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2017</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588,188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2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40" w:type="dxa"/>
            <w:vAlign w:val="bottom"/>
          </w:tcPr>
          <w:p>
            <w:pPr>
              <w:jc w:val="right"/>
              <w:spacing w:after="0"/>
              <w:rPr>
                <w:sz w:val="20"/>
                <w:szCs w:val="20"/>
                <w:color w:val="auto"/>
              </w:rPr>
            </w:pPr>
            <w:r>
              <w:rPr>
                <w:rFonts w:ascii="Arial" w:cs="Arial" w:eastAsia="Arial" w:hAnsi="Arial"/>
                <w:sz w:val="12"/>
                <w:szCs w:val="12"/>
                <w:color w:val="auto"/>
              </w:rPr>
              <w:t>396,705</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rPr>
                <w:sz w:val="20"/>
                <w:szCs w:val="20"/>
                <w:color w:val="auto"/>
              </w:rPr>
            </w:pPr>
            <w:r>
              <w:rPr>
                <w:rFonts w:ascii="Arial" w:cs="Arial" w:eastAsia="Arial" w:hAnsi="Arial"/>
                <w:sz w:val="12"/>
                <w:szCs w:val="12"/>
                <w:color w:val="auto"/>
              </w:rPr>
              <w:t>14.02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(35,559)</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Vested</w:t>
            </w:r>
          </w:p>
        </w:tc>
        <w:tc>
          <w:tcPr>
            <w:tcW w:w="15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(281,706)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rPr>
                <w:sz w:val="20"/>
                <w:szCs w:val="20"/>
                <w:color w:val="auto"/>
              </w:rPr>
            </w:pPr>
            <w:r>
              <w:rPr>
                <w:rFonts w:ascii="Arial" w:cs="Arial" w:eastAsia="Arial" w:hAnsi="Arial"/>
                <w:sz w:val="12"/>
                <w:szCs w:val="12"/>
                <w:color w:val="auto"/>
              </w:rPr>
              <w:t>24.42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2018</w:t>
            </w:r>
          </w:p>
        </w:tc>
        <w:tc>
          <w:tcPr>
            <w:tcW w:w="15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667,628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10,395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208" w:right="380" w:hanging="208"/>
        <w:spacing w:after="0" w:line="276" w:lineRule="auto"/>
        <w:tabs>
          <w:tab w:leader="none" w:pos="208" w:val="left"/>
        </w:tabs>
        <w:numPr>
          <w:ilvl w:val="0"/>
          <w:numId w:val="13"/>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31, 2018. The market value as of December 31, 2018 was $15.57 per share, which was the closing price of our common stock reported for transactions effected on the NASDAQ Global Select Market on December 31, 2018, the final trading day of 2018.</w:t>
      </w:r>
    </w:p>
    <w:p>
      <w:pPr>
        <w:spacing w:after="0" w:line="115"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During the year ended December 31, 2017, there were 234,294 shares of restricted stock granted with a weighted-average fair value of $25.56 per share. During the year ended December 31, 2016, there were 308,146 shares of restricted stock granted with a weighted-average fair value of $20.56 per share.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total fair value of shares vested for the years ended December 31, 2018 and 2017 was $6.9 million and $2.9 million,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2018, total unrecognized compensation expense on restricted awards was approximately $6.2 million, and the expense is expected to be recognized over a weighted average vesting period of 0.9 years.</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0" w:right="199" w:bottom="1440" w:gutter="0" w:footer="0" w:header="0"/>
        </w:sectPr>
      </w:pPr>
    </w:p>
    <w:bookmarkStart w:id="90" w:name="page91"/>
    <w:bookmarkEnd w:id="9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Performance Awards</w:t>
      </w:r>
    </w:p>
    <w:p>
      <w:pPr>
        <w:spacing w:after="0" w:line="150"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spacing w:after="0" w:line="125"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On February 6, 2018, we issued 169,549 PSUs equal to 100% of the target amount, with an aggregate value of $3.3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year ended December 31, 2018, no PSUs were forfeited due to termination of service. The following table sets forth the number of unvested PSUs and the weighted-average fair value of these awards at the date of grant:</w:t>
      </w:r>
    </w:p>
    <w:p>
      <w:pPr>
        <w:spacing w:after="0" w:line="18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40" w:type="dxa"/>
            <w:vAlign w:val="bottom"/>
            <w:tcBorders>
              <w:bottom w:val="single" w:sz="8" w:color="CFF0FC"/>
            </w:tcBorders>
          </w:tcPr>
          <w:p>
            <w:pPr>
              <w:spacing w:after="0"/>
              <w:rPr>
                <w:sz w:val="10"/>
                <w:szCs w:val="10"/>
                <w:color w:val="auto"/>
              </w:rPr>
            </w:pP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w w:val="95"/>
              </w:rPr>
              <w:t>Performance Awards</w:t>
            </w: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88"/>
              </w:rPr>
              <w:t>Weighted Average Fair Value at Grant Date</w:t>
            </w:r>
          </w:p>
        </w:tc>
        <w:tc>
          <w:tcPr>
            <w:tcW w:w="24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r>
      <w:tr>
        <w:trPr>
          <w:trHeight w:val="142"/>
        </w:trPr>
        <w:tc>
          <w:tcPr>
            <w:tcW w:w="6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2017</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254,625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3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80" w:type="dxa"/>
            <w:vAlign w:val="bottom"/>
          </w:tcPr>
          <w:p>
            <w:pPr>
              <w:jc w:val="right"/>
              <w:spacing w:after="0"/>
              <w:rPr>
                <w:sz w:val="20"/>
                <w:szCs w:val="20"/>
                <w:color w:val="auto"/>
              </w:rPr>
            </w:pPr>
            <w:r>
              <w:rPr>
                <w:rFonts w:ascii="Arial" w:cs="Arial" w:eastAsia="Arial" w:hAnsi="Arial"/>
                <w:sz w:val="12"/>
                <w:szCs w:val="12"/>
                <w:color w:val="auto"/>
              </w:rPr>
              <w:t>169,549</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rPr>
                <w:sz w:val="20"/>
                <w:szCs w:val="20"/>
                <w:color w:val="auto"/>
              </w:rPr>
            </w:pPr>
            <w:r>
              <w:rPr>
                <w:rFonts w:ascii="Arial" w:cs="Arial" w:eastAsia="Arial" w:hAnsi="Arial"/>
                <w:sz w:val="12"/>
                <w:szCs w:val="12"/>
                <w:color w:val="auto"/>
              </w:rPr>
              <w:t>19.30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(60,970)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7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Vested</w:t>
            </w:r>
          </w:p>
        </w:tc>
        <w:tc>
          <w:tcPr>
            <w:tcW w:w="1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4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2018</w:t>
            </w:r>
          </w:p>
        </w:tc>
        <w:tc>
          <w:tcPr>
            <w:tcW w:w="15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363,204</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23.35</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5,655</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208" w:right="380" w:hanging="208"/>
        <w:spacing w:after="0" w:line="276" w:lineRule="auto"/>
        <w:tabs>
          <w:tab w:leader="none" w:pos="208" w:val="left"/>
        </w:tabs>
        <w:numPr>
          <w:ilvl w:val="0"/>
          <w:numId w:val="14"/>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31, 2018. The market value as of December 31, 2018 was $15.57 per share, which was the closing price of our common stock reported for transactions effected on the NASDAQ Global Select Market on December 31, 2018, the final trading day of 2018.</w:t>
      </w:r>
    </w:p>
    <w:p>
      <w:pPr>
        <w:spacing w:after="0" w:line="115"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During the year ended December 31, 2017, there were 91,995 PSUs granted with a weighted-average fair value of $33.75 per share. During the year ended December 31, 2016, there were 101,660 PSUs granted with a weighted-average fair value of $20.71 per share.</w:t>
      </w:r>
    </w:p>
    <w:p>
      <w:pPr>
        <w:spacing w:after="0" w:line="115" w:lineRule="exact"/>
        <w:rPr>
          <w:sz w:val="20"/>
          <w:szCs w:val="20"/>
          <w:color w:val="auto"/>
        </w:rPr>
      </w:pPr>
    </w:p>
    <w:p>
      <w:pPr>
        <w:ind w:left="8" w:right="100"/>
        <w:spacing w:after="0" w:line="340" w:lineRule="auto"/>
        <w:rPr>
          <w:sz w:val="20"/>
          <w:szCs w:val="20"/>
          <w:color w:val="auto"/>
        </w:rPr>
      </w:pPr>
      <w:r>
        <w:rPr>
          <w:rFonts w:ascii="Arial" w:cs="Arial" w:eastAsia="Arial" w:hAnsi="Arial"/>
          <w:sz w:val="10"/>
          <w:szCs w:val="10"/>
          <w:color w:val="auto"/>
        </w:rPr>
        <w:t>As of December 31, 2018, total unrecognized compensation expense related to PSUs was approximately $3.7 million, and the weighted-average vesting period was 1.4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2018, 2017 and 2016:</w:t>
      </w:r>
    </w:p>
    <w:p>
      <w:pPr>
        <w:spacing w:after="0" w:line="145" w:lineRule="exact"/>
        <w:rPr>
          <w:sz w:val="20"/>
          <w:szCs w:val="20"/>
          <w:color w:val="auto"/>
        </w:rPr>
      </w:pPr>
    </w:p>
    <w:p>
      <w:pPr>
        <w:ind w:left="7508"/>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0</wp:posOffset>
            </wp:positionV>
            <wp:extent cx="419798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97985" cy="5715"/>
                    </a:xfrm>
                    <a:prstGeom prst="rect">
                      <a:avLst/>
                    </a:prstGeom>
                    <a:noFill/>
                  </pic:spPr>
                </pic:pic>
              </a:graphicData>
            </a:graphic>
          </wp:anchor>
        </w:drawing>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40" w:type="dxa"/>
            <w:vAlign w:val="bottom"/>
            <w:tcBorders>
              <w:bottom w:val="single" w:sz="8" w:color="CFF0FC"/>
            </w:tcBorders>
          </w:tcPr>
          <w:p>
            <w:pPr>
              <w:spacing w:after="0"/>
              <w:rPr>
                <w:sz w:val="10"/>
                <w:szCs w:val="10"/>
                <w:color w:val="auto"/>
              </w:rPr>
            </w:pP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204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10"/>
                <w:szCs w:val="10"/>
                <w:color w:val="auto"/>
              </w:rPr>
            </w:pPr>
          </w:p>
        </w:tc>
        <w:tc>
          <w:tcPr>
            <w:tcW w:w="202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FF0FC"/>
            </w:tcBorders>
          </w:tcPr>
          <w:p>
            <w:pPr>
              <w:spacing w:after="0"/>
              <w:rPr>
                <w:sz w:val="10"/>
                <w:szCs w:val="10"/>
                <w:color w:val="auto"/>
              </w:rPr>
            </w:pPr>
          </w:p>
        </w:tc>
      </w:tr>
      <w:tr>
        <w:trPr>
          <w:trHeight w:val="142"/>
        </w:trPr>
        <w:tc>
          <w:tcPr>
            <w:tcW w:w="6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2"/>
                <w:szCs w:val="12"/>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40" w:type="dxa"/>
            <w:vAlign w:val="bottom"/>
            <w:shd w:val="clear" w:color="auto" w:fill="CFF0FC"/>
          </w:tcPr>
          <w:p>
            <w:pPr>
              <w:spacing w:after="0"/>
              <w:rPr>
                <w:sz w:val="12"/>
                <w:szCs w:val="12"/>
                <w:color w:val="auto"/>
              </w:rPr>
            </w:pPr>
          </w:p>
        </w:tc>
      </w:tr>
      <w:tr>
        <w:trPr>
          <w:trHeight w:val="153"/>
        </w:trPr>
        <w:tc>
          <w:tcPr>
            <w:tcW w:w="6200" w:type="dxa"/>
            <w:vAlign w:val="bottom"/>
            <w:gridSpan w:val="2"/>
          </w:tcPr>
          <w:p>
            <w:pPr>
              <w:spacing w:after="0"/>
              <w:rPr>
                <w:sz w:val="20"/>
                <w:szCs w:val="20"/>
                <w:color w:val="auto"/>
              </w:rPr>
            </w:pPr>
            <w:r>
              <w:rPr>
                <w:rFonts w:ascii="Arial" w:cs="Arial" w:eastAsia="Arial" w:hAnsi="Arial"/>
                <w:sz w:val="12"/>
                <w:szCs w:val="12"/>
                <w:color w:val="auto"/>
              </w:rPr>
              <w:t>Expected volatility</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48.5%</w:t>
            </w:r>
          </w:p>
        </w:tc>
        <w:tc>
          <w:tcPr>
            <w:tcW w:w="2300" w:type="dxa"/>
            <w:vAlign w:val="bottom"/>
            <w:gridSpan w:val="2"/>
          </w:tcPr>
          <w:p>
            <w:pPr>
              <w:jc w:val="right"/>
              <w:ind w:right="160"/>
              <w:spacing w:after="0"/>
              <w:rPr>
                <w:sz w:val="20"/>
                <w:szCs w:val="20"/>
                <w:color w:val="auto"/>
              </w:rPr>
            </w:pPr>
            <w:r>
              <w:rPr>
                <w:rFonts w:ascii="Arial" w:cs="Arial" w:eastAsia="Arial" w:hAnsi="Arial"/>
                <w:sz w:val="12"/>
                <w:szCs w:val="12"/>
                <w:color w:val="auto"/>
              </w:rPr>
              <w:t>33.6%</w:t>
            </w:r>
          </w:p>
        </w:tc>
        <w:tc>
          <w:tcPr>
            <w:tcW w:w="2160" w:type="dxa"/>
            <w:vAlign w:val="bottom"/>
            <w:gridSpan w:val="2"/>
          </w:tcPr>
          <w:p>
            <w:pPr>
              <w:jc w:val="right"/>
              <w:ind w:right="40"/>
              <w:spacing w:after="0"/>
              <w:rPr>
                <w:sz w:val="20"/>
                <w:szCs w:val="20"/>
                <w:color w:val="auto"/>
              </w:rPr>
            </w:pPr>
            <w:r>
              <w:rPr>
                <w:rFonts w:ascii="Arial" w:cs="Arial" w:eastAsia="Arial" w:hAnsi="Arial"/>
                <w:sz w:val="12"/>
                <w:szCs w:val="12"/>
                <w:color w:val="auto"/>
              </w:rPr>
              <w:t>48.8%</w:t>
            </w:r>
          </w:p>
        </w:tc>
      </w:tr>
      <w:tr>
        <w:trPr>
          <w:trHeight w:val="153"/>
        </w:trPr>
        <w:tc>
          <w:tcPr>
            <w:tcW w:w="6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annual dividend</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0.0%</w:t>
            </w:r>
          </w:p>
        </w:tc>
        <w:tc>
          <w:tcPr>
            <w:tcW w:w="2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0.0%</w:t>
            </w: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0.0%</w:t>
            </w:r>
          </w:p>
        </w:tc>
      </w:tr>
      <w:tr>
        <w:trPr>
          <w:trHeight w:val="153"/>
        </w:trPr>
        <w:tc>
          <w:tcPr>
            <w:tcW w:w="6200" w:type="dxa"/>
            <w:vAlign w:val="bottom"/>
            <w:gridSpan w:val="2"/>
          </w:tcPr>
          <w:p>
            <w:pPr>
              <w:spacing w:after="0"/>
              <w:rPr>
                <w:sz w:val="20"/>
                <w:szCs w:val="20"/>
                <w:color w:val="auto"/>
              </w:rPr>
            </w:pPr>
            <w:r>
              <w:rPr>
                <w:rFonts w:ascii="Arial" w:cs="Arial" w:eastAsia="Arial" w:hAnsi="Arial"/>
                <w:sz w:val="12"/>
                <w:szCs w:val="12"/>
                <w:color w:val="auto"/>
              </w:rPr>
              <w:t>Risk free rate</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2.3%</w:t>
            </w:r>
          </w:p>
        </w:tc>
        <w:tc>
          <w:tcPr>
            <w:tcW w:w="2300" w:type="dxa"/>
            <w:vAlign w:val="bottom"/>
            <w:gridSpan w:val="2"/>
          </w:tcPr>
          <w:p>
            <w:pPr>
              <w:jc w:val="right"/>
              <w:ind w:right="160"/>
              <w:spacing w:after="0"/>
              <w:rPr>
                <w:sz w:val="20"/>
                <w:szCs w:val="20"/>
                <w:color w:val="auto"/>
              </w:rPr>
            </w:pPr>
            <w:r>
              <w:rPr>
                <w:rFonts w:ascii="Arial" w:cs="Arial" w:eastAsia="Arial" w:hAnsi="Arial"/>
                <w:sz w:val="12"/>
                <w:szCs w:val="12"/>
                <w:color w:val="auto"/>
              </w:rPr>
              <w:t>1.5%</w:t>
            </w:r>
          </w:p>
        </w:tc>
        <w:tc>
          <w:tcPr>
            <w:tcW w:w="2160" w:type="dxa"/>
            <w:vAlign w:val="bottom"/>
            <w:gridSpan w:val="2"/>
          </w:tcPr>
          <w:p>
            <w:pPr>
              <w:jc w:val="right"/>
              <w:ind w:right="40"/>
              <w:spacing w:after="0"/>
              <w:rPr>
                <w:sz w:val="20"/>
                <w:szCs w:val="20"/>
                <w:color w:val="auto"/>
              </w:rPr>
            </w:pPr>
            <w:r>
              <w:rPr>
                <w:rFonts w:ascii="Arial" w:cs="Arial" w:eastAsia="Arial" w:hAnsi="Arial"/>
                <w:sz w:val="12"/>
                <w:szCs w:val="12"/>
                <w:color w:val="auto"/>
              </w:rPr>
              <w:t>0.9%</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jc w:val="center"/>
        <w:ind w:right="372"/>
        <w:spacing w:after="0"/>
        <w:rPr>
          <w:sz w:val="20"/>
          <w:szCs w:val="20"/>
          <w:color w:val="auto"/>
        </w:rPr>
      </w:pPr>
      <w:r>
        <w:rPr>
          <w:rFonts w:ascii="Arial" w:cs="Arial" w:eastAsia="Arial" w:hAnsi="Arial"/>
          <w:sz w:val="10"/>
          <w:szCs w:val="10"/>
          <w:color w:val="auto"/>
        </w:rPr>
        <w:t>On May 17, 2018, our stockholders approved and adopted the Uniti Group Inc. Employee Stock Purchase Plan (the “ESPP”). The ESPP authorizes us to issue up to 2,000,000 shares of our common stock to any of our employees so</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long as the employee is employed on the first day of the applicable offering period. Under the ESPP, there are two six-month plan periods during each calendar year, one beginning January 1 and ending on June 30, and one beginning on July 1 and ending on December 31. Under the terms of the ESPP, employees can choose each plan period to have up to 15% of their annual base earnings, limited to $25,000 withheld to purchase our common stock. The purchase price of the stock is 85% of the lower of its beginning-of-period or end-of-period market price. Under the ESPP, no shares were sold to employees during the year ended 2018. As of December 31, 2018, there were 2,000,000 shares available for future issuance under the ESPP. The following table summarizes the assumptions used to value the purchase rights granted under the ESPP during the year ended December 31,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40" w:type="dxa"/>
            <w:vAlign w:val="bottom"/>
          </w:tcPr>
          <w:p>
            <w:pPr>
              <w:spacing w:after="0"/>
              <w:rPr>
                <w:sz w:val="10"/>
                <w:szCs w:val="10"/>
                <w:color w:val="auto"/>
              </w:rPr>
            </w:pPr>
          </w:p>
        </w:tc>
        <w:tc>
          <w:tcPr>
            <w:tcW w:w="3640" w:type="dxa"/>
            <w:vAlign w:val="bottom"/>
            <w:gridSpan w:val="2"/>
          </w:tcPr>
          <w:p>
            <w:pPr>
              <w:jc w:val="right"/>
              <w:ind w:right="1300"/>
              <w:spacing w:after="0"/>
              <w:rPr>
                <w:sz w:val="20"/>
                <w:szCs w:val="20"/>
                <w:color w:val="auto"/>
              </w:rPr>
            </w:pPr>
            <w:r>
              <w:rPr>
                <w:rFonts w:ascii="Arial" w:cs="Arial" w:eastAsia="Arial" w:hAnsi="Arial"/>
                <w:sz w:val="10"/>
                <w:szCs w:val="10"/>
                <w:b w:val="1"/>
                <w:bCs w:val="1"/>
                <w:color w:val="auto"/>
              </w:rPr>
              <w:t>Year Ended December 31, 2018</w:t>
            </w:r>
          </w:p>
        </w:tc>
      </w:tr>
      <w:tr>
        <w:trPr>
          <w:trHeight w:val="142"/>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3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220" w:type="dxa"/>
            <w:vAlign w:val="bottom"/>
            <w:tcBorders>
              <w:top w:val="single" w:sz="8" w:color="CFF0FC"/>
            </w:tcBorders>
            <w:shd w:val="clear" w:color="auto" w:fill="CFF0FC"/>
          </w:tcPr>
          <w:p>
            <w:pPr>
              <w:spacing w:after="0"/>
              <w:rPr>
                <w:sz w:val="12"/>
                <w:szCs w:val="12"/>
                <w:color w:val="auto"/>
              </w:rPr>
            </w:pPr>
          </w:p>
        </w:tc>
      </w:tr>
      <w:tr>
        <w:trPr>
          <w:trHeight w:val="153"/>
        </w:trPr>
        <w:tc>
          <w:tcPr>
            <w:tcW w:w="7840" w:type="dxa"/>
            <w:vAlign w:val="bottom"/>
          </w:tcPr>
          <w:p>
            <w:pPr>
              <w:spacing w:after="0"/>
              <w:rPr>
                <w:sz w:val="20"/>
                <w:szCs w:val="20"/>
                <w:color w:val="auto"/>
              </w:rPr>
            </w:pPr>
            <w:r>
              <w:rPr>
                <w:rFonts w:ascii="Arial" w:cs="Arial" w:eastAsia="Arial" w:hAnsi="Arial"/>
                <w:sz w:val="12"/>
                <w:szCs w:val="12"/>
                <w:color w:val="auto"/>
              </w:rPr>
              <w:t>Expected volatility</w:t>
            </w:r>
          </w:p>
        </w:tc>
        <w:tc>
          <w:tcPr>
            <w:tcW w:w="3640" w:type="dxa"/>
            <w:vAlign w:val="bottom"/>
            <w:gridSpan w:val="2"/>
          </w:tcPr>
          <w:p>
            <w:pPr>
              <w:jc w:val="right"/>
              <w:ind w:right="120"/>
              <w:spacing w:after="0"/>
              <w:rPr>
                <w:sz w:val="20"/>
                <w:szCs w:val="20"/>
                <w:color w:val="auto"/>
              </w:rPr>
            </w:pPr>
            <w:r>
              <w:rPr>
                <w:rFonts w:ascii="Arial" w:cs="Arial" w:eastAsia="Arial" w:hAnsi="Arial"/>
                <w:sz w:val="12"/>
                <w:szCs w:val="12"/>
                <w:color w:val="auto"/>
              </w:rPr>
              <w:t>37.0%</w:t>
            </w:r>
          </w:p>
        </w:tc>
      </w:tr>
      <w:tr>
        <w:trPr>
          <w:trHeight w:val="153"/>
        </w:trPr>
        <w:tc>
          <w:tcPr>
            <w:tcW w:w="7840" w:type="dxa"/>
            <w:vAlign w:val="bottom"/>
            <w:shd w:val="clear" w:color="auto" w:fill="CFF0FC"/>
          </w:tcPr>
          <w:p>
            <w:pPr>
              <w:spacing w:after="0"/>
              <w:rPr>
                <w:sz w:val="20"/>
                <w:szCs w:val="20"/>
                <w:color w:val="auto"/>
              </w:rPr>
            </w:pPr>
            <w:r>
              <w:rPr>
                <w:rFonts w:ascii="Arial" w:cs="Arial" w:eastAsia="Arial" w:hAnsi="Arial"/>
                <w:sz w:val="12"/>
                <w:szCs w:val="12"/>
                <w:color w:val="auto"/>
              </w:rPr>
              <w:t>Expected annual dividend</w:t>
            </w:r>
          </w:p>
        </w:tc>
        <w:tc>
          <w:tcPr>
            <w:tcW w:w="36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11.3%</w:t>
            </w:r>
          </w:p>
        </w:tc>
      </w:tr>
      <w:tr>
        <w:trPr>
          <w:trHeight w:val="153"/>
        </w:trPr>
        <w:tc>
          <w:tcPr>
            <w:tcW w:w="7840" w:type="dxa"/>
            <w:vAlign w:val="bottom"/>
          </w:tcPr>
          <w:p>
            <w:pPr>
              <w:spacing w:after="0"/>
              <w:rPr>
                <w:sz w:val="20"/>
                <w:szCs w:val="20"/>
                <w:color w:val="auto"/>
              </w:rPr>
            </w:pPr>
            <w:r>
              <w:rPr>
                <w:rFonts w:ascii="Arial" w:cs="Arial" w:eastAsia="Arial" w:hAnsi="Arial"/>
                <w:sz w:val="12"/>
                <w:szCs w:val="12"/>
                <w:color w:val="auto"/>
              </w:rPr>
              <w:t>Risk free rate</w:t>
            </w:r>
          </w:p>
        </w:tc>
        <w:tc>
          <w:tcPr>
            <w:tcW w:w="3640" w:type="dxa"/>
            <w:vAlign w:val="bottom"/>
            <w:gridSpan w:val="2"/>
          </w:tcPr>
          <w:p>
            <w:pPr>
              <w:jc w:val="right"/>
              <w:ind w:right="120"/>
              <w:spacing w:after="0"/>
              <w:rPr>
                <w:sz w:val="20"/>
                <w:szCs w:val="20"/>
                <w:color w:val="auto"/>
              </w:rPr>
            </w:pPr>
            <w:r>
              <w:rPr>
                <w:rFonts w:ascii="Arial" w:cs="Arial" w:eastAsia="Arial" w:hAnsi="Arial"/>
                <w:sz w:val="12"/>
                <w:szCs w:val="12"/>
                <w:color w:val="auto"/>
              </w:rPr>
              <w:t>2.1%</w:t>
            </w:r>
          </w:p>
        </w:tc>
      </w:tr>
    </w:tbl>
    <w:p>
      <w:pPr>
        <w:spacing w:after="0" w:line="13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For the years ended December 31, 2018, 2017 and 2016, we recognized $8.1 million, $7.7 million and $4.8 million, respectively, of compensation expense related to restricted stock awards, performance-based awards and the ESPP, which is recorded in general and administrative expense on our Consolidated Statement of Income.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Related Party Transactions</w:t>
      </w:r>
    </w:p>
    <w:p>
      <w:pPr>
        <w:spacing w:after="0" w:line="15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In connection with the Spin-Off, we issued approximately 149.8 million shares of our common stock, par value $0.0001 per share, to Windstream as partial consideration for the contribution of the Distribution Systems and the Consumer CLEC Business. Windstream Holdings distributed approximately 80.4% of the Uniti shares it received to existing stockholders of Windstream Holdings and retained a passive ownership interest of approximately 19.6% of the common stock of Uniti. As a result of this ownership Windstream was deemed to be a related party.</w:t>
      </w:r>
    </w:p>
    <w:p>
      <w:pPr>
        <w:spacing w:after="0" w:line="123"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On June 15, 2016, Windstream Holdings disposed of 14.7 million shares of our common stock, representing approximately half of its retained ownership interest. On June 24, 2016, Windstream Holdings disposed of its remaining 14.7 million shares of our common stock as part of a public offering. The Company did not receive any proceeds resulting from the disposition of these shares. Accordingly, upon its disposition of these shares, Windstream was no longer deemed a related party under applicable accounting regulations. Our consolidated financial statements reflect the following transactions with Windstream during the periods in which Windstream was deemed a related party.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Revenues</w:t>
      </w:r>
      <w:r>
        <w:rPr>
          <w:rFonts w:ascii="Arial" w:cs="Arial" w:eastAsia="Arial" w:hAnsi="Arial"/>
          <w:sz w:val="12"/>
          <w:szCs w:val="12"/>
          <w:color w:val="auto"/>
        </w:rPr>
        <w:t xml:space="preserve"> – The Company records leasing revenue pursuant to the Master Lease. For the six months ended June 30, 2016, we recognized leasing revenues of $337.6 million related to the Master Lease.</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u w:val="single" w:color="auto"/>
          <w:color w:val="auto"/>
        </w:rPr>
        <w:t>General and Administrative Expenses</w:t>
      </w:r>
      <w:r>
        <w:rPr>
          <w:rFonts w:ascii="Arial" w:cs="Arial" w:eastAsia="Arial" w:hAnsi="Arial"/>
          <w:sz w:val="12"/>
          <w:szCs w:val="12"/>
          <w:color w:val="auto"/>
        </w:rPr>
        <w:t xml:space="preserve"> – We are party to a Transition Services Agreement (“TSA”) pursuant to which Windstream and its affiliates provide, on an interim basis, various services, including but not limited to information technology services, payment processing and collection services, financial and tax services, regulatory compliance and other support services. On April 1, 2016, the TSA ceased and we incurred $19,000 of related TSA expense for the three months ended March 31, 2016.</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u w:val="single" w:color="auto"/>
          <w:color w:val="auto"/>
        </w:rPr>
        <w:t>CLEC Operating Expenses</w:t>
      </w:r>
      <w:r>
        <w:rPr>
          <w:rFonts w:ascii="Arial" w:cs="Arial" w:eastAsia="Arial" w:hAnsi="Arial"/>
          <w:sz w:val="12"/>
          <w:szCs w:val="12"/>
          <w:color w:val="auto"/>
        </w:rPr>
        <w:t xml:space="preserve"> –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Uniti. During the six months ended June 30, 2016, we incurred expenses of $6.6 million and $0.9 million related to the Wholesale Agreement and Master Services Agreement, respectively.</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0"/>
          <w:szCs w:val="10"/>
          <w:u w:val="single" w:color="auto"/>
          <w:color w:val="auto"/>
        </w:rPr>
        <w:t>Employee Matters Agreement</w:t>
      </w:r>
      <w:r>
        <w:rPr>
          <w:rFonts w:ascii="Arial" w:cs="Arial" w:eastAsia="Arial" w:hAnsi="Arial"/>
          <w:sz w:val="10"/>
          <w:szCs w:val="10"/>
          <w:color w:val="auto"/>
        </w:rPr>
        <w:t xml:space="preserve"> – We are party to an Employee Matters Agreement (“Employee Matters Agreement”) with Windstream that governs the respective compensation and employee benefit obligations of the Company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Uniti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six months ended June 30, 2016, we withheld 91,412 common shares to satisfy these minimum statutory tax-withholding obligations and delivered $1.9 million to Windstream for remittance to the applicable taxing authorities.</w:t>
      </w:r>
    </w:p>
    <w:p>
      <w:pPr>
        <w:spacing w:after="0" w:line="10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u w:val="single" w:color="auto"/>
          <w:color w:val="auto"/>
        </w:rPr>
        <w:t>Tower Purchase</w:t>
      </w:r>
      <w:r>
        <w:rPr>
          <w:rFonts w:ascii="Arial" w:cs="Arial" w:eastAsia="Arial" w:hAnsi="Arial"/>
          <w:sz w:val="12"/>
          <w:szCs w:val="12"/>
          <w:color w:val="auto"/>
        </w:rPr>
        <w:t xml:space="preserve"> – In May, 2016, we completed the previously announced transaction with Windstream to acquire 32 wireless towers owned by Windstream and operating rights for 49 wireless towers previously conveyed to the Company in the Spin-Off for a purchase price of approximately $3 million.</w:t>
      </w:r>
    </w:p>
    <w:p>
      <w:pPr>
        <w:spacing w:after="0" w:line="115"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u w:val="single" w:color="auto"/>
          <w:color w:val="auto"/>
        </w:rPr>
        <w:t>Lease Amendment</w:t>
      </w:r>
      <w:r>
        <w:rPr>
          <w:rFonts w:ascii="Arial" w:cs="Arial" w:eastAsia="Arial" w:hAnsi="Arial"/>
          <w:sz w:val="11"/>
          <w:szCs w:val="11"/>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Uniti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Uniti related to the sale, exchange or other disposition of the fiber assets delivered to a third party or the granting of rights to the leased property that arise from fiber exchange agreements. As of June 30, 2016, no such transactions had been consummated. The Master Lease Amendment also permits us to install, own and operate certain wireless communication towers, antennas and related equipment on designated portions of the leased property.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Earnings Per Share</w:t>
      </w:r>
    </w:p>
    <w:p>
      <w:pPr>
        <w:spacing w:after="0" w:line="154"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2"/>
          <w:szCs w:val="12"/>
          <w:i w:val="1"/>
          <w:iCs w:val="1"/>
          <w:color w:val="auto"/>
        </w:rPr>
        <w:t>Earnings per Share</w:t>
      </w:r>
      <w:r>
        <w:rPr>
          <w:rFonts w:ascii="Arial" w:cs="Arial" w:eastAsia="Arial" w:hAnsi="Arial"/>
          <w:sz w:val="12"/>
          <w:szCs w:val="12"/>
          <w:color w:val="auto"/>
        </w:rPr>
        <w: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issue PSUs; however these units contain forfeitable rights to receive dividends and are therefore considered non-participating restrictive shares and are not dilutive under the two-class method until performance conditions are met. During the years ended December 31, 2017 and 2016, approximately76,000 and 220,000 PSUs, respectively, were excluded from the computation of diluted net loss per share because their effect is anti-dilutive as a result of our net loss for these periods.</w:t>
      </w:r>
    </w:p>
    <w:p>
      <w:pPr>
        <w:spacing w:after="0" w:line="123" w:lineRule="exact"/>
        <w:rPr>
          <w:sz w:val="20"/>
          <w:szCs w:val="20"/>
          <w:color w:val="auto"/>
        </w:rPr>
      </w:pPr>
    </w:p>
    <w:p>
      <w:pPr>
        <w:ind w:right="80"/>
        <w:spacing w:after="0" w:line="323" w:lineRule="auto"/>
        <w:rPr>
          <w:rFonts w:ascii="Arial" w:cs="Arial" w:eastAsia="Arial" w:hAnsi="Arial"/>
          <w:sz w:val="11"/>
          <w:szCs w:val="11"/>
          <w:color w:val="auto"/>
        </w:rPr>
      </w:pPr>
      <w:r>
        <w:rPr>
          <w:rFonts w:ascii="Arial" w:cs="Arial" w:eastAsia="Arial" w:hAnsi="Arial"/>
          <w:sz w:val="11"/>
          <w:szCs w:val="11"/>
          <w:color w:val="auto"/>
        </w:rPr>
        <w:t>The earnings per share impact of the Series A Shares (See Note 19</w:t>
      </w:r>
      <w:hyperlink w:anchor="page102">
        <w:r>
          <w:rPr>
            <w:rFonts w:ascii="Arial" w:cs="Arial" w:eastAsia="Arial" w:hAnsi="Arial"/>
            <w:sz w:val="11"/>
            <w:szCs w:val="11"/>
            <w:u w:val="single" w:color="auto"/>
            <w:color w:val="0000EE"/>
          </w:rPr>
          <w:t>) is cal</w:t>
        </w:r>
      </w:hyperlink>
      <w:r>
        <w:rPr>
          <w:rFonts w:ascii="Arial" w:cs="Arial" w:eastAsia="Arial" w:hAnsi="Arial"/>
          <w:sz w:val="11"/>
          <w:szCs w:val="11"/>
          <w:color w:val="auto"/>
        </w:rPr>
        <w:t>culated using the net share settlement method, whereby the redemption value of the instrument is assumed to be settled in cash and only the conversion premium, if any, is assumed to be settled in shares. The Series A Shares provide Uniti the option to cash or share settle the instrument, and as of December 31, 2018, it is our policy to settle the instrument in cash upon conversion.</w:t>
      </w:r>
    </w:p>
    <w:p>
      <w:pPr>
        <w:spacing w:after="0" w:line="92" w:lineRule="exact"/>
        <w:rPr>
          <w:sz w:val="20"/>
          <w:szCs w:val="20"/>
          <w:color w:val="auto"/>
        </w:rPr>
      </w:pPr>
    </w:p>
    <w:p>
      <w:pPr>
        <w:ind w:right="80"/>
        <w:spacing w:after="0" w:line="298" w:lineRule="auto"/>
        <w:rPr>
          <w:rFonts w:ascii="Arial" w:cs="Arial" w:eastAsia="Arial" w:hAnsi="Arial"/>
          <w:sz w:val="11"/>
          <w:szCs w:val="11"/>
          <w:color w:val="auto"/>
        </w:rPr>
      </w:pPr>
      <w:r>
        <w:rPr>
          <w:rFonts w:ascii="Arial" w:cs="Arial" w:eastAsia="Arial" w:hAnsi="Arial"/>
          <w:sz w:val="11"/>
          <w:szCs w:val="11"/>
          <w:color w:val="auto"/>
        </w:rPr>
        <w:t xml:space="preserve">As part of the acquisition of Tower Cloud on August 31, 2016, we may be obligated to pay contingent consideration upon achievement of certain defined operational and financial milestones. See </w:t>
      </w:r>
      <w:hyperlink w:anchor="page76">
        <w:r>
          <w:rPr>
            <w:rFonts w:ascii="Arial" w:cs="Arial" w:eastAsia="Arial" w:hAnsi="Arial"/>
            <w:sz w:val="11"/>
            <w:szCs w:val="11"/>
            <w:u w:val="single" w:color="auto"/>
            <w:color w:val="0000EE"/>
          </w:rPr>
          <w:t>Note 5</w:t>
        </w:r>
      </w:hyperlink>
      <w:r>
        <w:rPr>
          <w:rFonts w:ascii="Arial" w:cs="Arial" w:eastAsia="Arial" w:hAnsi="Arial"/>
          <w:sz w:val="11"/>
          <w:szCs w:val="11"/>
          <w:color w:val="auto"/>
        </w:rPr>
        <w:t>. At the Company’s discretion, a combination of cash and Uniti common shares may be used to satisfy the contingent consideration payments, provided that at least 50% of the aggregate amount of payments is satisfied in cash. The arrangement provides Uniti the option to cash settle, and it is our policy to settle 100% of the obligation in cash upon the achievement of the defined milestones. As such, there is no impact to our share count for the purposes of the earnings per share calculation.</w:t>
      </w:r>
    </w:p>
    <w:p>
      <w:pPr>
        <w:spacing w:after="0" w:line="105" w:lineRule="exact"/>
        <w:rPr>
          <w:sz w:val="20"/>
          <w:szCs w:val="20"/>
          <w:color w:val="auto"/>
        </w:rPr>
      </w:pPr>
    </w:p>
    <w:p>
      <w:pPr>
        <w:ind w:right="480"/>
        <w:spacing w:after="0" w:line="323" w:lineRule="auto"/>
        <w:rPr>
          <w:rFonts w:ascii="Arial" w:cs="Arial" w:eastAsia="Arial" w:hAnsi="Arial"/>
          <w:sz w:val="11"/>
          <w:szCs w:val="11"/>
          <w:color w:val="auto"/>
        </w:rPr>
      </w:pPr>
      <w:r>
        <w:rPr>
          <w:rFonts w:ascii="Arial" w:cs="Arial" w:eastAsia="Arial" w:hAnsi="Arial"/>
          <w:sz w:val="11"/>
          <w:szCs w:val="11"/>
          <w:color w:val="auto"/>
        </w:rPr>
        <w:t xml:space="preserve">The Hunt merger agreement provides for the issuance of additional common shares upon the achievement of certain defined revenue milestones. See </w:t>
      </w:r>
      <w:hyperlink w:anchor="page76">
        <w:r>
          <w:rPr>
            <w:rFonts w:ascii="Arial" w:cs="Arial" w:eastAsia="Arial" w:hAnsi="Arial"/>
            <w:sz w:val="11"/>
            <w:szCs w:val="11"/>
            <w:u w:val="single" w:color="auto"/>
            <w:color w:val="0000EE"/>
          </w:rPr>
          <w:t>Note 5. The</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earnings per share impact of the Hunt Contingent Consideration is calculated under the method described in ASC 260 for the treatment of contingently issuable shares in weighted-average shares outstanding. See the accompanying table for the impact.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sets forth the computation of basic and diluted earnings per share under the two-class method: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Year Ended December 31,</w:t>
            </w: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0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01"/>
              <w:spacing w:after="0"/>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9"/>
              </w:rPr>
              <w:t>2017</w:t>
            </w: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01"/>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20"/>
                <w:szCs w:val="20"/>
                <w:color w:val="auto"/>
              </w:rPr>
            </w:pPr>
            <w:r>
              <w:rPr>
                <w:rFonts w:ascii="Arial" w:cs="Arial" w:eastAsia="Arial" w:hAnsi="Arial"/>
                <w:sz w:val="12"/>
                <w:szCs w:val="12"/>
                <w:color w:val="auto"/>
              </w:rPr>
              <w:t>Basic earnings per share: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Numerator:</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80" w:type="dxa"/>
            <w:vAlign w:val="bottom"/>
          </w:tcPr>
          <w:p>
            <w:pPr>
              <w:ind w:left="160"/>
              <w:spacing w:after="0"/>
              <w:rPr>
                <w:sz w:val="20"/>
                <w:szCs w:val="20"/>
                <w:color w:val="auto"/>
              </w:rPr>
            </w:pPr>
            <w:r>
              <w:rPr>
                <w:rFonts w:ascii="Arial" w:cs="Arial" w:eastAsia="Arial" w:hAnsi="Arial"/>
                <w:sz w:val="12"/>
                <w:szCs w:val="12"/>
                <w:color w:val="auto"/>
              </w:rPr>
              <w:t>Net income (loss) attributable to shareholders</w:t>
            </w:r>
          </w:p>
        </w:tc>
        <w:tc>
          <w:tcPr>
            <w:tcW w:w="5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16,187</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2"/>
                <w:szCs w:val="12"/>
                <w:color w:val="auto"/>
              </w:rPr>
              <w:t>(9,439)</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(2,594)</w:t>
            </w:r>
          </w:p>
        </w:tc>
        <w:tc>
          <w:tcPr>
            <w:tcW w:w="24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(1,509)</w:t>
            </w:r>
          </w:p>
        </w:tc>
        <w:tc>
          <w:tcPr>
            <w:tcW w:w="4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(1,557)</w:t>
            </w:r>
          </w:p>
        </w:tc>
        <w:tc>
          <w:tcPr>
            <w:tcW w:w="0" w:type="dxa"/>
            <w:vAlign w:val="bottom"/>
          </w:tcPr>
          <w:p>
            <w:pPr>
              <w:spacing w:after="0"/>
              <w:rPr>
                <w:sz w:val="1"/>
                <w:szCs w:val="1"/>
                <w:color w:val="auto"/>
              </w:rPr>
            </w:pPr>
          </w:p>
        </w:tc>
      </w:tr>
      <w:tr>
        <w:trPr>
          <w:trHeight w:val="153"/>
        </w:trPr>
        <w:tc>
          <w:tcPr>
            <w:tcW w:w="5080" w:type="dxa"/>
            <w:vAlign w:val="bottom"/>
          </w:tcPr>
          <w:p>
            <w:pPr>
              <w:ind w:left="320"/>
              <w:spacing w:after="0"/>
              <w:rPr>
                <w:sz w:val="20"/>
                <w:szCs w:val="20"/>
                <w:color w:val="auto"/>
              </w:rPr>
            </w:pPr>
            <w:r>
              <w:rPr>
                <w:rFonts w:ascii="Arial" w:cs="Arial" w:eastAsia="Arial" w:hAnsi="Arial"/>
                <w:sz w:val="12"/>
                <w:szCs w:val="12"/>
                <w:color w:val="auto"/>
              </w:rPr>
              <w:t>Dividends declared on convertible preferred stock</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240" w:type="dxa"/>
            <w:vAlign w:val="bottom"/>
          </w:tcPr>
          <w:p>
            <w:pPr>
              <w:spacing w:after="0"/>
              <w:rPr>
                <w:sz w:val="13"/>
                <w:szCs w:val="1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460" w:type="dxa"/>
            <w:vAlign w:val="bottom"/>
          </w:tcPr>
          <w:p>
            <w:pPr>
              <w:spacing w:after="0"/>
              <w:rPr>
                <w:sz w:val="13"/>
                <w:szCs w:val="1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(1,743)</w:t>
            </w: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Amortization of discount on convertible preferred stock</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24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4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(1,985)</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60"/>
              <w:spacing w:after="0"/>
              <w:rPr>
                <w:sz w:val="20"/>
                <w:szCs w:val="20"/>
                <w:color w:val="auto"/>
              </w:rPr>
            </w:pPr>
            <w:r>
              <w:rPr>
                <w:rFonts w:ascii="Arial" w:cs="Arial" w:eastAsia="Arial" w:hAnsi="Arial"/>
                <w:sz w:val="12"/>
                <w:szCs w:val="12"/>
                <w:color w:val="auto"/>
              </w:rPr>
              <w:t>Net income (loss) attributable to common shares</w:t>
            </w: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7,989</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2"/>
                <w:szCs w:val="12"/>
                <w:color w:val="auto"/>
              </w:rPr>
              <w:t>(16,552)</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(5,497)</w:t>
            </w: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Denominator:</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176,169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168,693</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152,473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Basic earnings (loss) per common share</w:t>
            </w: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(0.10)</w:t>
            </w: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496"/>
        </w:trPr>
        <w:tc>
          <w:tcPr>
            <w:tcW w:w="50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7"/>
              </w:rPr>
              <w:t>Year Ended December 31,</w:t>
            </w:r>
          </w:p>
        </w:tc>
        <w:tc>
          <w:tcPr>
            <w:tcW w:w="2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0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01"/>
              <w:spacing w:after="0"/>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9"/>
              </w:rPr>
              <w:t>2017</w:t>
            </w: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01"/>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20"/>
                <w:szCs w:val="20"/>
                <w:color w:val="auto"/>
              </w:rPr>
            </w:pPr>
            <w:r>
              <w:rPr>
                <w:rFonts w:ascii="Arial" w:cs="Arial" w:eastAsia="Arial" w:hAnsi="Arial"/>
                <w:sz w:val="12"/>
                <w:szCs w:val="12"/>
                <w:color w:val="auto"/>
              </w:rPr>
              <w:t>Diluted earnings per share: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Numerator:</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80" w:type="dxa"/>
            <w:vAlign w:val="bottom"/>
          </w:tcPr>
          <w:p>
            <w:pPr>
              <w:ind w:left="160"/>
              <w:spacing w:after="0"/>
              <w:rPr>
                <w:sz w:val="20"/>
                <w:szCs w:val="20"/>
                <w:color w:val="auto"/>
              </w:rPr>
            </w:pPr>
            <w:r>
              <w:rPr>
                <w:rFonts w:ascii="Arial" w:cs="Arial" w:eastAsia="Arial" w:hAnsi="Arial"/>
                <w:sz w:val="12"/>
                <w:szCs w:val="12"/>
                <w:color w:val="auto"/>
              </w:rPr>
              <w:t>Net income (loss) attributable to shareholders</w:t>
            </w:r>
          </w:p>
        </w:tc>
        <w:tc>
          <w:tcPr>
            <w:tcW w:w="5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16,187</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2"/>
                <w:szCs w:val="12"/>
                <w:color w:val="auto"/>
              </w:rPr>
              <w:t>(9,439)</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(1,665)</w:t>
            </w:r>
          </w:p>
        </w:tc>
        <w:tc>
          <w:tcPr>
            <w:tcW w:w="24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(1,509)</w:t>
            </w:r>
          </w:p>
        </w:tc>
        <w:tc>
          <w:tcPr>
            <w:tcW w:w="4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(1,557)</w:t>
            </w:r>
          </w:p>
        </w:tc>
        <w:tc>
          <w:tcPr>
            <w:tcW w:w="0" w:type="dxa"/>
            <w:vAlign w:val="bottom"/>
          </w:tcPr>
          <w:p>
            <w:pPr>
              <w:spacing w:after="0"/>
              <w:rPr>
                <w:sz w:val="1"/>
                <w:szCs w:val="1"/>
                <w:color w:val="auto"/>
              </w:rPr>
            </w:pPr>
          </w:p>
        </w:tc>
      </w:tr>
      <w:tr>
        <w:trPr>
          <w:trHeight w:val="153"/>
        </w:trPr>
        <w:tc>
          <w:tcPr>
            <w:tcW w:w="5080" w:type="dxa"/>
            <w:vAlign w:val="bottom"/>
          </w:tcPr>
          <w:p>
            <w:pPr>
              <w:ind w:left="320"/>
              <w:spacing w:after="0"/>
              <w:rPr>
                <w:sz w:val="20"/>
                <w:szCs w:val="20"/>
                <w:color w:val="auto"/>
              </w:rPr>
            </w:pPr>
            <w:r>
              <w:rPr>
                <w:rFonts w:ascii="Arial" w:cs="Arial" w:eastAsia="Arial" w:hAnsi="Arial"/>
                <w:sz w:val="12"/>
                <w:szCs w:val="12"/>
                <w:color w:val="auto"/>
              </w:rPr>
              <w:t>Dividends declared on convertible preferred stock</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240" w:type="dxa"/>
            <w:vAlign w:val="bottom"/>
          </w:tcPr>
          <w:p>
            <w:pPr>
              <w:spacing w:after="0"/>
              <w:rPr>
                <w:sz w:val="13"/>
                <w:szCs w:val="1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460" w:type="dxa"/>
            <w:vAlign w:val="bottom"/>
          </w:tcPr>
          <w:p>
            <w:pPr>
              <w:spacing w:after="0"/>
              <w:rPr>
                <w:sz w:val="13"/>
                <w:szCs w:val="1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(1,743)</w:t>
            </w: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Amortization of discount on convertible preferred stock</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24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4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(1,985)</w:t>
            </w:r>
          </w:p>
        </w:tc>
        <w:tc>
          <w:tcPr>
            <w:tcW w:w="0" w:type="dxa"/>
            <w:vAlign w:val="bottom"/>
          </w:tcPr>
          <w:p>
            <w:pPr>
              <w:spacing w:after="0"/>
              <w:rPr>
                <w:sz w:val="1"/>
                <w:szCs w:val="1"/>
                <w:color w:val="auto"/>
              </w:rPr>
            </w:pPr>
          </w:p>
        </w:tc>
      </w:tr>
      <w:tr>
        <w:trPr>
          <w:trHeight w:val="153"/>
        </w:trPr>
        <w:tc>
          <w:tcPr>
            <w:tcW w:w="5080" w:type="dxa"/>
            <w:vAlign w:val="bottom"/>
          </w:tcPr>
          <w:p>
            <w:pPr>
              <w:ind w:left="320"/>
              <w:spacing w:after="0"/>
              <w:rPr>
                <w:sz w:val="20"/>
                <w:szCs w:val="20"/>
                <w:color w:val="auto"/>
              </w:rPr>
            </w:pPr>
            <w:r>
              <w:rPr>
                <w:rFonts w:ascii="Arial" w:cs="Arial" w:eastAsia="Arial" w:hAnsi="Arial"/>
                <w:sz w:val="12"/>
                <w:szCs w:val="12"/>
                <w:color w:val="auto"/>
              </w:rPr>
              <w:t>Mark-to-market gain on share settled contingent consideration arrangements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2"/>
                <w:szCs w:val="12"/>
                <w:color w:val="auto"/>
              </w:rPr>
              <w:t>(1,433)</w:t>
            </w:r>
          </w:p>
        </w:tc>
        <w:tc>
          <w:tcPr>
            <w:tcW w:w="240" w:type="dxa"/>
            <w:vAlign w:val="bottom"/>
          </w:tcPr>
          <w:p>
            <w:pPr>
              <w:spacing w:after="0"/>
              <w:rPr>
                <w:sz w:val="13"/>
                <w:szCs w:val="1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2"/>
                <w:szCs w:val="12"/>
                <w:color w:val="auto"/>
              </w:rPr>
              <w:t>(4,944)</w:t>
            </w:r>
          </w:p>
        </w:tc>
        <w:tc>
          <w:tcPr>
            <w:tcW w:w="4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Net income (loss) attributable to common shares</w:t>
            </w: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vMerge w:val="continue"/>
            <w:shd w:val="clear" w:color="auto" w:fill="CFF0FC"/>
          </w:tcPr>
          <w:p>
            <w:pPr>
              <w:spacing w:after="0"/>
              <w:rPr>
                <w:sz w:val="12"/>
                <w:szCs w:val="12"/>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7,485</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(21,496)</w:t>
            </w: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(5,497)</w:t>
            </w:r>
          </w:p>
        </w:tc>
        <w:tc>
          <w:tcPr>
            <w:tcW w:w="0" w:type="dxa"/>
            <w:vAlign w:val="bottom"/>
          </w:tcPr>
          <w:p>
            <w:pPr>
              <w:spacing w:after="0"/>
              <w:rPr>
                <w:sz w:val="1"/>
                <w:szCs w:val="1"/>
                <w:color w:val="auto"/>
              </w:rPr>
            </w:pPr>
          </w:p>
        </w:tc>
      </w:tr>
      <w:tr>
        <w:trPr>
          <w:trHeight w:val="153"/>
        </w:trPr>
        <w:tc>
          <w:tcPr>
            <w:tcW w:w="5080" w:type="dxa"/>
            <w:vAlign w:val="bottom"/>
          </w:tcPr>
          <w:p>
            <w:pPr>
              <w:spacing w:after="0"/>
              <w:rPr>
                <w:sz w:val="20"/>
                <w:szCs w:val="20"/>
                <w:color w:val="auto"/>
              </w:rPr>
            </w:pPr>
            <w:r>
              <w:rPr>
                <w:rFonts w:ascii="Arial" w:cs="Arial" w:eastAsia="Arial" w:hAnsi="Arial"/>
                <w:sz w:val="12"/>
                <w:szCs w:val="12"/>
                <w:color w:val="auto"/>
              </w:rPr>
              <w:t>Denominator:</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176,169</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168,693</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152,473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80" w:type="dxa"/>
            <w:vAlign w:val="bottom"/>
          </w:tcPr>
          <w:p>
            <w:pPr>
              <w:ind w:left="320"/>
              <w:spacing w:after="0"/>
              <w:rPr>
                <w:sz w:val="20"/>
                <w:szCs w:val="20"/>
                <w:color w:val="auto"/>
              </w:rPr>
            </w:pPr>
            <w:r>
              <w:rPr>
                <w:rFonts w:ascii="Arial" w:cs="Arial" w:eastAsia="Arial" w:hAnsi="Arial"/>
                <w:sz w:val="12"/>
                <w:szCs w:val="12"/>
                <w:color w:val="auto"/>
              </w:rPr>
              <w:t>Contingent consideration (See Note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645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296</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Effect of dilutive non-participating securities</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Weighted-average shares for dilutive earnings per common share</w:t>
            </w:r>
          </w:p>
        </w:tc>
        <w:tc>
          <w:tcPr>
            <w:tcW w:w="14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177,071</w:t>
            </w:r>
          </w:p>
        </w:tc>
        <w:tc>
          <w:tcPr>
            <w:tcW w:w="2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168,989</w:t>
            </w:r>
          </w:p>
        </w:tc>
        <w:tc>
          <w:tcPr>
            <w:tcW w:w="240" w:type="dxa"/>
            <w:vAlign w:val="bottom"/>
            <w:tcBorders>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152,473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Dilutive earnings (loss) per common share</w:t>
            </w: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(0.13)</w:t>
            </w: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27"/>
        </w:trPr>
        <w:tc>
          <w:tcPr>
            <w:tcW w:w="50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Segment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management, including our chief executive officer, who is our chief operating decision maker, manages our operations as four operating business segments in addition to our corporate operations and include: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color w:val="auto"/>
        </w:rPr>
        <w:t>: Represents a component of our REIT operations and includes the results from our leasing business, Uniti Leasing, which is engaged in the acquisition of mission-critical communications assets and leasing them back to anchor</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on either an exclusive or shared-tenant basis.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color w:val="auto"/>
        </w:rPr>
        <w:t>: Represents the operations of our fiber business, Uniti Fiber, which is a leading provider of infrastructure solutions, including cell site backhaul and dark fiber, to the telecommunications industry.</w:t>
      </w:r>
    </w:p>
    <w:p>
      <w:pPr>
        <w:spacing w:after="0" w:line="150"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color w:val="auto"/>
        </w:rPr>
        <w:t>: Represents the operations of our towers business, Uniti Towers, through which we acquire and construct tower and tower-related real estate in the United States and Latin America. Uniti Towers is a component of our REIT</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color w:val="auto"/>
        </w:rPr>
        <w:t>: Represents the operations of Talk America Services (“Talk America”) through which we operate the Consumer CLEC Business, that prior to the Spin-Off was reported as an integrated operation within Windstream. Talk</w:t>
      </w:r>
      <w:r>
        <w:rPr>
          <w:rFonts w:ascii="Arial" w:cs="Arial" w:eastAsia="Arial" w:hAnsi="Arial"/>
          <w:sz w:val="12"/>
          <w:szCs w:val="12"/>
          <w:i w:val="1"/>
          <w:iCs w:val="1"/>
          <w:color w:val="auto"/>
        </w:rPr>
        <w:t xml:space="preserve"> </w:t>
      </w:r>
      <w:r>
        <w:rPr>
          <w:rFonts w:ascii="Arial" w:cs="Arial" w:eastAsia="Arial" w:hAnsi="Arial"/>
          <w:sz w:val="12"/>
          <w:szCs w:val="12"/>
          <w:color w:val="auto"/>
        </w:rPr>
        <w:t>America provides local telephone, high-speed internet and long distance services to customers in the eastern and central United States.</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i w:val="1"/>
          <w:iCs w:val="1"/>
          <w:u w:val="single" w:color="auto"/>
          <w:color w:val="auto"/>
        </w:rPr>
        <w:t>Corporate</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Represents our corporate office and shared service functions. Certain costs and expenses, primarily related to headcount, insurance, professional fees and similar charges, that are directly attributable to operations of our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segments are allocated to the respective segments.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Selected financial data related to our segments is presented below for the years ended December 31, 2018, 2017 and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0"/>
                <w:szCs w:val="10"/>
                <w:b w:val="1"/>
                <w:bCs w:val="1"/>
                <w:color w:val="auto"/>
              </w:rPr>
              <w:t>Year Ended December 31, 2018</w:t>
            </w: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jc w:val="right"/>
              <w:ind w:right="22"/>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3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4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4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03"/>
              <w:spacing w:after="0" w:line="114" w:lineRule="exact"/>
              <w:rPr>
                <w:sz w:val="20"/>
                <w:szCs w:val="20"/>
                <w:color w:val="auto"/>
              </w:rPr>
            </w:pPr>
            <w:r>
              <w:rPr>
                <w:rFonts w:ascii="Arial" w:cs="Arial" w:eastAsia="Arial" w:hAnsi="Arial"/>
                <w:sz w:val="10"/>
                <w:szCs w:val="10"/>
                <w:b w:val="1"/>
                <w:bCs w:val="1"/>
                <w:color w:val="auto"/>
              </w:rPr>
              <w:t>Towers</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Segments</w:t>
            </w:r>
          </w:p>
        </w:tc>
        <w:tc>
          <w:tcPr>
            <w:tcW w:w="14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699,847</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14,617</w:t>
            </w:r>
          </w:p>
        </w:tc>
        <w:tc>
          <w:tcPr>
            <w:tcW w:w="16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1,017,634</w:t>
            </w:r>
          </w:p>
        </w:tc>
        <w:tc>
          <w:tcPr>
            <w:tcW w:w="1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697,545</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123,389</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(21,759)</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802,883</w:t>
            </w: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20"/>
                <w:szCs w:val="20"/>
                <w:color w:val="auto"/>
              </w:rPr>
            </w:pPr>
            <w:r>
              <w:rPr>
                <w:rFonts w:ascii="Arial" w:cs="Arial" w:eastAsia="Arial" w:hAnsi="Arial"/>
                <w:sz w:val="12"/>
                <w:szCs w:val="12"/>
                <w:color w:val="auto"/>
              </w:rPr>
              <w:t>Adjusted EBITDA margin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99.7%</w:t>
            </w:r>
          </w:p>
        </w:tc>
        <w:tc>
          <w:tcPr>
            <w:tcW w:w="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42.7%</w:t>
            </w:r>
          </w:p>
        </w:tc>
        <w:tc>
          <w:tcPr>
            <w:tcW w:w="2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24.1%</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78.9%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319,591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337,126</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105,651</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6,704</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w:t>
            </w: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Arial" w:cs="Arial" w:eastAsia="Arial" w:hAnsi="Arial"/>
                <w:sz w:val="12"/>
                <w:szCs w:val="12"/>
                <w:color w:val="auto"/>
              </w:rPr>
              <w:t>Other income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(4,504)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17,410</w:t>
            </w: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8,064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(5,421)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income</w:t>
            </w: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1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152,140</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199,689</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74,932</w:t>
            </w: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426,875</w:t>
            </w: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ind w:right="680"/>
              <w:spacing w:after="0"/>
              <w:rPr>
                <w:sz w:val="20"/>
                <w:szCs w:val="20"/>
                <w:color w:val="auto"/>
              </w:rPr>
            </w:pPr>
            <w:r>
              <w:rPr>
                <w:rFonts w:ascii="Arial" w:cs="Arial" w:eastAsia="Arial" w:hAnsi="Arial"/>
                <w:sz w:val="12"/>
                <w:szCs w:val="12"/>
                <w:color w:val="auto"/>
                <w:w w:val="89"/>
              </w:rPr>
              <w:t>95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95" w:name="page96"/>
    <w:bookmarkEnd w:id="9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0"/>
                <w:szCs w:val="10"/>
                <w:b w:val="1"/>
                <w:bCs w:val="1"/>
                <w:color w:val="auto"/>
              </w:rPr>
              <w:t>Year Ended December 31, 2017</w:t>
            </w: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jc w:val="center"/>
              <w:ind w:right="4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6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4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jc w:val="right"/>
              <w:ind w:right="20"/>
              <w:spacing w:after="0" w:line="114" w:lineRule="exact"/>
              <w:rPr>
                <w:sz w:val="20"/>
                <w:szCs w:val="20"/>
                <w:color w:val="auto"/>
              </w:rPr>
            </w:pPr>
            <w:r>
              <w:rPr>
                <w:rFonts w:ascii="Arial" w:cs="Arial" w:eastAsia="Arial" w:hAnsi="Arial"/>
                <w:sz w:val="10"/>
                <w:szCs w:val="10"/>
                <w:b w:val="1"/>
                <w:bCs w:val="1"/>
                <w:color w:val="auto"/>
                <w:w w:val="91"/>
              </w:rPr>
              <w:t>Fiber Infrastructure</w:t>
            </w:r>
          </w:p>
        </w:tc>
        <w:tc>
          <w:tcPr>
            <w:tcW w:w="180" w:type="dxa"/>
            <w:vAlign w:val="bottom"/>
            <w:tcBorders>
              <w:bottom w:val="single" w:sz="8" w:color="CFF0FC"/>
            </w:tcBorders>
            <w:gridSpan w:val="2"/>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83"/>
              <w:spacing w:after="0" w:line="114" w:lineRule="exact"/>
              <w:rPr>
                <w:sz w:val="20"/>
                <w:szCs w:val="20"/>
                <w:color w:val="auto"/>
              </w:rPr>
            </w:pPr>
            <w:r>
              <w:rPr>
                <w:rFonts w:ascii="Arial" w:cs="Arial" w:eastAsia="Arial" w:hAnsi="Arial"/>
                <w:sz w:val="10"/>
                <w:szCs w:val="10"/>
                <w:b w:val="1"/>
                <w:bCs w:val="1"/>
                <w:color w:val="auto"/>
              </w:rPr>
              <w:t>Towers</w:t>
            </w:r>
          </w:p>
        </w:tc>
        <w:tc>
          <w:tcPr>
            <w:tcW w:w="240" w:type="dxa"/>
            <w:vAlign w:val="bottom"/>
            <w:tcBorders>
              <w:bottom w:val="single" w:sz="8" w:color="CFF0FC"/>
            </w:tcBorders>
            <w:gridSpan w:val="2"/>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w w:val="95"/>
              </w:rPr>
              <w:t>Consumer CLEC</w:t>
            </w:r>
          </w:p>
        </w:tc>
        <w:tc>
          <w:tcPr>
            <w:tcW w:w="240" w:type="dxa"/>
            <w:vAlign w:val="bottom"/>
            <w:tcBorders>
              <w:bottom w:val="single" w:sz="8" w:color="CFF0FC"/>
            </w:tcBorders>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Corporate</w:t>
            </w:r>
          </w:p>
        </w:tc>
        <w:tc>
          <w:tcPr>
            <w:tcW w:w="14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center"/>
              <w:ind w:right="42"/>
              <w:spacing w:after="0" w:line="114" w:lineRule="exact"/>
              <w:rPr>
                <w:sz w:val="20"/>
                <w:szCs w:val="20"/>
                <w:color w:val="auto"/>
              </w:rPr>
            </w:pPr>
            <w:r>
              <w:rPr>
                <w:rFonts w:ascii="Arial" w:cs="Arial" w:eastAsia="Arial" w:hAnsi="Arial"/>
                <w:sz w:val="10"/>
                <w:szCs w:val="10"/>
                <w:b w:val="1"/>
                <w:bCs w:val="1"/>
                <w:color w:val="auto"/>
                <w:w w:val="83"/>
              </w:rPr>
              <w:t>Segments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685,099</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18,087</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683,651</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83,987</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(831)</w:t>
            </w:r>
          </w:p>
        </w:tc>
        <w:tc>
          <w:tcPr>
            <w:tcW w:w="16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4,556</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(21,839)</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Adjusted EBITDA margin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2"/>
                <w:szCs w:val="12"/>
                <w:color w:val="auto"/>
              </w:rPr>
              <w:t>99.8%</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2"/>
                <w:szCs w:val="12"/>
                <w:color w:val="auto"/>
              </w:rPr>
              <w:t>41.4%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2"/>
                <w:szCs w:val="12"/>
                <w:color w:val="auto"/>
              </w:rPr>
              <w:t>(8.3%)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25.2%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305,994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347,999</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78,307</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149"/>
              <w:spacing w:after="0"/>
              <w:rPr>
                <w:sz w:val="20"/>
                <w:szCs w:val="20"/>
                <w:color w:val="auto"/>
              </w:rPr>
            </w:pPr>
            <w:r>
              <w:rPr>
                <w:rFonts w:ascii="Arial" w:cs="Arial" w:eastAsia="Arial" w:hAnsi="Arial"/>
                <w:sz w:val="12"/>
                <w:szCs w:val="12"/>
                <w:color w:val="auto"/>
                <w:w w:val="99"/>
              </w:rPr>
              <w:t>2,607</w:t>
            </w: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11,284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7,713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153"/>
        </w:trPr>
        <w:tc>
          <w:tcPr>
            <w:tcW w:w="4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900" w:type="dxa"/>
            <w:vAlign w:val="bottom"/>
            <w:tcBorders>
              <w:top w:val="single" w:sz="8" w:color="auto"/>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2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152,918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104,540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63</w:t>
            </w: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257,521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9"/>
              <w:spacing w:after="0"/>
              <w:rPr>
                <w:sz w:val="20"/>
                <w:szCs w:val="20"/>
                <w:color w:val="auto"/>
              </w:rPr>
            </w:pPr>
            <w:r>
              <w:rPr>
                <w:rFonts w:ascii="Arial" w:cs="Arial" w:eastAsia="Arial" w:hAnsi="Arial"/>
                <w:sz w:val="10"/>
                <w:szCs w:val="10"/>
                <w:b w:val="1"/>
                <w:bCs w:val="1"/>
                <w:color w:val="auto"/>
              </w:rPr>
              <w:t>Year Ended December 31, 2016</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jc w:val="center"/>
              <w:ind w:right="4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Leasing</w:t>
            </w:r>
          </w:p>
        </w:tc>
        <w:tc>
          <w:tcPr>
            <w:tcW w:w="2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w w:val="95"/>
              </w:rPr>
              <w:t>Fiber Infrastructure</w:t>
            </w:r>
          </w:p>
        </w:tc>
        <w:tc>
          <w:tcPr>
            <w:tcW w:w="16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rPr>
              <w:t>Towers</w:t>
            </w:r>
          </w:p>
        </w:tc>
        <w:tc>
          <w:tcPr>
            <w:tcW w:w="16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gridSpan w:val="3"/>
          </w:tcPr>
          <w:p>
            <w:pPr>
              <w:jc w:val="right"/>
              <w:ind w:right="140"/>
              <w:spacing w:after="0" w:line="114" w:lineRule="exact"/>
              <w:rPr>
                <w:sz w:val="20"/>
                <w:szCs w:val="20"/>
                <w:color w:val="auto"/>
              </w:rPr>
            </w:pPr>
            <w:r>
              <w:rPr>
                <w:rFonts w:ascii="Arial" w:cs="Arial" w:eastAsia="Arial" w:hAnsi="Arial"/>
                <w:sz w:val="10"/>
                <w:szCs w:val="10"/>
                <w:b w:val="1"/>
                <w:bCs w:val="1"/>
                <w:color w:val="auto"/>
              </w:rPr>
              <w:t>Consumer CLEC</w:t>
            </w:r>
          </w:p>
        </w:tc>
        <w:tc>
          <w:tcPr>
            <w:tcW w:w="18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14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center"/>
              <w:ind w:right="42"/>
              <w:spacing w:after="0" w:line="114" w:lineRule="exact"/>
              <w:rPr>
                <w:sz w:val="20"/>
                <w:szCs w:val="20"/>
                <w:color w:val="auto"/>
              </w:rPr>
            </w:pPr>
            <w:r>
              <w:rPr>
                <w:rFonts w:ascii="Arial" w:cs="Arial" w:eastAsia="Arial" w:hAnsi="Arial"/>
                <w:sz w:val="10"/>
                <w:szCs w:val="10"/>
                <w:b w:val="1"/>
                <w:bCs w:val="1"/>
                <w:color w:val="auto"/>
                <w:w w:val="83"/>
              </w:rPr>
              <w:t>Segments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340" w:type="dxa"/>
            <w:vAlign w:val="bottom"/>
            <w:gridSpan w:val="4"/>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676,868</w:t>
            </w:r>
          </w:p>
        </w:tc>
        <w:tc>
          <w:tcPr>
            <w:tcW w:w="2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70,568</w:t>
            </w:r>
          </w:p>
        </w:tc>
        <w:tc>
          <w:tcPr>
            <w:tcW w:w="160" w:type="dxa"/>
            <w:vAlign w:val="bottom"/>
            <w:shd w:val="clear" w:color="auto" w:fill="CFF0FC"/>
          </w:tcPr>
          <w:p>
            <w:pPr>
              <w:spacing w:after="0"/>
              <w:rPr>
                <w:sz w:val="12"/>
                <w:szCs w:val="12"/>
                <w:color w:val="auto"/>
              </w:rPr>
            </w:pPr>
          </w:p>
        </w:tc>
        <w:tc>
          <w:tcPr>
            <w:tcW w:w="26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500</w:t>
            </w: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22,472</w:t>
            </w:r>
          </w:p>
        </w:tc>
        <w:tc>
          <w:tcPr>
            <w:tcW w:w="18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770,408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340" w:type="dxa"/>
            <w:vAlign w:val="bottom"/>
            <w:gridSpan w:val="4"/>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675,114</w:t>
            </w: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25,912</w:t>
            </w:r>
          </w:p>
        </w:tc>
        <w:tc>
          <w:tcPr>
            <w:tcW w:w="1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(1,123)</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5,074</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(14,793)</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690,184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Adjusted EBITDA margin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2"/>
                <w:szCs w:val="12"/>
                <w:color w:val="auto"/>
              </w:rPr>
              <w:t>99.7%</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36.7%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2"/>
                <w:szCs w:val="12"/>
                <w:color w:val="auto"/>
              </w:rPr>
              <w:t>(224.6%)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22.6%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89.6%</w:t>
            </w: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275,394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343,368</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28,629</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337</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3,258</w:t>
            </w: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33,669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20"/>
                <w:szCs w:val="20"/>
                <w:color w:val="auto"/>
              </w:rPr>
            </w:pPr>
            <w:r>
              <w:rPr>
                <w:rFonts w:ascii="Arial" w:cs="Arial" w:eastAsia="Arial" w:hAnsi="Arial"/>
                <w:sz w:val="12"/>
                <w:szCs w:val="12"/>
                <w:color w:val="auto"/>
              </w:rPr>
              <w:t>Net loss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4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900" w:type="dxa"/>
            <w:vAlign w:val="bottom"/>
            <w:tcBorders>
              <w:top w:val="single" w:sz="8" w:color="auto"/>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340" w:type="dxa"/>
            <w:vAlign w:val="bottom"/>
            <w:gridSpan w:val="4"/>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20" w:type="dxa"/>
            <w:vAlign w:val="bottom"/>
            <w:gridSpan w:val="2"/>
          </w:tcPr>
          <w:p>
            <w:pPr>
              <w:jc w:val="right"/>
              <w:ind w:right="192"/>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31,006</w:t>
            </w:r>
          </w:p>
        </w:tc>
        <w:tc>
          <w:tcPr>
            <w:tcW w:w="16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15,262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175</w:t>
            </w: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46,443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left="5688" w:right="960" w:hanging="5688"/>
        <w:spacing w:after="0" w:line="527" w:lineRule="auto"/>
        <w:tabs>
          <w:tab w:leader="none" w:pos="447" w:val="left"/>
        </w:tabs>
        <w:numPr>
          <w:ilvl w:val="0"/>
          <w:numId w:val="15"/>
        </w:numPr>
        <w:rPr>
          <w:rFonts w:ascii="Arial" w:cs="Arial" w:eastAsia="Arial" w:hAnsi="Arial"/>
          <w:sz w:val="10"/>
          <w:szCs w:val="10"/>
          <w:color w:val="auto"/>
        </w:rPr>
      </w:pPr>
      <w:r>
        <w:rPr>
          <w:rFonts w:ascii="Arial" w:cs="Arial" w:eastAsia="Arial" w:hAnsi="Arial"/>
          <w:sz w:val="12"/>
          <w:szCs w:val="12"/>
          <w:color w:val="auto"/>
        </w:rPr>
        <w:t>Segment capital expenditures represents capital expenditures, the NMS asset acquisition and ground lease investments as reported in the investing activities section of the Consolidated Statement of Cash Flows.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32917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0" w:right="19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Total assets by business segment as of December 31, 2018 and December 31, 2017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0"/>
                <w:szCs w:val="10"/>
                <w:b w:val="1"/>
                <w:bCs w:val="1"/>
                <w:color w:val="auto"/>
              </w:rPr>
              <w:t>December 31,</w:t>
            </w:r>
          </w:p>
        </w:tc>
        <w:tc>
          <w:tcPr>
            <w:tcW w:w="1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7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2018</w:t>
            </w:r>
          </w:p>
        </w:tc>
        <w:tc>
          <w:tcPr>
            <w:tcW w:w="2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151"/>
        </w:trPr>
        <w:tc>
          <w:tcPr>
            <w:tcW w:w="7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Leasing</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2,119,045</w:t>
            </w:r>
          </w:p>
        </w:tc>
        <w:tc>
          <w:tcPr>
            <w:tcW w:w="2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2,121,857</w:t>
            </w:r>
          </w:p>
        </w:tc>
        <w:tc>
          <w:tcPr>
            <w:tcW w:w="120" w:type="dxa"/>
            <w:vAlign w:val="bottom"/>
            <w:shd w:val="clear" w:color="auto" w:fill="CFF0FC"/>
          </w:tcPr>
          <w:p>
            <w:pPr>
              <w:spacing w:after="0"/>
              <w:rPr>
                <w:sz w:val="13"/>
                <w:szCs w:val="13"/>
                <w:color w:val="auto"/>
              </w:rPr>
            </w:pPr>
          </w:p>
        </w:tc>
      </w:tr>
      <w:tr>
        <w:trPr>
          <w:trHeight w:val="153"/>
        </w:trPr>
        <w:tc>
          <w:tcPr>
            <w:tcW w:w="7600" w:type="dxa"/>
            <w:vAlign w:val="bottom"/>
            <w:gridSpan w:val="2"/>
          </w:tcPr>
          <w:p>
            <w:pPr>
              <w:spacing w:after="0"/>
              <w:rPr>
                <w:sz w:val="20"/>
                <w:szCs w:val="20"/>
                <w:color w:val="auto"/>
              </w:rPr>
            </w:pPr>
            <w:r>
              <w:rPr>
                <w:rFonts w:ascii="Arial" w:cs="Arial" w:eastAsia="Arial" w:hAnsi="Arial"/>
                <w:sz w:val="12"/>
                <w:szCs w:val="12"/>
                <w:color w:val="auto"/>
              </w:rPr>
              <w:t>Fiber Infrastructure</w:t>
            </w:r>
          </w:p>
        </w:tc>
        <w:tc>
          <w:tcPr>
            <w:tcW w:w="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2,194,311</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2,009,175</w:t>
            </w:r>
          </w:p>
        </w:tc>
        <w:tc>
          <w:tcPr>
            <w:tcW w:w="120" w:type="dxa"/>
            <w:vAlign w:val="bottom"/>
          </w:tcPr>
          <w:p>
            <w:pPr>
              <w:spacing w:after="0"/>
              <w:rPr>
                <w:sz w:val="13"/>
                <w:szCs w:val="13"/>
                <w:color w:val="auto"/>
              </w:rPr>
            </w:pPr>
          </w:p>
        </w:tc>
      </w:tr>
      <w:tr>
        <w:trPr>
          <w:trHeight w:val="153"/>
        </w:trPr>
        <w:tc>
          <w:tcPr>
            <w:tcW w:w="7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Towers</w:t>
            </w:r>
          </w:p>
        </w:tc>
        <w:tc>
          <w:tcPr>
            <w:tcW w:w="4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231,749</w:t>
            </w:r>
          </w:p>
        </w:tc>
        <w:tc>
          <w:tcPr>
            <w:tcW w:w="2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157,180</w:t>
            </w:r>
          </w:p>
        </w:tc>
        <w:tc>
          <w:tcPr>
            <w:tcW w:w="120" w:type="dxa"/>
            <w:vAlign w:val="bottom"/>
            <w:shd w:val="clear" w:color="auto" w:fill="CFF0FC"/>
          </w:tcPr>
          <w:p>
            <w:pPr>
              <w:spacing w:after="0"/>
              <w:rPr>
                <w:sz w:val="13"/>
                <w:szCs w:val="13"/>
                <w:color w:val="auto"/>
              </w:rPr>
            </w:pPr>
          </w:p>
        </w:tc>
      </w:tr>
      <w:tr>
        <w:trPr>
          <w:trHeight w:val="153"/>
        </w:trPr>
        <w:tc>
          <w:tcPr>
            <w:tcW w:w="7600" w:type="dxa"/>
            <w:vAlign w:val="bottom"/>
            <w:gridSpan w:val="2"/>
          </w:tcPr>
          <w:p>
            <w:pPr>
              <w:spacing w:after="0"/>
              <w:rPr>
                <w:sz w:val="20"/>
                <w:szCs w:val="20"/>
                <w:color w:val="auto"/>
              </w:rPr>
            </w:pPr>
            <w:r>
              <w:rPr>
                <w:rFonts w:ascii="Arial" w:cs="Arial" w:eastAsia="Arial" w:hAnsi="Arial"/>
                <w:sz w:val="12"/>
                <w:szCs w:val="12"/>
                <w:color w:val="auto"/>
              </w:rPr>
              <w:t>Consumer CLEC</w:t>
            </w:r>
          </w:p>
        </w:tc>
        <w:tc>
          <w:tcPr>
            <w:tcW w:w="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10,374</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10,919</w:t>
            </w:r>
          </w:p>
        </w:tc>
        <w:tc>
          <w:tcPr>
            <w:tcW w:w="120" w:type="dxa"/>
            <w:vAlign w:val="bottom"/>
          </w:tcPr>
          <w:p>
            <w:pPr>
              <w:spacing w:after="0"/>
              <w:rPr>
                <w:sz w:val="13"/>
                <w:szCs w:val="13"/>
                <w:color w:val="auto"/>
              </w:rPr>
            </w:pPr>
          </w:p>
        </w:tc>
      </w:tr>
      <w:tr>
        <w:trPr>
          <w:trHeight w:val="153"/>
        </w:trPr>
        <w:tc>
          <w:tcPr>
            <w:tcW w:w="7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Corporate</w:t>
            </w:r>
          </w:p>
        </w:tc>
        <w:tc>
          <w:tcPr>
            <w:tcW w:w="4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37,458</w:t>
            </w:r>
          </w:p>
        </w:tc>
        <w:tc>
          <w:tcPr>
            <w:tcW w:w="28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30,951</w:t>
            </w:r>
          </w:p>
        </w:tc>
        <w:tc>
          <w:tcPr>
            <w:tcW w:w="120" w:type="dxa"/>
            <w:vAlign w:val="bottom"/>
            <w:shd w:val="clear" w:color="auto" w:fill="CFF0FC"/>
          </w:tcPr>
          <w:p>
            <w:pPr>
              <w:spacing w:after="0"/>
              <w:rPr>
                <w:sz w:val="13"/>
                <w:szCs w:val="13"/>
                <w:color w:val="auto"/>
              </w:rPr>
            </w:pPr>
          </w:p>
        </w:tc>
      </w:tr>
      <w:tr>
        <w:trPr>
          <w:trHeight w:val="149"/>
        </w:trPr>
        <w:tc>
          <w:tcPr>
            <w:tcW w:w="7600" w:type="dxa"/>
            <w:vAlign w:val="bottom"/>
            <w:gridSpan w:val="2"/>
          </w:tcPr>
          <w:p>
            <w:pPr>
              <w:spacing w:after="0"/>
              <w:rPr>
                <w:sz w:val="20"/>
                <w:szCs w:val="20"/>
                <w:color w:val="auto"/>
              </w:rPr>
            </w:pPr>
            <w:r>
              <w:rPr>
                <w:rFonts w:ascii="Arial" w:cs="Arial" w:eastAsia="Arial" w:hAnsi="Arial"/>
                <w:sz w:val="12"/>
                <w:szCs w:val="12"/>
                <w:color w:val="auto"/>
              </w:rPr>
              <w:t>Total of reportable segments</w:t>
            </w: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4,592,937</w:t>
            </w:r>
          </w:p>
        </w:tc>
        <w:tc>
          <w:tcPr>
            <w:tcW w:w="280" w:type="dxa"/>
            <w:vAlign w:val="bottom"/>
          </w:tcPr>
          <w:p>
            <w:pPr>
              <w:spacing w:after="0"/>
              <w:rPr>
                <w:sz w:val="12"/>
                <w:szCs w:val="12"/>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4,330,082</w:t>
            </w:r>
          </w:p>
        </w:tc>
        <w:tc>
          <w:tcPr>
            <w:tcW w:w="120" w:type="dxa"/>
            <w:vAlign w:val="bottom"/>
          </w:tcPr>
          <w:p>
            <w:pPr>
              <w:spacing w:after="0"/>
              <w:rPr>
                <w:sz w:val="12"/>
                <w:szCs w:val="12"/>
                <w:color w:val="auto"/>
              </w:rPr>
            </w:pPr>
          </w:p>
        </w:tc>
      </w:tr>
    </w:tbl>
    <w:p>
      <w:pPr>
        <w:spacing w:after="0" w:line="126"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Our principal geographical regions consist of the United States and Latin America, which includes Mexico, Colombia and Nicaragua. Summarized geographical information related to the Company’s revenues for the years ended December 31, 2018, 2017 and 2016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5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151"/>
        </w:trPr>
        <w:tc>
          <w:tcPr>
            <w:tcW w:w="6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United States revenues</w:t>
            </w: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1,008,224</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908,576</w:t>
            </w:r>
          </w:p>
        </w:tc>
        <w:tc>
          <w:tcPr>
            <w:tcW w:w="660" w:type="dxa"/>
            <w:vAlign w:val="bottom"/>
            <w:gridSpan w:val="3"/>
            <w:shd w:val="clear" w:color="auto" w:fill="CFF0FC"/>
          </w:tcPr>
          <w:p>
            <w:pPr>
              <w:jc w:val="right"/>
              <w:ind w:right="27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770,351</w:t>
            </w:r>
          </w:p>
        </w:tc>
        <w:tc>
          <w:tcPr>
            <w:tcW w:w="120" w:type="dxa"/>
            <w:vAlign w:val="bottom"/>
            <w:shd w:val="clear" w:color="auto" w:fill="CFF0FC"/>
          </w:tcPr>
          <w:p>
            <w:pPr>
              <w:spacing w:after="0"/>
              <w:rPr>
                <w:sz w:val="13"/>
                <w:szCs w:val="13"/>
                <w:color w:val="auto"/>
              </w:rPr>
            </w:pPr>
          </w:p>
        </w:tc>
      </w:tr>
      <w:tr>
        <w:trPr>
          <w:trHeight w:val="153"/>
        </w:trPr>
        <w:tc>
          <w:tcPr>
            <w:tcW w:w="60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Latin America revenues</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9,410</w:t>
            </w: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7,456</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FF0FC"/>
            </w:tcBorders>
          </w:tcPr>
          <w:p>
            <w:pPr>
              <w:spacing w:after="0"/>
              <w:rPr>
                <w:sz w:val="13"/>
                <w:szCs w:val="13"/>
                <w:color w:val="auto"/>
              </w:rPr>
            </w:pPr>
          </w:p>
        </w:tc>
      </w:tr>
      <w:tr>
        <w:trPr>
          <w:trHeight w:val="149"/>
        </w:trPr>
        <w:tc>
          <w:tcPr>
            <w:tcW w:w="6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5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1,017,634</w:t>
            </w:r>
          </w:p>
        </w:tc>
        <w:tc>
          <w:tcPr>
            <w:tcW w:w="2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916,032</w:t>
            </w:r>
          </w:p>
        </w:tc>
        <w:tc>
          <w:tcPr>
            <w:tcW w:w="280" w:type="dxa"/>
            <w:vAlign w:val="bottom"/>
            <w:tcBorders>
              <w:bottom w:val="single" w:sz="8" w:color="CFF0FC"/>
            </w:tcBorders>
            <w:gridSpan w:val="2"/>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770,408</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423"/>
        </w:trPr>
        <w:tc>
          <w:tcPr>
            <w:tcW w:w="6520" w:type="dxa"/>
            <w:vAlign w:val="bottom"/>
            <w:gridSpan w:val="3"/>
          </w:tcPr>
          <w:p>
            <w:pPr>
              <w:spacing w:after="0"/>
              <w:rPr>
                <w:sz w:val="20"/>
                <w:szCs w:val="20"/>
                <w:color w:val="auto"/>
              </w:rPr>
            </w:pPr>
            <w:r>
              <w:rPr>
                <w:rFonts w:ascii="Arial" w:cs="Arial" w:eastAsia="Arial" w:hAnsi="Arial"/>
                <w:sz w:val="12"/>
                <w:szCs w:val="12"/>
                <w:color w:val="auto"/>
                <w:w w:val="93"/>
              </w:rPr>
              <w:t>Summarized geographical information related to the Company’s long-lived assets as of December 31, 2018 and 2017 is as follows: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0"/>
                <w:szCs w:val="10"/>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151"/>
        </w:trPr>
        <w:tc>
          <w:tcPr>
            <w:tcW w:w="6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United States long-lived assets</w:t>
            </w: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67"/>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3,543,874</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3,382,894</w:t>
            </w:r>
          </w:p>
        </w:tc>
        <w:tc>
          <w:tcPr>
            <w:tcW w:w="120" w:type="dxa"/>
            <w:vAlign w:val="bottom"/>
            <w:shd w:val="clear" w:color="auto" w:fill="CFF0FC"/>
          </w:tcPr>
          <w:p>
            <w:pPr>
              <w:spacing w:after="0"/>
              <w:rPr>
                <w:sz w:val="13"/>
                <w:szCs w:val="13"/>
                <w:color w:val="auto"/>
              </w:rPr>
            </w:pPr>
          </w:p>
        </w:tc>
      </w:tr>
      <w:tr>
        <w:trPr>
          <w:trHeight w:val="153"/>
        </w:trPr>
        <w:tc>
          <w:tcPr>
            <w:tcW w:w="60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Latin America long-lived assets</w:t>
            </w:r>
          </w:p>
        </w:tc>
        <w:tc>
          <w:tcPr>
            <w:tcW w:w="52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96,894</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98,352</w:t>
            </w:r>
          </w:p>
        </w:tc>
        <w:tc>
          <w:tcPr>
            <w:tcW w:w="120" w:type="dxa"/>
            <w:vAlign w:val="bottom"/>
            <w:tcBorders>
              <w:bottom w:val="single" w:sz="8" w:color="CFF0FC"/>
            </w:tcBorders>
          </w:tcPr>
          <w:p>
            <w:pPr>
              <w:spacing w:after="0"/>
              <w:rPr>
                <w:sz w:val="13"/>
                <w:szCs w:val="13"/>
                <w:color w:val="auto"/>
              </w:rPr>
            </w:pPr>
          </w:p>
        </w:tc>
      </w:tr>
      <w:tr>
        <w:trPr>
          <w:trHeight w:val="149"/>
        </w:trPr>
        <w:tc>
          <w:tcPr>
            <w:tcW w:w="6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long-lived assets</w:t>
            </w:r>
          </w:p>
        </w:tc>
        <w:tc>
          <w:tcPr>
            <w:tcW w:w="5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3,640,768</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3,481,246</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Commitments and Contingencies</w:t>
      </w:r>
    </w:p>
    <w:p>
      <w:pPr>
        <w:spacing w:after="0" w:line="154"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5"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We have fiber lease agreements and office space lease agreements under non-cancelable operating leases. Rental expense under operating leases for the years ended December 31, 2018, 2017 and 2016 approximated $28.7 million, $25.2 million and $10.9 million, respectively. Future minimum payments, by year and in the aggregate, under non-cancellable operating leases with initial or remaining lease terms of one year or more,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660" w:type="dxa"/>
            <w:vAlign w:val="bottom"/>
            <w:tcBorders>
              <w:bottom w:val="single" w:sz="8" w:color="auto"/>
            </w:tcBorders>
          </w:tcPr>
          <w:p>
            <w:pPr>
              <w:spacing w:after="0"/>
              <w:rPr>
                <w:sz w:val="10"/>
                <w:szCs w:val="10"/>
                <w:color w:val="auto"/>
              </w:rPr>
            </w:pPr>
          </w:p>
        </w:tc>
        <w:tc>
          <w:tcPr>
            <w:tcW w:w="620" w:type="dxa"/>
            <w:vAlign w:val="bottom"/>
            <w:tcBorders>
              <w:bottom w:val="single" w:sz="8" w:color="CFF0FC"/>
            </w:tcBorders>
          </w:tcPr>
          <w:p>
            <w:pPr>
              <w:spacing w:after="0"/>
              <w:rPr>
                <w:sz w:val="10"/>
                <w:szCs w:val="10"/>
                <w:color w:val="auto"/>
              </w:rPr>
            </w:pPr>
          </w:p>
        </w:tc>
        <w:tc>
          <w:tcPr>
            <w:tcW w:w="2360" w:type="dxa"/>
            <w:vAlign w:val="bottom"/>
            <w:tcBorders>
              <w:bottom w:val="single" w:sz="8" w:color="CFF0FC"/>
            </w:tcBorders>
          </w:tcPr>
          <w:p>
            <w:pPr>
              <w:spacing w:after="0"/>
              <w:rPr>
                <w:sz w:val="10"/>
                <w:szCs w:val="10"/>
                <w:color w:val="auto"/>
              </w:rPr>
            </w:pPr>
          </w:p>
        </w:tc>
        <w:tc>
          <w:tcPr>
            <w:tcW w:w="26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5640" w:type="dxa"/>
            <w:vAlign w:val="bottom"/>
            <w:gridSpan w:val="3"/>
            <w:shd w:val="clear" w:color="auto" w:fill="CFF0FC"/>
          </w:tcPr>
          <w:p>
            <w:pPr>
              <w:jc w:val="right"/>
              <w:ind w:right="2300"/>
              <w:spacing w:after="0"/>
              <w:rPr>
                <w:sz w:val="20"/>
                <w:szCs w:val="20"/>
                <w:color w:val="auto"/>
              </w:rPr>
            </w:pPr>
            <w:r>
              <w:rPr>
                <w:rFonts w:ascii="Arial" w:cs="Arial" w:eastAsia="Arial" w:hAnsi="Arial"/>
                <w:sz w:val="12"/>
                <w:szCs w:val="12"/>
                <w:color w:val="auto"/>
              </w:rPr>
              <w:t>$</w:t>
            </w:r>
          </w:p>
        </w:tc>
        <w:tc>
          <w:tcPr>
            <w:tcW w:w="2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10,585</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080" w:type="dxa"/>
            <w:vAlign w:val="bottom"/>
          </w:tcPr>
          <w:p>
            <w:pPr>
              <w:spacing w:after="0"/>
              <w:rPr>
                <w:sz w:val="20"/>
                <w:szCs w:val="20"/>
                <w:color w:val="auto"/>
              </w:rPr>
            </w:pPr>
            <w:r>
              <w:rPr>
                <w:rFonts w:ascii="Arial" w:cs="Arial" w:eastAsia="Arial" w:hAnsi="Arial"/>
                <w:sz w:val="12"/>
                <w:szCs w:val="12"/>
                <w:color w:val="auto"/>
              </w:rPr>
              <w:t>2020</w:t>
            </w:r>
          </w:p>
        </w:tc>
        <w:tc>
          <w:tcPr>
            <w:tcW w:w="2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40" w:type="dxa"/>
            <w:vAlign w:val="bottom"/>
          </w:tcPr>
          <w:p>
            <w:pPr>
              <w:jc w:val="right"/>
              <w:spacing w:after="0"/>
              <w:rPr>
                <w:sz w:val="20"/>
                <w:szCs w:val="20"/>
                <w:color w:val="auto"/>
              </w:rPr>
            </w:pPr>
            <w:r>
              <w:rPr>
                <w:rFonts w:ascii="Arial" w:cs="Arial" w:eastAsia="Arial" w:hAnsi="Arial"/>
                <w:sz w:val="12"/>
                <w:szCs w:val="12"/>
                <w:color w:val="auto"/>
              </w:rPr>
              <w:t>7,543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26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2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Pr>
          <w:p>
            <w:pPr>
              <w:spacing w:after="0"/>
              <w:rPr>
                <w:sz w:val="20"/>
                <w:szCs w:val="20"/>
                <w:color w:val="auto"/>
              </w:rPr>
            </w:pPr>
            <w:r>
              <w:rPr>
                <w:rFonts w:ascii="Arial" w:cs="Arial" w:eastAsia="Arial" w:hAnsi="Arial"/>
                <w:sz w:val="12"/>
                <w:szCs w:val="12"/>
                <w:color w:val="auto"/>
              </w:rPr>
              <w:t>2022</w:t>
            </w:r>
          </w:p>
        </w:tc>
        <w:tc>
          <w:tcPr>
            <w:tcW w:w="2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40" w:type="dxa"/>
            <w:vAlign w:val="bottom"/>
          </w:tcPr>
          <w:p>
            <w:pPr>
              <w:jc w:val="right"/>
              <w:spacing w:after="0"/>
              <w:rPr>
                <w:sz w:val="20"/>
                <w:szCs w:val="20"/>
                <w:color w:val="auto"/>
              </w:rPr>
            </w:pPr>
            <w:r>
              <w:rPr>
                <w:rFonts w:ascii="Arial" w:cs="Arial" w:eastAsia="Arial" w:hAnsi="Arial"/>
                <w:sz w:val="12"/>
                <w:szCs w:val="12"/>
                <w:color w:val="auto"/>
              </w:rPr>
              <w:t>3,186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6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2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266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15,269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5640" w:type="dxa"/>
            <w:vAlign w:val="bottom"/>
            <w:gridSpan w:val="3"/>
            <w:shd w:val="clear" w:color="auto" w:fill="CFF0FC"/>
          </w:tcPr>
          <w:p>
            <w:pPr>
              <w:jc w:val="right"/>
              <w:ind w:right="2300"/>
              <w:spacing w:after="0"/>
              <w:rPr>
                <w:sz w:val="20"/>
                <w:szCs w:val="20"/>
                <w:color w:val="auto"/>
              </w:rPr>
            </w:pPr>
            <w:r>
              <w:rPr>
                <w:rFonts w:ascii="Arial" w:cs="Arial" w:eastAsia="Arial" w:hAnsi="Arial"/>
                <w:sz w:val="12"/>
                <w:szCs w:val="12"/>
                <w:color w:val="auto"/>
              </w:rPr>
              <w:t>$</w:t>
            </w:r>
          </w:p>
        </w:tc>
        <w:tc>
          <w:tcPr>
            <w:tcW w:w="2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43,780</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3080" w:type="dxa"/>
            <w:vAlign w:val="bottom"/>
            <w:tcBorders>
              <w:top w:val="single" w:sz="8" w:color="CFF0FC"/>
            </w:tcBorders>
          </w:tcPr>
          <w:p>
            <w:pPr>
              <w:spacing w:after="0"/>
              <w:rPr>
                <w:sz w:val="23"/>
                <w:szCs w:val="23"/>
                <w:color w:val="auto"/>
              </w:rPr>
            </w:pPr>
          </w:p>
        </w:tc>
        <w:tc>
          <w:tcPr>
            <w:tcW w:w="3280" w:type="dxa"/>
            <w:vAlign w:val="bottom"/>
            <w:tcBorders>
              <w:top w:val="single" w:sz="8" w:color="CFF0FC"/>
            </w:tcBorders>
            <w:gridSpan w:val="2"/>
          </w:tcPr>
          <w:p>
            <w:pPr>
              <w:jc w:val="right"/>
              <w:ind w:right="560"/>
              <w:spacing w:after="0"/>
              <w:rPr>
                <w:sz w:val="20"/>
                <w:szCs w:val="20"/>
                <w:color w:val="auto"/>
              </w:rPr>
            </w:pPr>
            <w:r>
              <w:rPr>
                <w:rFonts w:ascii="Arial" w:cs="Arial" w:eastAsia="Arial" w:hAnsi="Arial"/>
                <w:sz w:val="12"/>
                <w:szCs w:val="12"/>
                <w:color w:val="auto"/>
              </w:rPr>
              <w:t>97</w:t>
            </w:r>
          </w:p>
        </w:tc>
        <w:tc>
          <w:tcPr>
            <w:tcW w:w="2360" w:type="dxa"/>
            <w:vAlign w:val="bottom"/>
            <w:tcBorders>
              <w:top w:val="single" w:sz="8" w:color="auto"/>
            </w:tcBorders>
          </w:tcPr>
          <w:p>
            <w:pPr>
              <w:spacing w:after="0"/>
              <w:rPr>
                <w:sz w:val="23"/>
                <w:szCs w:val="23"/>
                <w:color w:val="auto"/>
              </w:rPr>
            </w:pPr>
          </w:p>
        </w:tc>
        <w:tc>
          <w:tcPr>
            <w:tcW w:w="26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 w:type="dxa"/>
            <w:vAlign w:val="bottom"/>
          </w:tcPr>
          <w:p>
            <w:pPr>
              <w:spacing w:after="0"/>
              <w:rPr>
                <w:sz w:val="23"/>
                <w:szCs w:val="23"/>
                <w:color w:val="auto"/>
              </w:rPr>
            </w:pPr>
          </w:p>
        </w:tc>
      </w:tr>
      <w:tr>
        <w:trPr>
          <w:trHeight w:val="72"/>
        </w:trPr>
        <w:tc>
          <w:tcPr>
            <w:tcW w:w="308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36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 If Windstream assumes the Separation and Distribution Agreement and or the Master Lease in bankruptcy, it would be obligated to honor all indemnification claims arising under such agreement. If the Separation and Distribution Agreement and or the Master Lease are rejected in Windstream’s bankruptcy, any claims on the applicable indemnity would be treated as unsecured claims, and, if that were to occur, there can be no assurance we would receive any related indemnification payments from Windstream in connection with the applicable indemnity claims.</w:t>
      </w:r>
    </w:p>
    <w:p>
      <w:pPr>
        <w:spacing w:after="0" w:line="114" w:lineRule="exact"/>
        <w:rPr>
          <w:sz w:val="20"/>
          <w:szCs w:val="20"/>
          <w:color w:val="auto"/>
        </w:rPr>
      </w:pPr>
    </w:p>
    <w:p>
      <w:pPr>
        <w:ind w:right="160"/>
        <w:spacing w:after="0" w:line="257" w:lineRule="auto"/>
        <w:rPr>
          <w:sz w:val="20"/>
          <w:szCs w:val="20"/>
          <w:color w:val="auto"/>
        </w:rPr>
      </w:pPr>
      <w:r>
        <w:rPr>
          <w:rFonts w:ascii="Arial" w:cs="Arial" w:eastAsia="Arial" w:hAnsi="Arial"/>
          <w:sz w:val="12"/>
          <w:szCs w:val="12"/>
          <w:color w:val="auto"/>
        </w:rPr>
        <w:t>Under the terms of the Tax Matters Agreement entered into with Windstream,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have recorded no such liabilities in our consolidated balance sheet.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Accumulated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Changes in accumulated other comprehensive income (loss) by component is as follows for the years ended December 31, 2018, 2017 and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2017</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260" w:type="dxa"/>
            <w:vAlign w:val="bottom"/>
            <w:shd w:val="clear" w:color="auto" w:fill="CFF0FC"/>
          </w:tcPr>
          <w:p>
            <w:pPr>
              <w:spacing w:after="0"/>
              <w:rPr>
                <w:sz w:val="20"/>
                <w:szCs w:val="20"/>
                <w:color w:val="auto"/>
              </w:rPr>
            </w:pPr>
            <w:r>
              <w:rPr>
                <w:rFonts w:ascii="Arial" w:cs="Arial" w:eastAsia="Arial" w:hAnsi="Arial"/>
                <w:sz w:val="12"/>
                <w:szCs w:val="12"/>
                <w:color w:val="auto"/>
              </w:rPr>
              <w:t>Cash flow hedge changes in fair value gain (loss):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160"/>
              <w:spacing w:after="0"/>
              <w:rPr>
                <w:sz w:val="20"/>
                <w:szCs w:val="20"/>
                <w:color w:val="auto"/>
              </w:rPr>
            </w:pPr>
            <w:r>
              <w:rPr>
                <w:rFonts w:ascii="Arial" w:cs="Arial" w:eastAsia="Arial" w:hAnsi="Arial"/>
                <w:sz w:val="12"/>
                <w:szCs w:val="12"/>
                <w:color w:val="auto"/>
              </w:rPr>
              <w:t>Balance at beginning of period</w:t>
            </w: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6,351</w:t>
            </w:r>
          </w:p>
        </w:tc>
        <w:tc>
          <w:tcPr>
            <w:tcW w:w="240" w:type="dxa"/>
            <w:vAlign w:val="bottom"/>
          </w:tcPr>
          <w:p>
            <w:pPr>
              <w:spacing w:after="0"/>
              <w:rPr>
                <w:sz w:val="14"/>
                <w:szCs w:val="14"/>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(6,102)</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(5,427)</w:t>
            </w:r>
          </w:p>
        </w:tc>
        <w:tc>
          <w:tcPr>
            <w:tcW w:w="0" w:type="dxa"/>
            <w:vAlign w:val="bottom"/>
          </w:tcPr>
          <w:p>
            <w:pPr>
              <w:spacing w:after="0"/>
              <w:rPr>
                <w:sz w:val="1"/>
                <w:szCs w:val="1"/>
                <w:color w:val="auto"/>
              </w:rPr>
            </w:pPr>
          </w:p>
        </w:tc>
      </w:tr>
      <w:tr>
        <w:trPr>
          <w:trHeight w:val="162"/>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comprehensive income (loss) before reclassifications</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21,626</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(7,735)</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(24,465)</w:t>
            </w:r>
          </w:p>
        </w:tc>
        <w:tc>
          <w:tcPr>
            <w:tcW w:w="0" w:type="dxa"/>
            <w:vAlign w:val="bottom"/>
          </w:tcPr>
          <w:p>
            <w:pPr>
              <w:spacing w:after="0"/>
              <w:rPr>
                <w:sz w:val="1"/>
                <w:szCs w:val="1"/>
                <w:color w:val="auto"/>
              </w:rPr>
            </w:pPr>
          </w:p>
        </w:tc>
      </w:tr>
      <w:tr>
        <w:trPr>
          <w:trHeight w:val="162"/>
        </w:trPr>
        <w:tc>
          <w:tcPr>
            <w:tcW w:w="62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Amounts reclassified from accumulated other comprehensive income</w:t>
            </w:r>
          </w:p>
        </w:tc>
        <w:tc>
          <w:tcPr>
            <w:tcW w:w="1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2,624</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20,630</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23,790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other comprehensive income (loss)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30,601</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(6,102)</w:t>
            </w:r>
          </w:p>
        </w:tc>
        <w:tc>
          <w:tcPr>
            <w:tcW w:w="0" w:type="dxa"/>
            <w:vAlign w:val="bottom"/>
          </w:tcPr>
          <w:p>
            <w:pPr>
              <w:spacing w:after="0"/>
              <w:rPr>
                <w:sz w:val="1"/>
                <w:szCs w:val="1"/>
                <w:color w:val="auto"/>
              </w:rPr>
            </w:pPr>
          </w:p>
        </w:tc>
      </w:tr>
      <w:tr>
        <w:trPr>
          <w:trHeight w:val="162"/>
        </w:trPr>
        <w:tc>
          <w:tcPr>
            <w:tcW w:w="62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Less: Other comprehensive income attributable to noncontrolling interest</w:t>
            </w:r>
          </w:p>
        </w:tc>
        <w:tc>
          <w:tcPr>
            <w:tcW w:w="1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559</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30,042</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(6,102)</w:t>
            </w:r>
          </w:p>
        </w:tc>
        <w:tc>
          <w:tcPr>
            <w:tcW w:w="0" w:type="dxa"/>
            <w:vAlign w:val="bottom"/>
          </w:tcPr>
          <w:p>
            <w:pPr>
              <w:spacing w:after="0"/>
              <w:rPr>
                <w:sz w:val="1"/>
                <w:szCs w:val="1"/>
                <w:color w:val="auto"/>
              </w:rPr>
            </w:pPr>
          </w:p>
        </w:tc>
      </w:tr>
      <w:tr>
        <w:trPr>
          <w:trHeight w:val="151"/>
        </w:trPr>
        <w:tc>
          <w:tcPr>
            <w:tcW w:w="6260" w:type="dxa"/>
            <w:vAlign w:val="bottom"/>
          </w:tcPr>
          <w:p>
            <w:pPr>
              <w:spacing w:after="0"/>
              <w:rPr>
                <w:sz w:val="20"/>
                <w:szCs w:val="20"/>
                <w:color w:val="auto"/>
              </w:rPr>
            </w:pPr>
            <w:r>
              <w:rPr>
                <w:rFonts w:ascii="Arial" w:cs="Arial" w:eastAsia="Arial" w:hAnsi="Arial"/>
                <w:sz w:val="12"/>
                <w:szCs w:val="12"/>
                <w:color w:val="auto"/>
              </w:rPr>
              <w:t>Foreign currency translation gain (loss):</w:t>
            </w: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Balance at beginning of period</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1,470</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(267)</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6260" w:type="dxa"/>
            <w:vAlign w:val="bottom"/>
          </w:tcPr>
          <w:p>
            <w:pPr>
              <w:ind w:left="160"/>
              <w:spacing w:after="0"/>
              <w:rPr>
                <w:sz w:val="20"/>
                <w:szCs w:val="20"/>
                <w:color w:val="auto"/>
              </w:rPr>
            </w:pPr>
            <w:r>
              <w:rPr>
                <w:rFonts w:ascii="Arial" w:cs="Arial" w:eastAsia="Arial" w:hAnsi="Arial"/>
                <w:sz w:val="12"/>
                <w:szCs w:val="12"/>
                <w:color w:val="auto"/>
              </w:rPr>
              <w:t>Translation adjustments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(1,440)</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1,660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20"/>
        </w:trPr>
        <w:tc>
          <w:tcPr>
            <w:tcW w:w="6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other comprehensive income (loss)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1,393</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162"/>
        </w:trPr>
        <w:tc>
          <w:tcPr>
            <w:tcW w:w="6260" w:type="dxa"/>
            <w:vAlign w:val="bottom"/>
          </w:tcPr>
          <w:p>
            <w:pPr>
              <w:ind w:left="160"/>
              <w:spacing w:after="0"/>
              <w:rPr>
                <w:sz w:val="20"/>
                <w:szCs w:val="20"/>
                <w:color w:val="auto"/>
              </w:rPr>
            </w:pPr>
            <w:r>
              <w:rPr>
                <w:rFonts w:ascii="Arial" w:cs="Arial" w:eastAsia="Arial" w:hAnsi="Arial"/>
                <w:sz w:val="12"/>
                <w:szCs w:val="12"/>
                <w:color w:val="auto"/>
              </w:rPr>
              <w:t>Less: Other comprehensive loss attributable to noncontrolling interest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(33)</w:t>
            </w:r>
          </w:p>
        </w:tc>
        <w:tc>
          <w:tcPr>
            <w:tcW w:w="34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(77)</w:t>
            </w: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1,470</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2"/>
                <w:szCs w:val="12"/>
                <w:color w:val="auto"/>
              </w:rPr>
              <w:t>Accumulated other comprehensive income (loss) at end of period</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30,105</w:t>
            </w:r>
          </w:p>
        </w:tc>
        <w:tc>
          <w:tcPr>
            <w:tcW w:w="24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7,821</w:t>
            </w:r>
          </w:p>
        </w:tc>
        <w:tc>
          <w:tcPr>
            <w:tcW w:w="26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(6,369)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Income Taxes</w:t>
      </w:r>
    </w:p>
    <w:p>
      <w:pPr>
        <w:spacing w:after="0" w:line="15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We elected on our initial U.S. federal income tax return to be treated as a REIT under the Internal Revenue Code of 1986, as amended (the “Code”). To qualify as a REIT, we must distribute at least 90% of our annual REIT taxable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57" w:lineRule="auto"/>
        <w:rPr>
          <w:sz w:val="20"/>
          <w:szCs w:val="20"/>
          <w:color w:val="auto"/>
        </w:rPr>
      </w:pPr>
      <w:r>
        <w:rPr>
          <w:rFonts w:ascii="Arial" w:cs="Arial" w:eastAsia="Arial" w:hAnsi="Arial"/>
          <w:sz w:val="12"/>
          <w:szCs w:val="12"/>
          <w:color w:val="auto"/>
        </w:rPr>
        <w:t>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2018,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Subject to the temporary restriction imposed by the waiver and amendment to our Credit Agreement (see Note 10), our ability to make cash distributions to our shareholders in amounts exceeding 90% of our REIT taxable income, determined without regard to the dividends paid deduction and excluding any capital gains, generally will be restricted.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Income tax (benefit) expense for the years ended December 31, 2018, 2017 and 2016 as reported in the accompanying Consolidated Statements of Income was comprised of the following:</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9"/>
              </w:rPr>
              <w:t>Year Ended December 31,</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82"/>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Current</w:t>
            </w: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40" w:type="dxa"/>
            <w:vAlign w:val="bottom"/>
            <w:gridSpan w:val="2"/>
          </w:tcPr>
          <w:p>
            <w:pPr>
              <w:ind w:left="160"/>
              <w:spacing w:after="0"/>
              <w:rPr>
                <w:sz w:val="20"/>
                <w:szCs w:val="20"/>
                <w:color w:val="auto"/>
              </w:rPr>
            </w:pPr>
            <w:r>
              <w:rPr>
                <w:rFonts w:ascii="Arial" w:cs="Arial" w:eastAsia="Arial" w:hAnsi="Arial"/>
                <w:sz w:val="12"/>
                <w:szCs w:val="12"/>
                <w:color w:val="auto"/>
              </w:rPr>
              <w:t>Federal</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674</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1,456</w:t>
            </w:r>
          </w:p>
        </w:tc>
        <w:tc>
          <w:tcPr>
            <w:tcW w:w="140" w:type="dxa"/>
            <w:vAlign w:val="bottom"/>
          </w:tcPr>
          <w:p>
            <w:pPr>
              <w:spacing w:after="0"/>
              <w:rPr>
                <w:sz w:val="13"/>
                <w:szCs w:val="13"/>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1,596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20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1,290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gridSpan w:val="2"/>
          </w:tcPr>
          <w:p>
            <w:pPr>
              <w:ind w:left="240"/>
              <w:spacing w:after="0"/>
              <w:rPr>
                <w:sz w:val="20"/>
                <w:szCs w:val="20"/>
                <w:color w:val="auto"/>
              </w:rPr>
            </w:pPr>
            <w:r>
              <w:rPr>
                <w:rFonts w:ascii="Arial" w:cs="Arial" w:eastAsia="Arial" w:hAnsi="Arial"/>
                <w:sz w:val="12"/>
                <w:szCs w:val="12"/>
                <w:color w:val="auto"/>
              </w:rPr>
              <w:t>Total current expense</w:t>
            </w:r>
          </w:p>
        </w:tc>
        <w:tc>
          <w:tcPr>
            <w:tcW w:w="2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1,964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2,322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2,703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tcPr>
          <w:p>
            <w:pPr>
              <w:spacing w:after="0"/>
              <w:rPr>
                <w:sz w:val="20"/>
                <w:szCs w:val="20"/>
                <w:color w:val="auto"/>
              </w:rPr>
            </w:pPr>
            <w:r>
              <w:rPr>
                <w:rFonts w:ascii="Arial" w:cs="Arial" w:eastAsia="Arial" w:hAnsi="Arial"/>
                <w:sz w:val="12"/>
                <w:szCs w:val="12"/>
                <w:color w:val="auto"/>
              </w:rPr>
              <w:t>Deferred</w:t>
            </w: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Federal</w:t>
            </w:r>
          </w:p>
        </w:tc>
        <w:tc>
          <w:tcPr>
            <w:tcW w:w="2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(5,451)</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(36,956)</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13"/>
                <w:szCs w:val="13"/>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(1,770)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(3,837)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(698)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Foreign</w:t>
            </w:r>
          </w:p>
        </w:tc>
        <w:tc>
          <w:tcPr>
            <w:tcW w:w="2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(378)</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deferred expense</w:t>
            </w: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(7,385)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(41,171)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(2,186)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income tax (benefit) expense</w:t>
            </w: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4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(5,421)</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(38,849)</w:t>
            </w: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50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jc w:val="right"/>
              <w:ind w:right="1321"/>
              <w:spacing w:after="0"/>
              <w:rPr>
                <w:sz w:val="20"/>
                <w:szCs w:val="20"/>
                <w:color w:val="auto"/>
              </w:rPr>
            </w:pPr>
            <w:r>
              <w:rPr>
                <w:rFonts w:ascii="Arial" w:cs="Arial" w:eastAsia="Arial" w:hAnsi="Arial"/>
                <w:sz w:val="12"/>
                <w:szCs w:val="12"/>
                <w:color w:val="auto"/>
              </w:rPr>
              <w:t>99</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0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0" w:right="17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An income tax expense reconciliation between the U.S. statutory tax rate and the effective tax rate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0"/>
                <w:szCs w:val="10"/>
                <w:b w:val="1"/>
                <w:bCs w:val="1"/>
                <w:color w:val="auto"/>
                <w:w w:val="99"/>
              </w:rPr>
              <w:t>Year Ended December 31,</w:t>
            </w:r>
          </w:p>
        </w:tc>
        <w:tc>
          <w:tcPr>
            <w:tcW w:w="4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802"/>
              <w:spacing w:after="0"/>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from continuing operations, before tax</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(47,667)</w:t>
            </w: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gridSpan w:val="2"/>
          </w:tcPr>
          <w:p>
            <w:pPr>
              <w:spacing w:after="0"/>
              <w:rPr>
                <w:sz w:val="20"/>
                <w:szCs w:val="20"/>
                <w:color w:val="auto"/>
              </w:rPr>
            </w:pPr>
            <w:r>
              <w:rPr>
                <w:rFonts w:ascii="Arial" w:cs="Arial" w:eastAsia="Arial" w:hAnsi="Arial"/>
                <w:sz w:val="12"/>
                <w:szCs w:val="12"/>
                <w:color w:val="auto"/>
              </w:rPr>
              <w:t>Income tax at U.S. statutory federal rate</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2,336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2"/>
                <w:szCs w:val="12"/>
                <w:color w:val="auto"/>
              </w:rPr>
              <w:t>(16,687)</w:t>
            </w: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Increases (decreases) resulting from:</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gridSpan w:val="2"/>
          </w:tcPr>
          <w:p>
            <w:pPr>
              <w:ind w:left="160"/>
              <w:spacing w:after="0"/>
              <w:rPr>
                <w:sz w:val="20"/>
                <w:szCs w:val="20"/>
                <w:color w:val="auto"/>
              </w:rPr>
            </w:pPr>
            <w:r>
              <w:rPr>
                <w:rFonts w:ascii="Arial" w:cs="Arial" w:eastAsia="Arial" w:hAnsi="Arial"/>
                <w:sz w:val="12"/>
                <w:szCs w:val="12"/>
                <w:color w:val="auto"/>
              </w:rPr>
              <w:t>State taxes, net of federal benefit</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(655)</w:t>
            </w:r>
          </w:p>
        </w:tc>
        <w:tc>
          <w:tcPr>
            <w:tcW w:w="220" w:type="dxa"/>
            <w:vAlign w:val="bottom"/>
          </w:tcPr>
          <w:p>
            <w:pPr>
              <w:spacing w:after="0"/>
              <w:rPr>
                <w:sz w:val="13"/>
                <w:szCs w:val="13"/>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2"/>
                <w:szCs w:val="12"/>
                <w:color w:val="auto"/>
              </w:rPr>
              <w:t>(429)</w:t>
            </w:r>
          </w:p>
        </w:tc>
        <w:tc>
          <w:tcPr>
            <w:tcW w:w="46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Benefit of REIT status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(5,687)</w:t>
            </w: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8,836</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(4,016)</w:t>
            </w:r>
          </w:p>
        </w:tc>
        <w:tc>
          <w:tcPr>
            <w:tcW w:w="0" w:type="dxa"/>
            <w:vAlign w:val="bottom"/>
          </w:tcPr>
          <w:p>
            <w:pPr>
              <w:spacing w:after="0"/>
              <w:rPr>
                <w:sz w:val="1"/>
                <w:szCs w:val="1"/>
                <w:color w:val="auto"/>
              </w:rPr>
            </w:pPr>
          </w:p>
        </w:tc>
      </w:tr>
      <w:tr>
        <w:trPr>
          <w:trHeight w:val="153"/>
        </w:trPr>
        <w:tc>
          <w:tcPr>
            <w:tcW w:w="5280" w:type="dxa"/>
            <w:vAlign w:val="bottom"/>
            <w:gridSpan w:val="2"/>
          </w:tcPr>
          <w:p>
            <w:pPr>
              <w:ind w:left="160"/>
              <w:spacing w:after="0"/>
              <w:rPr>
                <w:sz w:val="20"/>
                <w:szCs w:val="20"/>
                <w:color w:val="auto"/>
              </w:rPr>
            </w:pPr>
            <w:r>
              <w:rPr>
                <w:rFonts w:ascii="Arial" w:cs="Arial" w:eastAsia="Arial" w:hAnsi="Arial"/>
                <w:sz w:val="12"/>
                <w:szCs w:val="12"/>
                <w:color w:val="auto"/>
              </w:rPr>
              <w:t>Capitalized transaction costs</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2"/>
                <w:szCs w:val="12"/>
                <w:color w:val="auto"/>
              </w:rPr>
              <w:t>(4,820)</w:t>
            </w:r>
          </w:p>
        </w:tc>
        <w:tc>
          <w:tcPr>
            <w:tcW w:w="46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(3,915)</w:t>
            </w: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Change in valuation allowance</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(8,176)</w:t>
            </w: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8,176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gridSpan w:val="2"/>
          </w:tcPr>
          <w:p>
            <w:pPr>
              <w:ind w:left="160"/>
              <w:spacing w:after="0"/>
              <w:rPr>
                <w:sz w:val="20"/>
                <w:szCs w:val="20"/>
                <w:color w:val="auto"/>
              </w:rPr>
            </w:pPr>
            <w:r>
              <w:rPr>
                <w:rFonts w:ascii="Arial" w:cs="Arial" w:eastAsia="Arial" w:hAnsi="Arial"/>
                <w:sz w:val="12"/>
                <w:szCs w:val="12"/>
                <w:color w:val="auto"/>
              </w:rPr>
              <w:t>Adjustment of deferred tax balances</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(26)</w:t>
            </w:r>
          </w:p>
        </w:tc>
        <w:tc>
          <w:tcPr>
            <w:tcW w:w="220" w:type="dxa"/>
            <w:vAlign w:val="bottom"/>
          </w:tcPr>
          <w:p>
            <w:pPr>
              <w:spacing w:after="0"/>
              <w:rPr>
                <w:sz w:val="13"/>
                <w:szCs w:val="13"/>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2"/>
                <w:szCs w:val="12"/>
                <w:color w:val="auto"/>
              </w:rPr>
              <w:t>(217)</w:t>
            </w: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Permanent differences</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gridSpan w:val="2"/>
          </w:tcPr>
          <w:p>
            <w:pPr>
              <w:ind w:left="160"/>
              <w:spacing w:after="0"/>
              <w:rPr>
                <w:sz w:val="20"/>
                <w:szCs w:val="20"/>
                <w:color w:val="auto"/>
              </w:rPr>
            </w:pPr>
            <w:r>
              <w:rPr>
                <w:rFonts w:ascii="Arial" w:cs="Arial" w:eastAsia="Arial" w:hAnsi="Arial"/>
                <w:sz w:val="12"/>
                <w:szCs w:val="12"/>
                <w:color w:val="auto"/>
              </w:rPr>
              <w:t>Foreign taxes</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(111)</w:t>
            </w:r>
          </w:p>
        </w:tc>
        <w:tc>
          <w:tcPr>
            <w:tcW w:w="220" w:type="dxa"/>
            <w:vAlign w:val="bottom"/>
          </w:tcPr>
          <w:p>
            <w:pPr>
              <w:spacing w:after="0"/>
              <w:rPr>
                <w:sz w:val="13"/>
                <w:szCs w:val="13"/>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2"/>
                <w:szCs w:val="12"/>
                <w:color w:val="auto"/>
              </w:rPr>
              <w:t>(378)</w:t>
            </w: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Rate differential</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(1,319)</w:t>
            </w:r>
          </w:p>
        </w:tc>
        <w:tc>
          <w:tcPr>
            <w:tcW w:w="22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(17,038)</w:t>
            </w: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2"/>
                <w:szCs w:val="12"/>
                <w:color w:val="auto"/>
              </w:rPr>
              <w:t>Income tax (benefit) expense</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(5,421)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180"/>
              <w:spacing w:after="0"/>
              <w:rPr>
                <w:sz w:val="20"/>
                <w:szCs w:val="20"/>
                <w:color w:val="auto"/>
              </w:rPr>
            </w:pPr>
            <w:r>
              <w:rPr>
                <w:rFonts w:ascii="Arial" w:cs="Arial" w:eastAsia="Arial" w:hAnsi="Arial"/>
                <w:sz w:val="12"/>
                <w:szCs w:val="12"/>
                <w:color w:val="auto"/>
              </w:rPr>
              <w:t>(38,849)</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517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The effective tax rate on income from continuing operations differs from tax at the statutory rate primarily due to our status as a REIT and the impact of corporate tax reform on certain adjustments to deferred taxes related to 2017 acquisitions, discussed below.</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Tax Cuts and Jobs Act (“Tax Bill”) was enacted on December 22, 2017. The Tax Bill reduced the U.S. federal corporate tax rate from 35% to 21%, required companies to pay a one-time transition tax on earnings of certain foreign subsidiaries that were previously tax deferred and created new taxes on certain foreign sourced earnings. Consistent with Staff Accounting Bulletin No. 118 issued by the SEC, which provided for a measurement period of one year from the enactment date to finalize the accounting for effects of the Tax Bill, the Company provisionally recorded income tax benefit of $17.0 million related to the Tax Bill in the fourth quarter of 2017. During the second quarter of 2018, the purchase price allocations related to our acquisitions of Hunt Telecommunications, LLC and Southern Light, LLC were adjusted to record additional deferred tax liabilities of $3.2 million and $0.9 million, respectively, that existed as of the acquisition date. These deferred tax liabilities were recorded at the tax rate in effect as of the date of acquisition. Upon enactment of the Tax Bill, the incremental deferred tax liability would have been adjusted to the newly enacted corporate tax rate. This resulted in a decrease to the deferred tax liability and an income tax benefit of $1.3 million recorded in the second quarter of 2018.</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2018, we have completed our accounting for the tax effects of enactment of the Tax Bill and recorded no significant adjustments to our provisional amounts other than as described above.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Future regulatory and rulemaking interpretations or other guidance clarifying provisions of the Tax Bill may impact the Company’s tax position.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the Company's deferred tax assets and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60" w:type="dxa"/>
            <w:vAlign w:val="bottom"/>
          </w:tcPr>
          <w:p>
            <w:pPr>
              <w:spacing w:after="0"/>
              <w:rPr>
                <w:sz w:val="20"/>
                <w:szCs w:val="20"/>
                <w:color w:val="auto"/>
              </w:rPr>
            </w:pPr>
            <w:r>
              <w:rPr>
                <w:rFonts w:ascii="Arial" w:cs="Arial" w:eastAsia="Arial" w:hAnsi="Arial"/>
                <w:sz w:val="10"/>
                <w:szCs w:val="10"/>
                <w:color w:val="auto"/>
              </w:rPr>
              <w:t>(Thousands)</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80" w:type="dxa"/>
            <w:vAlign w:val="bottom"/>
            <w:gridSpan w:val="2"/>
          </w:tcPr>
          <w:p>
            <w:pPr>
              <w:jc w:val="right"/>
              <w:ind w:right="1040"/>
              <w:spacing w:after="0"/>
              <w:rPr>
                <w:sz w:val="20"/>
                <w:szCs w:val="20"/>
                <w:color w:val="auto"/>
              </w:rPr>
            </w:pPr>
            <w:r>
              <w:rPr>
                <w:rFonts w:ascii="Arial" w:cs="Arial" w:eastAsia="Arial" w:hAnsi="Arial"/>
                <w:sz w:val="10"/>
                <w:szCs w:val="10"/>
                <w:b w:val="1"/>
                <w:bCs w:val="1"/>
                <w:color w:val="auto"/>
              </w:rPr>
              <w:t>December 31, 2018</w:t>
            </w:r>
          </w:p>
        </w:tc>
        <w:tc>
          <w:tcPr>
            <w:tcW w:w="400" w:type="dxa"/>
            <w:vAlign w:val="bottom"/>
          </w:tcPr>
          <w:p>
            <w:pPr>
              <w:spacing w:after="0"/>
              <w:rPr>
                <w:sz w:val="10"/>
                <w:szCs w:val="10"/>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December 31, 2017</w:t>
            </w:r>
          </w:p>
        </w:tc>
        <w:tc>
          <w:tcPr>
            <w:tcW w:w="0" w:type="dxa"/>
            <w:vAlign w:val="bottom"/>
          </w:tcPr>
          <w:p>
            <w:pPr>
              <w:spacing w:after="0"/>
              <w:rPr>
                <w:sz w:val="1"/>
                <w:szCs w:val="1"/>
                <w:color w:val="auto"/>
              </w:rPr>
            </w:pPr>
          </w:p>
        </w:tc>
      </w:tr>
      <w:tr>
        <w:trPr>
          <w:trHeight w:val="142"/>
        </w:trPr>
        <w:tc>
          <w:tcPr>
            <w:tcW w:w="6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Deferred tax assets:</w:t>
            </w:r>
          </w:p>
        </w:tc>
        <w:tc>
          <w:tcPr>
            <w:tcW w:w="2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9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60" w:type="dxa"/>
            <w:vAlign w:val="bottom"/>
          </w:tcPr>
          <w:p>
            <w:pPr>
              <w:ind w:left="160"/>
              <w:spacing w:after="0"/>
              <w:rPr>
                <w:sz w:val="20"/>
                <w:szCs w:val="20"/>
                <w:color w:val="auto"/>
              </w:rPr>
            </w:pPr>
            <w:r>
              <w:rPr>
                <w:rFonts w:ascii="Arial" w:cs="Arial" w:eastAsia="Arial" w:hAnsi="Arial"/>
                <w:sz w:val="12"/>
                <w:szCs w:val="12"/>
                <w:color w:val="auto"/>
              </w:rPr>
              <w:t>Deferred revenue</w:t>
            </w: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20,373</w:t>
            </w:r>
          </w:p>
        </w:tc>
        <w:tc>
          <w:tcPr>
            <w:tcW w:w="260" w:type="dxa"/>
            <w:vAlign w:val="bottom"/>
          </w:tcPr>
          <w:p>
            <w:pPr>
              <w:spacing w:after="0"/>
              <w:rPr>
                <w:sz w:val="13"/>
                <w:szCs w:val="1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spacing w:after="0"/>
              <w:rPr>
                <w:sz w:val="20"/>
                <w:szCs w:val="20"/>
                <w:color w:val="auto"/>
              </w:rPr>
            </w:pPr>
            <w:r>
              <w:rPr>
                <w:rFonts w:ascii="Arial" w:cs="Arial" w:eastAsia="Arial" w:hAnsi="Arial"/>
                <w:sz w:val="12"/>
                <w:szCs w:val="12"/>
                <w:color w:val="auto"/>
              </w:rPr>
              <w:t>17,114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bonuses</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w:t>
            </w: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tcPr>
          <w:p>
            <w:pPr>
              <w:ind w:left="160"/>
              <w:spacing w:after="0"/>
              <w:rPr>
                <w:sz w:val="20"/>
                <w:szCs w:val="20"/>
                <w:color w:val="auto"/>
              </w:rPr>
            </w:pPr>
            <w:r>
              <w:rPr>
                <w:rFonts w:ascii="Arial" w:cs="Arial" w:eastAsia="Arial" w:hAnsi="Arial"/>
                <w:sz w:val="12"/>
                <w:szCs w:val="12"/>
                <w:color w:val="auto"/>
              </w:rPr>
              <w:t>Stock based compensation</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823</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857</w:t>
            </w: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tcPr>
          <w:p>
            <w:pPr>
              <w:ind w:left="160"/>
              <w:spacing w:after="0"/>
              <w:rPr>
                <w:sz w:val="20"/>
                <w:szCs w:val="20"/>
                <w:color w:val="auto"/>
              </w:rPr>
            </w:pPr>
            <w:r>
              <w:rPr>
                <w:rFonts w:ascii="Arial" w:cs="Arial" w:eastAsia="Arial" w:hAnsi="Arial"/>
                <w:sz w:val="12"/>
                <w:szCs w:val="12"/>
                <w:color w:val="auto"/>
              </w:rPr>
              <w:t>Asset retirement obligation</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1,458</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Inventory reserve</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tcPr>
          <w:p>
            <w:pPr>
              <w:ind w:left="160"/>
              <w:spacing w:after="0"/>
              <w:rPr>
                <w:sz w:val="20"/>
                <w:szCs w:val="20"/>
                <w:color w:val="auto"/>
              </w:rPr>
            </w:pPr>
            <w:r>
              <w:rPr>
                <w:rFonts w:ascii="Arial" w:cs="Arial" w:eastAsia="Arial" w:hAnsi="Arial"/>
                <w:sz w:val="12"/>
                <w:szCs w:val="12"/>
                <w:color w:val="auto"/>
              </w:rPr>
              <w:t>Other</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904</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operating loss carryforwards</w:t>
            </w:r>
          </w:p>
        </w:tc>
        <w:tc>
          <w:tcPr>
            <w:tcW w:w="22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92,443</w:t>
            </w:r>
          </w:p>
        </w:tc>
        <w:tc>
          <w:tcPr>
            <w:tcW w:w="26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36,229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20"/>
                <w:szCs w:val="20"/>
                <w:color w:val="auto"/>
              </w:rPr>
            </w:pPr>
            <w:r>
              <w:rPr>
                <w:rFonts w:ascii="Arial" w:cs="Arial" w:eastAsia="Arial" w:hAnsi="Arial"/>
                <w:sz w:val="12"/>
                <w:szCs w:val="12"/>
                <w:color w:val="auto"/>
              </w:rPr>
              <w:t>Deferred tax assets</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117,700</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57,562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22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20"/>
                <w:szCs w:val="20"/>
                <w:color w:val="auto"/>
              </w:rPr>
            </w:pPr>
            <w:r>
              <w:rPr>
                <w:rFonts w:ascii="Arial" w:cs="Arial" w:eastAsia="Arial" w:hAnsi="Arial"/>
                <w:sz w:val="12"/>
                <w:szCs w:val="12"/>
                <w:color w:val="auto"/>
              </w:rPr>
              <w:t>Deferred tax assets, net of valuation allowance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117,700</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57,562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Property, plant and equipment</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21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(97,651)</w:t>
            </w: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(43,817)</w:t>
            </w:r>
          </w:p>
        </w:tc>
        <w:tc>
          <w:tcPr>
            <w:tcW w:w="0" w:type="dxa"/>
            <w:vAlign w:val="bottom"/>
          </w:tcPr>
          <w:p>
            <w:pPr>
              <w:spacing w:after="0"/>
              <w:rPr>
                <w:sz w:val="1"/>
                <w:szCs w:val="1"/>
                <w:color w:val="auto"/>
              </w:rPr>
            </w:pPr>
          </w:p>
        </w:tc>
      </w:tr>
      <w:tr>
        <w:trPr>
          <w:trHeight w:val="153"/>
        </w:trPr>
        <w:tc>
          <w:tcPr>
            <w:tcW w:w="6260" w:type="dxa"/>
            <w:vAlign w:val="bottom"/>
          </w:tcPr>
          <w:p>
            <w:pPr>
              <w:ind w:left="160"/>
              <w:spacing w:after="0"/>
              <w:rPr>
                <w:sz w:val="20"/>
                <w:szCs w:val="20"/>
                <w:color w:val="auto"/>
              </w:rPr>
            </w:pPr>
            <w:r>
              <w:rPr>
                <w:rFonts w:ascii="Arial" w:cs="Arial" w:eastAsia="Arial" w:hAnsi="Arial"/>
                <w:sz w:val="12"/>
                <w:szCs w:val="12"/>
                <w:color w:val="auto"/>
              </w:rPr>
              <w:t>Customer list intangible</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2"/>
          </w:tcPr>
          <w:p>
            <w:pPr>
              <w:jc w:val="right"/>
              <w:ind w:right="220"/>
              <w:spacing w:after="0"/>
              <w:rPr>
                <w:sz w:val="20"/>
                <w:szCs w:val="20"/>
                <w:color w:val="auto"/>
              </w:rPr>
            </w:pPr>
            <w:r>
              <w:rPr>
                <w:rFonts w:ascii="Arial" w:cs="Arial" w:eastAsia="Arial" w:hAnsi="Arial"/>
                <w:sz w:val="12"/>
                <w:szCs w:val="12"/>
                <w:color w:val="auto"/>
              </w:rPr>
              <w:t>(67,382)</w:t>
            </w:r>
          </w:p>
        </w:tc>
        <w:tc>
          <w:tcPr>
            <w:tcW w:w="400" w:type="dxa"/>
            <w:vAlign w:val="bottom"/>
          </w:tcPr>
          <w:p>
            <w:pPr>
              <w:spacing w:after="0"/>
              <w:rPr>
                <w:sz w:val="13"/>
                <w:szCs w:val="13"/>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(68,795)</w:t>
            </w: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intangible amortization</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(3,954)</w:t>
            </w:r>
          </w:p>
        </w:tc>
        <w:tc>
          <w:tcPr>
            <w:tcW w:w="40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(291)</w:t>
            </w:r>
          </w:p>
        </w:tc>
        <w:tc>
          <w:tcPr>
            <w:tcW w:w="0" w:type="dxa"/>
            <w:vAlign w:val="bottom"/>
          </w:tcPr>
          <w:p>
            <w:pPr>
              <w:spacing w:after="0"/>
              <w:rPr>
                <w:sz w:val="1"/>
                <w:szCs w:val="1"/>
                <w:color w:val="auto"/>
              </w:rPr>
            </w:pPr>
          </w:p>
        </w:tc>
      </w:tr>
      <w:tr>
        <w:trPr>
          <w:trHeight w:val="153"/>
        </w:trPr>
        <w:tc>
          <w:tcPr>
            <w:tcW w:w="6260" w:type="dxa"/>
            <w:vAlign w:val="bottom"/>
          </w:tcPr>
          <w:p>
            <w:pPr>
              <w:ind w:left="160"/>
              <w:spacing w:after="0"/>
              <w:rPr>
                <w:sz w:val="20"/>
                <w:szCs w:val="20"/>
                <w:color w:val="auto"/>
              </w:rPr>
            </w:pPr>
            <w:r>
              <w:rPr>
                <w:rFonts w:ascii="Arial" w:cs="Arial" w:eastAsia="Arial" w:hAnsi="Arial"/>
                <w:sz w:val="12"/>
                <w:szCs w:val="12"/>
                <w:color w:val="auto"/>
              </w:rPr>
              <w:t>Deferred or prepaid costs</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2"/>
          </w:tcPr>
          <w:p>
            <w:pPr>
              <w:jc w:val="right"/>
              <w:ind w:right="220"/>
              <w:spacing w:after="0"/>
              <w:rPr>
                <w:sz w:val="20"/>
                <w:szCs w:val="20"/>
                <w:color w:val="auto"/>
              </w:rPr>
            </w:pPr>
            <w:r>
              <w:rPr>
                <w:rFonts w:ascii="Arial" w:cs="Arial" w:eastAsia="Arial" w:hAnsi="Arial"/>
                <w:sz w:val="12"/>
                <w:szCs w:val="12"/>
                <w:color w:val="auto"/>
              </w:rPr>
              <w:t>(1,147)</w:t>
            </w:r>
          </w:p>
        </w:tc>
        <w:tc>
          <w:tcPr>
            <w:tcW w:w="4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2"/>
                <w:szCs w:val="12"/>
                <w:color w:val="auto"/>
              </w:rPr>
              <w:t>Deferred tax liabilities</w:t>
            </w: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180" w:type="dxa"/>
            <w:vAlign w:val="bottom"/>
            <w:gridSpan w:val="2"/>
          </w:tcPr>
          <w:p>
            <w:pPr>
              <w:jc w:val="right"/>
              <w:ind w:right="220"/>
              <w:spacing w:after="0"/>
              <w:rPr>
                <w:sz w:val="20"/>
                <w:szCs w:val="20"/>
                <w:color w:val="auto"/>
              </w:rPr>
            </w:pPr>
            <w:r>
              <w:rPr>
                <w:rFonts w:ascii="Arial" w:cs="Arial" w:eastAsia="Arial" w:hAnsi="Arial"/>
                <w:sz w:val="12"/>
                <w:szCs w:val="12"/>
                <w:color w:val="auto"/>
              </w:rPr>
              <w:t>(170,134)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(113,040)</w:t>
            </w:r>
          </w:p>
        </w:tc>
        <w:tc>
          <w:tcPr>
            <w:tcW w:w="0" w:type="dxa"/>
            <w:vAlign w:val="bottom"/>
          </w:tcPr>
          <w:p>
            <w:pPr>
              <w:spacing w:after="0"/>
              <w:rPr>
                <w:sz w:val="1"/>
                <w:szCs w:val="1"/>
                <w:color w:val="auto"/>
              </w:rPr>
            </w:pPr>
          </w:p>
        </w:tc>
      </w:tr>
      <w:tr>
        <w:trPr>
          <w:trHeight w:val="142"/>
        </w:trPr>
        <w:tc>
          <w:tcPr>
            <w:tcW w:w="6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920" w:type="dxa"/>
            <w:vAlign w:val="bottom"/>
            <w:tcBorders>
              <w:top w:val="single" w:sz="8" w:color="auto"/>
              <w:bottom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900" w:type="dxa"/>
            <w:vAlign w:val="bottom"/>
            <w:tcBorders>
              <w:top w:val="single" w:sz="8" w:color="auto"/>
              <w:bottom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20"/>
                <w:szCs w:val="20"/>
                <w:color w:val="auto"/>
              </w:rPr>
            </w:pPr>
            <w:r>
              <w:rPr>
                <w:rFonts w:ascii="Arial" w:cs="Arial" w:eastAsia="Arial" w:hAnsi="Arial"/>
                <w:sz w:val="12"/>
                <w:szCs w:val="12"/>
                <w:color w:val="auto"/>
              </w:rPr>
              <w:t>Deferred tax liability, net</w:t>
            </w: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180" w:type="dxa"/>
            <w:vAlign w:val="bottom"/>
            <w:gridSpan w:val="2"/>
          </w:tcPr>
          <w:p>
            <w:pPr>
              <w:jc w:val="right"/>
              <w:ind w:right="220"/>
              <w:spacing w:after="0"/>
              <w:rPr>
                <w:sz w:val="20"/>
                <w:szCs w:val="20"/>
                <w:color w:val="auto"/>
              </w:rPr>
            </w:pPr>
            <w:r>
              <w:rPr>
                <w:rFonts w:ascii="Arial" w:cs="Arial" w:eastAsia="Arial" w:hAnsi="Arial"/>
                <w:sz w:val="12"/>
                <w:szCs w:val="12"/>
                <w:color w:val="auto"/>
              </w:rPr>
              <w:t>(52,434)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(55,478)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2018, the Company’s deferred tax assets were primarily the result of U.S. federal and state NOL carryforwards.</w:t>
      </w:r>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As of each reporting date, the Company’s management considers new evidence, both positive and negative, that could impact management’s view with regard to future realization of deferred tax assets. Given the Company has significant deferred tax liabilities which are not limited by Sec. 269(a)(1) of the Code, management determined that sufficient positive evidence exists as of December 31, 2018, to conclude that it is more likely than not that all of its deferred tax assets are realizable, and therefore, no valuation allowance has been recorded.</w:t>
      </w:r>
    </w:p>
    <w:p>
      <w:pPr>
        <w:spacing w:after="0" w:line="123"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On August 31, 2016, we acquired 100% of the outstanding equity of Tower Cloud, Inc., which had federal NOL carryforwards of approximately $81.2 million at the date of the acquisition. As a result of the change in ownership, the utilization of Tower Cloud, Inc. NOL carryforwards is subject to limitations imposed by the Code. Approximately $18.3 million of the Tower Cloud, Inc. NOL carryforward was utilized in 2017. The remaining Tower Cloud, Inc. NOL carryforwards will expire between 2026 and 2036.</w:t>
      </w:r>
    </w:p>
    <w:p>
      <w:pPr>
        <w:spacing w:after="0" w:line="12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We have total federal NOL carryforwards as of December 31, 2018 of approximately $165.2 million which will expire between 2026 and 2037, and approximately $189.2 million which will not expire but the utilization of which will be limited to 80% of taxable income annually under provisions enacted in the Tax Bill.</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With the exception of Tower Cloud, Inc., our 2015 returns remain open to examination. As Tower Cloud, Inc. has NOLs available to carry forward, the applicable tax years will generally remain open to examination several years after the applicable loss carryforwards have been utilized or expire.</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jc w:val="right"/>
              <w:ind w:right="1021"/>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jc w:val="right"/>
              <w:ind w:right="100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0"/>
                <w:szCs w:val="10"/>
                <w:color w:val="auto"/>
              </w:rPr>
            </w:pPr>
          </w:p>
        </w:tc>
      </w:tr>
      <w:tr>
        <w:trPr>
          <w:trHeight w:val="142"/>
        </w:trPr>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Balance at January 1</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82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r>
      <w:tr>
        <w:trPr>
          <w:trHeight w:val="153"/>
        </w:trPr>
        <w:tc>
          <w:tcPr>
            <w:tcW w:w="6300" w:type="dxa"/>
            <w:vAlign w:val="bottom"/>
          </w:tcPr>
          <w:p>
            <w:pPr>
              <w:spacing w:after="0"/>
              <w:rPr>
                <w:sz w:val="20"/>
                <w:szCs w:val="20"/>
                <w:color w:val="auto"/>
              </w:rPr>
            </w:pPr>
            <w:r>
              <w:rPr>
                <w:rFonts w:ascii="Arial" w:cs="Arial" w:eastAsia="Arial" w:hAnsi="Arial"/>
                <w:sz w:val="12"/>
                <w:szCs w:val="12"/>
                <w:color w:val="auto"/>
              </w:rPr>
              <w:t>Additions related to acquisitions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3,036</w:t>
            </w:r>
          </w:p>
        </w:tc>
        <w:tc>
          <w:tcPr>
            <w:tcW w:w="120" w:type="dxa"/>
            <w:vAlign w:val="bottom"/>
          </w:tcPr>
          <w:p>
            <w:pPr>
              <w:spacing w:after="0"/>
              <w:rPr>
                <w:sz w:val="13"/>
                <w:szCs w:val="13"/>
                <w:color w:val="auto"/>
              </w:rPr>
            </w:pPr>
          </w:p>
        </w:tc>
      </w:tr>
      <w:tr>
        <w:trPr>
          <w:trHeight w:val="153"/>
        </w:trPr>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Additions for tax positions for the current year</w:t>
            </w: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6300" w:type="dxa"/>
            <w:vAlign w:val="bottom"/>
          </w:tcPr>
          <w:p>
            <w:pPr>
              <w:spacing w:after="0"/>
              <w:rPr>
                <w:sz w:val="20"/>
                <w:szCs w:val="20"/>
                <w:color w:val="auto"/>
              </w:rPr>
            </w:pPr>
            <w:r>
              <w:rPr>
                <w:rFonts w:ascii="Arial" w:cs="Arial" w:eastAsia="Arial" w:hAnsi="Arial"/>
                <w:sz w:val="12"/>
                <w:szCs w:val="12"/>
                <w:color w:val="auto"/>
              </w:rPr>
              <w:t>Additions for tax positions of prior years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Reductions for tax positions of prior years</w:t>
            </w: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63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Settlements</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2"/>
        </w:trPr>
        <w:tc>
          <w:tcPr>
            <w:tcW w:w="630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82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120" w:type="dxa"/>
            <w:vAlign w:val="bottom"/>
            <w:shd w:val="clear" w:color="auto" w:fill="CFF0FC"/>
          </w:tcPr>
          <w:p>
            <w:pPr>
              <w:spacing w:after="0"/>
              <w:rPr>
                <w:sz w:val="12"/>
                <w:szCs w:val="12"/>
                <w:color w:val="auto"/>
              </w:rPr>
            </w:pPr>
          </w:p>
        </w:tc>
      </w:tr>
      <w:tr>
        <w:trPr>
          <w:trHeight w:val="27"/>
        </w:trPr>
        <w:tc>
          <w:tcPr>
            <w:tcW w:w="6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35" w:lineRule="exact"/>
        <w:rPr>
          <w:sz w:val="20"/>
          <w:szCs w:val="20"/>
          <w:color w:val="auto"/>
        </w:rPr>
      </w:pPr>
    </w:p>
    <w:p>
      <w:pPr>
        <w:ind w:right="280"/>
        <w:spacing w:after="0" w:line="323" w:lineRule="auto"/>
        <w:rPr>
          <w:rFonts w:ascii="Arial" w:cs="Arial" w:eastAsia="Arial" w:hAnsi="Arial"/>
          <w:sz w:val="11"/>
          <w:szCs w:val="11"/>
          <w:color w:val="auto"/>
        </w:rPr>
      </w:pPr>
      <w:r>
        <w:rPr>
          <w:rFonts w:ascii="Arial" w:cs="Arial" w:eastAsia="Arial" w:hAnsi="Arial"/>
          <w:sz w:val="11"/>
          <w:szCs w:val="11"/>
          <w:color w:val="auto"/>
        </w:rPr>
        <w:t xml:space="preserve">The Company’s entire liability for unrecognized tax benefit would affect the annual effective tax rate if recognized. On February 19, 2019 the Company announced it had agreed to sell its Uniti Towers’ business in Latin America. The transaction is subject to customary closing conditions and is expected to close in the first quarter of 2019. See </w:t>
      </w:r>
      <w:hyperlink w:anchor="page103">
        <w:r>
          <w:rPr>
            <w:rFonts w:ascii="Arial" w:cs="Arial" w:eastAsia="Arial" w:hAnsi="Arial"/>
            <w:sz w:val="11"/>
            <w:szCs w:val="11"/>
            <w:u w:val="single" w:color="auto"/>
            <w:color w:val="0000EE"/>
          </w:rPr>
          <w:t>Note 23</w:t>
        </w:r>
      </w:hyperlink>
      <w:r>
        <w:rPr>
          <w:rFonts w:ascii="Arial" w:cs="Arial" w:eastAsia="Arial" w:hAnsi="Arial"/>
          <w:sz w:val="11"/>
          <w:szCs w:val="11"/>
          <w:color w:val="auto"/>
        </w:rPr>
        <w:t>. As a result of the sale, the balance of unrecognized tax benefits will decrease within the next 12 months.</w:t>
      </w:r>
    </w:p>
    <w:p>
      <w:pPr>
        <w:spacing w:after="0" w:line="92"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Company recognizes accrued interest and penalties related to unrecognized tax benefits as additional tax expense. The Company recorded no interest expense or penalties for the period ending December 31, 2018. The Company’s balance of accrued interest and penalties related to unrecognized tax benefits as of December 31, 2018 was $2.3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Supplemental Cash Flow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Cash paid for interest expense and income taxes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Year Ended December 31,</w:t>
            </w:r>
          </w:p>
        </w:tc>
        <w:tc>
          <w:tcPr>
            <w:tcW w:w="5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428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520" w:type="dxa"/>
            <w:vAlign w:val="bottom"/>
          </w:tcPr>
          <w:p>
            <w:pPr>
              <w:spacing w:after="0"/>
              <w:rPr>
                <w:sz w:val="13"/>
                <w:szCs w:val="13"/>
                <w:color w:val="auto"/>
              </w:rPr>
            </w:pPr>
          </w:p>
        </w:tc>
        <w:tc>
          <w:tcPr>
            <w:tcW w:w="1640" w:type="dxa"/>
            <w:vAlign w:val="bottom"/>
          </w:tcPr>
          <w:p>
            <w:pPr>
              <w:jc w:val="right"/>
              <w:ind w:right="948"/>
              <w:spacing w:after="0"/>
              <w:rPr>
                <w:sz w:val="20"/>
                <w:szCs w:val="20"/>
                <w:color w:val="auto"/>
              </w:rPr>
            </w:pPr>
            <w:r>
              <w:rPr>
                <w:rFonts w:ascii="Arial" w:cs="Arial" w:eastAsia="Arial" w:hAnsi="Arial"/>
                <w:sz w:val="10"/>
                <w:szCs w:val="10"/>
                <w:b w:val="1"/>
                <w:bCs w:val="1"/>
                <w:color w:val="auto"/>
              </w:rPr>
              <w:t>2018</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jc w:val="right"/>
              <w:ind w:right="929"/>
              <w:spacing w:after="0"/>
              <w:rPr>
                <w:sz w:val="20"/>
                <w:szCs w:val="20"/>
                <w:color w:val="auto"/>
              </w:rPr>
            </w:pPr>
            <w:r>
              <w:rPr>
                <w:rFonts w:ascii="Arial" w:cs="Arial" w:eastAsia="Arial" w:hAnsi="Arial"/>
                <w:sz w:val="10"/>
                <w:szCs w:val="10"/>
                <w:b w:val="1"/>
                <w:bCs w:val="1"/>
                <w:color w:val="auto"/>
              </w:rPr>
              <w:t>2017</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20" w:type="dxa"/>
            <w:vAlign w:val="bottom"/>
          </w:tcPr>
          <w:p>
            <w:pPr>
              <w:jc w:val="right"/>
              <w:ind w:right="928"/>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3"/>
                <w:szCs w:val="13"/>
                <w:color w:val="auto"/>
              </w:rPr>
            </w:pPr>
          </w:p>
        </w:tc>
      </w:tr>
      <w:tr>
        <w:trPr>
          <w:trHeight w:val="13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Cash payments for:</w:t>
            </w:r>
          </w:p>
        </w:tc>
        <w:tc>
          <w:tcPr>
            <w:tcW w:w="20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8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2"/>
        </w:trPr>
        <w:tc>
          <w:tcPr>
            <w:tcW w:w="4280" w:type="dxa"/>
            <w:vAlign w:val="bottom"/>
            <w:gridSpan w:val="2"/>
          </w:tcPr>
          <w:p>
            <w:pPr>
              <w:ind w:left="160"/>
              <w:spacing w:after="0"/>
              <w:rPr>
                <w:sz w:val="20"/>
                <w:szCs w:val="20"/>
                <w:color w:val="auto"/>
              </w:rPr>
            </w:pPr>
            <w:r>
              <w:rPr>
                <w:rFonts w:ascii="Arial" w:cs="Arial" w:eastAsia="Arial" w:hAnsi="Arial"/>
                <w:sz w:val="11"/>
                <w:szCs w:val="11"/>
                <w:color w:val="auto"/>
              </w:rPr>
              <w:t>Interest (net of capitalized interest)</w:t>
            </w: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rPr>
                <w:sz w:val="20"/>
                <w:szCs w:val="20"/>
                <w:color w:val="auto"/>
              </w:rPr>
            </w:pPr>
            <w:r>
              <w:rPr>
                <w:rFonts w:ascii="Arial" w:cs="Arial" w:eastAsia="Arial" w:hAnsi="Arial"/>
                <w:sz w:val="11"/>
                <w:szCs w:val="11"/>
                <w:color w:val="auto"/>
              </w:rPr>
              <w:t>281,364</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60" w:type="dxa"/>
            <w:vAlign w:val="bottom"/>
          </w:tcPr>
          <w:p>
            <w:pPr>
              <w:jc w:val="right"/>
              <w:spacing w:after="0"/>
              <w:rPr>
                <w:sz w:val="20"/>
                <w:szCs w:val="20"/>
                <w:color w:val="auto"/>
              </w:rPr>
            </w:pPr>
            <w:r>
              <w:rPr>
                <w:rFonts w:ascii="Arial" w:cs="Arial" w:eastAsia="Arial" w:hAnsi="Arial"/>
                <w:sz w:val="11"/>
                <w:szCs w:val="11"/>
                <w:color w:val="auto"/>
              </w:rPr>
              <w:t>276,071</w:t>
            </w:r>
          </w:p>
        </w:tc>
        <w:tc>
          <w:tcPr>
            <w:tcW w:w="320" w:type="dxa"/>
            <w:vAlign w:val="bottom"/>
          </w:tcPr>
          <w:p>
            <w:pPr>
              <w:spacing w:after="0"/>
              <w:rPr>
                <w:sz w:val="12"/>
                <w:szCs w:val="12"/>
                <w:color w:val="auto"/>
              </w:rPr>
            </w:pPr>
          </w:p>
        </w:tc>
        <w:tc>
          <w:tcPr>
            <w:tcW w:w="520" w:type="dxa"/>
            <w:vAlign w:val="bottom"/>
          </w:tcPr>
          <w:p>
            <w:pPr>
              <w:jc w:val="right"/>
              <w:ind w:right="453"/>
              <w:spacing w:after="0"/>
              <w:rPr>
                <w:sz w:val="20"/>
                <w:szCs w:val="20"/>
                <w:color w:val="auto"/>
              </w:rPr>
            </w:pPr>
            <w:r>
              <w:rPr>
                <w:rFonts w:ascii="Arial" w:cs="Arial" w:eastAsia="Arial" w:hAnsi="Arial"/>
                <w:sz w:val="5"/>
                <w:szCs w:val="5"/>
                <w:color w:val="auto"/>
                <w:w w:val="70"/>
              </w:rPr>
              <w:t>$</w:t>
            </w:r>
          </w:p>
        </w:tc>
        <w:tc>
          <w:tcPr>
            <w:tcW w:w="1620" w:type="dxa"/>
            <w:vAlign w:val="bottom"/>
          </w:tcPr>
          <w:p>
            <w:pPr>
              <w:jc w:val="right"/>
              <w:spacing w:after="0"/>
              <w:rPr>
                <w:sz w:val="20"/>
                <w:szCs w:val="20"/>
                <w:color w:val="auto"/>
              </w:rPr>
            </w:pPr>
            <w:r>
              <w:rPr>
                <w:rFonts w:ascii="Arial" w:cs="Arial" w:eastAsia="Arial" w:hAnsi="Arial"/>
                <w:sz w:val="11"/>
                <w:szCs w:val="11"/>
                <w:color w:val="auto"/>
              </w:rPr>
              <w:t>255,945</w:t>
            </w:r>
          </w:p>
        </w:tc>
        <w:tc>
          <w:tcPr>
            <w:tcW w:w="120" w:type="dxa"/>
            <w:vAlign w:val="bottom"/>
          </w:tcPr>
          <w:p>
            <w:pPr>
              <w:spacing w:after="0"/>
              <w:rPr>
                <w:sz w:val="12"/>
                <w:szCs w:val="12"/>
                <w:color w:val="auto"/>
              </w:rPr>
            </w:pPr>
          </w:p>
        </w:tc>
      </w:tr>
      <w:tr>
        <w:trPr>
          <w:trHeight w:val="146"/>
        </w:trPr>
        <w:tc>
          <w:tcPr>
            <w:tcW w:w="42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Income Taxes</w:t>
            </w:r>
          </w:p>
        </w:tc>
        <w:tc>
          <w:tcPr>
            <w:tcW w:w="520" w:type="dxa"/>
            <w:vAlign w:val="bottom"/>
            <w:shd w:val="clear" w:color="auto" w:fill="CFF0FC"/>
          </w:tcPr>
          <w:p>
            <w:pPr>
              <w:jc w:val="right"/>
              <w:ind w:right="411"/>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1,688</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4,388</w:t>
            </w:r>
          </w:p>
        </w:tc>
        <w:tc>
          <w:tcPr>
            <w:tcW w:w="32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53"/>
              <w:spacing w:after="0"/>
              <w:rPr>
                <w:sz w:val="20"/>
                <w:szCs w:val="20"/>
                <w:color w:val="auto"/>
              </w:rPr>
            </w:pPr>
            <w:r>
              <w:rPr>
                <w:rFonts w:ascii="Arial" w:cs="Arial" w:eastAsia="Arial" w:hAnsi="Arial"/>
                <w:sz w:val="5"/>
                <w:szCs w:val="5"/>
                <w:color w:val="auto"/>
                <w:w w:val="70"/>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3,003</w:t>
            </w:r>
          </w:p>
        </w:tc>
        <w:tc>
          <w:tcPr>
            <w:tcW w:w="120" w:type="dxa"/>
            <w:vAlign w:val="bottom"/>
            <w:shd w:val="clear" w:color="auto" w:fill="CFF0FC"/>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19. Capital Stock</w:t>
      </w:r>
    </w:p>
    <w:p>
      <w:pPr>
        <w:spacing w:after="0" w:line="154"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As of December 31, 2018, Company has issued and sold an aggregate of 5.5 million shares of common stock at a weighted average price of $20.19 per share under the ATM Program, receiving net proceeds of $109.4 million, after commissions of $1.4 million and other offering costs.</w:t>
      </w:r>
    </w:p>
    <w:p>
      <w:pPr>
        <w:spacing w:after="0" w:line="105" w:lineRule="exact"/>
        <w:rPr>
          <w:sz w:val="20"/>
          <w:szCs w:val="20"/>
          <w:color w:val="auto"/>
        </w:rPr>
      </w:pPr>
    </w:p>
    <w:p>
      <w:pPr>
        <w:ind w:right="440"/>
        <w:spacing w:after="0" w:line="380" w:lineRule="auto"/>
        <w:rPr>
          <w:sz w:val="20"/>
          <w:szCs w:val="20"/>
          <w:color w:val="auto"/>
        </w:rPr>
      </w:pPr>
      <w:r>
        <w:rPr>
          <w:rFonts w:ascii="Arial" w:cs="Arial" w:eastAsia="Arial" w:hAnsi="Arial"/>
          <w:sz w:val="10"/>
          <w:szCs w:val="10"/>
          <w:color w:val="auto"/>
        </w:rPr>
        <w:t>On April 25, 2017, we issued 19.5 million shares of our common stock, par value $0.0001 per share. The shares were sold at a public offering price of $26.50, generating proceeds of approximately $518 million, before underwriter discounts and transaction costs. The Company used the proceeds from this offering to fund a portion of the cash consideration paid in connection with the acquisitions of Southern Light and Hunt that closed on July 3, 2017.</w:t>
      </w:r>
    </w:p>
    <w:p>
      <w:pPr>
        <w:spacing w:after="0" w:line="68"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On May 2, 2016, we issued 87,500 shares of the Company’s 3% Series A Convertible Preferred Stock, $0.0001 par value, with a liquidation value of $87.5 million. The Series A Shares are non-voting and entitle the holders to receive cumulative dividends at the rate per annum of 3.0%, payable in cash. Holders of the Series A Shares have the option to convert at any time after three years, or are mandatorily convertible after eight years at a conversion rate of 28.5714 shares of common stock per Series A Share, subject to adjustment for certain dilutive events not to exceed a conversion rate of 50.5305 shares of common stock per Series A Share. The Series A Shares provide us the option to cash or share settle, and it is our policy to settle in cash upon conversion. Upon liquidation, each holder of the Series A Shares shall be entitled to receive the liquidation preference per share of $1,000 plus an amount equal to the accumulated and unpaid dividends on such shares. The Series A Shares were recorded at inception on the Consolidated Balance Sheet as mezzanine equity at fair value.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are authorized to issue up to 500,000,000 shares of voting common stock and 50,000,000 shares of preferred stock, of which 180,535,971 and 0 shares, respectively, were outstanding at December 31, 2018. We had 319,464,029 shares of voting common stock available for issuance at December 31, 2018.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20. Dividends (Distributions)</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Distributions with respect to our common stock is characterized for federal income tax purposes as taxable ordinary dividends, capital gains dividends, non-dividend distribution or a combination thereof. For the years ended December 31, 2018, 2017, and 2016, our common stock distribution per share was $2.40, $2.40 and $2.40, respectively, characterized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Year Ended December 31,</w:t>
            </w: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282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905"/>
              <w:spacing w:after="0"/>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983"/>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151"/>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Ordinary dividends</w:t>
            </w:r>
          </w:p>
        </w:tc>
        <w:tc>
          <w:tcPr>
            <w:tcW w:w="3020" w:type="dxa"/>
            <w:vAlign w:val="bottom"/>
            <w:gridSpan w:val="2"/>
            <w:shd w:val="clear" w:color="auto" w:fill="CFF0FC"/>
          </w:tcPr>
          <w:p>
            <w:pPr>
              <w:jc w:val="right"/>
              <w:ind w:right="1392"/>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84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FF0FC"/>
          </w:tcPr>
          <w:p>
            <w:pPr>
              <w:spacing w:after="0"/>
              <w:rPr>
                <w:sz w:val="13"/>
                <w:szCs w:val="13"/>
                <w:color w:val="auto"/>
              </w:rPr>
            </w:pPr>
          </w:p>
        </w:tc>
      </w:tr>
      <w:tr>
        <w:trPr>
          <w:trHeight w:val="162"/>
        </w:trPr>
        <w:tc>
          <w:tcPr>
            <w:tcW w:w="28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Non-dividend distributions</w:t>
            </w:r>
          </w:p>
        </w:tc>
        <w:tc>
          <w:tcPr>
            <w:tcW w:w="152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0.87</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w:t>
            </w:r>
          </w:p>
        </w:tc>
        <w:tc>
          <w:tcPr>
            <w:tcW w:w="2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120" w:type="dxa"/>
            <w:vAlign w:val="bottom"/>
            <w:tcBorders>
              <w:bottom w:val="single" w:sz="8" w:color="CFF0FC"/>
            </w:tcBorders>
          </w:tcPr>
          <w:p>
            <w:pPr>
              <w:spacing w:after="0"/>
              <w:rPr>
                <w:sz w:val="14"/>
                <w:szCs w:val="14"/>
                <w:color w:val="auto"/>
              </w:rPr>
            </w:pPr>
          </w:p>
        </w:tc>
      </w:tr>
      <w:tr>
        <w:trPr>
          <w:trHeight w:val="151"/>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3020" w:type="dxa"/>
            <w:vAlign w:val="bottom"/>
            <w:gridSpan w:val="2"/>
            <w:shd w:val="clear" w:color="auto" w:fill="CFF0FC"/>
          </w:tcPr>
          <w:p>
            <w:pPr>
              <w:jc w:val="right"/>
              <w:ind w:right="1392"/>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84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120" w:type="dxa"/>
            <w:vAlign w:val="bottom"/>
            <w:shd w:val="clear" w:color="auto" w:fill="CFF0FC"/>
          </w:tcPr>
          <w:p>
            <w:pPr>
              <w:spacing w:after="0"/>
              <w:rPr>
                <w:sz w:val="13"/>
                <w:szCs w:val="13"/>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21. Future Minimum Rents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Future minimum lease payments to be received, excluding operating expense reimbursements, from tenants under non-cancelable operating leases as of December 31, 2018,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10"/>
                <w:szCs w:val="10"/>
                <w:color w:val="auto"/>
              </w:rPr>
            </w:pPr>
          </w:p>
        </w:tc>
        <w:tc>
          <w:tcPr>
            <w:tcW w:w="1200" w:type="dxa"/>
            <w:vAlign w:val="bottom"/>
            <w:tcBorders>
              <w:bottom w:val="single" w:sz="8" w:color="CFF0FC"/>
            </w:tcBorders>
          </w:tcPr>
          <w:p>
            <w:pPr>
              <w:spacing w:after="0"/>
              <w:rPr>
                <w:sz w:val="10"/>
                <w:szCs w:val="10"/>
                <w:color w:val="auto"/>
              </w:rPr>
            </w:pPr>
          </w:p>
        </w:tc>
        <w:tc>
          <w:tcPr>
            <w:tcW w:w="160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r>
      <w:tr>
        <w:trPr>
          <w:trHeight w:val="142"/>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1400" w:type="dxa"/>
            <w:vAlign w:val="bottom"/>
            <w:gridSpan w:val="2"/>
            <w:shd w:val="clear" w:color="auto" w:fill="CFF0FC"/>
          </w:tcPr>
          <w:p>
            <w:pPr>
              <w:jc w:val="right"/>
              <w:ind w:right="109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724,269</w:t>
            </w:r>
          </w:p>
        </w:tc>
        <w:tc>
          <w:tcPr>
            <w:tcW w:w="120" w:type="dxa"/>
            <w:vAlign w:val="bottom"/>
            <w:shd w:val="clear" w:color="auto" w:fill="CFF0FC"/>
          </w:tcPr>
          <w:p>
            <w:pPr>
              <w:spacing w:after="0"/>
              <w:rPr>
                <w:sz w:val="12"/>
                <w:szCs w:val="12"/>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2020</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693,596</w:t>
            </w:r>
          </w:p>
        </w:tc>
        <w:tc>
          <w:tcPr>
            <w:tcW w:w="120" w:type="dxa"/>
            <w:vAlign w:val="bottom"/>
          </w:tcPr>
          <w:p>
            <w:pPr>
              <w:spacing w:after="0"/>
              <w:rPr>
                <w:sz w:val="13"/>
                <w:szCs w:val="13"/>
                <w:color w:val="auto"/>
              </w:rPr>
            </w:pPr>
          </w:p>
        </w:tc>
      </w:tr>
      <w:tr>
        <w:trPr>
          <w:trHeight w:val="153"/>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696,713</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2022</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699,561</w:t>
            </w:r>
          </w:p>
        </w:tc>
        <w:tc>
          <w:tcPr>
            <w:tcW w:w="120" w:type="dxa"/>
            <w:vAlign w:val="bottom"/>
          </w:tcPr>
          <w:p>
            <w:pPr>
              <w:spacing w:after="0"/>
              <w:rPr>
                <w:sz w:val="13"/>
                <w:szCs w:val="13"/>
                <w:color w:val="auto"/>
              </w:rPr>
            </w:pPr>
          </w:p>
        </w:tc>
      </w:tr>
      <w:tr>
        <w:trPr>
          <w:trHeight w:val="153"/>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702,663</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2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4,706,951</w:t>
            </w:r>
          </w:p>
        </w:tc>
        <w:tc>
          <w:tcPr>
            <w:tcW w:w="120" w:type="dxa"/>
            <w:vAlign w:val="bottom"/>
            <w:tcBorders>
              <w:bottom w:val="single" w:sz="8" w:color="CFF0FC"/>
            </w:tcBorders>
          </w:tcPr>
          <w:p>
            <w:pPr>
              <w:spacing w:after="0"/>
              <w:rPr>
                <w:sz w:val="13"/>
                <w:szCs w:val="13"/>
                <w:color w:val="auto"/>
              </w:rPr>
            </w:pPr>
          </w:p>
        </w:tc>
      </w:tr>
      <w:tr>
        <w:trPr>
          <w:trHeight w:val="158"/>
        </w:trPr>
        <w:tc>
          <w:tcPr>
            <w:tcW w:w="8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8,223,753</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22. Employee Benefit Plan</w:t>
      </w:r>
    </w:p>
    <w:p>
      <w:pPr>
        <w:spacing w:after="0" w:line="154"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2018, 2017 and 2016 was $1.2 million, $0.8 million and $0.4 million, respectively.</w:t>
      </w:r>
    </w:p>
    <w:p>
      <w:pPr>
        <w:spacing w:after="0" w:line="123"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23. Subsequent Events</w:t>
      </w:r>
    </w:p>
    <w:p>
      <w:pPr>
        <w:spacing w:after="0" w:line="154"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On January 15, 2019, the Company entered into an OpCo-PropCo transaction with Macquarie Infrastructure Partners (“MIP”) to acquire Bluebird Network, LLC (“Bluebird”). MIP operates within the Macquarie Infrastructure and Real Assets ("MIRA") division of Macquarie Group. Bluebird’s network is located in the Midwest across Missouri, Kansas, Illinois, and Oklahoma. In the transaction, Uniti agreed to purchase the Bluebird fiber network</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03" w:name="page104"/>
    <w:bookmarkEnd w:id="1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and MIP agreed to purchase the Bluebird operations. In addition, Uniti has agreed to sell Uniti Fiber’s Midwest operations to MIP for $37 million, including related pre-paid rent to be received from MIP at closing, while Uniti will retain its existing Midwest fiber network. Uniti is acquiring the fiber network of Bluebird for $319 million, of which $175 million will be funded by Uniti in cash and $144 million from pre-paid rent to be received from MIP at closing. These transactions are subject to regulatory and other closing conditions and are expected to close by the end of the third quarter of 2019. Concurrently with the closing of these transactions, Uniti will lease the Bluebird fiber network and its Midwest fiber network on a combined basis to MIP, under a long-term triple net lease, with initial annual cash rents of approximately $20.3 million. The lease will be reported within the results of our Leasing segment.</w:t>
      </w:r>
    </w:p>
    <w:p>
      <w:pPr>
        <w:spacing w:after="0" w:line="109"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On February 19, 2019, the Company announced it had agreed to sell Uniti Towers’ Latin America business to an entity controlled by Phoenix Towers International (“PTI”) for cash consideration of approximately $100 million. PTI will acquire approximately 500 towers located across Mexico, Colombia and Nicaragua. The transaction is subject to customary closing conditions and is expected to close by the end of the first quarter of 2019.</w:t>
      </w:r>
    </w:p>
    <w:p>
      <w:pPr>
        <w:spacing w:after="0" w:line="92" w:lineRule="exact"/>
        <w:rPr>
          <w:sz w:val="20"/>
          <w:szCs w:val="20"/>
          <w:color w:val="auto"/>
        </w:rPr>
      </w:pPr>
    </w:p>
    <w:p>
      <w:pPr>
        <w:ind w:right="180"/>
        <w:spacing w:after="0" w:line="290" w:lineRule="auto"/>
        <w:rPr>
          <w:rFonts w:ascii="Arial" w:cs="Arial" w:eastAsia="Arial" w:hAnsi="Arial"/>
          <w:sz w:val="11"/>
          <w:szCs w:val="11"/>
          <w:color w:val="auto"/>
        </w:rPr>
      </w:pPr>
      <w:r>
        <w:rPr>
          <w:rFonts w:ascii="Arial" w:cs="Arial" w:eastAsia="Arial" w:hAnsi="Arial"/>
          <w:sz w:val="11"/>
          <w:szCs w:val="11"/>
          <w:color w:val="auto"/>
        </w:rPr>
        <w:t xml:space="preserve">As a result of the adverse court ruling Windstream received on February 15, 2019 (see </w:t>
      </w:r>
      <w:hyperlink w:anchor="page64">
        <w:r>
          <w:rPr>
            <w:rFonts w:ascii="Arial" w:cs="Arial" w:eastAsia="Arial" w:hAnsi="Arial"/>
            <w:sz w:val="11"/>
            <w:szCs w:val="11"/>
            <w:u w:val="single" w:color="auto"/>
            <w:color w:val="0000EE"/>
          </w:rPr>
          <w:t>Note 2</w:t>
        </w:r>
      </w:hyperlink>
      <w:r>
        <w:rPr>
          <w:rFonts w:ascii="Arial" w:cs="Arial" w:eastAsia="Arial" w:hAnsi="Arial"/>
          <w:sz w:val="11"/>
          <w:szCs w:val="11"/>
          <w:color w:val="auto"/>
        </w:rPr>
        <w:t>), the Company has evaluated the potential impacts to our Consolidated Financial Statements as of and for the year ended December 31, 2018, concluding that no adjustments were required to be made to amounts reported on the financial statements at this time. We will continue to monitor the situation and evaluate any potential impacts to our first quarter 2019 Condensed Consolidated Financial Statements including, but not limited to, compliance with debt covenants, our quarterly REIT compliance test, goodwill impairment and long-lived asset impairment tests, the collectability of our straight line rent receivable related to the Master Lease and our assertion that we will cash settle any contingent consideration arrangements or Series A Shares upon conversion by the holders.</w:t>
      </w:r>
    </w:p>
    <w:p>
      <w:pPr>
        <w:spacing w:after="0" w:line="109" w:lineRule="exact"/>
        <w:rPr>
          <w:sz w:val="20"/>
          <w:szCs w:val="20"/>
          <w:color w:val="auto"/>
        </w:rPr>
      </w:pPr>
    </w:p>
    <w:p>
      <w:pPr>
        <w:jc w:val="both"/>
        <w:ind w:right="120"/>
        <w:spacing w:after="0" w:line="340" w:lineRule="auto"/>
        <w:rPr>
          <w:sz w:val="20"/>
          <w:szCs w:val="20"/>
          <w:color w:val="auto"/>
        </w:rPr>
      </w:pPr>
      <w:r>
        <w:rPr>
          <w:rFonts w:ascii="Arial" w:cs="Arial" w:eastAsia="Arial" w:hAnsi="Arial"/>
          <w:sz w:val="10"/>
          <w:szCs w:val="10"/>
          <w:color w:val="auto"/>
        </w:rPr>
        <w:t>We may take measures to conserve cash as we anticipate that it would be difficult for us to access the capital markets at attractive rates until uncertainty is clarified and because of the risk of disruptions in payments by Windstream during its bankruptcy proceeding. Accordingly, we may elect to suspend, delay or reduce success-based capital expenditures and our dividend to conserve cash. Because our Master Lease is essential to Windstream’s operations, we expect that any disruption in payments by Windstream would be limited, and we believe that if we take such actions, we would have adequate liquidity to fund our operations for twelve months after the date the financial statements are issued.</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24. Quarterly Results of Operations (unaudited)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Selected quarterly information for each of the four quarters in the year ended December 31, 2018:</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2018</w:t>
            </w: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0"/>
                <w:szCs w:val="10"/>
                <w:b w:val="1"/>
                <w:bCs w:val="1"/>
                <w:color w:val="auto"/>
              </w:rPr>
              <w:t>First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Second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03"/>
              <w:spacing w:after="0"/>
              <w:rPr>
                <w:sz w:val="20"/>
                <w:szCs w:val="20"/>
                <w:color w:val="auto"/>
              </w:rPr>
            </w:pPr>
            <w:r>
              <w:rPr>
                <w:rFonts w:ascii="Arial" w:cs="Arial" w:eastAsia="Arial" w:hAnsi="Arial"/>
                <w:sz w:val="10"/>
                <w:szCs w:val="10"/>
                <w:b w:val="1"/>
                <w:bCs w:val="1"/>
                <w:color w:val="auto"/>
              </w:rPr>
              <w:t>Third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0"/>
                <w:szCs w:val="10"/>
                <w:b w:val="1"/>
                <w:bCs w:val="1"/>
                <w:color w:val="auto"/>
              </w:rPr>
              <w:t>Fourth</w:t>
            </w:r>
          </w:p>
        </w:tc>
        <w:tc>
          <w:tcPr>
            <w:tcW w:w="20" w:type="dxa"/>
            <w:vAlign w:val="bottom"/>
          </w:tcPr>
          <w:p>
            <w:pPr>
              <w:spacing w:after="0"/>
              <w:rPr>
                <w:sz w:val="14"/>
                <w:szCs w:val="14"/>
                <w:color w:val="auto"/>
              </w:rPr>
            </w:pPr>
          </w:p>
        </w:tc>
      </w:tr>
      <w:tr>
        <w:trPr>
          <w:trHeight w:val="152"/>
        </w:trPr>
        <w:tc>
          <w:tcPr>
            <w:tcW w:w="5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Quarter</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Quarter</w:t>
            </w: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Quarter</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Quarter</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860" w:type="dxa"/>
            <w:vAlign w:val="bottom"/>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246,915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247,329</w:t>
            </w:r>
          </w:p>
        </w:tc>
        <w:tc>
          <w:tcPr>
            <w:tcW w:w="4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252,636</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270,754</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(6,239)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2,758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14,470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(3,593)</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14,683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Net (loss) income attributable to common shareholders</w:t>
            </w:r>
          </w:p>
        </w:tc>
        <w:tc>
          <w:tcPr>
            <w:tcW w:w="8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(870)</w:t>
            </w: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(5,562)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2,075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12,346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Basic (loss) earnings per common share</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(0.00)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(0.03)</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0.01</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(loss) earnings per common share</w:t>
            </w:r>
          </w:p>
        </w:tc>
        <w:tc>
          <w:tcPr>
            <w:tcW w:w="860" w:type="dxa"/>
            <w:vAlign w:val="bottom"/>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(0.01)</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(0.03)</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0.01</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0.60</w:t>
            </w:r>
          </w:p>
        </w:tc>
        <w:tc>
          <w:tcPr>
            <w:tcW w:w="4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89"/>
              <w:spacing w:after="0"/>
              <w:rPr>
                <w:sz w:val="20"/>
                <w:szCs w:val="20"/>
                <w:color w:val="auto"/>
              </w:rPr>
            </w:pPr>
            <w:r>
              <w:rPr>
                <w:rFonts w:ascii="Arial" w:cs="Arial" w:eastAsia="Arial" w:hAnsi="Arial"/>
                <w:sz w:val="12"/>
                <w:szCs w:val="12"/>
                <w:color w:val="auto"/>
              </w:rPr>
              <w:t>104</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04" w:name="page105"/>
    <w:bookmarkEnd w:id="1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Selected quarterly information for each of the four quarters in the year ended December 31, 2017:</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2017</w:t>
            </w: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0"/>
                <w:szCs w:val="10"/>
                <w:b w:val="1"/>
                <w:bCs w:val="1"/>
                <w:color w:val="auto"/>
              </w:rPr>
              <w:t>First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Second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Fourth</w:t>
            </w:r>
          </w:p>
        </w:tc>
        <w:tc>
          <w:tcPr>
            <w:tcW w:w="20" w:type="dxa"/>
            <w:vAlign w:val="bottom"/>
          </w:tcPr>
          <w:p>
            <w:pPr>
              <w:spacing w:after="0"/>
              <w:rPr>
                <w:sz w:val="14"/>
                <w:szCs w:val="14"/>
                <w:color w:val="auto"/>
              </w:rPr>
            </w:pPr>
          </w:p>
        </w:tc>
      </w:tr>
      <w:tr>
        <w:trPr>
          <w:trHeight w:val="152"/>
        </w:trPr>
        <w:tc>
          <w:tcPr>
            <w:tcW w:w="5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Quarter</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Quarter</w:t>
            </w: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Quarter</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Quarter</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860" w:type="dxa"/>
            <w:vAlign w:val="bottom"/>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211,473</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213,013</w:t>
            </w:r>
          </w:p>
        </w:tc>
        <w:tc>
          <w:tcPr>
            <w:tcW w:w="4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245,210</w:t>
            </w:r>
          </w:p>
        </w:tc>
        <w:tc>
          <w:tcPr>
            <w:tcW w:w="1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246,336</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8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(20,379)</w:t>
            </w: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(16,385)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(3,837)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(7,076)</w:t>
            </w:r>
          </w:p>
        </w:tc>
        <w:tc>
          <w:tcPr>
            <w:tcW w:w="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 income</w:t>
            </w:r>
          </w:p>
        </w:tc>
        <w:tc>
          <w:tcPr>
            <w:tcW w:w="8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(20,000)</w:t>
            </w:r>
          </w:p>
        </w:tc>
        <w:tc>
          <w:tcPr>
            <w:tcW w:w="2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(16,460)</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4,835</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22,797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Net (loss) income attributable to common shareholders</w:t>
            </w:r>
          </w:p>
        </w:tc>
        <w:tc>
          <w:tcPr>
            <w:tcW w:w="8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(21,788)</w:t>
            </w: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(18,242)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2,939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20,539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Basic (loss) earnings per common share</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(0.11)</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0.02</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(loss) earnings per common share</w:t>
            </w:r>
          </w:p>
        </w:tc>
        <w:tc>
          <w:tcPr>
            <w:tcW w:w="860" w:type="dxa"/>
            <w:vAlign w:val="bottom"/>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(0.14)</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(0.11)</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(0.02)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0.60</w:t>
            </w:r>
          </w:p>
        </w:tc>
        <w:tc>
          <w:tcPr>
            <w:tcW w:w="4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32"/>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89"/>
              <w:spacing w:after="0"/>
              <w:rPr>
                <w:sz w:val="20"/>
                <w:szCs w:val="20"/>
                <w:color w:val="auto"/>
              </w:rPr>
            </w:pPr>
            <w:r>
              <w:rPr>
                <w:rFonts w:ascii="Arial" w:cs="Arial" w:eastAsia="Arial" w:hAnsi="Arial"/>
                <w:sz w:val="12"/>
                <w:szCs w:val="12"/>
                <w:color w:val="auto"/>
              </w:rPr>
              <w:t>105</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50"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25"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Our management, with the participation of our principal executive officer and principal financial officer, evaluated the effectiveness of our disclosure controls and procedures as of December 31, 2018. Based on this evaluation, our principal executive officer and principal financial officer concluded that our disclosure controls and procedures were effective as of December 31, 2018.</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Management’s Annual Report on Internal Control Over Financial Reporting</w:t>
      </w:r>
    </w:p>
    <w:p>
      <w:pPr>
        <w:spacing w:after="0" w:line="150"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Rule 13a-15(f)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3" w:lineRule="exact"/>
        <w:rPr>
          <w:sz w:val="20"/>
          <w:szCs w:val="20"/>
          <w:color w:val="auto"/>
        </w:rPr>
      </w:pPr>
    </w:p>
    <w:p>
      <w:pPr>
        <w:ind w:left="880" w:hanging="447"/>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the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Provide reasonable assurance that transactions are recorded as necessary to permit preparation of financial statements in accordance with generally accepted accounting principles, and that receipts and expenditures of the Company are being</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880" w:hanging="447"/>
        <w:spacing w:after="0"/>
        <w:tabs>
          <w:tab w:leader="none" w:pos="8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15"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On October 19, 2018, the Company completed the acquisitions of Information Transport Solutions, Inc. (“ITS”) Management excluded ITS from its assessment of internal control over financial reporting as of December 31, 2018 because ITS was acquired by the Company in a purchase business combination in 2018. ITS represents 0.4% of total assets and 0.9% of total revenue, of the related consolidated financial statement amounts as of and for the year ended December 31, 2018.</w:t>
      </w:r>
    </w:p>
    <w:p>
      <w:pPr>
        <w:spacing w:after="0" w:line="123"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 xml:space="preserve">Our management, with the participation of our principal executive officer and principal financial officer, evaluated the effectiveness of our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40"/>
          </w:cols>
          <w:pgMar w:left="220" w:top="131" w:right="139" w:bottom="1440" w:gutter="0" w:footer="0" w:header="0"/>
        </w:sectPr>
      </w:pPr>
    </w:p>
    <w:bookmarkStart w:id="106" w:name="page107"/>
    <w:bookmarkEnd w:id="10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Based on this evaluation under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COSO, management concluded the Company’s internal control over financial reporting was effective as of December 31, 2018.</w:t>
      </w:r>
    </w:p>
    <w:p>
      <w:pPr>
        <w:spacing w:after="0" w:line="16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Company’s independent registered public accounting firm, PricewaterhouseCoopers LLP, who has audited the consolidated financial statements included in this Annual Report on Form 10-K, has also audited the effectiveness of the Company’s internal control over financial reporting as of December 31, 2018, as stated in their report which appears in Part II, Item 8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7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There were no changes in our internal control over financial reporting that occurred during the quarter ended December 31, 2018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As noted above, on March 18, 2019, we entered into the fourth amendment and limited waiver (the “Amendment”) to our Credit Agreement among Uniti Group LP, Uniti Group Finance Inc. and CSL Capital, LLC, as borrowers, the guarantors party thereto, the lenders party thereto, and Bank of America, N.A., as administrative agent and collateral agent. Please see “Management’s Discussion and Analysis of Financial Condition and Results of Operations —Liquidity and Capital Resources—Credit Agreement” for additional information about the material terms of the Amendment. The foregoing descriptions of the Amendment are qualified in their entirety by reference to the Amendment, a copy of which is filed as Exhibit 10.11 hereto.</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107" w:name="page108"/>
    <w:bookmarkEnd w:id="1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2018, pursuant to Regulation 14A under the Exchange Act in connection with our 2019 annual meeting of stockholders.</w:t>
      </w:r>
    </w:p>
    <w:p>
      <w:pPr>
        <w:spacing w:after="0" w:line="115"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 xml:space="preserve">We have a code of ethics as defined in Item 406 of Regulation S-K, which code applies to all of our directors and employees, including our principal executive officer, principal financial officer, principal accounting officer or controller, and persons performing similar functions. A copy of this code of ethics, titled “Code of Business Conduct and Ethics &amp; Whistleblower Policy,” is available free of charge in the </w:t>
      </w:r>
      <w:r>
        <w:rPr>
          <w:rFonts w:ascii="Arial" w:cs="Arial" w:eastAsia="Arial" w:hAnsi="Arial"/>
          <w:sz w:val="11"/>
          <w:szCs w:val="11"/>
          <w:i w:val="1"/>
          <w:iCs w:val="1"/>
          <w:color w:val="auto"/>
        </w:rPr>
        <w:t>Corporate Governance</w:t>
      </w:r>
      <w:r>
        <w:rPr>
          <w:rFonts w:ascii="Arial" w:cs="Arial" w:eastAsia="Arial" w:hAnsi="Arial"/>
          <w:sz w:val="11"/>
          <w:szCs w:val="11"/>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2018, pursuant to Regulation 14A under the Exchange Act in connection with our 2019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2018, pursuant to Regulation 14A under the Exchange Act in connection with our 2019 annual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Securities Authorized for Issuance Under Equity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contains information about our equity compensation plan as of December 31, 2018:</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E</w:t>
      </w:r>
      <w:r>
        <w:rPr>
          <w:rFonts w:ascii="Arial" w:cs="Arial" w:eastAsia="Arial" w:hAnsi="Arial"/>
          <w:sz w:val="7"/>
          <w:szCs w:val="7"/>
          <w:b w:val="1"/>
          <w:bCs w:val="1"/>
          <w:color w:val="auto"/>
        </w:rPr>
        <w:t>QUITY</w:t>
      </w:r>
      <w:r>
        <w:rPr>
          <w:rFonts w:ascii="Arial" w:cs="Arial" w:eastAsia="Arial" w:hAnsi="Arial"/>
          <w:sz w:val="11"/>
          <w:szCs w:val="11"/>
          <w:b w:val="1"/>
          <w:bCs w:val="1"/>
          <w:color w:val="auto"/>
        </w:rPr>
        <w:t xml:space="preserve"> C</w:t>
      </w:r>
      <w:r>
        <w:rPr>
          <w:rFonts w:ascii="Arial" w:cs="Arial" w:eastAsia="Arial" w:hAnsi="Arial"/>
          <w:sz w:val="7"/>
          <w:szCs w:val="7"/>
          <w:b w:val="1"/>
          <w:bCs w:val="1"/>
          <w:color w:val="auto"/>
        </w:rPr>
        <w:t>OMPENSATION</w:t>
      </w:r>
      <w:r>
        <w:rPr>
          <w:rFonts w:ascii="Arial" w:cs="Arial" w:eastAsia="Arial" w:hAnsi="Arial"/>
          <w:sz w:val="11"/>
          <w:szCs w:val="11"/>
          <w:b w:val="1"/>
          <w:bCs w:val="1"/>
          <w:color w:val="auto"/>
        </w:rPr>
        <w:t xml:space="preserve"> P</w:t>
      </w:r>
      <w:r>
        <w:rPr>
          <w:rFonts w:ascii="Arial" w:cs="Arial" w:eastAsia="Arial" w:hAnsi="Arial"/>
          <w:sz w:val="7"/>
          <w:szCs w:val="7"/>
          <w:b w:val="1"/>
          <w:bCs w:val="1"/>
          <w:color w:val="auto"/>
        </w:rPr>
        <w:t>LAN</w:t>
      </w:r>
      <w:r>
        <w:rPr>
          <w:rFonts w:ascii="Arial" w:cs="Arial" w:eastAsia="Arial" w:hAnsi="Arial"/>
          <w:sz w:val="11"/>
          <w:szCs w:val="11"/>
          <w:b w:val="1"/>
          <w:bCs w:val="1"/>
          <w:color w:val="auto"/>
        </w:rPr>
        <w:t xml:space="preserve"> I</w:t>
      </w:r>
      <w:r>
        <w:rPr>
          <w:rFonts w:ascii="Arial" w:cs="Arial" w:eastAsia="Arial" w:hAnsi="Arial"/>
          <w:sz w:val="7"/>
          <w:szCs w:val="7"/>
          <w:b w:val="1"/>
          <w:bCs w:val="1"/>
          <w:color w:val="auto"/>
        </w:rPr>
        <w:t>NFORMATION</w:t>
      </w:r>
    </w:p>
    <w:p>
      <w:pPr>
        <w:sectPr>
          <w:pgSz w:w="11900" w:h="16838" w:orient="portrait"/>
          <w:cols w:equalWidth="0" w:num="1">
            <w:col w:w="11400"/>
          </w:cols>
          <w:pgMar w:left="220" w:top="1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80"/>
        <w:spacing w:after="0"/>
        <w:rPr>
          <w:sz w:val="20"/>
          <w:szCs w:val="20"/>
          <w:color w:val="auto"/>
        </w:rPr>
      </w:pPr>
      <w:r>
        <w:rPr>
          <w:rFonts w:ascii="Arial" w:cs="Arial" w:eastAsia="Arial" w:hAnsi="Arial"/>
          <w:sz w:val="11"/>
          <w:szCs w:val="11"/>
          <w:b w:val="1"/>
          <w:bCs w:val="1"/>
          <w:color w:val="auto"/>
        </w:rPr>
        <w:t>Plan category</w:t>
      </w:r>
    </w:p>
    <w:p>
      <w:pPr>
        <w:spacing w:after="0" w:line="292" w:lineRule="exact"/>
        <w:rPr>
          <w:sz w:val="20"/>
          <w:szCs w:val="20"/>
          <w:color w:val="auto"/>
        </w:rPr>
      </w:pPr>
    </w:p>
    <w:p>
      <w:pPr>
        <w:jc w:val="center"/>
        <w:ind w:left="320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200"/>
        <w:spacing w:after="0"/>
        <w:rPr>
          <w:sz w:val="20"/>
          <w:szCs w:val="20"/>
          <w:color w:val="auto"/>
        </w:rPr>
      </w:pPr>
      <w:r>
        <w:rPr>
          <w:rFonts w:ascii="Arial" w:cs="Arial" w:eastAsia="Arial" w:hAnsi="Arial"/>
          <w:sz w:val="11"/>
          <w:szCs w:val="11"/>
          <w:color w:val="auto"/>
        </w:rPr>
        <w:t>approved by security</w:t>
      </w:r>
    </w:p>
    <w:p>
      <w:pPr>
        <w:spacing w:after="0" w:line="9" w:lineRule="exact"/>
        <w:rPr>
          <w:sz w:val="20"/>
          <w:szCs w:val="20"/>
          <w:color w:val="auto"/>
        </w:rPr>
      </w:pPr>
    </w:p>
    <w:p>
      <w:pPr>
        <w:jc w:val="center"/>
        <w:ind w:left="3200"/>
        <w:spacing w:after="0"/>
        <w:rPr>
          <w:sz w:val="20"/>
          <w:szCs w:val="20"/>
          <w:color w:val="auto"/>
        </w:rPr>
      </w:pPr>
      <w:r>
        <w:rPr>
          <w:rFonts w:ascii="Arial" w:cs="Arial" w:eastAsia="Arial" w:hAnsi="Arial"/>
          <w:sz w:val="11"/>
          <w:szCs w:val="11"/>
          <w:color w:val="auto"/>
        </w:rPr>
        <w:t>holders</w:t>
      </w:r>
    </w:p>
    <w:p>
      <w:pPr>
        <w:spacing w:after="0" w:line="143" w:lineRule="exact"/>
        <w:rPr>
          <w:sz w:val="20"/>
          <w:szCs w:val="20"/>
          <w:color w:val="auto"/>
        </w:rPr>
      </w:pPr>
    </w:p>
    <w:p>
      <w:pPr>
        <w:jc w:val="center"/>
        <w:ind w:left="320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200"/>
        <w:spacing w:after="0"/>
        <w:rPr>
          <w:sz w:val="20"/>
          <w:szCs w:val="20"/>
          <w:color w:val="auto"/>
        </w:rPr>
      </w:pPr>
      <w:r>
        <w:rPr>
          <w:rFonts w:ascii="Arial" w:cs="Arial" w:eastAsia="Arial" w:hAnsi="Arial"/>
          <w:sz w:val="10"/>
          <w:szCs w:val="10"/>
          <w:color w:val="auto"/>
        </w:rPr>
        <w:t>not approved by security</w:t>
      </w:r>
    </w:p>
    <w:p>
      <w:pPr>
        <w:spacing w:after="0" w:line="20" w:lineRule="exact"/>
        <w:rPr>
          <w:sz w:val="20"/>
          <w:szCs w:val="20"/>
          <w:color w:val="auto"/>
        </w:rPr>
      </w:pPr>
    </w:p>
    <w:p>
      <w:pPr>
        <w:jc w:val="center"/>
        <w:ind w:left="3200"/>
        <w:spacing w:after="0"/>
        <w:rPr>
          <w:sz w:val="20"/>
          <w:szCs w:val="20"/>
          <w:color w:val="auto"/>
        </w:rPr>
      </w:pPr>
      <w:r>
        <w:rPr>
          <w:rFonts w:ascii="Arial" w:cs="Arial" w:eastAsia="Arial" w:hAnsi="Arial"/>
          <w:sz w:val="11"/>
          <w:szCs w:val="11"/>
          <w:color w:val="auto"/>
        </w:rPr>
        <w:t>holders</w:t>
      </w:r>
    </w:p>
    <w:p>
      <w:pPr>
        <w:spacing w:after="0" w:line="287" w:lineRule="exact"/>
        <w:rPr>
          <w:sz w:val="20"/>
          <w:szCs w:val="20"/>
          <w:color w:val="auto"/>
        </w:rPr>
      </w:pPr>
    </w:p>
    <w:p>
      <w:pPr>
        <w:ind w:left="368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7"/>
              </w:rPr>
              <w:t>Number of securities</w:t>
            </w:r>
          </w:p>
        </w:tc>
        <w:tc>
          <w:tcPr>
            <w:tcW w:w="1200" w:type="dxa"/>
            <w:vAlign w:val="bottom"/>
          </w:tcPr>
          <w:p>
            <w:pPr>
              <w:spacing w:after="0"/>
              <w:rPr>
                <w:sz w:val="11"/>
                <w:szCs w:val="11"/>
                <w:color w:val="auto"/>
              </w:rPr>
            </w:pP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7"/>
              </w:rPr>
              <w:t>Number of securities</w:t>
            </w:r>
          </w:p>
        </w:tc>
        <w:tc>
          <w:tcPr>
            <w:tcW w:w="0" w:type="dxa"/>
            <w:vAlign w:val="bottom"/>
          </w:tcPr>
          <w:p>
            <w:pPr>
              <w:spacing w:after="0"/>
              <w:rPr>
                <w:sz w:val="1"/>
                <w:szCs w:val="1"/>
                <w:color w:val="auto"/>
              </w:rPr>
            </w:pPr>
          </w:p>
        </w:tc>
      </w:tr>
      <w:tr>
        <w:trPr>
          <w:trHeight w:val="135"/>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4"/>
              </w:rPr>
              <w:t>to be issued upon</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Weighted-average</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7"/>
              </w:rPr>
              <w:t>available for future issuance</w:t>
            </w:r>
          </w:p>
        </w:tc>
        <w:tc>
          <w:tcPr>
            <w:tcW w:w="0" w:type="dxa"/>
            <w:vAlign w:val="bottom"/>
          </w:tcPr>
          <w:p>
            <w:pPr>
              <w:spacing w:after="0"/>
              <w:rPr>
                <w:sz w:val="1"/>
                <w:szCs w:val="1"/>
                <w:color w:val="auto"/>
              </w:rPr>
            </w:pPr>
          </w:p>
        </w:tc>
      </w:tr>
      <w:tr>
        <w:trPr>
          <w:trHeight w:val="135"/>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3"/>
              </w:rPr>
              <w:t>exercise of</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5"/>
              </w:rPr>
              <w:t>exercise price of</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7"/>
              </w:rPr>
              <w:t>under equity compensation</w:t>
            </w:r>
          </w:p>
        </w:tc>
        <w:tc>
          <w:tcPr>
            <w:tcW w:w="0" w:type="dxa"/>
            <w:vAlign w:val="bottom"/>
          </w:tcPr>
          <w:p>
            <w:pPr>
              <w:spacing w:after="0"/>
              <w:rPr>
                <w:sz w:val="1"/>
                <w:szCs w:val="1"/>
                <w:color w:val="auto"/>
              </w:rPr>
            </w:pPr>
          </w:p>
        </w:tc>
      </w:tr>
      <w:tr>
        <w:trPr>
          <w:trHeight w:val="135"/>
        </w:trPr>
        <w:tc>
          <w:tcPr>
            <w:tcW w:w="1200" w:type="dxa"/>
            <w:vAlign w:val="bottom"/>
          </w:tcPr>
          <w:p>
            <w:pPr>
              <w:jc w:val="center"/>
              <w:ind w:right="6"/>
              <w:spacing w:after="0"/>
              <w:rPr>
                <w:sz w:val="20"/>
                <w:szCs w:val="20"/>
                <w:color w:val="auto"/>
              </w:rPr>
            </w:pPr>
            <w:r>
              <w:rPr>
                <w:rFonts w:ascii="Arial" w:cs="Arial" w:eastAsia="Arial" w:hAnsi="Arial"/>
                <w:sz w:val="11"/>
                <w:szCs w:val="11"/>
                <w:b w:val="1"/>
                <w:bCs w:val="1"/>
                <w:color w:val="auto"/>
                <w:w w:val="86"/>
              </w:rPr>
              <w:t>outstanding options,</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6"/>
              </w:rPr>
              <w:t>plans (excluding securities</w:t>
            </w:r>
          </w:p>
        </w:tc>
        <w:tc>
          <w:tcPr>
            <w:tcW w:w="0" w:type="dxa"/>
            <w:vAlign w:val="bottom"/>
          </w:tcPr>
          <w:p>
            <w:pPr>
              <w:spacing w:after="0"/>
              <w:rPr>
                <w:sz w:val="1"/>
                <w:szCs w:val="1"/>
                <w:color w:val="auto"/>
              </w:rPr>
            </w:pPr>
          </w:p>
        </w:tc>
      </w:tr>
      <w:tr>
        <w:trPr>
          <w:trHeight w:val="142"/>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warrants and rights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warrants and rights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reflected in column (a))</w:t>
            </w:r>
          </w:p>
        </w:tc>
        <w:tc>
          <w:tcPr>
            <w:tcW w:w="0" w:type="dxa"/>
            <w:vAlign w:val="bottom"/>
          </w:tcPr>
          <w:p>
            <w:pPr>
              <w:spacing w:after="0"/>
              <w:rPr>
                <w:sz w:val="1"/>
                <w:szCs w:val="1"/>
                <w:color w:val="auto"/>
              </w:rPr>
            </w:pPr>
          </w:p>
        </w:tc>
      </w:tr>
      <w:tr>
        <w:trPr>
          <w:trHeight w:val="131"/>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5"/>
              </w:rPr>
              <w:t>(b)</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427"/>
        </w:trPr>
        <w:tc>
          <w:tcPr>
            <w:tcW w:w="1200" w:type="dxa"/>
            <w:vAlign w:val="bottom"/>
            <w:vMerge w:val="restart"/>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rPr>
                <w:sz w:val="20"/>
                <w:szCs w:val="20"/>
                <w:color w:val="auto"/>
              </w:rPr>
            </w:pPr>
            <w:r>
              <w:rPr>
                <w:rFonts w:ascii="Arial" w:cs="Arial" w:eastAsia="Arial" w:hAnsi="Arial"/>
                <w:sz w:val="11"/>
                <w:szCs w:val="11"/>
                <w:color w:val="auto"/>
                <w:w w:val="86"/>
              </w:rPr>
              <w:t>6,724,876</w:t>
            </w:r>
            <w:r>
              <w:rPr>
                <w:rFonts w:ascii="Arial" w:cs="Arial" w:eastAsia="Arial" w:hAnsi="Arial"/>
                <w:sz w:val="18"/>
                <w:szCs w:val="18"/>
                <w:color w:val="auto"/>
                <w:w w:val="86"/>
                <w:vertAlign w:val="superscript"/>
              </w:rPr>
              <w:t>1</w:t>
            </w:r>
          </w:p>
        </w:tc>
        <w:tc>
          <w:tcPr>
            <w:tcW w:w="0" w:type="dxa"/>
            <w:vAlign w:val="bottom"/>
          </w:tcPr>
          <w:p>
            <w:pPr>
              <w:spacing w:after="0"/>
              <w:rPr>
                <w:sz w:val="1"/>
                <w:szCs w:val="1"/>
                <w:color w:val="auto"/>
              </w:rPr>
            </w:pPr>
          </w:p>
        </w:tc>
      </w:tr>
      <w:tr>
        <w:trPr>
          <w:trHeight w:val="32"/>
        </w:trPr>
        <w:tc>
          <w:tcPr>
            <w:tcW w:w="12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8"/>
        </w:trPr>
        <w:tc>
          <w:tcPr>
            <w:tcW w:w="1200" w:type="dxa"/>
            <w:vAlign w:val="bottom"/>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0" w:type="dxa"/>
            <w:vAlign w:val="bottom"/>
          </w:tcPr>
          <w:p>
            <w:pPr>
              <w:spacing w:after="0"/>
              <w:rPr>
                <w:sz w:val="1"/>
                <w:szCs w:val="1"/>
                <w:color w:val="auto"/>
              </w:rPr>
            </w:pPr>
          </w:p>
        </w:tc>
      </w:tr>
      <w:tr>
        <w:trPr>
          <w:trHeight w:val="283"/>
        </w:trPr>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200" w:type="dxa"/>
            <w:vAlign w:val="bottom"/>
            <w:vMerge w:val="restart"/>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spacing w:after="0" w:line="125" w:lineRule="exact"/>
              <w:rPr>
                <w:sz w:val="20"/>
                <w:szCs w:val="20"/>
                <w:color w:val="auto"/>
              </w:rPr>
            </w:pPr>
            <w:r>
              <w:rPr>
                <w:rFonts w:ascii="Arial" w:cs="Arial" w:eastAsia="Arial" w:hAnsi="Arial"/>
                <w:sz w:val="11"/>
                <w:szCs w:val="11"/>
                <w:color w:val="auto"/>
                <w:w w:val="85"/>
              </w:rPr>
              <w:t>6,724,876</w:t>
            </w:r>
          </w:p>
        </w:tc>
        <w:tc>
          <w:tcPr>
            <w:tcW w:w="0" w:type="dxa"/>
            <w:vAlign w:val="bottom"/>
          </w:tcPr>
          <w:p>
            <w:pPr>
              <w:spacing w:after="0"/>
              <w:rPr>
                <w:sz w:val="1"/>
                <w:szCs w:val="1"/>
                <w:color w:val="auto"/>
              </w:rPr>
            </w:pPr>
          </w:p>
        </w:tc>
      </w:tr>
      <w:tr>
        <w:trPr>
          <w:trHeight w:val="58"/>
        </w:trPr>
        <w:tc>
          <w:tcPr>
            <w:tcW w:w="12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85725</wp:posOffset>
            </wp:positionV>
            <wp:extent cx="3254375" cy="182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4375" cy="18288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380" w:space="20"/>
            <w:col w:w="7000"/>
          </w:cols>
          <w:pgMar w:left="220" w:top="131" w:right="279" w:bottom="1440" w:gutter="0" w:footer="0" w:header="0"/>
          <w:type w:val="continuous"/>
        </w:sectPr>
      </w:pPr>
    </w:p>
    <w:p>
      <w:pPr>
        <w:ind w:left="3480" w:right="3300" w:hanging="295"/>
        <w:spacing w:after="0" w:line="195" w:lineRule="auto"/>
        <w:tabs>
          <w:tab w:leader="none" w:pos="3480" w:val="left"/>
        </w:tabs>
        <w:numPr>
          <w:ilvl w:val="0"/>
          <w:numId w:val="18"/>
        </w:numPr>
        <w:rPr>
          <w:rFonts w:ascii="Arial" w:cs="Arial" w:eastAsia="Arial" w:hAnsi="Arial"/>
          <w:sz w:val="18"/>
          <w:szCs w:val="18"/>
          <w:color w:val="auto"/>
          <w:vertAlign w:val="superscript"/>
        </w:rPr>
      </w:pPr>
      <w:r>
        <w:rPr>
          <w:rFonts w:ascii="Arial" w:cs="Arial" w:eastAsia="Arial" w:hAnsi="Arial"/>
          <w:sz w:val="11"/>
          <w:szCs w:val="11"/>
          <w:color w:val="auto"/>
        </w:rPr>
        <w:t>Amount includes 4,724,876 shares available for issuance under the Uniti Group Inc. 2015 Equity Incentive Plan and 2,000,000 shares Uniti Group Inc. Employee Stock Purchase Plan.</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108" w:name="page109"/>
    <w:bookmarkEnd w:id="1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2018, pursuant to Regulation 14A under the Exchange Act in connection with our 2019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2018, pursuant to Regulation 14A under the Exchange Act in connection with our 2019 annual meeting of stockholders.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sectPr>
      </w:pPr>
    </w:p>
    <w:bookmarkStart w:id="109" w:name="page110"/>
    <w:bookmarkEnd w:id="1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See Index to Consolidated Financial Statements in “Financial Statements and Supplementary Data.”</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 Schedules</w:t>
      </w:r>
    </w:p>
    <w:p>
      <w:pPr>
        <w:spacing w:after="0" w:line="82"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Uniti Group Inc. Schedule I – Condensed Financial Information of the Registrant (Parent Company) Condensed Balance Sheets as of December 31, 2018 and 2017, and the related Condensed Statements of Comprehensive Income and Cash Flows for each of the three years in the period ended December 31, 2018, including the related notes, appearing on pages S-1, S-2, S-3, and S-4 of this report.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 – Valuation and Qualifying Accounts for each of the three years in the period ended December 31, 2018 appearing on page S-5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III – Schedule of Real Estate Investments and Accumulated Depreciation as of December 31, 2018 appearing on page S-6 of this report.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Index to Exhibits</w:t>
            </w:r>
          </w:p>
        </w:tc>
        <w:tc>
          <w:tcPr>
            <w:tcW w:w="2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2"/>
        </w:trPr>
        <w:tc>
          <w:tcPr>
            <w:tcW w:w="1620" w:type="dxa"/>
            <w:vAlign w:val="bottom"/>
            <w:gridSpan w:val="2"/>
          </w:tcPr>
          <w:p>
            <w:pPr>
              <w:ind w:left="320"/>
              <w:spacing w:after="0"/>
              <w:rPr>
                <w:sz w:val="20"/>
                <w:szCs w:val="20"/>
                <w:color w:val="auto"/>
              </w:rPr>
            </w:pPr>
            <w:r>
              <w:rPr>
                <w:rFonts w:ascii="Arial" w:cs="Arial" w:eastAsia="Arial" w:hAnsi="Arial"/>
                <w:sz w:val="12"/>
                <w:szCs w:val="12"/>
                <w:b w:val="1"/>
                <w:bCs w:val="1"/>
                <w:color w:val="auto"/>
              </w:rPr>
              <w:t>Exhibit No.</w:t>
            </w: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00" w:type="dxa"/>
            <w:vAlign w:val="bottom"/>
            <w:gridSpan w:val="13"/>
          </w:tcPr>
          <w:p>
            <w:pPr>
              <w:ind w:left="206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126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2.1</w:t>
            </w:r>
          </w:p>
        </w:tc>
        <w:tc>
          <w:tcPr>
            <w:tcW w:w="360" w:type="dxa"/>
            <w:vAlign w:val="bottom"/>
          </w:tcPr>
          <w:p>
            <w:pPr>
              <w:spacing w:after="0"/>
              <w:rPr>
                <w:sz w:val="10"/>
                <w:szCs w:val="10"/>
                <w:color w:val="auto"/>
              </w:rPr>
            </w:pPr>
          </w:p>
        </w:tc>
        <w:tc>
          <w:tcPr>
            <w:tcW w:w="9640" w:type="dxa"/>
            <w:vAlign w:val="bottom"/>
            <w:tcBorders>
              <w:top w:val="single" w:sz="8" w:color="auto"/>
              <w:bottom w:val="single" w:sz="8" w:color="0000EE"/>
            </w:tcBorders>
            <w:gridSpan w:val="9"/>
          </w:tcPr>
          <w:p>
            <w:pPr>
              <w:spacing w:after="0" w:line="120" w:lineRule="exact"/>
              <w:rPr>
                <w:rFonts w:ascii="Arial" w:cs="Arial" w:eastAsia="Arial" w:hAnsi="Arial"/>
                <w:sz w:val="12"/>
                <w:szCs w:val="12"/>
                <w:color w:val="0000EE"/>
                <w:w w:val="91"/>
              </w:rPr>
            </w:pPr>
            <w:hyperlink r:id="rId143">
              <w:r>
                <w:rPr>
                  <w:rFonts w:ascii="Arial" w:cs="Arial" w:eastAsia="Arial" w:hAnsi="Arial"/>
                  <w:sz w:val="12"/>
                  <w:szCs w:val="12"/>
                  <w:color w:val="0000EE"/>
                  <w:w w:val="91"/>
                </w:rPr>
                <w:t>Separation and Distribution Agreement, dated as of March 26, 2015, by and among Windstream Holdings, Inc., Windstream Services, LLC and Communications Sales &amp; Leasing, Inc. (incorporated by</w:t>
              </w:r>
            </w:hyperlink>
          </w:p>
        </w:tc>
        <w:tc>
          <w:tcPr>
            <w:tcW w:w="240" w:type="dxa"/>
            <w:vAlign w:val="bottom"/>
            <w:tcBorders>
              <w:top w:val="single" w:sz="8" w:color="auto"/>
            </w:tcBorders>
            <w:gridSpan w:val="6"/>
          </w:tcPr>
          <w:p>
            <w:pPr>
              <w:spacing w:after="0"/>
              <w:rPr>
                <w:sz w:val="10"/>
                <w:szCs w:val="10"/>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5"/>
          </w:tcPr>
          <w:p>
            <w:pPr>
              <w:spacing w:after="0" w:line="124" w:lineRule="exact"/>
              <w:rPr>
                <w:rFonts w:ascii="Arial" w:cs="Arial" w:eastAsia="Arial" w:hAnsi="Arial"/>
                <w:sz w:val="12"/>
                <w:szCs w:val="12"/>
                <w:color w:val="0000EE"/>
              </w:rPr>
            </w:pPr>
            <w:hyperlink r:id="rId143">
              <w:r>
                <w:rPr>
                  <w:rFonts w:ascii="Arial" w:cs="Arial" w:eastAsia="Arial" w:hAnsi="Arial"/>
                  <w:sz w:val="12"/>
                  <w:szCs w:val="12"/>
                  <w:color w:val="0000EE"/>
                </w:rPr>
                <w:t>reference to Exhibit 2.1 to the Company’s Current Report on Form 8-K dated and filed with the SEC as of March 26, 2015 (File No. 001-36708))</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2.2</w:t>
            </w:r>
          </w:p>
        </w:tc>
        <w:tc>
          <w:tcPr>
            <w:tcW w:w="360" w:type="dxa"/>
            <w:vAlign w:val="bottom"/>
          </w:tcPr>
          <w:p>
            <w:pPr>
              <w:spacing w:after="0"/>
              <w:rPr>
                <w:sz w:val="12"/>
                <w:szCs w:val="12"/>
                <w:color w:val="auto"/>
              </w:rPr>
            </w:pPr>
          </w:p>
        </w:tc>
        <w:tc>
          <w:tcPr>
            <w:tcW w:w="9740" w:type="dxa"/>
            <w:vAlign w:val="bottom"/>
            <w:tcBorders>
              <w:bottom w:val="single" w:sz="8" w:color="0000EE"/>
            </w:tcBorders>
            <w:gridSpan w:val="12"/>
          </w:tcPr>
          <w:p>
            <w:pPr>
              <w:spacing w:after="0"/>
              <w:rPr>
                <w:rFonts w:ascii="Arial" w:cs="Arial" w:eastAsia="Arial" w:hAnsi="Arial"/>
                <w:sz w:val="12"/>
                <w:szCs w:val="12"/>
                <w:color w:val="0000EE"/>
                <w:w w:val="91"/>
              </w:rPr>
            </w:pPr>
            <w:hyperlink r:id="rId144">
              <w:r>
                <w:rPr>
                  <w:rFonts w:ascii="Arial" w:cs="Arial" w:eastAsia="Arial" w:hAnsi="Arial"/>
                  <w:sz w:val="12"/>
                  <w:szCs w:val="12"/>
                  <w:color w:val="0000EE"/>
                  <w:w w:val="91"/>
                </w:rPr>
                <w:t>Agreement and Plan of Merger, dated as of January 7, 2016, by and among Communications Sales &amp; Leasing, Inc., CSL Bandwidth Inc., Penn Merger Sub, LLC, PEG Bandwidth, LLC, PEG Bandwidth</w:t>
              </w:r>
            </w:hyperlink>
          </w:p>
        </w:tc>
        <w:tc>
          <w:tcPr>
            <w:tcW w:w="140" w:type="dxa"/>
            <w:vAlign w:val="bottom"/>
            <w:gridSpan w:val="3"/>
          </w:tcPr>
          <w:p>
            <w:pPr>
              <w:spacing w:after="0"/>
              <w:rPr>
                <w:sz w:val="12"/>
                <w:szCs w:val="12"/>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5"/>
          </w:tcPr>
          <w:p>
            <w:pPr>
              <w:spacing w:after="0" w:line="124" w:lineRule="exact"/>
              <w:rPr>
                <w:rFonts w:ascii="Arial" w:cs="Arial" w:eastAsia="Arial" w:hAnsi="Arial"/>
                <w:sz w:val="12"/>
                <w:szCs w:val="12"/>
                <w:color w:val="0000EE"/>
                <w:w w:val="93"/>
              </w:rPr>
            </w:pPr>
            <w:hyperlink r:id="rId144">
              <w:r>
                <w:rPr>
                  <w:rFonts w:ascii="Arial" w:cs="Arial" w:eastAsia="Arial" w:hAnsi="Arial"/>
                  <w:sz w:val="12"/>
                  <w:szCs w:val="12"/>
                  <w:color w:val="0000EE"/>
                  <w:w w:val="93"/>
                </w:rPr>
                <w:t>Holdings, LLC, and PEG Bandwidth Holdings, LLC, as Unitholders’ Representative (incorporated by reference to Exhibit 2.1 to the Company’s Current Report on Form 8-K dated and filed with the SEC</w:t>
              </w:r>
            </w:hyperlink>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90"/>
              </w:rPr>
            </w:pPr>
            <w:hyperlink r:id="rId144">
              <w:r>
                <w:rPr>
                  <w:rFonts w:ascii="Arial" w:cs="Arial" w:eastAsia="Arial" w:hAnsi="Arial"/>
                  <w:sz w:val="12"/>
                  <w:szCs w:val="12"/>
                  <w:color w:val="0000EE"/>
                  <w:w w:val="90"/>
                </w:rPr>
                <w:t>as of January 12, 2016 (File No. 001-36708))</w:t>
              </w:r>
            </w:hyperlink>
          </w:p>
        </w:tc>
        <w:tc>
          <w:tcPr>
            <w:tcW w:w="7580" w:type="dxa"/>
            <w:vAlign w:val="bottom"/>
            <w:tcBorders>
              <w:top w:val="single" w:sz="8" w:color="0000EE"/>
            </w:tcBorders>
            <w:gridSpan w:val="12"/>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2.3**</w:t>
            </w:r>
          </w:p>
        </w:tc>
        <w:tc>
          <w:tcPr>
            <w:tcW w:w="360" w:type="dxa"/>
            <w:vAlign w:val="bottom"/>
          </w:tcPr>
          <w:p>
            <w:pPr>
              <w:spacing w:after="0"/>
              <w:rPr>
                <w:sz w:val="12"/>
                <w:szCs w:val="12"/>
                <w:color w:val="auto"/>
              </w:rPr>
            </w:pPr>
          </w:p>
        </w:tc>
        <w:tc>
          <w:tcPr>
            <w:tcW w:w="9880" w:type="dxa"/>
            <w:vAlign w:val="bottom"/>
            <w:gridSpan w:val="15"/>
          </w:tcPr>
          <w:p>
            <w:pPr>
              <w:spacing w:after="0"/>
              <w:rPr>
                <w:rFonts w:ascii="Arial" w:cs="Arial" w:eastAsia="Arial" w:hAnsi="Arial"/>
                <w:sz w:val="12"/>
                <w:szCs w:val="12"/>
                <w:color w:val="0000EE"/>
                <w:w w:val="93"/>
              </w:rPr>
            </w:pPr>
            <w:hyperlink r:id="rId145">
              <w:r>
                <w:rPr>
                  <w:rFonts w:ascii="Arial" w:cs="Arial" w:eastAsia="Arial" w:hAnsi="Arial"/>
                  <w:sz w:val="12"/>
                  <w:szCs w:val="12"/>
                  <w:color w:val="0000EE"/>
                  <w:w w:val="93"/>
                </w:rPr>
                <w:t>Agreement and Plan of Merger, dated as of June 20, 2016, by and among Communications Sales &amp; Leasing, Inc., CSL Fiber Holdings LLC, Thor Merger Sub, Inc., Tower Cloud, Inc. and Shareholder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45">
              <w:r>
                <w:rPr>
                  <w:rFonts w:ascii="Arial" w:cs="Arial" w:eastAsia="Arial" w:hAnsi="Arial"/>
                  <w:sz w:val="12"/>
                  <w:szCs w:val="12"/>
                  <w:color w:val="0000EE"/>
                  <w:w w:val="91"/>
                </w:rPr>
                <w:t>Representative Services LLC, as representative of the equityholders of Tower Cloud, Inc. (incorporated by reference to Exhibit 2.1 to the Company’s Quarterly Report on Form 10-Q dated and filed with</w:t>
              </w:r>
            </w:hyperlink>
          </w:p>
        </w:tc>
        <w:tc>
          <w:tcPr>
            <w:tcW w:w="160" w:type="dxa"/>
            <w:vAlign w:val="bottom"/>
            <w:gridSpan w:val="4"/>
          </w:tcPr>
          <w:p>
            <w:pPr>
              <w:spacing w:after="0"/>
              <w:rPr>
                <w:sz w:val="10"/>
                <w:szCs w:val="10"/>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80" w:type="dxa"/>
            <w:vAlign w:val="bottom"/>
            <w:tcBorders>
              <w:bottom w:val="single" w:sz="8" w:color="0000EE"/>
            </w:tcBorders>
            <w:gridSpan w:val="2"/>
          </w:tcPr>
          <w:p>
            <w:pPr>
              <w:spacing w:after="0" w:line="124" w:lineRule="exact"/>
              <w:rPr>
                <w:rFonts w:ascii="Arial" w:cs="Arial" w:eastAsia="Arial" w:hAnsi="Arial"/>
                <w:sz w:val="12"/>
                <w:szCs w:val="12"/>
                <w:color w:val="0000EE"/>
                <w:w w:val="90"/>
              </w:rPr>
            </w:pPr>
            <w:hyperlink r:id="rId145">
              <w:r>
                <w:rPr>
                  <w:rFonts w:ascii="Arial" w:cs="Arial" w:eastAsia="Arial" w:hAnsi="Arial"/>
                  <w:sz w:val="12"/>
                  <w:szCs w:val="12"/>
                  <w:color w:val="0000EE"/>
                  <w:w w:val="90"/>
                </w:rPr>
                <w:t>the SEC as of August 11, 2016 (File No. 001-36708))</w:t>
              </w:r>
            </w:hyperlink>
          </w:p>
        </w:tc>
        <w:tc>
          <w:tcPr>
            <w:tcW w:w="7300" w:type="dxa"/>
            <w:vAlign w:val="bottom"/>
            <w:gridSpan w:val="13"/>
          </w:tcPr>
          <w:p>
            <w:pPr>
              <w:spacing w:after="0"/>
              <w:rPr>
                <w:sz w:val="10"/>
                <w:szCs w:val="10"/>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2.4</w:t>
            </w:r>
          </w:p>
        </w:tc>
        <w:tc>
          <w:tcPr>
            <w:tcW w:w="360" w:type="dxa"/>
            <w:vAlign w:val="bottom"/>
          </w:tcPr>
          <w:p>
            <w:pPr>
              <w:spacing w:after="0"/>
              <w:rPr>
                <w:sz w:val="12"/>
                <w:szCs w:val="12"/>
                <w:color w:val="auto"/>
              </w:rPr>
            </w:pPr>
          </w:p>
        </w:tc>
        <w:tc>
          <w:tcPr>
            <w:tcW w:w="9880" w:type="dxa"/>
            <w:vAlign w:val="bottom"/>
            <w:gridSpan w:val="15"/>
          </w:tcPr>
          <w:p>
            <w:pPr>
              <w:spacing w:after="0"/>
              <w:rPr>
                <w:rFonts w:ascii="Arial" w:cs="Arial" w:eastAsia="Arial" w:hAnsi="Arial"/>
                <w:sz w:val="12"/>
                <w:szCs w:val="12"/>
                <w:color w:val="0000EE"/>
                <w:w w:val="93"/>
              </w:rPr>
            </w:pPr>
            <w:hyperlink r:id="rId146">
              <w:r>
                <w:rPr>
                  <w:rFonts w:ascii="Arial" w:cs="Arial" w:eastAsia="Arial" w:hAnsi="Arial"/>
                  <w:sz w:val="12"/>
                  <w:szCs w:val="12"/>
                  <w:color w:val="0000EE"/>
                  <w:w w:val="93"/>
                </w:rPr>
                <w:t>First Amendment, dated as of August 11, 2016, to the Agreement and Plan of Merger, dated as of June 20, 2016, by and among Communications Sales &amp; Leasing, Inc., CSL Fiber Holdings LLC, Thor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5"/>
          </w:tcPr>
          <w:p>
            <w:pPr>
              <w:spacing w:after="0" w:line="124" w:lineRule="exact"/>
              <w:rPr>
                <w:rFonts w:ascii="Arial" w:cs="Arial" w:eastAsia="Arial" w:hAnsi="Arial"/>
                <w:sz w:val="12"/>
                <w:szCs w:val="12"/>
                <w:color w:val="0000EE"/>
                <w:w w:val="92"/>
              </w:rPr>
            </w:pPr>
            <w:hyperlink r:id="rId146">
              <w:r>
                <w:rPr>
                  <w:rFonts w:ascii="Arial" w:cs="Arial" w:eastAsia="Arial" w:hAnsi="Arial"/>
                  <w:sz w:val="12"/>
                  <w:szCs w:val="12"/>
                  <w:color w:val="0000EE"/>
                  <w:w w:val="92"/>
                </w:rPr>
                <w:t>Merger Sub, Inc., Tower Cloud, Inc. and Shareholder Representative Services LLC, as representative of the equityholders of Tower Cloud, Inc. (incorporated by reference to Exhibit 2.2 to the Company’s</w:t>
              </w:r>
            </w:hyperlink>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4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r:id="rId146">
              <w:r>
                <w:rPr>
                  <w:rFonts w:ascii="Arial" w:cs="Arial" w:eastAsia="Arial" w:hAnsi="Arial"/>
                  <w:sz w:val="12"/>
                  <w:szCs w:val="12"/>
                  <w:color w:val="0000EE"/>
                </w:rPr>
                <w:t>Quarterly Report on Form 10-Q dated and filed with the SEC as of August 11, 2016 (File No. 001-36708))</w:t>
              </w:r>
            </w:hyperlink>
          </w:p>
        </w:tc>
        <w:tc>
          <w:tcPr>
            <w:tcW w:w="140" w:type="dxa"/>
            <w:vAlign w:val="bottom"/>
            <w:gridSpan w:val="3"/>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4"/>
        </w:trPr>
        <w:tc>
          <w:tcPr>
            <w:tcW w:w="1260" w:type="dxa"/>
            <w:vAlign w:val="bottom"/>
          </w:tcPr>
          <w:p>
            <w:pPr>
              <w:spacing w:after="0"/>
              <w:rPr>
                <w:sz w:val="20"/>
                <w:szCs w:val="20"/>
                <w:color w:val="auto"/>
              </w:rPr>
            </w:pPr>
            <w:r>
              <w:rPr>
                <w:rFonts w:ascii="Arial" w:cs="Arial" w:eastAsia="Arial" w:hAnsi="Arial"/>
                <w:sz w:val="12"/>
                <w:szCs w:val="12"/>
                <w:color w:val="auto"/>
              </w:rPr>
              <w:t>2.5</w:t>
            </w:r>
          </w:p>
        </w:tc>
        <w:tc>
          <w:tcPr>
            <w:tcW w:w="360" w:type="dxa"/>
            <w:vAlign w:val="bottom"/>
          </w:tcPr>
          <w:p>
            <w:pPr>
              <w:spacing w:after="0"/>
              <w:rPr>
                <w:sz w:val="18"/>
                <w:szCs w:val="18"/>
                <w:color w:val="auto"/>
              </w:rPr>
            </w:pPr>
          </w:p>
        </w:tc>
        <w:tc>
          <w:tcPr>
            <w:tcW w:w="9660" w:type="dxa"/>
            <w:vAlign w:val="bottom"/>
            <w:tcBorders>
              <w:bottom w:val="single" w:sz="8" w:color="0000EE"/>
            </w:tcBorders>
            <w:gridSpan w:val="10"/>
          </w:tcPr>
          <w:p>
            <w:pPr>
              <w:spacing w:after="0"/>
              <w:rPr>
                <w:rFonts w:ascii="Arial" w:cs="Arial" w:eastAsia="Arial" w:hAnsi="Arial"/>
                <w:sz w:val="12"/>
                <w:szCs w:val="12"/>
                <w:color w:val="0000EE"/>
                <w:w w:val="91"/>
              </w:rPr>
            </w:pPr>
            <w:hyperlink r:id="rId147">
              <w:r>
                <w:rPr>
                  <w:rFonts w:ascii="Arial" w:cs="Arial" w:eastAsia="Arial" w:hAnsi="Arial"/>
                  <w:sz w:val="12"/>
                  <w:szCs w:val="12"/>
                  <w:color w:val="0000EE"/>
                  <w:w w:val="91"/>
                </w:rPr>
                <w:t>Membership Interests Purchase Agreement, dated as of April 7, 2017, by and among Uniti Group Inc., Uniti Fiber Holdings Inc. and SLF Holdings, LLC (incorporated by reference to Exhibit 2.1 to the</w:t>
              </w:r>
            </w:hyperlink>
          </w:p>
        </w:tc>
        <w:tc>
          <w:tcPr>
            <w:tcW w:w="220" w:type="dxa"/>
            <w:vAlign w:val="bottom"/>
            <w:gridSpan w:val="5"/>
          </w:tcPr>
          <w:p>
            <w:pPr>
              <w:spacing w:after="0"/>
              <w:rPr>
                <w:sz w:val="18"/>
                <w:szCs w:val="18"/>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6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147">
              <w:r>
                <w:rPr>
                  <w:rFonts w:ascii="Arial" w:cs="Arial" w:eastAsia="Arial" w:hAnsi="Arial"/>
                  <w:sz w:val="12"/>
                  <w:szCs w:val="12"/>
                  <w:color w:val="0000EE"/>
                  <w:w w:val="91"/>
                </w:rPr>
                <w:t>Company’s Current Report on Form 8-K dated and filed with the SEC as of April 11, 2017 (File No. 001-36708))</w:t>
              </w:r>
            </w:hyperlink>
          </w:p>
        </w:tc>
        <w:tc>
          <w:tcPr>
            <w:tcW w:w="4420" w:type="dxa"/>
            <w:vAlign w:val="bottom"/>
            <w:gridSpan w:val="10"/>
          </w:tcPr>
          <w:p>
            <w:pPr>
              <w:spacing w:after="0"/>
              <w:rPr>
                <w:sz w:val="10"/>
                <w:szCs w:val="10"/>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2.6</w:t>
            </w:r>
          </w:p>
        </w:tc>
        <w:tc>
          <w:tcPr>
            <w:tcW w:w="360" w:type="dxa"/>
            <w:vAlign w:val="bottom"/>
          </w:tcPr>
          <w:p>
            <w:pPr>
              <w:spacing w:after="0"/>
              <w:rPr>
                <w:sz w:val="12"/>
                <w:szCs w:val="12"/>
                <w:color w:val="auto"/>
              </w:rPr>
            </w:pPr>
          </w:p>
        </w:tc>
        <w:tc>
          <w:tcPr>
            <w:tcW w:w="9840" w:type="dxa"/>
            <w:vAlign w:val="bottom"/>
            <w:tcBorders>
              <w:bottom w:val="single" w:sz="8" w:color="0000EE"/>
            </w:tcBorders>
            <w:gridSpan w:val="14"/>
          </w:tcPr>
          <w:p>
            <w:pPr>
              <w:spacing w:after="0"/>
              <w:rPr>
                <w:rFonts w:ascii="Arial" w:cs="Arial" w:eastAsia="Arial" w:hAnsi="Arial"/>
                <w:sz w:val="12"/>
                <w:szCs w:val="12"/>
                <w:color w:val="0000EE"/>
                <w:w w:val="91"/>
              </w:rPr>
            </w:pPr>
            <w:hyperlink r:id="rId148">
              <w:r>
                <w:rPr>
                  <w:rFonts w:ascii="Arial" w:cs="Arial" w:eastAsia="Arial" w:hAnsi="Arial"/>
                  <w:sz w:val="12"/>
                  <w:szCs w:val="12"/>
                  <w:color w:val="0000EE"/>
                  <w:w w:val="91"/>
                </w:rPr>
                <w:t>Amended and Restated Agreement of Limited Partnership of Uniti Group LP, dated July 3, 2017, by and between Uniti and Uniti Group LP LLC (incorporated by reference to Exhibit 2.1 to the Company’s</w:t>
              </w:r>
            </w:hyperlink>
          </w:p>
        </w:tc>
        <w:tc>
          <w:tcPr>
            <w:tcW w:w="40" w:type="dxa"/>
            <w:vAlign w:val="bottom"/>
          </w:tcPr>
          <w:p>
            <w:pPr>
              <w:spacing w:after="0"/>
              <w:rPr>
                <w:sz w:val="12"/>
                <w:szCs w:val="12"/>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5"/>
          </w:tcPr>
          <w:p>
            <w:pPr>
              <w:spacing w:after="0" w:line="124" w:lineRule="exact"/>
              <w:rPr>
                <w:rFonts w:ascii="Arial" w:cs="Arial" w:eastAsia="Arial" w:hAnsi="Arial"/>
                <w:sz w:val="12"/>
                <w:szCs w:val="12"/>
                <w:color w:val="0000EE"/>
              </w:rPr>
            </w:pPr>
            <w:hyperlink r:id="rId148">
              <w:r>
                <w:rPr>
                  <w:rFonts w:ascii="Arial" w:cs="Arial" w:eastAsia="Arial" w:hAnsi="Arial"/>
                  <w:sz w:val="12"/>
                  <w:szCs w:val="12"/>
                  <w:color w:val="0000EE"/>
                </w:rPr>
                <w:t>Current Report on Form 8-K dated and filed with the SEC as of July 3, 2017 (File No. 001-36708))</w:t>
              </w:r>
            </w:hyperlink>
          </w:p>
        </w:tc>
      </w:tr>
      <w:tr>
        <w:trPr>
          <w:trHeight w:val="304"/>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tcBorders>
              <w:top w:val="single" w:sz="8" w:color="0000EE"/>
            </w:tcBorders>
            <w:gridSpan w:val="3"/>
          </w:tcPr>
          <w:p>
            <w:pPr>
              <w:ind w:left="4020"/>
              <w:spacing w:after="0"/>
              <w:rPr>
                <w:sz w:val="20"/>
                <w:szCs w:val="20"/>
                <w:color w:val="auto"/>
              </w:rPr>
            </w:pPr>
            <w:r>
              <w:rPr>
                <w:rFonts w:ascii="Arial" w:cs="Arial" w:eastAsia="Arial" w:hAnsi="Arial"/>
                <w:sz w:val="12"/>
                <w:szCs w:val="12"/>
                <w:color w:val="auto"/>
              </w:rPr>
              <w:t>110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
        </w:trPr>
        <w:tc>
          <w:tcPr>
            <w:tcW w:w="12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0" w:right="1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500" w:type="dxa"/>
            <w:vAlign w:val="bottom"/>
            <w:gridSpan w:val="11"/>
          </w:tcPr>
          <w:p>
            <w:pPr>
              <w:ind w:left="126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3.1</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tcBorders>
              <w:top w:val="single" w:sz="8" w:color="auto"/>
            </w:tcBorders>
            <w:gridSpan w:val="19"/>
          </w:tcPr>
          <w:p>
            <w:pPr>
              <w:spacing w:after="0" w:line="120" w:lineRule="exact"/>
              <w:rPr>
                <w:rFonts w:ascii="Arial" w:cs="Arial" w:eastAsia="Arial" w:hAnsi="Arial"/>
                <w:sz w:val="12"/>
                <w:szCs w:val="12"/>
                <w:color w:val="0000EE"/>
                <w:w w:val="91"/>
              </w:rPr>
            </w:pPr>
            <w:hyperlink r:id="rId151">
              <w:r>
                <w:rPr>
                  <w:rFonts w:ascii="Arial" w:cs="Arial" w:eastAsia="Arial" w:hAnsi="Arial"/>
                  <w:sz w:val="12"/>
                  <w:szCs w:val="12"/>
                  <w:color w:val="0000EE"/>
                  <w:w w:val="91"/>
                </w:rPr>
                <w:t>Articles of Amendment and Restatement of Communications Sales &amp; Leasing, Inc. (incorporated by reference to Exhibit 3.1 to the Company’s Current Report on Form 8-K dated and filed with the SEC as</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2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r:id="rId151">
              <w:r>
                <w:rPr>
                  <w:rFonts w:ascii="Arial" w:cs="Arial" w:eastAsia="Arial" w:hAnsi="Arial"/>
                  <w:sz w:val="12"/>
                  <w:szCs w:val="12"/>
                  <w:color w:val="0000EE"/>
                </w:rPr>
                <w:t>of April 10, 2015 (File No. 001-36708))</w:t>
              </w:r>
            </w:hyperlink>
          </w:p>
        </w:tc>
        <w:tc>
          <w:tcPr>
            <w:tcW w:w="60" w:type="dxa"/>
            <w:vAlign w:val="bottom"/>
            <w:gridSpan w:val="3"/>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5"/>
          </w:tcPr>
          <w:p>
            <w:pPr>
              <w:spacing w:after="0"/>
              <w:rPr>
                <w:rFonts w:ascii="Arial" w:cs="Arial" w:eastAsia="Arial" w:hAnsi="Arial"/>
                <w:sz w:val="12"/>
                <w:szCs w:val="12"/>
                <w:color w:val="0000EE"/>
                <w:w w:val="91"/>
              </w:rPr>
            </w:pPr>
            <w:hyperlink r:id="rId152">
              <w:r>
                <w:rPr>
                  <w:rFonts w:ascii="Arial" w:cs="Arial" w:eastAsia="Arial" w:hAnsi="Arial"/>
                  <w:sz w:val="12"/>
                  <w:szCs w:val="12"/>
                  <w:color w:val="0000EE"/>
                  <w:w w:val="91"/>
                </w:rPr>
                <w:t>Articles of Amendment of Communications Sales &amp; Leasing, Inc. (incorporated by reference to Exhibit 3.1 to the Company’s Current Report on Form 8-K dated and filed with the SEC as of February 28,</w:t>
              </w:r>
            </w:hyperlink>
          </w:p>
        </w:tc>
        <w:tc>
          <w:tcPr>
            <w:tcW w:w="100" w:type="dxa"/>
            <w:vAlign w:val="bottom"/>
            <w:gridSpan w:val="4"/>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Borders>
              <w:bottom w:val="single" w:sz="8" w:color="0000EE"/>
            </w:tcBorders>
            <w:gridSpan w:val="5"/>
          </w:tcPr>
          <w:p>
            <w:pPr>
              <w:spacing w:after="0" w:line="124" w:lineRule="exact"/>
              <w:rPr>
                <w:rFonts w:ascii="Arial" w:cs="Arial" w:eastAsia="Arial" w:hAnsi="Arial"/>
                <w:sz w:val="12"/>
                <w:szCs w:val="12"/>
                <w:color w:val="0000EE"/>
                <w:w w:val="92"/>
              </w:rPr>
            </w:pPr>
            <w:hyperlink r:id="rId152">
              <w:r>
                <w:rPr>
                  <w:rFonts w:ascii="Arial" w:cs="Arial" w:eastAsia="Arial" w:hAnsi="Arial"/>
                  <w:sz w:val="12"/>
                  <w:szCs w:val="12"/>
                  <w:color w:val="0000EE"/>
                  <w:w w:val="92"/>
                </w:rPr>
                <w:t>2017 (File No. 001-36708))</w:t>
              </w:r>
            </w:hyperlink>
          </w:p>
        </w:tc>
        <w:tc>
          <w:tcPr>
            <w:tcW w:w="852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60" w:type="dxa"/>
            <w:vAlign w:val="bottom"/>
            <w:tcBorders>
              <w:bottom w:val="single" w:sz="8" w:color="0000EE"/>
            </w:tcBorders>
            <w:gridSpan w:val="18"/>
          </w:tcPr>
          <w:p>
            <w:pPr>
              <w:spacing w:after="0"/>
              <w:rPr>
                <w:rFonts w:ascii="Arial" w:cs="Arial" w:eastAsia="Arial" w:hAnsi="Arial"/>
                <w:sz w:val="12"/>
                <w:szCs w:val="12"/>
                <w:color w:val="0000EE"/>
                <w:w w:val="92"/>
              </w:rPr>
            </w:pPr>
            <w:hyperlink r:id="rId151">
              <w:r>
                <w:rPr>
                  <w:rFonts w:ascii="Arial" w:cs="Arial" w:eastAsia="Arial" w:hAnsi="Arial"/>
                  <w:sz w:val="12"/>
                  <w:szCs w:val="12"/>
                  <w:color w:val="0000EE"/>
                  <w:w w:val="92"/>
                </w:rPr>
                <w:t>Articles of Amendment of Uniti Group Inc. (incorporated by reference to Exhibit 3.1 to the Company’s Current Report on Form 8-K dated and filed with the SEC as of May 18, 2018 (File No. 001-36708))</w:t>
              </w:r>
            </w:hyperlink>
          </w:p>
        </w:tc>
        <w:tc>
          <w:tcPr>
            <w:tcW w:w="20" w:type="dxa"/>
            <w:vAlign w:val="bottom"/>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3"/>
              </w:rPr>
            </w:pPr>
            <w:hyperlink r:id="rId153">
              <w:r>
                <w:rPr>
                  <w:rFonts w:ascii="Arial" w:cs="Arial" w:eastAsia="Arial" w:hAnsi="Arial"/>
                  <w:sz w:val="12"/>
                  <w:szCs w:val="12"/>
                  <w:color w:val="0000EE"/>
                  <w:w w:val="93"/>
                </w:rPr>
                <w:t>Amended and Restated Bylaws of Uniti Group Inc. (incorporated by reference to Exhibit 3.1 to the Company’s Current Report on Form 8-K dated as of May 1, 2017 and filed with the SEC as of May 2,</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91"/>
              </w:rPr>
            </w:pPr>
            <w:hyperlink r:id="rId153">
              <w:r>
                <w:rPr>
                  <w:rFonts w:ascii="Arial" w:cs="Arial" w:eastAsia="Arial" w:hAnsi="Arial"/>
                  <w:sz w:val="12"/>
                  <w:szCs w:val="12"/>
                  <w:color w:val="0000EE"/>
                  <w:w w:val="91"/>
                </w:rPr>
                <w:t>2017 (File No. 001-36708))</w:t>
              </w:r>
            </w:hyperlink>
          </w:p>
        </w:tc>
        <w:tc>
          <w:tcPr>
            <w:tcW w:w="8340" w:type="dxa"/>
            <w:vAlign w:val="bottom"/>
            <w:tcBorders>
              <w:top w:val="single" w:sz="8" w:color="0000EE"/>
            </w:tcBorders>
            <w:gridSpan w:val="8"/>
          </w:tcPr>
          <w:p>
            <w:pPr>
              <w:spacing w:after="0"/>
              <w:rPr>
                <w:sz w:val="10"/>
                <w:szCs w:val="10"/>
                <w:color w:val="auto"/>
              </w:rPr>
            </w:pPr>
          </w:p>
        </w:tc>
        <w:tc>
          <w:tcPr>
            <w:tcW w:w="200" w:type="dxa"/>
            <w:vAlign w:val="bottom"/>
            <w:gridSpan w:val="7"/>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3"/>
              </w:rPr>
            </w:pPr>
            <w:hyperlink r:id="rId154">
              <w:r>
                <w:rPr>
                  <w:rFonts w:ascii="Arial" w:cs="Arial" w:eastAsia="Arial" w:hAnsi="Arial"/>
                  <w:sz w:val="12"/>
                  <w:szCs w:val="12"/>
                  <w:color w:val="0000EE"/>
                  <w:w w:val="93"/>
                </w:rPr>
                <w:t>Indenture, dated as of April 24, 2015, among Communications Sales &amp; Leasing, Inc. and CSL Capital, LLC, as Issuers, the guarantors named therein, and Wells Fargo Bank, National Association, as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w w:val="93"/>
              </w:rPr>
            </w:pPr>
            <w:hyperlink r:id="rId154">
              <w:r>
                <w:rPr>
                  <w:rFonts w:ascii="Arial" w:cs="Arial" w:eastAsia="Arial" w:hAnsi="Arial"/>
                  <w:sz w:val="12"/>
                  <w:szCs w:val="12"/>
                  <w:color w:val="0000EE"/>
                  <w:w w:val="93"/>
                </w:rPr>
                <w:t>trustee, governing the 8.25% Senior Notes due 2023 (incorporated by reference to Exhibit 4.2 to the Company’s Current Report on Form 8-K dated and filed with the SEC as of April 27, 2015 (File No.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8"/>
              </w:rPr>
            </w:pPr>
            <w:hyperlink r:id="rId154">
              <w:r>
                <w:rPr>
                  <w:rFonts w:ascii="Arial" w:cs="Arial" w:eastAsia="Arial" w:hAnsi="Arial"/>
                  <w:sz w:val="12"/>
                  <w:szCs w:val="12"/>
                  <w:color w:val="0000EE"/>
                  <w:w w:val="88"/>
                </w:rPr>
                <w:t>001-36708))</w:t>
              </w:r>
            </w:hyperlink>
          </w:p>
        </w:tc>
        <w:tc>
          <w:tcPr>
            <w:tcW w:w="7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60" w:type="dxa"/>
            <w:vAlign w:val="bottom"/>
            <w:tcBorders>
              <w:top w:val="single" w:sz="8" w:color="0000EE"/>
            </w:tcBorders>
          </w:tcPr>
          <w:p>
            <w:pPr>
              <w:spacing w:after="0"/>
              <w:rPr>
                <w:sz w:val="10"/>
                <w:szCs w:val="10"/>
                <w:color w:val="auto"/>
              </w:rPr>
            </w:pPr>
          </w:p>
        </w:tc>
        <w:tc>
          <w:tcPr>
            <w:tcW w:w="61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60" w:type="dxa"/>
            <w:vAlign w:val="bottom"/>
            <w:tcBorders>
              <w:bottom w:val="single" w:sz="8" w:color="0000EE"/>
            </w:tcBorders>
            <w:gridSpan w:val="14"/>
          </w:tcPr>
          <w:p>
            <w:pPr>
              <w:spacing w:after="0"/>
              <w:rPr>
                <w:rFonts w:ascii="Arial" w:cs="Arial" w:eastAsia="Arial" w:hAnsi="Arial"/>
                <w:sz w:val="12"/>
                <w:szCs w:val="12"/>
                <w:color w:val="0000EE"/>
                <w:w w:val="91"/>
              </w:rPr>
            </w:pPr>
            <w:hyperlink r:id="rId154">
              <w:r>
                <w:rPr>
                  <w:rFonts w:ascii="Arial" w:cs="Arial" w:eastAsia="Arial" w:hAnsi="Arial"/>
                  <w:sz w:val="12"/>
                  <w:szCs w:val="12"/>
                  <w:color w:val="0000EE"/>
                  <w:w w:val="91"/>
                </w:rPr>
                <w:t>Form of 8.25% Senior Note due 2023 (included in Exhibit 4.1 above) (incorporated by reference to Exhibit 4.4 to the Company’s Current Report on Form 8-K dated and filed with the SEC as of April 27,</w:t>
              </w:r>
            </w:hyperlink>
          </w:p>
        </w:tc>
        <w:tc>
          <w:tcPr>
            <w:tcW w:w="12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Borders>
              <w:bottom w:val="single" w:sz="8" w:color="0000EE"/>
            </w:tcBorders>
            <w:gridSpan w:val="5"/>
          </w:tcPr>
          <w:p>
            <w:pPr>
              <w:spacing w:after="0" w:line="124" w:lineRule="exact"/>
              <w:rPr>
                <w:rFonts w:ascii="Arial" w:cs="Arial" w:eastAsia="Arial" w:hAnsi="Arial"/>
                <w:sz w:val="12"/>
                <w:szCs w:val="12"/>
                <w:color w:val="0000EE"/>
                <w:w w:val="92"/>
              </w:rPr>
            </w:pPr>
            <w:hyperlink r:id="rId154">
              <w:r>
                <w:rPr>
                  <w:rFonts w:ascii="Arial" w:cs="Arial" w:eastAsia="Arial" w:hAnsi="Arial"/>
                  <w:sz w:val="12"/>
                  <w:szCs w:val="12"/>
                  <w:color w:val="0000EE"/>
                  <w:w w:val="92"/>
                </w:rPr>
                <w:t>2015 (File No. 001-36708))</w:t>
              </w:r>
            </w:hyperlink>
          </w:p>
        </w:tc>
        <w:tc>
          <w:tcPr>
            <w:tcW w:w="852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5"/>
          </w:tcPr>
          <w:p>
            <w:pPr>
              <w:spacing w:after="0"/>
              <w:rPr>
                <w:rFonts w:ascii="Arial" w:cs="Arial" w:eastAsia="Arial" w:hAnsi="Arial"/>
                <w:sz w:val="12"/>
                <w:szCs w:val="12"/>
                <w:color w:val="0000EE"/>
                <w:w w:val="89"/>
              </w:rPr>
            </w:pPr>
            <w:hyperlink r:id="rId155">
              <w:r>
                <w:rPr>
                  <w:rFonts w:ascii="Arial" w:cs="Arial" w:eastAsia="Arial" w:hAnsi="Arial"/>
                  <w:sz w:val="12"/>
                  <w:szCs w:val="12"/>
                  <w:color w:val="0000EE"/>
                  <w:w w:val="89"/>
                </w:rPr>
                <w:t>Second Supplemental Indenture (8.25% Senior Notes due 2023), dated as of October 19, 2016, among Communications Sales &amp; Leasing, Inc. and CSL Capital, LLC, as Issuers, the guarantors thereto and</w:t>
              </w:r>
            </w:hyperlink>
          </w:p>
        </w:tc>
        <w:tc>
          <w:tcPr>
            <w:tcW w:w="100" w:type="dxa"/>
            <w:vAlign w:val="bottom"/>
            <w:gridSpan w:val="4"/>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w w:val="94"/>
              </w:rPr>
            </w:pPr>
            <w:hyperlink r:id="rId155">
              <w:r>
                <w:rPr>
                  <w:rFonts w:ascii="Arial" w:cs="Arial" w:eastAsia="Arial" w:hAnsi="Arial"/>
                  <w:sz w:val="12"/>
                  <w:szCs w:val="12"/>
                  <w:color w:val="0000EE"/>
                  <w:w w:val="94"/>
                </w:rPr>
                <w:t>Wells Fargo Bank, National Association (incorporated by reference to Exhibit 4.3 to the Company’s Annual Report on Form 10-K dated and filed with the SEC as of February 23, 2017 (File No. 001-</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91"/>
              </w:rPr>
            </w:pPr>
            <w:hyperlink r:id="rId155">
              <w:r>
                <w:rPr>
                  <w:rFonts w:ascii="Arial" w:cs="Arial" w:eastAsia="Arial" w:hAnsi="Arial"/>
                  <w:sz w:val="12"/>
                  <w:szCs w:val="12"/>
                  <w:color w:val="0000EE"/>
                  <w:w w:val="91"/>
                </w:rPr>
                <w:t>36708)</w:t>
              </w:r>
              <w:r>
                <w:rPr>
                  <w:rFonts w:ascii="Arial" w:cs="Arial" w:eastAsia="Arial" w:hAnsi="Arial"/>
                  <w:sz w:val="12"/>
                  <w:szCs w:val="12"/>
                  <w:u w:val="single" w:color="auto"/>
                  <w:color w:val="0000EE"/>
                  <w:w w:val="91"/>
                </w:rPr>
                <w:t>)</w:t>
              </w:r>
            </w:hyperlink>
          </w:p>
        </w:tc>
        <w:tc>
          <w:tcPr>
            <w:tcW w:w="20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60" w:type="dxa"/>
            <w:vAlign w:val="bottom"/>
            <w:tcBorders>
              <w:top w:val="single" w:sz="8" w:color="0000EE"/>
            </w:tcBorders>
          </w:tcPr>
          <w:p>
            <w:pPr>
              <w:spacing w:after="0"/>
              <w:rPr>
                <w:sz w:val="10"/>
                <w:szCs w:val="10"/>
                <w:color w:val="auto"/>
              </w:rPr>
            </w:pPr>
          </w:p>
        </w:tc>
        <w:tc>
          <w:tcPr>
            <w:tcW w:w="61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3"/>
              </w:rPr>
            </w:pPr>
            <w:hyperlink r:id="rId156">
              <w:r>
                <w:rPr>
                  <w:rFonts w:ascii="Arial" w:cs="Arial" w:eastAsia="Arial" w:hAnsi="Arial"/>
                  <w:sz w:val="12"/>
                  <w:szCs w:val="12"/>
                  <w:color w:val="0000EE"/>
                  <w:w w:val="93"/>
                </w:rPr>
                <w:t>Fifth Supplemental Indenture, dated as of May 9, 2017, to the indenture dated as of April 24, 2015, among Uniti Group LP, Uniti Group Finance Inc., CSL Capital, LLC, Uniti Group Inc.,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3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r:id="rId156">
              <w:r>
                <w:rPr>
                  <w:rFonts w:ascii="Arial" w:cs="Arial" w:eastAsia="Arial" w:hAnsi="Arial"/>
                  <w:sz w:val="12"/>
                  <w:szCs w:val="12"/>
                  <w:color w:val="0000EE"/>
                  <w:w w:val="90"/>
                </w:rPr>
                <w:t>named therein and Wells Fargo Bank, National Association, as trustee, governing the 8.25% Senior Notes due 2023 (incorporated by reference to Exhibit 4.1 to the Company’s Current Report on Form 8-K</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8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56">
              <w:r>
                <w:rPr>
                  <w:rFonts w:ascii="Arial" w:cs="Arial" w:eastAsia="Arial" w:hAnsi="Arial"/>
                  <w:sz w:val="12"/>
                  <w:szCs w:val="12"/>
                  <w:color w:val="0000EE"/>
                  <w:w w:val="91"/>
                </w:rPr>
                <w:t>dated and filed with the SEC as of May 9, 2017 (File No. 001-36708))</w:t>
              </w:r>
            </w:hyperlink>
          </w:p>
        </w:tc>
        <w:tc>
          <w:tcPr>
            <w:tcW w:w="6500" w:type="dxa"/>
            <w:vAlign w:val="bottom"/>
            <w:gridSpan w:val="11"/>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3"/>
              </w:rPr>
            </w:pPr>
            <w:hyperlink r:id="rId157">
              <w:r>
                <w:rPr>
                  <w:rFonts w:ascii="Arial" w:cs="Arial" w:eastAsia="Arial" w:hAnsi="Arial"/>
                  <w:sz w:val="12"/>
                  <w:szCs w:val="12"/>
                  <w:color w:val="0000EE"/>
                  <w:w w:val="93"/>
                </w:rPr>
                <w:t>Sixth Supplemental Indenture, dated as of May 9, 2017, to the indenture dated as of April 24, 2015, among Uniti Group LP, Uniti Group Finance Inc., CSL Capital, LLC, Uniti Group Inc.,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7900" w:type="dxa"/>
            <w:vAlign w:val="bottom"/>
            <w:gridSpan w:val="7"/>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r:id="rId157">
              <w:r>
                <w:rPr>
                  <w:rFonts w:ascii="Arial" w:cs="Arial" w:eastAsia="Arial" w:hAnsi="Arial"/>
                  <w:sz w:val="12"/>
                  <w:szCs w:val="12"/>
                  <w:color w:val="0000EE"/>
                  <w:w w:val="90"/>
                </w:rPr>
                <w:t>named therein and Wells Fargo Bank, National Association, as trustee, governing the 8.25% Senior Notes due 2023 (incorporated by reference to Exhibit 4.2 to the Company’s Current Report on Form 8-K</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8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57">
              <w:r>
                <w:rPr>
                  <w:rFonts w:ascii="Arial" w:cs="Arial" w:eastAsia="Arial" w:hAnsi="Arial"/>
                  <w:sz w:val="12"/>
                  <w:szCs w:val="12"/>
                  <w:color w:val="0000EE"/>
                  <w:w w:val="91"/>
                </w:rPr>
                <w:t>dated and filed with the SEC as of May 9, 2017 (File No. 001-36708))</w:t>
              </w:r>
            </w:hyperlink>
          </w:p>
        </w:tc>
        <w:tc>
          <w:tcPr>
            <w:tcW w:w="6500" w:type="dxa"/>
            <w:vAlign w:val="bottom"/>
            <w:gridSpan w:val="11"/>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3"/>
              </w:rPr>
            </w:pPr>
            <w:hyperlink r:id="rId158">
              <w:r>
                <w:rPr>
                  <w:rFonts w:ascii="Arial" w:cs="Arial" w:eastAsia="Arial" w:hAnsi="Arial"/>
                  <w:sz w:val="12"/>
                  <w:szCs w:val="12"/>
                  <w:color w:val="0000EE"/>
                  <w:w w:val="93"/>
                </w:rPr>
                <w:t>Indenture, dated as of April 24, 2015, among Communications Sales &amp; Leasing, Inc. and CSL Capital, LLC, as Issuers, the guarantors named therein, and Wells Fargo Bank, National Association, as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772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6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r:id="rId158">
              <w:r>
                <w:rPr>
                  <w:rFonts w:ascii="Arial" w:cs="Arial" w:eastAsia="Arial" w:hAnsi="Arial"/>
                  <w:sz w:val="12"/>
                  <w:szCs w:val="12"/>
                  <w:color w:val="0000EE"/>
                  <w:w w:val="90"/>
                </w:rPr>
                <w:t>trustee and as collateral agent, governing the 6.00% Senior Secured Notes due 2023 (incorporated by reference to Exhibit 4.1 to the Company’s Current Report on Form 8-K dated and filed with the SEC as</w:t>
              </w:r>
            </w:hyperlink>
          </w:p>
        </w:tc>
        <w:tc>
          <w:tcPr>
            <w:tcW w:w="20" w:type="dxa"/>
            <w:vAlign w:val="bottom"/>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rPr>
            </w:pPr>
            <w:hyperlink r:id="rId158">
              <w:r>
                <w:rPr>
                  <w:rFonts w:ascii="Arial" w:cs="Arial" w:eastAsia="Arial" w:hAnsi="Arial"/>
                  <w:sz w:val="12"/>
                  <w:szCs w:val="12"/>
                  <w:color w:val="0000EE"/>
                </w:rPr>
                <w:t>of April 27, 2015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2"/>
              </w:rPr>
            </w:pPr>
            <w:hyperlink r:id="rId158">
              <w:r>
                <w:rPr>
                  <w:rFonts w:ascii="Arial" w:cs="Arial" w:eastAsia="Arial" w:hAnsi="Arial"/>
                  <w:sz w:val="12"/>
                  <w:szCs w:val="12"/>
                  <w:color w:val="0000EE"/>
                  <w:w w:val="92"/>
                </w:rPr>
                <w:t>Form of 6.00% Senior Secured Note due 2023 (included in Exhibit 4.6 above) (incorporated by reference to Exhibit 4.3 to the Company’s Current Report on Form 8-K dated and filed with the SEC as of</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2"/>
              </w:rPr>
            </w:pPr>
            <w:hyperlink r:id="rId158">
              <w:r>
                <w:rPr>
                  <w:rFonts w:ascii="Arial" w:cs="Arial" w:eastAsia="Arial" w:hAnsi="Arial"/>
                  <w:sz w:val="12"/>
                  <w:szCs w:val="12"/>
                  <w:color w:val="0000EE"/>
                  <w:w w:val="92"/>
                </w:rPr>
                <w:t>April 27, 2015 (File No. 001-36708))</w:t>
              </w:r>
            </w:hyperlink>
          </w:p>
        </w:tc>
        <w:tc>
          <w:tcPr>
            <w:tcW w:w="7900" w:type="dxa"/>
            <w:vAlign w:val="bottom"/>
            <w:tcBorders>
              <w:top w:val="single" w:sz="8" w:color="0000EE"/>
            </w:tcBorders>
            <w:gridSpan w:val="7"/>
          </w:tcPr>
          <w:p>
            <w:pPr>
              <w:spacing w:after="0"/>
              <w:rPr>
                <w:sz w:val="10"/>
                <w:szCs w:val="10"/>
                <w:color w:val="auto"/>
              </w:rPr>
            </w:pPr>
          </w:p>
        </w:tc>
        <w:tc>
          <w:tcPr>
            <w:tcW w:w="180" w:type="dxa"/>
            <w:vAlign w:val="bottom"/>
            <w:gridSpan w:val="6"/>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0"/>
              </w:rPr>
            </w:pPr>
            <w:hyperlink r:id="rId159">
              <w:r>
                <w:rPr>
                  <w:rFonts w:ascii="Arial" w:cs="Arial" w:eastAsia="Arial" w:hAnsi="Arial"/>
                  <w:sz w:val="12"/>
                  <w:szCs w:val="12"/>
                  <w:color w:val="0000EE"/>
                  <w:w w:val="90"/>
                </w:rPr>
                <w:t>Second Supplemental Indenture (6.00% Senior Secured Notes due 2023), dated as of June 14, 2016, among Communications Sales &amp; Leasing, Inc. and CSL Capital, LLC, as Issuers, the guarantors thereto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20" w:type="dxa"/>
            <w:vAlign w:val="bottom"/>
            <w:tcBorders>
              <w:top w:val="single" w:sz="8" w:color="0000EE"/>
            </w:tcBorders>
            <w:gridSpan w:val="16"/>
          </w:tcPr>
          <w:p>
            <w:pPr>
              <w:spacing w:after="0" w:line="124" w:lineRule="exact"/>
              <w:rPr>
                <w:rFonts w:ascii="Arial" w:cs="Arial" w:eastAsia="Arial" w:hAnsi="Arial"/>
                <w:sz w:val="12"/>
                <w:szCs w:val="12"/>
                <w:color w:val="0000EE"/>
                <w:w w:val="92"/>
              </w:rPr>
            </w:pPr>
            <w:hyperlink r:id="rId159">
              <w:r>
                <w:rPr>
                  <w:rFonts w:ascii="Arial" w:cs="Arial" w:eastAsia="Arial" w:hAnsi="Arial"/>
                  <w:sz w:val="12"/>
                  <w:szCs w:val="12"/>
                  <w:color w:val="0000EE"/>
                  <w:w w:val="92"/>
                </w:rPr>
                <w:t>and Wells Fargo Bank, National Association (incorporated by reference to Exhibit 4.6 to the Company’s Annual Report on Form 10-K dated and filed with the SEC as of February 23, 2017 (File No. 001-</w:t>
              </w:r>
            </w:hyperlink>
          </w:p>
        </w:tc>
        <w:tc>
          <w:tcPr>
            <w:tcW w:w="60" w:type="dxa"/>
            <w:vAlign w:val="bottom"/>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6"/>
              </w:rPr>
            </w:pPr>
            <w:hyperlink r:id="rId159">
              <w:r>
                <w:rPr>
                  <w:rFonts w:ascii="Arial" w:cs="Arial" w:eastAsia="Arial" w:hAnsi="Arial"/>
                  <w:sz w:val="12"/>
                  <w:szCs w:val="12"/>
                  <w:color w:val="0000EE"/>
                  <w:w w:val="86"/>
                </w:rPr>
                <w:t>36708)</w:t>
              </w:r>
              <w:r>
                <w:rPr>
                  <w:rFonts w:ascii="Arial" w:cs="Arial" w:eastAsia="Arial" w:hAnsi="Arial"/>
                  <w:sz w:val="12"/>
                  <w:szCs w:val="12"/>
                  <w:u w:val="single" w:color="auto"/>
                  <w:color w:val="0000EE"/>
                  <w:w w:val="86"/>
                </w:rPr>
                <w:t>)</w:t>
              </w:r>
            </w:hyperlink>
          </w:p>
        </w:tc>
        <w:tc>
          <w:tcPr>
            <w:tcW w:w="2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60" w:type="dxa"/>
            <w:vAlign w:val="bottom"/>
            <w:tcBorders>
              <w:top w:val="single" w:sz="8" w:color="0000EE"/>
            </w:tcBorders>
          </w:tcPr>
          <w:p>
            <w:pPr>
              <w:spacing w:after="0"/>
              <w:rPr>
                <w:sz w:val="10"/>
                <w:szCs w:val="10"/>
                <w:color w:val="auto"/>
              </w:rPr>
            </w:pPr>
          </w:p>
        </w:tc>
        <w:tc>
          <w:tcPr>
            <w:tcW w:w="61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04"/>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9"/>
          </w:tcPr>
          <w:p>
            <w:pPr>
              <w:ind w:left="4020"/>
              <w:spacing w:after="0"/>
              <w:rPr>
                <w:sz w:val="20"/>
                <w:szCs w:val="20"/>
                <w:color w:val="auto"/>
              </w:rPr>
            </w:pPr>
            <w:r>
              <w:rPr>
                <w:rFonts w:ascii="Arial" w:cs="Arial" w:eastAsia="Arial" w:hAnsi="Arial"/>
                <w:sz w:val="12"/>
                <w:szCs w:val="12"/>
                <w:color w:val="auto"/>
              </w:rPr>
              <w:t>111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6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15"/>
          </w:tcPr>
          <w:p>
            <w:pPr>
              <w:ind w:left="26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4.9</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560" w:type="dxa"/>
            <w:vAlign w:val="bottom"/>
            <w:tcBorders>
              <w:top w:val="single" w:sz="8" w:color="auto"/>
              <w:bottom w:val="single" w:sz="8" w:color="0000EE"/>
            </w:tcBorders>
            <w:gridSpan w:val="14"/>
          </w:tcPr>
          <w:p>
            <w:pPr>
              <w:spacing w:after="0" w:line="120" w:lineRule="exact"/>
              <w:rPr>
                <w:rFonts w:ascii="Arial" w:cs="Arial" w:eastAsia="Arial" w:hAnsi="Arial"/>
                <w:sz w:val="12"/>
                <w:szCs w:val="12"/>
                <w:color w:val="0000EE"/>
                <w:w w:val="90"/>
              </w:rPr>
            </w:pPr>
            <w:hyperlink r:id="rId162">
              <w:r>
                <w:rPr>
                  <w:rFonts w:ascii="Arial" w:cs="Arial" w:eastAsia="Arial" w:hAnsi="Arial"/>
                  <w:sz w:val="12"/>
                  <w:szCs w:val="12"/>
                  <w:color w:val="0000EE"/>
                  <w:w w:val="90"/>
                </w:rPr>
                <w:t>Third Supplemental Indenture (6.00% Senior Secured Notes due 2023), dated as of October 19, 2016, among Communications Sales &amp; Leasing, Inc. and CSL Capital, LLC, as Issuers, the guarantors</w:t>
              </w:r>
            </w:hyperlink>
          </w:p>
        </w:tc>
        <w:tc>
          <w:tcPr>
            <w:tcW w:w="320" w:type="dxa"/>
            <w:vAlign w:val="bottom"/>
            <w:tcBorders>
              <w:top w:val="single" w:sz="8" w:color="auto"/>
            </w:tcBorders>
            <w:gridSpan w:val="9"/>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w w:val="93"/>
              </w:rPr>
            </w:pPr>
            <w:hyperlink r:id="rId162">
              <w:r>
                <w:rPr>
                  <w:rFonts w:ascii="Arial" w:cs="Arial" w:eastAsia="Arial" w:hAnsi="Arial"/>
                  <w:sz w:val="12"/>
                  <w:szCs w:val="12"/>
                  <w:color w:val="0000EE"/>
                  <w:w w:val="93"/>
                </w:rPr>
                <w:t>thereto and Wells Fargo Bank, National Association (incorporated by reference to Exhibit 4.7 to the Company’s Annual Report on Form 10-K dated and filed with the SEC as of February 23, 2017 (File</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91"/>
              </w:rPr>
            </w:pPr>
            <w:hyperlink r:id="rId162">
              <w:r>
                <w:rPr>
                  <w:rFonts w:ascii="Arial" w:cs="Arial" w:eastAsia="Arial" w:hAnsi="Arial"/>
                  <w:sz w:val="12"/>
                  <w:szCs w:val="12"/>
                  <w:color w:val="0000EE"/>
                  <w:w w:val="91"/>
                </w:rPr>
                <w:t>No. 001-36708))</w:t>
              </w:r>
            </w:hyperlink>
          </w:p>
        </w:tc>
        <w:tc>
          <w:tcPr>
            <w:tcW w:w="8840" w:type="dxa"/>
            <w:vAlign w:val="bottom"/>
            <w:tcBorders>
              <w:top w:val="single" w:sz="8" w:color="0000EE"/>
            </w:tcBorders>
            <w:gridSpan w:val="13"/>
          </w:tcPr>
          <w:p>
            <w:pPr>
              <w:spacing w:after="0"/>
              <w:rPr>
                <w:sz w:val="10"/>
                <w:szCs w:val="10"/>
                <w:color w:val="auto"/>
              </w:rPr>
            </w:pPr>
          </w:p>
        </w:tc>
        <w:tc>
          <w:tcPr>
            <w:tcW w:w="220" w:type="dxa"/>
            <w:vAlign w:val="bottom"/>
            <w:gridSpan w:val="8"/>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3"/>
          </w:tcPr>
          <w:p>
            <w:pPr>
              <w:spacing w:after="0"/>
              <w:rPr>
                <w:rFonts w:ascii="Arial" w:cs="Arial" w:eastAsia="Arial" w:hAnsi="Arial"/>
                <w:sz w:val="12"/>
                <w:szCs w:val="12"/>
                <w:color w:val="0000EE"/>
                <w:w w:val="93"/>
              </w:rPr>
            </w:pPr>
            <w:hyperlink r:id="rId163">
              <w:r>
                <w:rPr>
                  <w:rFonts w:ascii="Arial" w:cs="Arial" w:eastAsia="Arial" w:hAnsi="Arial"/>
                  <w:sz w:val="12"/>
                  <w:szCs w:val="12"/>
                  <w:color w:val="0000EE"/>
                  <w:w w:val="93"/>
                </w:rPr>
                <w:t>Sixth Supplemental Indenture, dated as of May 9, 2017, to the indenture dated as of April 24, 2015, among Uniti Group LP, Uniti Group Finance Inc., CSL Capital, LLC, Uniti Group Inc.,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w w:val="90"/>
              </w:rPr>
            </w:pPr>
            <w:hyperlink r:id="rId163">
              <w:r>
                <w:rPr>
                  <w:rFonts w:ascii="Arial" w:cs="Arial" w:eastAsia="Arial" w:hAnsi="Arial"/>
                  <w:sz w:val="12"/>
                  <w:szCs w:val="12"/>
                  <w:color w:val="0000EE"/>
                  <w:w w:val="90"/>
                </w:rPr>
                <w:t>named therein and Wells Fargo Bank, National Association, as trustee and collateral agent, governing the 6.00% Senior Secured Notes due 2023 (incorporated by reference to Exhibit 4.3 to the Company’s</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163">
              <w:r>
                <w:rPr>
                  <w:rFonts w:ascii="Arial" w:cs="Arial" w:eastAsia="Arial" w:hAnsi="Arial"/>
                  <w:sz w:val="12"/>
                  <w:szCs w:val="12"/>
                  <w:color w:val="0000EE"/>
                  <w:w w:val="91"/>
                </w:rPr>
                <w:t>Current Report on Form 8-K dated and filed with the SEC as of May 9, 2017 (File No. 001-36708))</w:t>
              </w:r>
            </w:hyperlink>
          </w:p>
        </w:tc>
        <w:tc>
          <w:tcPr>
            <w:tcW w:w="5000" w:type="dxa"/>
            <w:vAlign w:val="bottom"/>
            <w:tcBorders>
              <w:top w:val="single" w:sz="8" w:color="0000EE"/>
            </w:tcBorders>
            <w:gridSpan w:val="11"/>
          </w:tcPr>
          <w:p>
            <w:pPr>
              <w:spacing w:after="0"/>
              <w:rPr>
                <w:sz w:val="10"/>
                <w:szCs w:val="10"/>
                <w:color w:val="auto"/>
              </w:rPr>
            </w:pPr>
          </w:p>
        </w:tc>
        <w:tc>
          <w:tcPr>
            <w:tcW w:w="80" w:type="dxa"/>
            <w:vAlign w:val="bottom"/>
            <w:gridSpan w:val="3"/>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60" w:type="dxa"/>
            <w:vAlign w:val="bottom"/>
            <w:tcBorders>
              <w:bottom w:val="single" w:sz="8" w:color="0000EE"/>
            </w:tcBorders>
            <w:gridSpan w:val="22"/>
          </w:tcPr>
          <w:p>
            <w:pPr>
              <w:spacing w:after="0"/>
              <w:rPr>
                <w:rFonts w:ascii="Arial" w:cs="Arial" w:eastAsia="Arial" w:hAnsi="Arial"/>
                <w:sz w:val="12"/>
                <w:szCs w:val="12"/>
                <w:color w:val="0000EE"/>
                <w:w w:val="91"/>
              </w:rPr>
            </w:pPr>
            <w:hyperlink r:id="rId164">
              <w:r>
                <w:rPr>
                  <w:rFonts w:ascii="Arial" w:cs="Arial" w:eastAsia="Arial" w:hAnsi="Arial"/>
                  <w:sz w:val="12"/>
                  <w:szCs w:val="12"/>
                  <w:color w:val="0000EE"/>
                  <w:w w:val="91"/>
                </w:rPr>
                <w:t>Seventh Supplemental Indenture, dated as of May 9, 2017, to the indenture dated as of April 24, 2015, among Uniti Group LP, Uniti Group Finance Inc., CSL Capital, LLC, Uniti Group Inc., the guarantors</w:t>
              </w:r>
            </w:hyperlink>
          </w:p>
        </w:tc>
        <w:tc>
          <w:tcPr>
            <w:tcW w:w="20" w:type="dxa"/>
            <w:vAlign w:val="bottom"/>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w w:val="90"/>
              </w:rPr>
            </w:pPr>
            <w:hyperlink r:id="rId164">
              <w:r>
                <w:rPr>
                  <w:rFonts w:ascii="Arial" w:cs="Arial" w:eastAsia="Arial" w:hAnsi="Arial"/>
                  <w:sz w:val="12"/>
                  <w:szCs w:val="12"/>
                  <w:color w:val="0000EE"/>
                  <w:w w:val="90"/>
                </w:rPr>
                <w:t>named therein and Wells Fargo Bank, National Association, as trustee and collateral agent, governing the 6.00% Senior Secured Notes due 2023 (incorporated by reference to Exhibit 4.4 to the Company’s</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164">
              <w:r>
                <w:rPr>
                  <w:rFonts w:ascii="Arial" w:cs="Arial" w:eastAsia="Arial" w:hAnsi="Arial"/>
                  <w:sz w:val="12"/>
                  <w:szCs w:val="12"/>
                  <w:color w:val="0000EE"/>
                  <w:w w:val="91"/>
                </w:rPr>
                <w:t>Current Report on Form 8-K dated and filed with the SEC as of May 9, 2017 (File No. 001-36708))</w:t>
              </w:r>
            </w:hyperlink>
          </w:p>
        </w:tc>
        <w:tc>
          <w:tcPr>
            <w:tcW w:w="5000" w:type="dxa"/>
            <w:vAlign w:val="bottom"/>
            <w:tcBorders>
              <w:top w:val="single" w:sz="8" w:color="0000EE"/>
            </w:tcBorders>
            <w:gridSpan w:val="11"/>
          </w:tcPr>
          <w:p>
            <w:pPr>
              <w:spacing w:after="0"/>
              <w:rPr>
                <w:sz w:val="10"/>
                <w:szCs w:val="10"/>
                <w:color w:val="auto"/>
              </w:rPr>
            </w:pPr>
          </w:p>
        </w:tc>
        <w:tc>
          <w:tcPr>
            <w:tcW w:w="80" w:type="dxa"/>
            <w:vAlign w:val="bottom"/>
            <w:gridSpan w:val="3"/>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tcBorders>
              <w:bottom w:val="single" w:sz="8" w:color="0000EE"/>
            </w:tcBorders>
            <w:gridSpan w:val="20"/>
          </w:tcPr>
          <w:p>
            <w:pPr>
              <w:spacing w:after="0"/>
              <w:rPr>
                <w:rFonts w:ascii="Arial" w:cs="Arial" w:eastAsia="Arial" w:hAnsi="Arial"/>
                <w:sz w:val="12"/>
                <w:szCs w:val="12"/>
                <w:color w:val="0000EE"/>
                <w:w w:val="91"/>
              </w:rPr>
            </w:pPr>
            <w:hyperlink r:id="rId165">
              <w:r>
                <w:rPr>
                  <w:rFonts w:ascii="Arial" w:cs="Arial" w:eastAsia="Arial" w:hAnsi="Arial"/>
                  <w:sz w:val="12"/>
                  <w:szCs w:val="12"/>
                  <w:color w:val="0000EE"/>
                  <w:w w:val="91"/>
                </w:rPr>
                <w:t>Articles Supplementary for 3.00% Series A Convertible Preferred Stock (incorporated by reference to Exhibit 4.1 to the Company’s Current Report on Form 8-K dated and filed with the SEC as of May 4,</w:t>
              </w:r>
            </w:hyperlink>
          </w:p>
        </w:tc>
        <w:tc>
          <w:tcPr>
            <w:tcW w:w="80" w:type="dxa"/>
            <w:vAlign w:val="bottom"/>
            <w:gridSpan w:val="3"/>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165">
              <w:r>
                <w:rPr>
                  <w:rFonts w:ascii="Arial" w:cs="Arial" w:eastAsia="Arial" w:hAnsi="Arial"/>
                  <w:sz w:val="12"/>
                  <w:szCs w:val="12"/>
                  <w:color w:val="0000EE"/>
                  <w:w w:val="91"/>
                </w:rPr>
                <w:t>2016 (File No. 001-36708))</w:t>
              </w:r>
            </w:hyperlink>
          </w:p>
        </w:tc>
        <w:tc>
          <w:tcPr>
            <w:tcW w:w="8540" w:type="dxa"/>
            <w:vAlign w:val="bottom"/>
            <w:gridSpan w:val="20"/>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tcBorders>
              <w:bottom w:val="single" w:sz="8" w:color="0000EE"/>
            </w:tcBorders>
            <w:gridSpan w:val="19"/>
          </w:tcPr>
          <w:p>
            <w:pPr>
              <w:spacing w:after="0"/>
              <w:rPr>
                <w:rFonts w:ascii="Arial" w:cs="Arial" w:eastAsia="Arial" w:hAnsi="Arial"/>
                <w:sz w:val="12"/>
                <w:szCs w:val="12"/>
                <w:color w:val="0000EE"/>
                <w:w w:val="91"/>
              </w:rPr>
            </w:pPr>
            <w:hyperlink r:id="rId166">
              <w:r>
                <w:rPr>
                  <w:rFonts w:ascii="Arial" w:cs="Arial" w:eastAsia="Arial" w:hAnsi="Arial"/>
                  <w:sz w:val="12"/>
                  <w:szCs w:val="12"/>
                  <w:color w:val="0000EE"/>
                  <w:w w:val="91"/>
                </w:rPr>
                <w:t>Articles of Amendment to Articles Supplementary for 3.00% Series A Convertible Preferred Stock (incorporated by reference to Exhibit 3.1 to the Company’s Current Report on Form 8-K dated and filed</w:t>
              </w:r>
            </w:hyperlink>
          </w:p>
        </w:tc>
        <w:tc>
          <w:tcPr>
            <w:tcW w:w="80" w:type="dxa"/>
            <w:vAlign w:val="bottom"/>
            <w:gridSpan w:val="4"/>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4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r:id="rId166">
              <w:r>
                <w:rPr>
                  <w:rFonts w:ascii="Arial" w:cs="Arial" w:eastAsia="Arial" w:hAnsi="Arial"/>
                  <w:sz w:val="12"/>
                  <w:szCs w:val="12"/>
                  <w:color w:val="0000EE"/>
                  <w:w w:val="91"/>
                </w:rPr>
                <w:t>with the SEC as of May 9, 2017 (File No. 001-36708))</w:t>
              </w:r>
            </w:hyperlink>
          </w:p>
        </w:tc>
        <w:tc>
          <w:tcPr>
            <w:tcW w:w="7240" w:type="dxa"/>
            <w:vAlign w:val="bottom"/>
            <w:gridSpan w:val="17"/>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8"/>
          </w:tcPr>
          <w:p>
            <w:pPr>
              <w:spacing w:after="0"/>
              <w:rPr>
                <w:rFonts w:ascii="Arial" w:cs="Arial" w:eastAsia="Arial" w:hAnsi="Arial"/>
                <w:sz w:val="12"/>
                <w:szCs w:val="12"/>
                <w:color w:val="0000EE"/>
                <w:w w:val="90"/>
              </w:rPr>
            </w:pPr>
            <w:hyperlink r:id="rId167">
              <w:r>
                <w:rPr>
                  <w:rFonts w:ascii="Arial" w:cs="Arial" w:eastAsia="Arial" w:hAnsi="Arial"/>
                  <w:sz w:val="12"/>
                  <w:szCs w:val="12"/>
                  <w:color w:val="0000EE"/>
                  <w:w w:val="90"/>
                </w:rPr>
                <w:t>Indenture, dated as of December 15, 2016, among Communications Sales &amp; Leasing, Inc. and CSL Capital, LLC, as Issuers, the guarantors named therein, and Wells Fargo Bank, National Association, as</w:t>
              </w:r>
            </w:hyperlink>
          </w:p>
        </w:tc>
        <w:tc>
          <w:tcPr>
            <w:tcW w:w="10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80" w:type="dxa"/>
            <w:vAlign w:val="bottom"/>
            <w:tcBorders>
              <w:bottom w:val="single" w:sz="8" w:color="0000EE"/>
            </w:tcBorders>
            <w:gridSpan w:val="18"/>
          </w:tcPr>
          <w:p>
            <w:pPr>
              <w:spacing w:after="0" w:line="124" w:lineRule="exact"/>
              <w:rPr>
                <w:rFonts w:ascii="Arial" w:cs="Arial" w:eastAsia="Arial" w:hAnsi="Arial"/>
                <w:sz w:val="12"/>
                <w:szCs w:val="12"/>
                <w:color w:val="0000EE"/>
                <w:w w:val="91"/>
              </w:rPr>
            </w:pPr>
            <w:hyperlink r:id="rId167">
              <w:r>
                <w:rPr>
                  <w:rFonts w:ascii="Arial" w:cs="Arial" w:eastAsia="Arial" w:hAnsi="Arial"/>
                  <w:sz w:val="12"/>
                  <w:szCs w:val="12"/>
                  <w:color w:val="0000EE"/>
                  <w:w w:val="91"/>
                </w:rPr>
                <w:t>trustee, governing the 7.125% Senior Notes due 2024 (incorporated by reference to Exhibit 4.1 of the Company’s Current Report on Form 8-K dated and filed with the SEC as of December 15, 2016 (File</w:t>
              </w:r>
            </w:hyperlink>
          </w:p>
        </w:tc>
        <w:tc>
          <w:tcPr>
            <w:tcW w:w="10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rPr>
            </w:pPr>
            <w:hyperlink r:id="rId167">
              <w:r>
                <w:rPr>
                  <w:rFonts w:ascii="Arial" w:cs="Arial" w:eastAsia="Arial" w:hAnsi="Arial"/>
                  <w:sz w:val="12"/>
                  <w:szCs w:val="12"/>
                  <w:color w:val="0000EE"/>
                </w:rPr>
                <w:t>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40" w:type="dxa"/>
            <w:vAlign w:val="bottom"/>
            <w:tcBorders>
              <w:bottom w:val="single" w:sz="8" w:color="0000EE"/>
            </w:tcBorders>
            <w:gridSpan w:val="11"/>
          </w:tcPr>
          <w:p>
            <w:pPr>
              <w:spacing w:after="0"/>
              <w:rPr>
                <w:rFonts w:ascii="Arial" w:cs="Arial" w:eastAsia="Arial" w:hAnsi="Arial"/>
                <w:sz w:val="12"/>
                <w:szCs w:val="12"/>
                <w:color w:val="0000EE"/>
                <w:w w:val="91"/>
              </w:rPr>
            </w:pPr>
            <w:hyperlink r:id="rId167">
              <w:r>
                <w:rPr>
                  <w:rFonts w:ascii="Arial" w:cs="Arial" w:eastAsia="Arial" w:hAnsi="Arial"/>
                  <w:sz w:val="12"/>
                  <w:szCs w:val="12"/>
                  <w:color w:val="0000EE"/>
                  <w:w w:val="91"/>
                </w:rPr>
                <w:t>Form of 7.125% Senior Note due 2024 (included in Exhibit 4.14 above) (incorporated by reference to Exhibit 4.2 of the Company’s Current Report on Form 8-K dated and filed with the SEC as of</w:t>
              </w:r>
            </w:hyperlink>
          </w:p>
        </w:tc>
        <w:tc>
          <w:tcPr>
            <w:tcW w:w="440" w:type="dxa"/>
            <w:vAlign w:val="bottom"/>
            <w:gridSpan w:val="1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Borders>
              <w:bottom w:val="single" w:sz="8" w:color="0000EE"/>
            </w:tcBorders>
            <w:gridSpan w:val="4"/>
          </w:tcPr>
          <w:p>
            <w:pPr>
              <w:spacing w:after="0" w:line="124" w:lineRule="exact"/>
              <w:rPr>
                <w:rFonts w:ascii="Arial" w:cs="Arial" w:eastAsia="Arial" w:hAnsi="Arial"/>
                <w:sz w:val="12"/>
                <w:szCs w:val="12"/>
                <w:color w:val="0000EE"/>
                <w:w w:val="90"/>
              </w:rPr>
            </w:pPr>
            <w:hyperlink r:id="rId167">
              <w:r>
                <w:rPr>
                  <w:rFonts w:ascii="Arial" w:cs="Arial" w:eastAsia="Arial" w:hAnsi="Arial"/>
                  <w:sz w:val="12"/>
                  <w:szCs w:val="12"/>
                  <w:color w:val="0000EE"/>
                  <w:w w:val="90"/>
                </w:rPr>
                <w:t>December 15, 2016 (File No. 001-36708))</w:t>
              </w:r>
            </w:hyperlink>
          </w:p>
        </w:tc>
        <w:tc>
          <w:tcPr>
            <w:tcW w:w="7840" w:type="dxa"/>
            <w:vAlign w:val="bottom"/>
            <w:gridSpan w:val="1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20" w:type="dxa"/>
            <w:vAlign w:val="bottom"/>
            <w:tcBorders>
              <w:bottom w:val="single" w:sz="8" w:color="0000EE"/>
            </w:tcBorders>
            <w:gridSpan w:val="10"/>
          </w:tcPr>
          <w:p>
            <w:pPr>
              <w:spacing w:after="0"/>
              <w:rPr>
                <w:rFonts w:ascii="Arial" w:cs="Arial" w:eastAsia="Arial" w:hAnsi="Arial"/>
                <w:sz w:val="12"/>
                <w:szCs w:val="12"/>
                <w:color w:val="0000EE"/>
                <w:w w:val="90"/>
              </w:rPr>
            </w:pPr>
            <w:hyperlink r:id="rId168">
              <w:r>
                <w:rPr>
                  <w:rFonts w:ascii="Arial" w:cs="Arial" w:eastAsia="Arial" w:hAnsi="Arial"/>
                  <w:sz w:val="12"/>
                  <w:szCs w:val="12"/>
                  <w:color w:val="0000EE"/>
                  <w:w w:val="90"/>
                </w:rPr>
                <w:t>First Supplemental Indenture, dated as of February 22, 2017, to the Indenture, dated as of December 15, 2016, among Communications Sales &amp; Leasing, Inc. and CSL Capital, LLC, as Issuers, the</w:t>
              </w:r>
            </w:hyperlink>
          </w:p>
        </w:tc>
        <w:tc>
          <w:tcPr>
            <w:tcW w:w="460" w:type="dxa"/>
            <w:vAlign w:val="bottom"/>
            <w:gridSpan w:val="13"/>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w w:val="90"/>
              </w:rPr>
            </w:pPr>
            <w:hyperlink r:id="rId168">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4.11 to the Company’s Annual Report</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38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1"/>
              </w:rPr>
            </w:pPr>
            <w:hyperlink r:id="rId168">
              <w:r>
                <w:rPr>
                  <w:rFonts w:ascii="Arial" w:cs="Arial" w:eastAsia="Arial" w:hAnsi="Arial"/>
                  <w:sz w:val="12"/>
                  <w:szCs w:val="12"/>
                  <w:color w:val="0000EE"/>
                  <w:w w:val="91"/>
                </w:rPr>
                <w:t>on Form 10-K dated and filed with the SEC as of February 23, 2017 (File No. 001-36708))</w:t>
              </w:r>
            </w:hyperlink>
          </w:p>
        </w:tc>
        <w:tc>
          <w:tcPr>
            <w:tcW w:w="5460" w:type="dxa"/>
            <w:vAlign w:val="bottom"/>
            <w:tcBorders>
              <w:top w:val="single" w:sz="8" w:color="0000EE"/>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3"/>
          </w:tcPr>
          <w:p>
            <w:pPr>
              <w:spacing w:after="0"/>
              <w:rPr>
                <w:rFonts w:ascii="Arial" w:cs="Arial" w:eastAsia="Arial" w:hAnsi="Arial"/>
                <w:sz w:val="12"/>
                <w:szCs w:val="12"/>
                <w:color w:val="0000EE"/>
                <w:w w:val="95"/>
              </w:rPr>
            </w:pPr>
            <w:hyperlink r:id="rId169">
              <w:r>
                <w:rPr>
                  <w:rFonts w:ascii="Arial" w:cs="Arial" w:eastAsia="Arial" w:hAnsi="Arial"/>
                  <w:sz w:val="12"/>
                  <w:szCs w:val="12"/>
                  <w:color w:val="0000EE"/>
                  <w:w w:val="95"/>
                </w:rPr>
                <w:t>Third Supplemental Indenture, dated as of May 9, 2017, to the indenture dated as of December 15, 2016, among Uniti Group LP, Uniti Fiber Holdings Inc., CSL Capital, LLC, Uniti Group Inc., the</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8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r:id="rId169">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4.5 to the Company’s Current Report</w:t>
              </w:r>
            </w:hyperlink>
          </w:p>
        </w:tc>
        <w:tc>
          <w:tcPr>
            <w:tcW w:w="10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69">
              <w:r>
                <w:rPr>
                  <w:rFonts w:ascii="Arial" w:cs="Arial" w:eastAsia="Arial" w:hAnsi="Arial"/>
                  <w:sz w:val="12"/>
                  <w:szCs w:val="12"/>
                  <w:color w:val="0000EE"/>
                  <w:w w:val="91"/>
                </w:rPr>
                <w:t>on Form 8-K dated and filed with the SEC as of May 9, 2017 (File No. 001-36708))</w:t>
              </w:r>
            </w:hyperlink>
          </w:p>
        </w:tc>
        <w:tc>
          <w:tcPr>
            <w:tcW w:w="5840" w:type="dxa"/>
            <w:vAlign w:val="bottom"/>
            <w:gridSpan w:val="16"/>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00" w:type="dxa"/>
            <w:vAlign w:val="bottom"/>
            <w:tcBorders>
              <w:bottom w:val="single" w:sz="8" w:color="0000EE"/>
            </w:tcBorders>
            <w:gridSpan w:val="12"/>
          </w:tcPr>
          <w:p>
            <w:pPr>
              <w:spacing w:after="0"/>
              <w:rPr>
                <w:rFonts w:ascii="Arial" w:cs="Arial" w:eastAsia="Arial" w:hAnsi="Arial"/>
                <w:sz w:val="12"/>
                <w:szCs w:val="12"/>
                <w:color w:val="0000EE"/>
                <w:w w:val="91"/>
              </w:rPr>
            </w:pPr>
            <w:hyperlink r:id="rId170">
              <w:r>
                <w:rPr>
                  <w:rFonts w:ascii="Arial" w:cs="Arial" w:eastAsia="Arial" w:hAnsi="Arial"/>
                  <w:sz w:val="12"/>
                  <w:szCs w:val="12"/>
                  <w:color w:val="0000EE"/>
                  <w:w w:val="91"/>
                </w:rPr>
                <w:t>Fourth Supplemental Indenture, dated as of May 9, 2017, to the indenture dated as of December 15, 2016, among Uniti Group LP, Uniti Fiber Holdings Inc., CSL Capital, LLC, Uniti Group Inc., the</w:t>
              </w:r>
            </w:hyperlink>
          </w:p>
        </w:tc>
        <w:tc>
          <w:tcPr>
            <w:tcW w:w="380" w:type="dxa"/>
            <w:vAlign w:val="bottom"/>
            <w:gridSpan w:val="11"/>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8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r:id="rId170">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4.6 to the Company’s Current Report</w:t>
              </w:r>
            </w:hyperlink>
          </w:p>
        </w:tc>
        <w:tc>
          <w:tcPr>
            <w:tcW w:w="10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70">
              <w:r>
                <w:rPr>
                  <w:rFonts w:ascii="Arial" w:cs="Arial" w:eastAsia="Arial" w:hAnsi="Arial"/>
                  <w:sz w:val="12"/>
                  <w:szCs w:val="12"/>
                  <w:color w:val="0000EE"/>
                  <w:w w:val="91"/>
                </w:rPr>
                <w:t>on Form 8-K dated and filed with the SEC as of May 9, 2017 (File No. 001-36708))</w:t>
              </w:r>
            </w:hyperlink>
          </w:p>
        </w:tc>
        <w:tc>
          <w:tcPr>
            <w:tcW w:w="5840" w:type="dxa"/>
            <w:vAlign w:val="bottom"/>
            <w:gridSpan w:val="16"/>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4.19</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40" w:type="dxa"/>
            <w:vAlign w:val="bottom"/>
            <w:tcBorders>
              <w:bottom w:val="single" w:sz="8" w:color="0000EE"/>
            </w:tcBorders>
            <w:gridSpan w:val="13"/>
          </w:tcPr>
          <w:p>
            <w:pPr>
              <w:spacing w:after="0"/>
              <w:rPr>
                <w:rFonts w:ascii="Arial" w:cs="Arial" w:eastAsia="Arial" w:hAnsi="Arial"/>
                <w:sz w:val="12"/>
                <w:szCs w:val="12"/>
                <w:color w:val="0000EE"/>
                <w:w w:val="90"/>
              </w:rPr>
            </w:pPr>
            <w:hyperlink r:id="rId171">
              <w:r>
                <w:rPr>
                  <w:rFonts w:ascii="Arial" w:cs="Arial" w:eastAsia="Arial" w:hAnsi="Arial"/>
                  <w:sz w:val="12"/>
                  <w:szCs w:val="12"/>
                  <w:color w:val="0000EE"/>
                  <w:w w:val="90"/>
                </w:rPr>
                <w:t>Fifth Supplemental Indenture, dated as of August 11, 2017, among Uniti Group LP, Uniti Fiber Holdings Inc., and CSL Capital, LLC, as Issuers, the guarantors named therein, and Wells Fargo Bank,</w:t>
              </w:r>
            </w:hyperlink>
          </w:p>
        </w:tc>
        <w:tc>
          <w:tcPr>
            <w:tcW w:w="340" w:type="dxa"/>
            <w:vAlign w:val="bottom"/>
            <w:gridSpan w:val="10"/>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6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r:id="rId171">
              <w:r>
                <w:rPr>
                  <w:rFonts w:ascii="Arial" w:cs="Arial" w:eastAsia="Arial" w:hAnsi="Arial"/>
                  <w:sz w:val="12"/>
                  <w:szCs w:val="12"/>
                  <w:color w:val="0000EE"/>
                  <w:w w:val="90"/>
                </w:rPr>
                <w:t>National Association, as trustee, relating to the 7.125% Senior Notes due 2024 (incorporated by reference to Exhibit 4.1 to the Company’s Quarterly Report on Form 10-Q dated and filed with the SEC as</w:t>
              </w:r>
            </w:hyperlink>
          </w:p>
        </w:tc>
        <w:tc>
          <w:tcPr>
            <w:tcW w:w="120" w:type="dxa"/>
            <w:vAlign w:val="bottom"/>
            <w:gridSpan w:val="6"/>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rPr>
            </w:pPr>
            <w:hyperlink r:id="rId171">
              <w:r>
                <w:rPr>
                  <w:rFonts w:ascii="Arial" w:cs="Arial" w:eastAsia="Arial" w:hAnsi="Arial"/>
                  <w:sz w:val="12"/>
                  <w:szCs w:val="12"/>
                  <w:color w:val="0000EE"/>
                </w:rPr>
                <w:t>of November 2, 2017 (File No. 001-36708))</w:t>
              </w:r>
            </w:hyperlink>
          </w:p>
        </w:tc>
      </w:tr>
      <w:tr>
        <w:trPr>
          <w:trHeight w:val="304"/>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Borders>
              <w:top w:val="single" w:sz="8" w:color="0000EE"/>
            </w:tcBorders>
            <w:gridSpan w:val="5"/>
          </w:tcPr>
          <w:p>
            <w:pPr>
              <w:spacing w:after="0"/>
              <w:rPr>
                <w:sz w:val="24"/>
                <w:szCs w:val="24"/>
                <w:color w:val="auto"/>
              </w:rPr>
            </w:pPr>
          </w:p>
        </w:tc>
        <w:tc>
          <w:tcPr>
            <w:tcW w:w="2260" w:type="dxa"/>
            <w:vAlign w:val="bottom"/>
            <w:gridSpan w:val="3"/>
          </w:tcPr>
          <w:p>
            <w:pPr>
              <w:jc w:val="right"/>
              <w:ind w:right="180"/>
              <w:spacing w:after="0"/>
              <w:rPr>
                <w:sz w:val="20"/>
                <w:szCs w:val="20"/>
                <w:color w:val="auto"/>
              </w:rPr>
            </w:pPr>
            <w:r>
              <w:rPr>
                <w:rFonts w:ascii="Arial" w:cs="Arial" w:eastAsia="Arial" w:hAnsi="Arial"/>
                <w:sz w:val="12"/>
                <w:szCs w:val="12"/>
                <w:color w:val="auto"/>
              </w:rPr>
              <w:t>112</w:t>
            </w:r>
          </w:p>
        </w:tc>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20" w:type="dxa"/>
            <w:vAlign w:val="bottom"/>
            <w:gridSpan w:val="18"/>
          </w:tcPr>
          <w:p>
            <w:pPr>
              <w:ind w:left="48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10.1</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00" w:type="dxa"/>
            <w:vAlign w:val="bottom"/>
            <w:tcBorders>
              <w:top w:val="single" w:sz="8" w:color="auto"/>
              <w:bottom w:val="single" w:sz="8" w:color="0000EE"/>
            </w:tcBorders>
            <w:gridSpan w:val="21"/>
          </w:tcPr>
          <w:p>
            <w:pPr>
              <w:spacing w:after="0" w:line="120" w:lineRule="exact"/>
              <w:rPr>
                <w:rFonts w:ascii="Arial" w:cs="Arial" w:eastAsia="Arial" w:hAnsi="Arial"/>
                <w:sz w:val="12"/>
                <w:szCs w:val="12"/>
                <w:color w:val="0000EE"/>
                <w:w w:val="90"/>
              </w:rPr>
            </w:pPr>
            <w:hyperlink r:id="rId174">
              <w:r>
                <w:rPr>
                  <w:rFonts w:ascii="Arial" w:cs="Arial" w:eastAsia="Arial" w:hAnsi="Arial"/>
                  <w:sz w:val="12"/>
                  <w:szCs w:val="12"/>
                  <w:color w:val="0000EE"/>
                  <w:w w:val="90"/>
                </w:rPr>
                <w:t>Master Lease, entered into as of April 24, 2015, by and among CSL National, L.P. and the other entities listed therein, as Landlord, and Windstream Holdings, Inc., as Tenant (incorporated by reference to</w:t>
              </w:r>
            </w:hyperlink>
          </w:p>
        </w:tc>
        <w:tc>
          <w:tcPr>
            <w:tcW w:w="80" w:type="dxa"/>
            <w:vAlign w:val="bottom"/>
            <w:tcBorders>
              <w:top w:val="single" w:sz="8" w:color="auto"/>
            </w:tcBorders>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4"/>
          </w:tcPr>
          <w:p>
            <w:pPr>
              <w:spacing w:after="0" w:line="124" w:lineRule="exact"/>
              <w:rPr>
                <w:rFonts w:ascii="Arial" w:cs="Arial" w:eastAsia="Arial" w:hAnsi="Arial"/>
                <w:sz w:val="12"/>
                <w:szCs w:val="12"/>
                <w:color w:val="0000EE"/>
              </w:rPr>
            </w:pPr>
            <w:hyperlink r:id="rId174">
              <w:r>
                <w:rPr>
                  <w:rFonts w:ascii="Arial" w:cs="Arial" w:eastAsia="Arial" w:hAnsi="Arial"/>
                  <w:sz w:val="12"/>
                  <w:szCs w:val="12"/>
                  <w:color w:val="0000EE"/>
                </w:rPr>
                <w:t>Exhibit 10.1 to the Company’s Current Report on Form 8-K dated and filed with the SEC as of April 27, 2015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40" w:type="dxa"/>
            <w:vAlign w:val="bottom"/>
            <w:tcBorders>
              <w:bottom w:val="single" w:sz="8" w:color="0000EE"/>
            </w:tcBorders>
            <w:gridSpan w:val="18"/>
          </w:tcPr>
          <w:p>
            <w:pPr>
              <w:spacing w:after="0"/>
              <w:rPr>
                <w:rFonts w:ascii="Arial" w:cs="Arial" w:eastAsia="Arial" w:hAnsi="Arial"/>
                <w:sz w:val="12"/>
                <w:szCs w:val="12"/>
                <w:color w:val="0000EE"/>
                <w:w w:val="91"/>
              </w:rPr>
            </w:pPr>
            <w:hyperlink r:id="rId175">
              <w:r>
                <w:rPr>
                  <w:rFonts w:ascii="Arial" w:cs="Arial" w:eastAsia="Arial" w:hAnsi="Arial"/>
                  <w:sz w:val="12"/>
                  <w:szCs w:val="12"/>
                  <w:color w:val="0000EE"/>
                  <w:w w:val="91"/>
                </w:rPr>
                <w:t>Tax Matters Agreement, entered into as of April 24, 2015, by and among Windstream Holdings, Inc., Windstream Services, LLC and Communications Sales &amp; Leasing, Inc. (incorporated by reference to</w:t>
              </w:r>
            </w:hyperlink>
          </w:p>
        </w:tc>
        <w:tc>
          <w:tcPr>
            <w:tcW w:w="14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4"/>
          </w:tcPr>
          <w:p>
            <w:pPr>
              <w:spacing w:after="0" w:line="124" w:lineRule="exact"/>
              <w:rPr>
                <w:rFonts w:ascii="Arial" w:cs="Arial" w:eastAsia="Arial" w:hAnsi="Arial"/>
                <w:sz w:val="12"/>
                <w:szCs w:val="12"/>
                <w:color w:val="0000EE"/>
              </w:rPr>
            </w:pPr>
            <w:hyperlink r:id="rId175">
              <w:r>
                <w:rPr>
                  <w:rFonts w:ascii="Arial" w:cs="Arial" w:eastAsia="Arial" w:hAnsi="Arial"/>
                  <w:sz w:val="12"/>
                  <w:szCs w:val="12"/>
                  <w:color w:val="0000EE"/>
                </w:rPr>
                <w:t>Exhibit 10.2 to the Company’s Current Report on Form 8-K dated and filed with the SEC as of April 27, 2015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00" w:type="dxa"/>
            <w:vAlign w:val="bottom"/>
            <w:tcBorders>
              <w:bottom w:val="single" w:sz="8" w:color="0000EE"/>
            </w:tcBorders>
            <w:gridSpan w:val="11"/>
          </w:tcPr>
          <w:p>
            <w:pPr>
              <w:spacing w:after="0"/>
              <w:rPr>
                <w:rFonts w:ascii="Arial" w:cs="Arial" w:eastAsia="Arial" w:hAnsi="Arial"/>
                <w:sz w:val="12"/>
                <w:szCs w:val="12"/>
                <w:color w:val="0000EE"/>
                <w:w w:val="91"/>
              </w:rPr>
            </w:pPr>
            <w:hyperlink r:id="rId176">
              <w:r>
                <w:rPr>
                  <w:rFonts w:ascii="Arial" w:cs="Arial" w:eastAsia="Arial" w:hAnsi="Arial"/>
                  <w:sz w:val="12"/>
                  <w:szCs w:val="12"/>
                  <w:color w:val="0000EE"/>
                  <w:w w:val="91"/>
                </w:rPr>
                <w:t>Transition Services Agreement, dated April 24, 2015, by and between Windstream Services, LLC and CSL National, L.P., on behalf of itself and its Affiliates, including Talk America Services, LLC</w:t>
              </w:r>
            </w:hyperlink>
          </w:p>
        </w:tc>
        <w:tc>
          <w:tcPr>
            <w:tcW w:w="380" w:type="dxa"/>
            <w:vAlign w:val="bottom"/>
            <w:gridSpan w:val="13"/>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2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r:id="rId176">
              <w:r>
                <w:rPr>
                  <w:rFonts w:ascii="Arial" w:cs="Arial" w:eastAsia="Arial" w:hAnsi="Arial"/>
                  <w:sz w:val="12"/>
                  <w:szCs w:val="12"/>
                  <w:color w:val="0000EE"/>
                  <w:w w:val="91"/>
                </w:rPr>
                <w:t>(incorporated by reference to Exhibit 10.3 to the Company’s Current Report on Form 8-K dated and filed with the SEC as of April 27, 2015 (File No. 001-36708))</w:t>
              </w:r>
            </w:hyperlink>
          </w:p>
        </w:tc>
        <w:tc>
          <w:tcPr>
            <w:tcW w:w="2060" w:type="dxa"/>
            <w:vAlign w:val="bottom"/>
            <w:gridSpan w:val="15"/>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4"/>
          </w:tcPr>
          <w:p>
            <w:pPr>
              <w:spacing w:after="0"/>
              <w:rPr>
                <w:rFonts w:ascii="Arial" w:cs="Arial" w:eastAsia="Arial" w:hAnsi="Arial"/>
                <w:sz w:val="12"/>
                <w:szCs w:val="12"/>
                <w:color w:val="0000EE"/>
                <w:w w:val="93"/>
              </w:rPr>
            </w:pPr>
            <w:hyperlink r:id="rId177">
              <w:r>
                <w:rPr>
                  <w:rFonts w:ascii="Arial" w:cs="Arial" w:eastAsia="Arial" w:hAnsi="Arial"/>
                  <w:sz w:val="12"/>
                  <w:szCs w:val="12"/>
                  <w:color w:val="0000EE"/>
                  <w:w w:val="93"/>
                </w:rPr>
                <w:t>Intellectual Property Matters Agreement, dated as of April 24, 2015, by and among Windstream Services, LLC, individually and on behalf of its subsidiaries that may hold certain intellectual property as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60" w:type="dxa"/>
            <w:vAlign w:val="bottom"/>
            <w:tcBorders>
              <w:bottom w:val="single" w:sz="8" w:color="0000EE"/>
            </w:tcBorders>
            <w:gridSpan w:val="23"/>
          </w:tcPr>
          <w:p>
            <w:pPr>
              <w:spacing w:after="0" w:line="124" w:lineRule="exact"/>
              <w:rPr>
                <w:rFonts w:ascii="Arial" w:cs="Arial" w:eastAsia="Arial" w:hAnsi="Arial"/>
                <w:sz w:val="12"/>
                <w:szCs w:val="12"/>
                <w:color w:val="0000EE"/>
                <w:w w:val="91"/>
              </w:rPr>
            </w:pPr>
            <w:hyperlink r:id="rId177">
              <w:r>
                <w:rPr>
                  <w:rFonts w:ascii="Arial" w:cs="Arial" w:eastAsia="Arial" w:hAnsi="Arial"/>
                  <w:sz w:val="12"/>
                  <w:szCs w:val="12"/>
                  <w:color w:val="0000EE"/>
                  <w:w w:val="91"/>
                </w:rPr>
                <w:t>described therein, CSL National, LP, and Talk America Services, LLC (incorporated by reference to Exhibit 10.5 to the Company’s Current Report on Form 8-K dated and filed with the SEC as of April 27,</w:t>
              </w:r>
            </w:hyperlink>
          </w:p>
        </w:tc>
        <w:tc>
          <w:tcPr>
            <w:tcW w:w="20" w:type="dxa"/>
            <w:vAlign w:val="bottom"/>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bottom w:val="single" w:sz="8" w:color="0000EE"/>
            </w:tcBorders>
          </w:tcPr>
          <w:p>
            <w:pPr>
              <w:spacing w:after="0" w:line="124" w:lineRule="exact"/>
              <w:rPr>
                <w:rFonts w:ascii="Arial" w:cs="Arial" w:eastAsia="Arial" w:hAnsi="Arial"/>
                <w:sz w:val="12"/>
                <w:szCs w:val="12"/>
                <w:color w:val="0000EE"/>
                <w:w w:val="91"/>
              </w:rPr>
            </w:pPr>
            <w:hyperlink r:id="rId177">
              <w:r>
                <w:rPr>
                  <w:rFonts w:ascii="Arial" w:cs="Arial" w:eastAsia="Arial" w:hAnsi="Arial"/>
                  <w:sz w:val="12"/>
                  <w:szCs w:val="12"/>
                  <w:color w:val="0000EE"/>
                  <w:w w:val="91"/>
                </w:rPr>
                <w:t>2015 (File No. 001-36708))</w:t>
              </w:r>
            </w:hyperlink>
          </w:p>
        </w:tc>
        <w:tc>
          <w:tcPr>
            <w:tcW w:w="8540" w:type="dxa"/>
            <w:vAlign w:val="bottom"/>
            <w:gridSpan w:val="23"/>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4"/>
          </w:tcPr>
          <w:p>
            <w:pPr>
              <w:spacing w:after="0"/>
              <w:rPr>
                <w:rFonts w:ascii="Arial" w:cs="Arial" w:eastAsia="Arial" w:hAnsi="Arial"/>
                <w:sz w:val="12"/>
                <w:szCs w:val="12"/>
                <w:color w:val="0000EE"/>
                <w:w w:val="93"/>
              </w:rPr>
            </w:pPr>
            <w:hyperlink r:id="rId178">
              <w:r>
                <w:rPr>
                  <w:rFonts w:ascii="Arial" w:cs="Arial" w:eastAsia="Arial" w:hAnsi="Arial"/>
                  <w:sz w:val="12"/>
                  <w:szCs w:val="12"/>
                  <w:color w:val="0000EE"/>
                  <w:w w:val="93"/>
                </w:rPr>
                <w:t>Wholesale Master Services Agreement, dated April 24, 2015, between Windstream Communications, Inc. and Talk America Services, LLC (incorporated by reference to Exhibit 10.6 to the Company’s</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2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r:id="rId178">
              <w:r>
                <w:rPr>
                  <w:rFonts w:ascii="Arial" w:cs="Arial" w:eastAsia="Arial" w:hAnsi="Arial"/>
                  <w:sz w:val="12"/>
                  <w:szCs w:val="12"/>
                  <w:color w:val="0000EE"/>
                </w:rPr>
                <w:t>Current Report on Form 8-K dated and filed with the SEC as of April 27, 2015 (File No. 001-36708))</w:t>
              </w:r>
            </w:hyperlink>
          </w:p>
        </w:tc>
        <w:tc>
          <w:tcPr>
            <w:tcW w:w="260" w:type="dxa"/>
            <w:vAlign w:val="bottom"/>
            <w:gridSpan w:val="9"/>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80" w:type="dxa"/>
            <w:vAlign w:val="bottom"/>
            <w:tcBorders>
              <w:bottom w:val="single" w:sz="8" w:color="0000EE"/>
            </w:tcBorders>
            <w:gridSpan w:val="14"/>
          </w:tcPr>
          <w:p>
            <w:pPr>
              <w:spacing w:after="0"/>
              <w:rPr>
                <w:rFonts w:ascii="Arial" w:cs="Arial" w:eastAsia="Arial" w:hAnsi="Arial"/>
                <w:sz w:val="12"/>
                <w:szCs w:val="12"/>
                <w:color w:val="0000EE"/>
                <w:w w:val="90"/>
              </w:rPr>
            </w:pPr>
            <w:hyperlink r:id="rId179">
              <w:r>
                <w:rPr>
                  <w:rFonts w:ascii="Arial" w:cs="Arial" w:eastAsia="Arial" w:hAnsi="Arial"/>
                  <w:sz w:val="12"/>
                  <w:szCs w:val="12"/>
                  <w:color w:val="0000EE"/>
                  <w:w w:val="90"/>
                </w:rPr>
                <w:t>Master Services Agreement, dated as of April 24, 2015, by and between Windstream Services, LLC, on behalf of itself and its competitive local exchange and interexchange carrier affiliates, and Talk</w:t>
              </w:r>
            </w:hyperlink>
          </w:p>
        </w:tc>
        <w:tc>
          <w:tcPr>
            <w:tcW w:w="300" w:type="dxa"/>
            <w:vAlign w:val="bottom"/>
            <w:gridSpan w:val="10"/>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980" w:type="dxa"/>
            <w:vAlign w:val="bottom"/>
            <w:tcBorders>
              <w:bottom w:val="single" w:sz="8" w:color="0000EE"/>
            </w:tcBorders>
            <w:gridSpan w:val="10"/>
          </w:tcPr>
          <w:p>
            <w:pPr>
              <w:spacing w:after="0" w:line="124" w:lineRule="exact"/>
              <w:rPr>
                <w:rFonts w:ascii="Arial" w:cs="Arial" w:eastAsia="Arial" w:hAnsi="Arial"/>
                <w:sz w:val="12"/>
                <w:szCs w:val="12"/>
                <w:color w:val="0000EE"/>
                <w:w w:val="92"/>
              </w:rPr>
            </w:pPr>
            <w:hyperlink r:id="rId179">
              <w:r>
                <w:rPr>
                  <w:rFonts w:ascii="Arial" w:cs="Arial" w:eastAsia="Arial" w:hAnsi="Arial"/>
                  <w:sz w:val="12"/>
                  <w:szCs w:val="12"/>
                  <w:color w:val="0000EE"/>
                  <w:w w:val="92"/>
                </w:rPr>
                <w:t>America Services, LLC (incorporated by reference to Exhibit 10.8 to the Company’s Current Report on Form 8-K dated and filed with the SEC as of April 27, 2015 (File No. 001-36708))</w:t>
              </w:r>
            </w:hyperlink>
          </w:p>
        </w:tc>
        <w:tc>
          <w:tcPr>
            <w:tcW w:w="90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20"/>
          </w:tcPr>
          <w:p>
            <w:pPr>
              <w:spacing w:after="0"/>
              <w:rPr>
                <w:rFonts w:ascii="Arial" w:cs="Arial" w:eastAsia="Arial" w:hAnsi="Arial"/>
                <w:sz w:val="12"/>
                <w:szCs w:val="12"/>
                <w:color w:val="0000EE"/>
                <w:w w:val="91"/>
              </w:rPr>
            </w:pPr>
            <w:hyperlink r:id="rId180">
              <w:r>
                <w:rPr>
                  <w:rFonts w:ascii="Arial" w:cs="Arial" w:eastAsia="Arial" w:hAnsi="Arial"/>
                  <w:sz w:val="12"/>
                  <w:szCs w:val="12"/>
                  <w:color w:val="0000EE"/>
                  <w:w w:val="91"/>
                </w:rPr>
                <w:t>Credit Agreement, dated as of April 24, 2015, by and among Communications Sales &amp; Leasing, Inc. and CSL Capital, LLC, as Borrowers, the guarantors party thereto, the lenders party thereto from time</w:t>
              </w:r>
            </w:hyperlink>
          </w:p>
        </w:tc>
        <w:tc>
          <w:tcPr>
            <w:tcW w:w="100" w:type="dxa"/>
            <w:vAlign w:val="bottom"/>
            <w:gridSpan w:val="4"/>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bottom w:val="single" w:sz="8" w:color="0000EE"/>
            </w:tcBorders>
            <w:gridSpan w:val="17"/>
          </w:tcPr>
          <w:p>
            <w:pPr>
              <w:spacing w:after="0" w:line="124" w:lineRule="exact"/>
              <w:rPr>
                <w:rFonts w:ascii="Arial" w:cs="Arial" w:eastAsia="Arial" w:hAnsi="Arial"/>
                <w:sz w:val="12"/>
                <w:szCs w:val="12"/>
                <w:color w:val="0000EE"/>
                <w:w w:val="91"/>
              </w:rPr>
            </w:pPr>
            <w:hyperlink r:id="rId180">
              <w:r>
                <w:rPr>
                  <w:rFonts w:ascii="Arial" w:cs="Arial" w:eastAsia="Arial" w:hAnsi="Arial"/>
                  <w:sz w:val="12"/>
                  <w:szCs w:val="12"/>
                  <w:color w:val="0000EE"/>
                  <w:w w:val="91"/>
                </w:rPr>
                <w:t>to time and Bank of America, N.A., as administrative agent, collateral agent, swing line lender and L/C issuer (incorporated by reference to Exhibit 10.10 to the Company’s Current Report on Form 8-K</w:t>
              </w:r>
            </w:hyperlink>
          </w:p>
        </w:tc>
        <w:tc>
          <w:tcPr>
            <w:tcW w:w="180" w:type="dxa"/>
            <w:vAlign w:val="bottom"/>
            <w:gridSpan w:val="7"/>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80" w:type="dxa"/>
            <w:vAlign w:val="bottom"/>
            <w:tcBorders>
              <w:bottom w:val="single" w:sz="8" w:color="0000EE"/>
            </w:tcBorders>
            <w:gridSpan w:val="5"/>
          </w:tcPr>
          <w:p>
            <w:pPr>
              <w:spacing w:after="0" w:line="124" w:lineRule="exact"/>
              <w:rPr>
                <w:rFonts w:ascii="Arial" w:cs="Arial" w:eastAsia="Arial" w:hAnsi="Arial"/>
                <w:sz w:val="12"/>
                <w:szCs w:val="12"/>
                <w:color w:val="0000EE"/>
                <w:w w:val="92"/>
              </w:rPr>
            </w:pPr>
            <w:hyperlink r:id="rId180">
              <w:r>
                <w:rPr>
                  <w:rFonts w:ascii="Arial" w:cs="Arial" w:eastAsia="Arial" w:hAnsi="Arial"/>
                  <w:sz w:val="12"/>
                  <w:szCs w:val="12"/>
                  <w:color w:val="0000EE"/>
                  <w:w w:val="92"/>
                </w:rPr>
                <w:t>dated and filed with the SEC as of April 27, 2015 (File No. 001-36708))</w:t>
              </w:r>
            </w:hyperlink>
          </w:p>
        </w:tc>
        <w:tc>
          <w:tcPr>
            <w:tcW w:w="6400" w:type="dxa"/>
            <w:vAlign w:val="bottom"/>
            <w:gridSpan w:val="19"/>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40" w:type="dxa"/>
            <w:vAlign w:val="bottom"/>
            <w:tcBorders>
              <w:bottom w:val="single" w:sz="8" w:color="0000EE"/>
            </w:tcBorders>
            <w:gridSpan w:val="13"/>
          </w:tcPr>
          <w:p>
            <w:pPr>
              <w:spacing w:after="0"/>
              <w:rPr>
                <w:rFonts w:ascii="Arial" w:cs="Arial" w:eastAsia="Arial" w:hAnsi="Arial"/>
                <w:sz w:val="12"/>
                <w:szCs w:val="12"/>
                <w:color w:val="0000EE"/>
                <w:w w:val="90"/>
              </w:rPr>
            </w:pPr>
            <w:hyperlink r:id="rId181">
              <w:r>
                <w:rPr>
                  <w:rFonts w:ascii="Arial" w:cs="Arial" w:eastAsia="Arial" w:hAnsi="Arial"/>
                  <w:sz w:val="12"/>
                  <w:szCs w:val="12"/>
                  <w:color w:val="0000EE"/>
                  <w:w w:val="90"/>
                </w:rPr>
                <w:t>Amendment No. 1 to the Credit Agreement, dated as of October 21, 2016 by and among Communications Sales &amp; Leasing, Inc. and CSL Capital, LLC, as borrowers, the guarantors party thereto, the</w:t>
              </w:r>
            </w:hyperlink>
          </w:p>
        </w:tc>
        <w:tc>
          <w:tcPr>
            <w:tcW w:w="340" w:type="dxa"/>
            <w:vAlign w:val="bottom"/>
            <w:gridSpan w:val="11"/>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22"/>
          </w:tcPr>
          <w:p>
            <w:pPr>
              <w:spacing w:after="0" w:line="124" w:lineRule="exact"/>
              <w:rPr>
                <w:rFonts w:ascii="Arial" w:cs="Arial" w:eastAsia="Arial" w:hAnsi="Arial"/>
                <w:sz w:val="12"/>
                <w:szCs w:val="12"/>
                <w:color w:val="0000EE"/>
                <w:w w:val="91"/>
              </w:rPr>
            </w:pPr>
            <w:hyperlink r:id="rId181">
              <w:r>
                <w:rPr>
                  <w:rFonts w:ascii="Arial" w:cs="Arial" w:eastAsia="Arial" w:hAnsi="Arial"/>
                  <w:sz w:val="12"/>
                  <w:szCs w:val="12"/>
                  <w:color w:val="0000EE"/>
                  <w:w w:val="91"/>
                </w:rPr>
                <w:t>lenders party thereto, and Bank of America, N.A., as administrative agent and collateral agent (incorporated by reference to Exhibit 10.1 to the Company’s Current Report on Form 8-K dated and filed with</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20" w:type="dxa"/>
            <w:vAlign w:val="bottom"/>
            <w:tcBorders>
              <w:bottom w:val="single" w:sz="8" w:color="0000EE"/>
            </w:tcBorders>
            <w:gridSpan w:val="4"/>
          </w:tcPr>
          <w:p>
            <w:pPr>
              <w:spacing w:after="0" w:line="124" w:lineRule="exact"/>
              <w:rPr>
                <w:rFonts w:ascii="Arial" w:cs="Arial" w:eastAsia="Arial" w:hAnsi="Arial"/>
                <w:sz w:val="12"/>
                <w:szCs w:val="12"/>
                <w:color w:val="0000EE"/>
                <w:w w:val="90"/>
              </w:rPr>
            </w:pPr>
            <w:hyperlink r:id="rId181">
              <w:r>
                <w:rPr>
                  <w:rFonts w:ascii="Arial" w:cs="Arial" w:eastAsia="Arial" w:hAnsi="Arial"/>
                  <w:sz w:val="12"/>
                  <w:szCs w:val="12"/>
                  <w:color w:val="0000EE"/>
                  <w:w w:val="90"/>
                </w:rPr>
                <w:t>the SEC as of October 21, 2016 (File No. 001-36708))</w:t>
              </w:r>
            </w:hyperlink>
          </w:p>
        </w:tc>
        <w:tc>
          <w:tcPr>
            <w:tcW w:w="7260" w:type="dxa"/>
            <w:vAlign w:val="bottom"/>
            <w:gridSpan w:val="20"/>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24"/>
          </w:tcPr>
          <w:p>
            <w:pPr>
              <w:spacing w:after="0"/>
              <w:rPr>
                <w:rFonts w:ascii="Arial" w:cs="Arial" w:eastAsia="Arial" w:hAnsi="Arial"/>
                <w:sz w:val="12"/>
                <w:szCs w:val="12"/>
                <w:color w:val="0000EE"/>
                <w:w w:val="93"/>
              </w:rPr>
            </w:pPr>
            <w:hyperlink r:id="rId182">
              <w:r>
                <w:rPr>
                  <w:rFonts w:ascii="Arial" w:cs="Arial" w:eastAsia="Arial" w:hAnsi="Arial"/>
                  <w:sz w:val="12"/>
                  <w:szCs w:val="12"/>
                  <w:color w:val="0000EE"/>
                  <w:w w:val="93"/>
                </w:rPr>
                <w:t>Amendment No. 2 to the Credit Agreement, dated as of February 9, 2017 by and among Communications Sales &amp; Leasing, Inc. and CSL Capital, LLC, as borrowers, the guarantors party thereto, the</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5360" w:type="dxa"/>
            <w:vAlign w:val="bottom"/>
            <w:gridSpan w:val="6"/>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22"/>
          </w:tcPr>
          <w:p>
            <w:pPr>
              <w:spacing w:after="0" w:line="124" w:lineRule="exact"/>
              <w:rPr>
                <w:rFonts w:ascii="Arial" w:cs="Arial" w:eastAsia="Arial" w:hAnsi="Arial"/>
                <w:sz w:val="12"/>
                <w:szCs w:val="12"/>
                <w:color w:val="0000EE"/>
                <w:w w:val="91"/>
              </w:rPr>
            </w:pPr>
            <w:hyperlink r:id="rId182">
              <w:r>
                <w:rPr>
                  <w:rFonts w:ascii="Arial" w:cs="Arial" w:eastAsia="Arial" w:hAnsi="Arial"/>
                  <w:sz w:val="12"/>
                  <w:szCs w:val="12"/>
                  <w:color w:val="0000EE"/>
                  <w:w w:val="91"/>
                </w:rPr>
                <w:t>lenders party thereto, and Bank of America, N.A., as administrative agent and collateral agent (incorporated by reference to Exhibit 10.1 to the Company’s Current Report on Form 8-K dated and filed with</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4"/>
          </w:tcPr>
          <w:p>
            <w:pPr>
              <w:spacing w:after="0" w:line="124" w:lineRule="exact"/>
              <w:rPr>
                <w:rFonts w:ascii="Arial" w:cs="Arial" w:eastAsia="Arial" w:hAnsi="Arial"/>
                <w:sz w:val="12"/>
                <w:szCs w:val="12"/>
                <w:color w:val="0000EE"/>
              </w:rPr>
            </w:pPr>
            <w:hyperlink r:id="rId182">
              <w:r>
                <w:rPr>
                  <w:rFonts w:ascii="Arial" w:cs="Arial" w:eastAsia="Arial" w:hAnsi="Arial"/>
                  <w:sz w:val="12"/>
                  <w:szCs w:val="12"/>
                  <w:color w:val="0000EE"/>
                </w:rPr>
                <w:t>the SEC as of February 9, 2017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60" w:type="dxa"/>
            <w:vAlign w:val="bottom"/>
            <w:tcBorders>
              <w:bottom w:val="single" w:sz="8" w:color="0000EE"/>
            </w:tcBorders>
            <w:gridSpan w:val="23"/>
          </w:tcPr>
          <w:p>
            <w:pPr>
              <w:spacing w:after="0"/>
              <w:rPr>
                <w:rFonts w:ascii="Arial" w:cs="Arial" w:eastAsia="Arial" w:hAnsi="Arial"/>
                <w:sz w:val="12"/>
                <w:szCs w:val="12"/>
                <w:color w:val="0000EE"/>
                <w:w w:val="91"/>
              </w:rPr>
            </w:pPr>
            <w:hyperlink r:id="rId183">
              <w:r>
                <w:rPr>
                  <w:rFonts w:ascii="Arial" w:cs="Arial" w:eastAsia="Arial" w:hAnsi="Arial"/>
                  <w:sz w:val="12"/>
                  <w:szCs w:val="12"/>
                  <w:color w:val="0000EE"/>
                  <w:w w:val="91"/>
                </w:rPr>
                <w:t>Amendment No. 3 to the Credit Agreement, dated as of April 28, 2017 by and among Uniti Group Inc. and CSL Capital, LLC, as borrowers, the guarantors party thereto, the lenders party thereto, and Bank</w:t>
              </w:r>
            </w:hyperlink>
          </w:p>
        </w:tc>
        <w:tc>
          <w:tcPr>
            <w:tcW w:w="20" w:type="dxa"/>
            <w:vAlign w:val="bottom"/>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60" w:type="dxa"/>
            <w:vAlign w:val="bottom"/>
            <w:tcBorders>
              <w:bottom w:val="single" w:sz="8" w:color="0000EE"/>
            </w:tcBorders>
            <w:gridSpan w:val="19"/>
          </w:tcPr>
          <w:p>
            <w:pPr>
              <w:spacing w:after="0" w:line="124" w:lineRule="exact"/>
              <w:rPr>
                <w:rFonts w:ascii="Arial" w:cs="Arial" w:eastAsia="Arial" w:hAnsi="Arial"/>
                <w:sz w:val="12"/>
                <w:szCs w:val="12"/>
                <w:color w:val="0000EE"/>
                <w:w w:val="91"/>
              </w:rPr>
            </w:pPr>
            <w:hyperlink r:id="rId183">
              <w:r>
                <w:rPr>
                  <w:rFonts w:ascii="Arial" w:cs="Arial" w:eastAsia="Arial" w:hAnsi="Arial"/>
                  <w:sz w:val="12"/>
                  <w:szCs w:val="12"/>
                  <w:color w:val="0000EE"/>
                  <w:w w:val="91"/>
                </w:rPr>
                <w:t>of America, N.A., as administrative agent and collateral agent (incorporated by reference to Exhibit 10.1 to the Company’s Current Report on Form 8-K dated as of May 1, 2017 and filed with the SEC as</w:t>
              </w:r>
            </w:hyperlink>
          </w:p>
        </w:tc>
        <w:tc>
          <w:tcPr>
            <w:tcW w:w="12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tcBorders>
              <w:bottom w:val="single" w:sz="8" w:color="0000EE"/>
            </w:tcBorders>
            <w:gridSpan w:val="2"/>
          </w:tcPr>
          <w:p>
            <w:pPr>
              <w:spacing w:after="0" w:line="124" w:lineRule="exact"/>
              <w:rPr>
                <w:rFonts w:ascii="Arial" w:cs="Arial" w:eastAsia="Arial" w:hAnsi="Arial"/>
                <w:sz w:val="12"/>
                <w:szCs w:val="12"/>
                <w:color w:val="0000EE"/>
                <w:w w:val="92"/>
              </w:rPr>
            </w:pPr>
            <w:hyperlink r:id="rId183">
              <w:r>
                <w:rPr>
                  <w:rFonts w:ascii="Arial" w:cs="Arial" w:eastAsia="Arial" w:hAnsi="Arial"/>
                  <w:sz w:val="12"/>
                  <w:szCs w:val="12"/>
                  <w:color w:val="0000EE"/>
                  <w:w w:val="92"/>
                </w:rPr>
                <w:t>of May 2, 2017 (File No. 001-36708))</w:t>
              </w:r>
            </w:hyperlink>
          </w:p>
        </w:tc>
        <w:tc>
          <w:tcPr>
            <w:tcW w:w="8040" w:type="dxa"/>
            <w:vAlign w:val="bottom"/>
            <w:gridSpan w:val="22"/>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24"/>
          </w:tcPr>
          <w:p>
            <w:pPr>
              <w:spacing w:after="0"/>
              <w:rPr>
                <w:rFonts w:ascii="Arial" w:cs="Arial" w:eastAsia="Arial" w:hAnsi="Arial"/>
                <w:sz w:val="12"/>
                <w:szCs w:val="12"/>
                <w:color w:val="0000EE"/>
                <w:w w:val="93"/>
              </w:rPr>
            </w:pPr>
            <w:hyperlink w:anchor="page125">
              <w:r>
                <w:rPr>
                  <w:rFonts w:ascii="Arial" w:cs="Arial" w:eastAsia="Arial" w:hAnsi="Arial"/>
                  <w:sz w:val="12"/>
                  <w:szCs w:val="12"/>
                  <w:color w:val="0000EE"/>
                  <w:w w:val="93"/>
                </w:rPr>
                <w:t>Amendment No. 4 to the Credit Agreement, dated as of March 18, 2019, among Uniti Group LP, Uniti Group Finance Inc. and CSL Capital, LLC, as borrowers, the guarantors party thereto, the lenders</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4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w:anchor="page125">
              <w:r>
                <w:rPr>
                  <w:rFonts w:ascii="Arial" w:cs="Arial" w:eastAsia="Arial" w:hAnsi="Arial"/>
                  <w:sz w:val="12"/>
                  <w:szCs w:val="12"/>
                  <w:color w:val="0000EE"/>
                </w:rPr>
                <w:t>party thereto, and Bank of America, N.A., as administrative agent and collateral agent.</w:t>
              </w:r>
            </w:hyperlink>
          </w:p>
        </w:tc>
        <w:tc>
          <w:tcPr>
            <w:tcW w:w="240" w:type="dxa"/>
            <w:vAlign w:val="bottom"/>
            <w:gridSpan w:val="8"/>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6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6"/>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7"/>
          </w:tcPr>
          <w:p>
            <w:pPr>
              <w:ind w:left="4020"/>
              <w:spacing w:after="0"/>
              <w:rPr>
                <w:sz w:val="20"/>
                <w:szCs w:val="20"/>
                <w:color w:val="auto"/>
              </w:rPr>
            </w:pPr>
            <w:r>
              <w:rPr>
                <w:rFonts w:ascii="Arial" w:cs="Arial" w:eastAsia="Arial" w:hAnsi="Arial"/>
                <w:sz w:val="12"/>
                <w:szCs w:val="12"/>
                <w:color w:val="auto"/>
              </w:rPr>
              <w:t>113</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8" w:right="1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gridSpan w:val="11"/>
          </w:tcPr>
          <w:p>
            <w:pPr>
              <w:ind w:left="90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10.12</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tcBorders>
              <w:top w:val="single" w:sz="8" w:color="auto"/>
            </w:tcBorders>
            <w:gridSpan w:val="20"/>
          </w:tcPr>
          <w:p>
            <w:pPr>
              <w:spacing w:after="0" w:line="120" w:lineRule="exact"/>
              <w:rPr>
                <w:rFonts w:ascii="Arial" w:cs="Arial" w:eastAsia="Arial" w:hAnsi="Arial"/>
                <w:sz w:val="12"/>
                <w:szCs w:val="12"/>
                <w:color w:val="0000EE"/>
                <w:w w:val="91"/>
              </w:rPr>
            </w:pPr>
            <w:hyperlink r:id="rId186">
              <w:r>
                <w:rPr>
                  <w:rFonts w:ascii="Arial" w:cs="Arial" w:eastAsia="Arial" w:hAnsi="Arial"/>
                  <w:sz w:val="12"/>
                  <w:szCs w:val="12"/>
                  <w:color w:val="0000EE"/>
                  <w:w w:val="91"/>
                </w:rPr>
                <w:t>Borrower Assumption Agreement and Joinder, dated as of May 9, 2017 by and among Uniti Group Inc., as initial borrower, Uniti Group LP and Uniti Group Finance Inc., as borrowers, the guarantors party</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40" w:type="dxa"/>
            <w:vAlign w:val="bottom"/>
            <w:tcBorders>
              <w:top w:val="single" w:sz="8" w:color="0000EE"/>
              <w:bottom w:val="single" w:sz="8" w:color="0000EE"/>
            </w:tcBorders>
            <w:gridSpan w:val="17"/>
          </w:tcPr>
          <w:p>
            <w:pPr>
              <w:spacing w:after="0" w:line="124" w:lineRule="exact"/>
              <w:rPr>
                <w:rFonts w:ascii="Arial" w:cs="Arial" w:eastAsia="Arial" w:hAnsi="Arial"/>
                <w:sz w:val="12"/>
                <w:szCs w:val="12"/>
                <w:color w:val="0000EE"/>
                <w:w w:val="91"/>
              </w:rPr>
            </w:pPr>
            <w:hyperlink r:id="rId186">
              <w:r>
                <w:rPr>
                  <w:rFonts w:ascii="Arial" w:cs="Arial" w:eastAsia="Arial" w:hAnsi="Arial"/>
                  <w:sz w:val="12"/>
                  <w:szCs w:val="12"/>
                  <w:color w:val="0000EE"/>
                  <w:w w:val="91"/>
                </w:rPr>
                <w:t>thereto, the lenders party thereto, and Bank of America, N.A., as administrative agent and collateral agent (incorporated by reference to Exhibit 10.1 to the Company’s Current Report on Form 8-K dated</w:t>
              </w:r>
            </w:hyperlink>
          </w:p>
        </w:tc>
        <w:tc>
          <w:tcPr>
            <w:tcW w:w="120" w:type="dxa"/>
            <w:vAlign w:val="bottom"/>
            <w:tcBorders>
              <w:top w:val="single" w:sz="8" w:color="0000EE"/>
            </w:tcBorders>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00" w:type="dxa"/>
            <w:vAlign w:val="bottom"/>
            <w:tcBorders>
              <w:bottom w:val="single" w:sz="8" w:color="0000EE"/>
            </w:tcBorders>
            <w:gridSpan w:val="7"/>
          </w:tcPr>
          <w:p>
            <w:pPr>
              <w:spacing w:after="0" w:line="124" w:lineRule="exact"/>
              <w:rPr>
                <w:rFonts w:ascii="Arial" w:cs="Arial" w:eastAsia="Arial" w:hAnsi="Arial"/>
                <w:sz w:val="12"/>
                <w:szCs w:val="12"/>
                <w:color w:val="0000EE"/>
                <w:w w:val="92"/>
              </w:rPr>
            </w:pPr>
            <w:hyperlink r:id="rId186">
              <w:r>
                <w:rPr>
                  <w:rFonts w:ascii="Arial" w:cs="Arial" w:eastAsia="Arial" w:hAnsi="Arial"/>
                  <w:sz w:val="12"/>
                  <w:szCs w:val="12"/>
                  <w:color w:val="0000EE"/>
                  <w:w w:val="92"/>
                </w:rPr>
                <w:t>and filed with the SEC as of May 9, 2017 (File No. 001-36708))</w:t>
              </w:r>
            </w:hyperlink>
          </w:p>
        </w:tc>
        <w:tc>
          <w:tcPr>
            <w:tcW w:w="6780" w:type="dxa"/>
            <w:vAlign w:val="bottom"/>
            <w:gridSpan w:val="13"/>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40" w:type="dxa"/>
            <w:vAlign w:val="bottom"/>
            <w:tcBorders>
              <w:bottom w:val="single" w:sz="8" w:color="0000EE"/>
            </w:tcBorders>
            <w:gridSpan w:val="12"/>
          </w:tcPr>
          <w:p>
            <w:pPr>
              <w:spacing w:after="0"/>
              <w:rPr>
                <w:rFonts w:ascii="Arial" w:cs="Arial" w:eastAsia="Arial" w:hAnsi="Arial"/>
                <w:sz w:val="12"/>
                <w:szCs w:val="12"/>
                <w:color w:val="0000EE"/>
                <w:w w:val="90"/>
              </w:rPr>
            </w:pPr>
            <w:hyperlink r:id="rId187">
              <w:r>
                <w:rPr>
                  <w:rFonts w:ascii="Arial" w:cs="Arial" w:eastAsia="Arial" w:hAnsi="Arial"/>
                  <w:sz w:val="12"/>
                  <w:szCs w:val="12"/>
                  <w:color w:val="0000EE"/>
                  <w:w w:val="90"/>
                </w:rPr>
                <w:t>Recognition Agreement, dated April 24, 2015, by and among CSL National, LP and the other entities listed therein, as Landlord, and Windstream Holdings, Inc., as Tenant, and JPMorgan Chase Bank,</w:t>
              </w:r>
            </w:hyperlink>
          </w:p>
        </w:tc>
        <w:tc>
          <w:tcPr>
            <w:tcW w:w="240" w:type="dxa"/>
            <w:vAlign w:val="bottom"/>
            <w:gridSpan w:val="8"/>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300" w:type="dxa"/>
            <w:vAlign w:val="bottom"/>
            <w:tcBorders>
              <w:bottom w:val="single" w:sz="8" w:color="0000EE"/>
            </w:tcBorders>
            <w:gridSpan w:val="10"/>
          </w:tcPr>
          <w:p>
            <w:pPr>
              <w:spacing w:after="0" w:line="124" w:lineRule="exact"/>
              <w:rPr>
                <w:rFonts w:ascii="Arial" w:cs="Arial" w:eastAsia="Arial" w:hAnsi="Arial"/>
                <w:sz w:val="12"/>
                <w:szCs w:val="12"/>
                <w:color w:val="0000EE"/>
                <w:w w:val="91"/>
              </w:rPr>
            </w:pPr>
            <w:hyperlink r:id="rId187">
              <w:r>
                <w:rPr>
                  <w:rFonts w:ascii="Arial" w:cs="Arial" w:eastAsia="Arial" w:hAnsi="Arial"/>
                  <w:sz w:val="12"/>
                  <w:szCs w:val="12"/>
                  <w:color w:val="0000EE"/>
                  <w:w w:val="91"/>
                </w:rPr>
                <w:t>N.A., as administrative agent (incorporated by reference to Exhibit 10.11 to the Company’s Current Report on Form 8-K dated and filed with the SEC as of April 27, 2015 (File No. 001-36708))</w:t>
              </w:r>
            </w:hyperlink>
          </w:p>
        </w:tc>
        <w:tc>
          <w:tcPr>
            <w:tcW w:w="580" w:type="dxa"/>
            <w:vAlign w:val="bottom"/>
            <w:gridSpan w:val="10"/>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20"/>
          </w:tcPr>
          <w:p>
            <w:pPr>
              <w:spacing w:after="0"/>
              <w:rPr>
                <w:rFonts w:ascii="Arial" w:cs="Arial" w:eastAsia="Arial" w:hAnsi="Arial"/>
                <w:sz w:val="12"/>
                <w:szCs w:val="12"/>
                <w:color w:val="0000EE"/>
                <w:w w:val="92"/>
              </w:rPr>
            </w:pPr>
            <w:hyperlink r:id="rId188">
              <w:r>
                <w:rPr>
                  <w:rFonts w:ascii="Arial" w:cs="Arial" w:eastAsia="Arial" w:hAnsi="Arial"/>
                  <w:sz w:val="12"/>
                  <w:szCs w:val="12"/>
                  <w:color w:val="0000EE"/>
                  <w:w w:val="92"/>
                </w:rPr>
                <w:t>Employment Agreement between Uniti Group Inc. and Kenneth Gunderman, effective as of December 14, 2018 (incorporated by reference to Exhibit 10.1 to the Company’s Current Report on Form 8-K</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72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0"/>
              </w:rPr>
            </w:pPr>
            <w:hyperlink r:id="rId188">
              <w:r>
                <w:rPr>
                  <w:rFonts w:ascii="Arial" w:cs="Arial" w:eastAsia="Arial" w:hAnsi="Arial"/>
                  <w:sz w:val="12"/>
                  <w:szCs w:val="12"/>
                  <w:color w:val="0000EE"/>
                  <w:w w:val="90"/>
                </w:rPr>
                <w:t>dated and filed with the SEC as of December 14, 2018 (File No. 001-36708))</w:t>
              </w:r>
            </w:hyperlink>
          </w:p>
        </w:tc>
        <w:tc>
          <w:tcPr>
            <w:tcW w:w="6000" w:type="dxa"/>
            <w:vAlign w:val="bottom"/>
            <w:tcBorders>
              <w:top w:val="single" w:sz="8" w:color="0000EE"/>
            </w:tcBorders>
            <w:gridSpan w:val="8"/>
          </w:tcPr>
          <w:p>
            <w:pPr>
              <w:spacing w:after="0"/>
              <w:rPr>
                <w:sz w:val="10"/>
                <w:szCs w:val="10"/>
                <w:color w:val="auto"/>
              </w:rPr>
            </w:pPr>
          </w:p>
        </w:tc>
        <w:tc>
          <w:tcPr>
            <w:tcW w:w="160" w:type="dxa"/>
            <w:vAlign w:val="bottom"/>
            <w:gridSpan w:val="4"/>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80" w:type="dxa"/>
            <w:vAlign w:val="bottom"/>
            <w:tcBorders>
              <w:bottom w:val="single" w:sz="8" w:color="0000EE"/>
            </w:tcBorders>
            <w:gridSpan w:val="14"/>
          </w:tcPr>
          <w:p>
            <w:pPr>
              <w:spacing w:after="0"/>
              <w:rPr>
                <w:rFonts w:ascii="Arial" w:cs="Arial" w:eastAsia="Arial" w:hAnsi="Arial"/>
                <w:sz w:val="12"/>
                <w:szCs w:val="12"/>
                <w:color w:val="0000EE"/>
                <w:w w:val="90"/>
              </w:rPr>
            </w:pPr>
            <w:hyperlink r:id="rId189">
              <w:r>
                <w:rPr>
                  <w:rFonts w:ascii="Arial" w:cs="Arial" w:eastAsia="Arial" w:hAnsi="Arial"/>
                  <w:sz w:val="12"/>
                  <w:szCs w:val="12"/>
                  <w:color w:val="0000EE"/>
                  <w:w w:val="90"/>
                </w:rPr>
                <w:t>Severance Agreement, dated as of September 10, 2018, by and between Uniti Group Inc. and Mark A. Wallace (incorporated by reference to Exhibit 10.1 to the Company’s Current Report on Form 8-K</w:t>
              </w:r>
            </w:hyperlink>
          </w:p>
        </w:tc>
        <w:tc>
          <w:tcPr>
            <w:tcW w:w="200" w:type="dxa"/>
            <w:vAlign w:val="bottom"/>
            <w:gridSpan w:val="6"/>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740" w:type="dxa"/>
            <w:vAlign w:val="bottom"/>
            <w:tcBorders>
              <w:bottom w:val="single" w:sz="8" w:color="0000EE"/>
            </w:tcBorders>
            <w:gridSpan w:val="9"/>
          </w:tcPr>
          <w:p>
            <w:pPr>
              <w:spacing w:after="0" w:line="124" w:lineRule="exact"/>
              <w:rPr>
                <w:rFonts w:ascii="Arial" w:cs="Arial" w:eastAsia="Arial" w:hAnsi="Arial"/>
                <w:sz w:val="12"/>
                <w:szCs w:val="12"/>
                <w:color w:val="0000EE"/>
                <w:w w:val="90"/>
              </w:rPr>
            </w:pPr>
            <w:hyperlink r:id="rId189">
              <w:r>
                <w:rPr>
                  <w:rFonts w:ascii="Arial" w:cs="Arial" w:eastAsia="Arial" w:hAnsi="Arial"/>
                  <w:sz w:val="12"/>
                  <w:szCs w:val="12"/>
                  <w:color w:val="0000EE"/>
                  <w:w w:val="90"/>
                </w:rPr>
                <w:t>dated and filed with the SEC as of September 14, 2018 (File No. 001-36708))</w:t>
              </w:r>
            </w:hyperlink>
          </w:p>
        </w:tc>
        <w:tc>
          <w:tcPr>
            <w:tcW w:w="6140" w:type="dxa"/>
            <w:vAlign w:val="bottom"/>
            <w:gridSpan w:val="11"/>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20" w:type="dxa"/>
            <w:vAlign w:val="bottom"/>
            <w:tcBorders>
              <w:bottom w:val="single" w:sz="8" w:color="0000EE"/>
            </w:tcBorders>
            <w:gridSpan w:val="11"/>
          </w:tcPr>
          <w:p>
            <w:pPr>
              <w:spacing w:after="0"/>
              <w:rPr>
                <w:rFonts w:ascii="Arial" w:cs="Arial" w:eastAsia="Arial" w:hAnsi="Arial"/>
                <w:sz w:val="12"/>
                <w:szCs w:val="12"/>
                <w:color w:val="0000EE"/>
                <w:w w:val="90"/>
              </w:rPr>
            </w:pPr>
            <w:hyperlink r:id="rId190">
              <w:r>
                <w:rPr>
                  <w:rFonts w:ascii="Arial" w:cs="Arial" w:eastAsia="Arial" w:hAnsi="Arial"/>
                  <w:sz w:val="12"/>
                  <w:szCs w:val="12"/>
                  <w:color w:val="0000EE"/>
                  <w:w w:val="90"/>
                </w:rPr>
                <w:t>Severance Agreement, dated as of September 10, 2018, by and between Uniti Group Inc. and Daniel L. Heard (incorporated by reference to Exhibit 10.2 to the Company’s Current Report on Form 8-K</w:t>
              </w:r>
            </w:hyperlink>
          </w:p>
        </w:tc>
        <w:tc>
          <w:tcPr>
            <w:tcW w:w="260" w:type="dxa"/>
            <w:vAlign w:val="bottom"/>
            <w:gridSpan w:val="9"/>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740" w:type="dxa"/>
            <w:vAlign w:val="bottom"/>
            <w:tcBorders>
              <w:bottom w:val="single" w:sz="8" w:color="0000EE"/>
            </w:tcBorders>
            <w:gridSpan w:val="9"/>
          </w:tcPr>
          <w:p>
            <w:pPr>
              <w:spacing w:after="0" w:line="124" w:lineRule="exact"/>
              <w:rPr>
                <w:rFonts w:ascii="Arial" w:cs="Arial" w:eastAsia="Arial" w:hAnsi="Arial"/>
                <w:sz w:val="12"/>
                <w:szCs w:val="12"/>
                <w:color w:val="0000EE"/>
                <w:w w:val="90"/>
              </w:rPr>
            </w:pPr>
            <w:hyperlink r:id="rId190">
              <w:r>
                <w:rPr>
                  <w:rFonts w:ascii="Arial" w:cs="Arial" w:eastAsia="Arial" w:hAnsi="Arial"/>
                  <w:sz w:val="12"/>
                  <w:szCs w:val="12"/>
                  <w:color w:val="0000EE"/>
                  <w:w w:val="90"/>
                </w:rPr>
                <w:t>dated and filed with the SEC as of September 14, 2018 (File No. 001-36708))</w:t>
              </w:r>
            </w:hyperlink>
          </w:p>
        </w:tc>
        <w:tc>
          <w:tcPr>
            <w:tcW w:w="6140" w:type="dxa"/>
            <w:vAlign w:val="bottom"/>
            <w:gridSpan w:val="11"/>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00" w:type="dxa"/>
            <w:vAlign w:val="bottom"/>
            <w:tcBorders>
              <w:bottom w:val="single" w:sz="8" w:color="0000EE"/>
            </w:tcBorders>
            <w:gridSpan w:val="15"/>
          </w:tcPr>
          <w:p>
            <w:pPr>
              <w:spacing w:after="0"/>
              <w:rPr>
                <w:rFonts w:ascii="Arial" w:cs="Arial" w:eastAsia="Arial" w:hAnsi="Arial"/>
                <w:sz w:val="12"/>
                <w:szCs w:val="12"/>
                <w:color w:val="0000EE"/>
                <w:w w:val="91"/>
              </w:rPr>
            </w:pPr>
            <w:hyperlink r:id="rId191">
              <w:r>
                <w:rPr>
                  <w:rFonts w:ascii="Arial" w:cs="Arial" w:eastAsia="Arial" w:hAnsi="Arial"/>
                  <w:sz w:val="12"/>
                  <w:szCs w:val="12"/>
                  <w:color w:val="0000EE"/>
                  <w:w w:val="91"/>
                </w:rPr>
                <w:t>Uniti Group Inc. 2015 Equity Incentive Plan, as amended and restated effective March 28, 2018 (incorporated by reference to Exhibit 10.1 to the Company’s Current Report on Form 8-K dated and filed</w:t>
              </w:r>
            </w:hyperlink>
          </w:p>
        </w:tc>
        <w:tc>
          <w:tcPr>
            <w:tcW w:w="180" w:type="dxa"/>
            <w:vAlign w:val="bottom"/>
            <w:gridSpan w:val="5"/>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0"/>
          </w:tcPr>
          <w:p>
            <w:pPr>
              <w:spacing w:after="0" w:line="124" w:lineRule="exact"/>
              <w:rPr>
                <w:rFonts w:ascii="Arial" w:cs="Arial" w:eastAsia="Arial" w:hAnsi="Arial"/>
                <w:sz w:val="12"/>
                <w:szCs w:val="12"/>
                <w:color w:val="0000EE"/>
              </w:rPr>
            </w:pPr>
            <w:hyperlink r:id="rId191">
              <w:r>
                <w:rPr>
                  <w:rFonts w:ascii="Arial" w:cs="Arial" w:eastAsia="Arial" w:hAnsi="Arial"/>
                  <w:sz w:val="12"/>
                  <w:szCs w:val="12"/>
                  <w:color w:val="0000EE"/>
                </w:rPr>
                <w:t>with the SEC as of March 29, 2018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20"/>
          </w:tcPr>
          <w:p>
            <w:pPr>
              <w:spacing w:after="0"/>
              <w:rPr>
                <w:rFonts w:ascii="Arial" w:cs="Arial" w:eastAsia="Arial" w:hAnsi="Arial"/>
                <w:sz w:val="12"/>
                <w:szCs w:val="12"/>
                <w:color w:val="0000EE"/>
                <w:w w:val="93"/>
              </w:rPr>
            </w:pPr>
            <w:hyperlink r:id="rId192">
              <w:r>
                <w:rPr>
                  <w:rFonts w:ascii="Arial" w:cs="Arial" w:eastAsia="Arial" w:hAnsi="Arial"/>
                  <w:sz w:val="12"/>
                  <w:szCs w:val="12"/>
                  <w:color w:val="0000EE"/>
                  <w:w w:val="93"/>
                </w:rPr>
                <w:t>Form of Restricted Shares Agreement for employees (incorporated by reference to Exhibit 10.3 to the Company’s Current Report on Form 8-K dated and filed with the SEC as of June 3, 2015 (File No.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192">
              <w:r>
                <w:rPr>
                  <w:rFonts w:ascii="Arial" w:cs="Arial" w:eastAsia="Arial" w:hAnsi="Arial"/>
                  <w:sz w:val="12"/>
                  <w:szCs w:val="12"/>
                  <w:color w:val="0000EE"/>
                  <w:w w:val="88"/>
                </w:rPr>
                <w:t>001-36708))</w:t>
              </w:r>
            </w:hyperlink>
          </w:p>
        </w:tc>
        <w:tc>
          <w:tcPr>
            <w:tcW w:w="460" w:type="dxa"/>
            <w:vAlign w:val="bottom"/>
            <w:tcBorders>
              <w:top w:val="single" w:sz="8" w:color="0000EE"/>
            </w:tcBorders>
          </w:tcPr>
          <w:p>
            <w:pPr>
              <w:spacing w:after="0"/>
              <w:rPr>
                <w:sz w:val="10"/>
                <w:szCs w:val="10"/>
                <w:color w:val="auto"/>
              </w:rPr>
            </w:pPr>
          </w:p>
        </w:tc>
        <w:tc>
          <w:tcPr>
            <w:tcW w:w="14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556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tcBorders>
              <w:bottom w:val="single" w:sz="8" w:color="0000EE"/>
            </w:tcBorders>
            <w:gridSpan w:val="3"/>
          </w:tcPr>
          <w:p>
            <w:pPr>
              <w:spacing w:after="0"/>
              <w:rPr>
                <w:rFonts w:ascii="Arial" w:cs="Arial" w:eastAsia="Arial" w:hAnsi="Arial"/>
                <w:sz w:val="12"/>
                <w:szCs w:val="12"/>
                <w:color w:val="0000EE"/>
                <w:w w:val="89"/>
              </w:rPr>
            </w:pPr>
            <w:hyperlink w:anchor="page142">
              <w:r>
                <w:rPr>
                  <w:rFonts w:ascii="Arial" w:cs="Arial" w:eastAsia="Arial" w:hAnsi="Arial"/>
                  <w:sz w:val="12"/>
                  <w:szCs w:val="12"/>
                  <w:color w:val="0000EE"/>
                  <w:w w:val="89"/>
                </w:rPr>
                <w:t>Form of Restricted Shares Agreement for employees</w:t>
              </w:r>
            </w:hyperlink>
          </w:p>
        </w:tc>
        <w:tc>
          <w:tcPr>
            <w:tcW w:w="7340" w:type="dxa"/>
            <w:vAlign w:val="bottom"/>
            <w:gridSpan w:val="17"/>
          </w:tcPr>
          <w:p>
            <w:pPr>
              <w:spacing w:after="0"/>
              <w:rPr>
                <w:sz w:val="18"/>
                <w:szCs w:val="18"/>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20"/>
          </w:tcPr>
          <w:p>
            <w:pPr>
              <w:spacing w:after="0"/>
              <w:rPr>
                <w:rFonts w:ascii="Arial" w:cs="Arial" w:eastAsia="Arial" w:hAnsi="Arial"/>
                <w:sz w:val="12"/>
                <w:szCs w:val="12"/>
                <w:color w:val="0000EE"/>
                <w:w w:val="93"/>
              </w:rPr>
            </w:pPr>
            <w:hyperlink r:id="rId193">
              <w:r>
                <w:rPr>
                  <w:rFonts w:ascii="Arial" w:cs="Arial" w:eastAsia="Arial" w:hAnsi="Arial"/>
                  <w:sz w:val="12"/>
                  <w:szCs w:val="12"/>
                  <w:color w:val="0000EE"/>
                  <w:w w:val="93"/>
                </w:rPr>
                <w:t>Form of Performance-Based Restricted Stock Unit Agreement (incorporated by reference to Exhibit 10.4 to the Company’s Current Report on Form 8-K dated and filed with the SEC as of June 3, 2015</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4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r:id="rId193">
              <w:r>
                <w:rPr>
                  <w:rFonts w:ascii="Arial" w:cs="Arial" w:eastAsia="Arial" w:hAnsi="Arial"/>
                  <w:sz w:val="12"/>
                  <w:szCs w:val="12"/>
                  <w:color w:val="0000EE"/>
                </w:rPr>
                <w:t>(File No. 001-36708))</w:t>
              </w:r>
            </w:hyperlink>
          </w:p>
        </w:tc>
        <w:tc>
          <w:tcPr>
            <w:tcW w:w="240" w:type="dxa"/>
            <w:vAlign w:val="bottom"/>
            <w:gridSpan w:val="8"/>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tcBorders>
              <w:bottom w:val="single" w:sz="8" w:color="0000EE"/>
            </w:tcBorders>
            <w:gridSpan w:val="5"/>
          </w:tcPr>
          <w:p>
            <w:pPr>
              <w:spacing w:after="0"/>
              <w:rPr>
                <w:rFonts w:ascii="Arial" w:cs="Arial" w:eastAsia="Arial" w:hAnsi="Arial"/>
                <w:sz w:val="12"/>
                <w:szCs w:val="12"/>
                <w:color w:val="0000EE"/>
                <w:w w:val="90"/>
              </w:rPr>
            </w:pPr>
            <w:hyperlink w:anchor="page147">
              <w:r>
                <w:rPr>
                  <w:rFonts w:ascii="Arial" w:cs="Arial" w:eastAsia="Arial" w:hAnsi="Arial"/>
                  <w:sz w:val="12"/>
                  <w:szCs w:val="12"/>
                  <w:color w:val="0000EE"/>
                  <w:w w:val="90"/>
                </w:rPr>
                <w:t>Form of Performance-Based Restricted Stock Unit Agreement</w:t>
              </w:r>
            </w:hyperlink>
          </w:p>
        </w:tc>
        <w:tc>
          <w:tcPr>
            <w:tcW w:w="6880" w:type="dxa"/>
            <w:vAlign w:val="bottom"/>
            <w:gridSpan w:val="15"/>
          </w:tcPr>
          <w:p>
            <w:pPr>
              <w:spacing w:after="0"/>
              <w:rPr>
                <w:sz w:val="18"/>
                <w:szCs w:val="18"/>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tcBorders>
              <w:bottom w:val="single" w:sz="8" w:color="0000EE"/>
            </w:tcBorders>
            <w:gridSpan w:val="20"/>
          </w:tcPr>
          <w:p>
            <w:pPr>
              <w:spacing w:after="0"/>
              <w:rPr>
                <w:rFonts w:ascii="Arial" w:cs="Arial" w:eastAsia="Arial" w:hAnsi="Arial"/>
                <w:sz w:val="12"/>
                <w:szCs w:val="12"/>
                <w:color w:val="0000EE"/>
                <w:w w:val="91"/>
              </w:rPr>
            </w:pPr>
            <w:hyperlink r:id="rId194">
              <w:r>
                <w:rPr>
                  <w:rFonts w:ascii="Arial" w:cs="Arial" w:eastAsia="Arial" w:hAnsi="Arial"/>
                  <w:sz w:val="12"/>
                  <w:szCs w:val="12"/>
                  <w:color w:val="0000EE"/>
                  <w:w w:val="91"/>
                </w:rPr>
                <w:t>Form of Restricted Shares Agreement for non-employees (incorporated by reference to Exhibit 10.5 to the Company’s Current Report on Form 8-K dated and filed with the SEC as of June 3, 2015 (File No.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bottom w:val="single" w:sz="8" w:color="0000EE"/>
            </w:tcBorders>
          </w:tcPr>
          <w:p>
            <w:pPr>
              <w:spacing w:after="0" w:line="124" w:lineRule="exact"/>
              <w:rPr>
                <w:rFonts w:ascii="Arial" w:cs="Arial" w:eastAsia="Arial" w:hAnsi="Arial"/>
                <w:sz w:val="12"/>
                <w:szCs w:val="12"/>
                <w:color w:val="0000EE"/>
                <w:w w:val="88"/>
              </w:rPr>
            </w:pPr>
            <w:hyperlink r:id="rId194">
              <w:r>
                <w:rPr>
                  <w:rFonts w:ascii="Arial" w:cs="Arial" w:eastAsia="Arial" w:hAnsi="Arial"/>
                  <w:sz w:val="12"/>
                  <w:szCs w:val="12"/>
                  <w:color w:val="0000EE"/>
                  <w:w w:val="88"/>
                </w:rPr>
                <w:t>001-36708))</w:t>
              </w:r>
            </w:hyperlink>
          </w:p>
        </w:tc>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20" w:type="dxa"/>
            <w:vAlign w:val="bottom"/>
            <w:tcBorders>
              <w:bottom w:val="single" w:sz="8" w:color="0000EE"/>
            </w:tcBorders>
            <w:gridSpan w:val="18"/>
          </w:tcPr>
          <w:p>
            <w:pPr>
              <w:spacing w:after="0"/>
              <w:rPr>
                <w:rFonts w:ascii="Arial" w:cs="Arial" w:eastAsia="Arial" w:hAnsi="Arial"/>
                <w:sz w:val="12"/>
                <w:szCs w:val="12"/>
                <w:color w:val="0000EE"/>
                <w:w w:val="90"/>
              </w:rPr>
            </w:pPr>
            <w:hyperlink r:id="rId195">
              <w:r>
                <w:rPr>
                  <w:rFonts w:ascii="Arial" w:cs="Arial" w:eastAsia="Arial" w:hAnsi="Arial"/>
                  <w:sz w:val="12"/>
                  <w:szCs w:val="12"/>
                  <w:color w:val="0000EE"/>
                  <w:w w:val="90"/>
                </w:rPr>
                <w:t>Form of Restricted Shares Agreement for non-employee directors (incorporated by reference to Exhibit 10.5 to the Company’s Current Report on Form 8-K dated and filed with the SEC as of June 3, 2015</w:t>
              </w:r>
            </w:hyperlink>
          </w:p>
        </w:tc>
        <w:tc>
          <w:tcPr>
            <w:tcW w:w="60" w:type="dxa"/>
            <w:vAlign w:val="bottom"/>
            <w:gridSpan w:val="2"/>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0"/>
          </w:tcPr>
          <w:p>
            <w:pPr>
              <w:spacing w:after="0" w:line="124" w:lineRule="exact"/>
              <w:rPr>
                <w:rFonts w:ascii="Arial" w:cs="Arial" w:eastAsia="Arial" w:hAnsi="Arial"/>
                <w:sz w:val="12"/>
                <w:szCs w:val="12"/>
                <w:color w:val="0000EE"/>
              </w:rPr>
            </w:pPr>
            <w:hyperlink r:id="rId195">
              <w:r>
                <w:rPr>
                  <w:rFonts w:ascii="Arial" w:cs="Arial" w:eastAsia="Arial" w:hAnsi="Arial"/>
                  <w:sz w:val="12"/>
                  <w:szCs w:val="12"/>
                  <w:color w:val="0000EE"/>
                </w:rPr>
                <w:t>(File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80" w:type="dxa"/>
            <w:vAlign w:val="bottom"/>
            <w:tcBorders>
              <w:bottom w:val="single" w:sz="8" w:color="0000EE"/>
            </w:tcBorders>
            <w:gridSpan w:val="14"/>
          </w:tcPr>
          <w:p>
            <w:pPr>
              <w:spacing w:after="0"/>
              <w:rPr>
                <w:rFonts w:ascii="Arial" w:cs="Arial" w:eastAsia="Arial" w:hAnsi="Arial"/>
                <w:sz w:val="12"/>
                <w:szCs w:val="12"/>
                <w:color w:val="0000EE"/>
                <w:w w:val="91"/>
              </w:rPr>
            </w:pPr>
            <w:hyperlink r:id="rId196">
              <w:r>
                <w:rPr>
                  <w:rFonts w:ascii="Arial" w:cs="Arial" w:eastAsia="Arial" w:hAnsi="Arial"/>
                  <w:sz w:val="12"/>
                  <w:szCs w:val="12"/>
                  <w:color w:val="0000EE"/>
                  <w:w w:val="91"/>
                </w:rPr>
                <w:t>Form of Indemnity Agreement (incorporated by reference to Exhibit 10.20 to the Company’s Registration Statement on Form S-4 dated and filed with the SEC as of July 2, 2015 (File No. 333-205450))</w:t>
              </w:r>
            </w:hyperlink>
          </w:p>
        </w:tc>
        <w:tc>
          <w:tcPr>
            <w:tcW w:w="200" w:type="dxa"/>
            <w:vAlign w:val="bottom"/>
            <w:gridSpan w:val="6"/>
          </w:tcPr>
          <w:p>
            <w:pPr>
              <w:spacing w:after="0"/>
              <w:rPr>
                <w:sz w:val="18"/>
                <w:szCs w:val="18"/>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60" w:type="dxa"/>
            <w:vAlign w:val="bottom"/>
            <w:tcBorders>
              <w:bottom w:val="single" w:sz="8" w:color="0000EE"/>
            </w:tcBorders>
            <w:gridSpan w:val="13"/>
          </w:tcPr>
          <w:p>
            <w:pPr>
              <w:spacing w:after="0"/>
              <w:rPr>
                <w:rFonts w:ascii="Arial" w:cs="Arial" w:eastAsia="Arial" w:hAnsi="Arial"/>
                <w:sz w:val="12"/>
                <w:szCs w:val="12"/>
                <w:color w:val="0000EE"/>
                <w:w w:val="91"/>
              </w:rPr>
            </w:pPr>
            <w:hyperlink r:id="rId197">
              <w:r>
                <w:rPr>
                  <w:rFonts w:ascii="Arial" w:cs="Arial" w:eastAsia="Arial" w:hAnsi="Arial"/>
                  <w:sz w:val="12"/>
                  <w:szCs w:val="12"/>
                  <w:color w:val="0000EE"/>
                  <w:w w:val="91"/>
                </w:rPr>
                <w:t>Communications Sales &amp; Leasing, Inc. Deferred Compensation Plan, effective August 10, 2015 (incorporated by reference to Exhibit 10.20 to the Company’s Quarterly Report on Form 10-Q dated and</w:t>
              </w:r>
            </w:hyperlink>
          </w:p>
        </w:tc>
        <w:tc>
          <w:tcPr>
            <w:tcW w:w="220" w:type="dxa"/>
            <w:vAlign w:val="bottom"/>
            <w:gridSpan w:val="7"/>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80" w:type="dxa"/>
            <w:vAlign w:val="bottom"/>
            <w:tcBorders>
              <w:bottom w:val="single" w:sz="8" w:color="0000EE"/>
            </w:tcBorders>
            <w:gridSpan w:val="6"/>
          </w:tcPr>
          <w:p>
            <w:pPr>
              <w:spacing w:after="0" w:line="124" w:lineRule="exact"/>
              <w:rPr>
                <w:rFonts w:ascii="Arial" w:cs="Arial" w:eastAsia="Arial" w:hAnsi="Arial"/>
                <w:sz w:val="12"/>
                <w:szCs w:val="12"/>
                <w:color w:val="0000EE"/>
                <w:w w:val="92"/>
              </w:rPr>
            </w:pPr>
            <w:hyperlink r:id="rId197">
              <w:r>
                <w:rPr>
                  <w:rFonts w:ascii="Arial" w:cs="Arial" w:eastAsia="Arial" w:hAnsi="Arial"/>
                  <w:sz w:val="12"/>
                  <w:szCs w:val="12"/>
                  <w:color w:val="0000EE"/>
                  <w:w w:val="92"/>
                </w:rPr>
                <w:t>filed with the SEC as of August 13, 2015 (File No. 001-36708))</w:t>
              </w:r>
            </w:hyperlink>
          </w:p>
        </w:tc>
        <w:tc>
          <w:tcPr>
            <w:tcW w:w="6800" w:type="dxa"/>
            <w:vAlign w:val="bottom"/>
            <w:gridSpan w:val="14"/>
          </w:tcPr>
          <w:p>
            <w:pPr>
              <w:spacing w:after="0"/>
              <w:rPr>
                <w:sz w:val="10"/>
                <w:szCs w:val="10"/>
                <w:color w:val="auto"/>
              </w:rPr>
            </w:pPr>
          </w:p>
        </w:tc>
      </w:tr>
      <w:tr>
        <w:trPr>
          <w:trHeight w:val="376"/>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10"/>
          </w:tcPr>
          <w:p>
            <w:pPr>
              <w:ind w:left="4020"/>
              <w:spacing w:after="0"/>
              <w:rPr>
                <w:sz w:val="20"/>
                <w:szCs w:val="20"/>
                <w:color w:val="auto"/>
              </w:rPr>
            </w:pPr>
            <w:r>
              <w:rPr>
                <w:rFonts w:ascii="Arial" w:cs="Arial" w:eastAsia="Arial" w:hAnsi="Arial"/>
                <w:sz w:val="12"/>
                <w:szCs w:val="12"/>
                <w:color w:val="auto"/>
              </w:rPr>
              <w:t>114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5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14" w:name="page115"/>
    <w:bookmarkEnd w:id="114"/>
    <w:tbl>
      <w:tblPr>
        <w:tblLayout w:type="fixed"/>
        <w:tblInd w:w="8"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20" w:type="dxa"/>
            <w:vAlign w:val="bottom"/>
            <w:gridSpan w:val="14"/>
          </w:tcPr>
          <w:p>
            <w:pPr>
              <w:ind w:left="38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10.26+</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top w:val="single" w:sz="8" w:color="auto"/>
              <w:bottom w:val="single" w:sz="8" w:color="0000EE"/>
            </w:tcBorders>
            <w:gridSpan w:val="17"/>
          </w:tcPr>
          <w:p>
            <w:pPr>
              <w:spacing w:after="0" w:line="120" w:lineRule="exact"/>
              <w:rPr>
                <w:rFonts w:ascii="Arial" w:cs="Arial" w:eastAsia="Arial" w:hAnsi="Arial"/>
                <w:sz w:val="12"/>
                <w:szCs w:val="12"/>
                <w:color w:val="0000EE"/>
                <w:w w:val="90"/>
              </w:rPr>
            </w:pPr>
            <w:hyperlink r:id="rId200">
              <w:r>
                <w:rPr>
                  <w:rFonts w:ascii="Arial" w:cs="Arial" w:eastAsia="Arial" w:hAnsi="Arial"/>
                  <w:sz w:val="12"/>
                  <w:szCs w:val="12"/>
                  <w:color w:val="0000EE"/>
                  <w:w w:val="90"/>
                </w:rPr>
                <w:t>Uniti Group Inc. Amended and Restated Employee Stock Purchase Plan (incorporated by reference to Exhibit 99.1 to the Company’s Registration Statement on Form S-8 dated and filed with the SEC as of</w:t>
              </w:r>
            </w:hyperlink>
          </w:p>
        </w:tc>
        <w:tc>
          <w:tcPr>
            <w:tcW w:w="40" w:type="dxa"/>
            <w:vAlign w:val="bottom"/>
            <w:tcBorders>
              <w:top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rPr>
            </w:pPr>
            <w:hyperlink r:id="rId200">
              <w:r>
                <w:rPr>
                  <w:rFonts w:ascii="Arial" w:cs="Arial" w:eastAsia="Arial" w:hAnsi="Arial"/>
                  <w:sz w:val="12"/>
                  <w:szCs w:val="12"/>
                  <w:color w:val="0000EE"/>
                </w:rPr>
                <w:t>June 7, 2018 (File No. 333-225501))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19"/>
          </w:tcPr>
          <w:p>
            <w:pPr>
              <w:spacing w:after="0"/>
              <w:rPr>
                <w:rFonts w:ascii="Arial" w:cs="Arial" w:eastAsia="Arial" w:hAnsi="Arial"/>
                <w:sz w:val="12"/>
                <w:szCs w:val="12"/>
                <w:color w:val="0000EE"/>
                <w:w w:val="92"/>
              </w:rPr>
            </w:pPr>
            <w:hyperlink r:id="rId201">
              <w:r>
                <w:rPr>
                  <w:rFonts w:ascii="Arial" w:cs="Arial" w:eastAsia="Arial" w:hAnsi="Arial"/>
                  <w:sz w:val="12"/>
                  <w:szCs w:val="12"/>
                  <w:color w:val="0000EE"/>
                  <w:w w:val="92"/>
                </w:rPr>
                <w:t>Stockholders’ and Registration Rights Agreement, dated May 2, 2016, by and between Communications Sales and Leasing, Inc. and PEG Bandwidth Holdings, LLC (incorporated by reference to Exhibit</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4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r:id="rId201">
              <w:r>
                <w:rPr>
                  <w:rFonts w:ascii="Arial" w:cs="Arial" w:eastAsia="Arial" w:hAnsi="Arial"/>
                  <w:sz w:val="12"/>
                  <w:szCs w:val="12"/>
                  <w:color w:val="0000EE"/>
                </w:rPr>
                <w:t>10.</w:t>
              </w:r>
              <w:r>
                <w:rPr>
                  <w:rFonts w:ascii="Arial" w:cs="Arial" w:eastAsia="Arial" w:hAnsi="Arial"/>
                  <w:sz w:val="12"/>
                  <w:szCs w:val="12"/>
                  <w:u w:val="single" w:color="auto"/>
                  <w:color w:val="0000EE"/>
                </w:rPr>
                <w:t>1</w:t>
              </w:r>
              <w:r>
                <w:rPr>
                  <w:rFonts w:ascii="Arial" w:cs="Arial" w:eastAsia="Arial" w:hAnsi="Arial"/>
                  <w:sz w:val="12"/>
                  <w:szCs w:val="12"/>
                  <w:color w:val="0000EE"/>
                </w:rPr>
                <w:t xml:space="preserve"> to the Company’s Current Report on Form 8-K dated and filed with the SEC as of May 4, 2016 (File No. 001-36708))</w:t>
              </w:r>
            </w:hyperlink>
          </w:p>
        </w:tc>
        <w:tc>
          <w:tcPr>
            <w:tcW w:w="1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19"/>
          </w:tcPr>
          <w:p>
            <w:pPr>
              <w:spacing w:after="0"/>
              <w:rPr>
                <w:rFonts w:ascii="Arial" w:cs="Arial" w:eastAsia="Arial" w:hAnsi="Arial"/>
                <w:sz w:val="12"/>
                <w:szCs w:val="12"/>
                <w:color w:val="0000EE"/>
                <w:w w:val="93"/>
              </w:rPr>
            </w:pPr>
            <w:hyperlink r:id="rId202">
              <w:r>
                <w:rPr>
                  <w:rFonts w:ascii="Arial" w:cs="Arial" w:eastAsia="Arial" w:hAnsi="Arial"/>
                  <w:sz w:val="12"/>
                  <w:szCs w:val="12"/>
                  <w:color w:val="0000EE"/>
                  <w:w w:val="93"/>
                </w:rPr>
                <w:t>Amendment No. 1 to Master Lease, entered into as of February 12, 2016, by and among CSL National, L.P. and the other entities listed therein, as Landlord, and Windstream Holdings, Inc., as Tenant</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94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r:id="rId202">
              <w:r>
                <w:rPr>
                  <w:rFonts w:ascii="Arial" w:cs="Arial" w:eastAsia="Arial" w:hAnsi="Arial"/>
                  <w:sz w:val="12"/>
                  <w:szCs w:val="12"/>
                  <w:color w:val="0000EE"/>
                  <w:w w:val="91"/>
                </w:rPr>
                <w:t>(incorporated by reference to Exhibit 10.3 to the Company’s Quarterly Report on Form 10-Q dated and filed with the SEC as of May 12, 2016 (File No. 001-36708))</w:t>
              </w:r>
            </w:hyperlink>
          </w:p>
        </w:tc>
        <w:tc>
          <w:tcPr>
            <w:tcW w:w="1620" w:type="dxa"/>
            <w:vAlign w:val="bottom"/>
            <w:tcBorders>
              <w:top w:val="single" w:sz="8" w:color="0000EE"/>
            </w:tcBorders>
          </w:tcPr>
          <w:p>
            <w:pPr>
              <w:spacing w:after="0"/>
              <w:rPr>
                <w:sz w:val="10"/>
                <w:szCs w:val="10"/>
                <w:color w:val="auto"/>
              </w:rPr>
            </w:pPr>
          </w:p>
        </w:tc>
        <w:tc>
          <w:tcPr>
            <w:tcW w:w="32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60" w:type="dxa"/>
            <w:vAlign w:val="bottom"/>
            <w:tcBorders>
              <w:bottom w:val="single" w:sz="8" w:color="0000EE"/>
            </w:tcBorders>
            <w:gridSpan w:val="12"/>
          </w:tcPr>
          <w:p>
            <w:pPr>
              <w:spacing w:after="0"/>
              <w:rPr>
                <w:rFonts w:ascii="Arial" w:cs="Arial" w:eastAsia="Arial" w:hAnsi="Arial"/>
                <w:sz w:val="12"/>
                <w:szCs w:val="12"/>
                <w:color w:val="0000EE"/>
                <w:w w:val="89"/>
              </w:rPr>
            </w:pPr>
            <w:hyperlink r:id="rId203">
              <w:r>
                <w:rPr>
                  <w:rFonts w:ascii="Arial" w:cs="Arial" w:eastAsia="Arial" w:hAnsi="Arial"/>
                  <w:sz w:val="12"/>
                  <w:szCs w:val="12"/>
                  <w:color w:val="0000EE"/>
                  <w:w w:val="89"/>
                </w:rPr>
                <w:t>Registration Rights Agreement by and among each of the parties listed on the signature pages thereto and Communications Sales &amp; Leasing, Inc. dated as of June 15, 2016 (incorporated by reference to</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rPr>
            </w:pPr>
            <w:hyperlink r:id="rId203">
              <w:r>
                <w:rPr>
                  <w:rFonts w:ascii="Arial" w:cs="Arial" w:eastAsia="Arial" w:hAnsi="Arial"/>
                  <w:sz w:val="12"/>
                  <w:szCs w:val="12"/>
                  <w:color w:val="0000EE"/>
                </w:rPr>
                <w:t>Exhibit 10.2 to the Company’s Quarterly Report on Form 10-Q dated and filed with the SEC as of August 11, 2016 (File No. 001-36708))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10.30+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60" w:type="dxa"/>
            <w:vAlign w:val="bottom"/>
            <w:tcBorders>
              <w:bottom w:val="single" w:sz="8" w:color="0000EE"/>
            </w:tcBorders>
            <w:gridSpan w:val="18"/>
          </w:tcPr>
          <w:p>
            <w:pPr>
              <w:spacing w:after="0"/>
              <w:rPr>
                <w:rFonts w:ascii="Arial" w:cs="Arial" w:eastAsia="Arial" w:hAnsi="Arial"/>
                <w:sz w:val="12"/>
                <w:szCs w:val="12"/>
                <w:color w:val="0000EE"/>
                <w:w w:val="91"/>
              </w:rPr>
            </w:pPr>
            <w:hyperlink r:id="rId204">
              <w:r>
                <w:rPr>
                  <w:rFonts w:ascii="Arial" w:cs="Arial" w:eastAsia="Arial" w:hAnsi="Arial"/>
                  <w:sz w:val="12"/>
                  <w:szCs w:val="12"/>
                  <w:color w:val="0000EE"/>
                  <w:w w:val="91"/>
                </w:rPr>
                <w:t>Communications Sales &amp; Leasing, Inc. 2017 Short Term Incentive Plan (incorporated by reference to Exhibit 10.1 to the Company’s Quarterly Report on Form 10-Q dated and filed with the SEC as of May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tcBorders>
              <w:bottom w:val="single" w:sz="8" w:color="0000EE"/>
            </w:tcBorders>
            <w:gridSpan w:val="2"/>
          </w:tcPr>
          <w:p>
            <w:pPr>
              <w:spacing w:after="0" w:line="124" w:lineRule="exact"/>
              <w:rPr>
                <w:rFonts w:ascii="Arial" w:cs="Arial" w:eastAsia="Arial" w:hAnsi="Arial"/>
                <w:sz w:val="12"/>
                <w:szCs w:val="12"/>
                <w:color w:val="0000EE"/>
                <w:w w:val="91"/>
              </w:rPr>
            </w:pPr>
            <w:hyperlink r:id="rId204">
              <w:r>
                <w:rPr>
                  <w:rFonts w:ascii="Arial" w:cs="Arial" w:eastAsia="Arial" w:hAnsi="Arial"/>
                  <w:sz w:val="12"/>
                  <w:szCs w:val="12"/>
                  <w:color w:val="0000EE"/>
                  <w:w w:val="91"/>
                </w:rPr>
                <w:t>10, 2018 (File No. 001-36708))</w:t>
              </w:r>
            </w:hyperlink>
          </w:p>
        </w:tc>
        <w:tc>
          <w:tcPr>
            <w:tcW w:w="836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10.31+***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19"/>
          </w:tcPr>
          <w:p>
            <w:pPr>
              <w:spacing w:after="0"/>
              <w:rPr>
                <w:rFonts w:ascii="Arial" w:cs="Arial" w:eastAsia="Arial" w:hAnsi="Arial"/>
                <w:sz w:val="12"/>
                <w:szCs w:val="12"/>
                <w:color w:val="0000EE"/>
                <w:w w:val="93"/>
              </w:rPr>
            </w:pPr>
            <w:hyperlink r:id="rId205">
              <w:r>
                <w:rPr>
                  <w:rFonts w:ascii="Arial" w:cs="Arial" w:eastAsia="Arial" w:hAnsi="Arial"/>
                  <w:sz w:val="12"/>
                  <w:szCs w:val="12"/>
                  <w:color w:val="0000EE"/>
                  <w:w w:val="93"/>
                </w:rPr>
                <w:t>Uniti Group Inc. 2018 Short Term Incentive Plan (incorporated by reference to Exhibit 10.2 to the Company’s Quarterly Report on Form 10-Q dated and filed with the SEC as of May 10, 2018 (File No.</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205">
              <w:r>
                <w:rPr>
                  <w:rFonts w:ascii="Arial" w:cs="Arial" w:eastAsia="Arial" w:hAnsi="Arial"/>
                  <w:sz w:val="12"/>
                  <w:szCs w:val="12"/>
                  <w:color w:val="0000EE"/>
                  <w:w w:val="88"/>
                </w:rPr>
                <w:t>001-36708))</w:t>
              </w:r>
            </w:hyperlink>
          </w:p>
        </w:tc>
        <w:tc>
          <w:tcPr>
            <w:tcW w:w="9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360" w:type="dxa"/>
            <w:vAlign w:val="bottom"/>
            <w:tcBorders>
              <w:top w:val="single" w:sz="8" w:color="0000EE"/>
            </w:tcBorders>
          </w:tcPr>
          <w:p>
            <w:pPr>
              <w:spacing w:after="0"/>
              <w:rPr>
                <w:sz w:val="10"/>
                <w:szCs w:val="10"/>
                <w:color w:val="auto"/>
              </w:rPr>
            </w:pPr>
          </w:p>
        </w:tc>
        <w:tc>
          <w:tcPr>
            <w:tcW w:w="1640" w:type="dxa"/>
            <w:vAlign w:val="bottom"/>
            <w:tcBorders>
              <w:top w:val="single" w:sz="8" w:color="0000EE"/>
            </w:tcBorders>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16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21.1*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Borders>
              <w:bottom w:val="single" w:sz="8" w:color="0000EE"/>
            </w:tcBorders>
            <w:gridSpan w:val="4"/>
          </w:tcPr>
          <w:p>
            <w:pPr>
              <w:spacing w:after="0"/>
              <w:rPr>
                <w:rFonts w:ascii="Arial" w:cs="Arial" w:eastAsia="Arial" w:hAnsi="Arial"/>
                <w:sz w:val="12"/>
                <w:szCs w:val="12"/>
                <w:color w:val="0000EE"/>
                <w:w w:val="93"/>
              </w:rPr>
            </w:pPr>
            <w:hyperlink w:anchor="page155">
              <w:r>
                <w:rPr>
                  <w:rFonts w:ascii="Arial" w:cs="Arial" w:eastAsia="Arial" w:hAnsi="Arial"/>
                  <w:sz w:val="12"/>
                  <w:szCs w:val="12"/>
                  <w:color w:val="0000EE"/>
                  <w:w w:val="93"/>
                </w:rPr>
                <w:t>List of Subsidiaries of Uniti Group Inc.</w:t>
              </w:r>
            </w:hyperlink>
          </w:p>
        </w:tc>
        <w:tc>
          <w:tcPr>
            <w:tcW w:w="798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23.1*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Borders>
              <w:bottom w:val="single" w:sz="8" w:color="0000EE"/>
            </w:tcBorders>
            <w:gridSpan w:val="5"/>
          </w:tcPr>
          <w:p>
            <w:pPr>
              <w:spacing w:after="0"/>
              <w:rPr>
                <w:rFonts w:ascii="Arial" w:cs="Arial" w:eastAsia="Arial" w:hAnsi="Arial"/>
                <w:sz w:val="12"/>
                <w:szCs w:val="12"/>
                <w:color w:val="0000EE"/>
                <w:w w:val="90"/>
              </w:rPr>
            </w:pPr>
            <w:hyperlink w:anchor="page157">
              <w:r>
                <w:rPr>
                  <w:rFonts w:ascii="Arial" w:cs="Arial" w:eastAsia="Arial" w:hAnsi="Arial"/>
                  <w:sz w:val="12"/>
                  <w:szCs w:val="12"/>
                  <w:color w:val="0000EE"/>
                  <w:w w:val="90"/>
                </w:rPr>
                <w:t>Consent of PricewaterhouseCoopers LLP, independent registered public accounting firm</w:t>
              </w:r>
            </w:hyperlink>
          </w:p>
        </w:tc>
        <w:tc>
          <w:tcPr>
            <w:tcW w:w="56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31.1*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80" w:type="dxa"/>
            <w:vAlign w:val="bottom"/>
            <w:tcBorders>
              <w:bottom w:val="single" w:sz="8" w:color="0000EE"/>
            </w:tcBorders>
            <w:gridSpan w:val="16"/>
          </w:tcPr>
          <w:p>
            <w:pPr>
              <w:spacing w:after="0"/>
              <w:rPr>
                <w:rFonts w:ascii="Arial" w:cs="Arial" w:eastAsia="Arial" w:hAnsi="Arial"/>
                <w:sz w:val="12"/>
                <w:szCs w:val="12"/>
                <w:color w:val="0000EE"/>
                <w:w w:val="90"/>
              </w:rPr>
            </w:pPr>
            <w:hyperlink w:anchor="page158">
              <w:r>
                <w:rPr>
                  <w:rFonts w:ascii="Arial" w:cs="Arial" w:eastAsia="Arial" w:hAnsi="Arial"/>
                  <w:sz w:val="12"/>
                  <w:szCs w:val="12"/>
                  <w:color w:val="0000EE"/>
                  <w:w w:val="90"/>
                </w:rPr>
                <w:t>Certification of Principal Executive Officer Pursuant to Rules 13a-14(a) and 15d-14(a) under the Securities Exchange Act of 1934, as Adopted Pursuant to Section 302 of the Sarbanes-Oxley Act of 2002.</w:t>
              </w:r>
            </w:hyperlink>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100"/>
              <w:spacing w:after="0"/>
              <w:rPr>
                <w:sz w:val="20"/>
                <w:szCs w:val="20"/>
                <w:color w:val="auto"/>
              </w:rPr>
            </w:pPr>
            <w:r>
              <w:rPr>
                <w:rFonts w:ascii="Arial" w:cs="Arial" w:eastAsia="Arial" w:hAnsi="Arial"/>
                <w:sz w:val="12"/>
                <w:szCs w:val="12"/>
                <w:color w:val="auto"/>
              </w:rPr>
              <w:t>31.2*</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80" w:type="dxa"/>
            <w:vAlign w:val="bottom"/>
            <w:gridSpan w:val="19"/>
            <w:vMerge w:val="restart"/>
          </w:tcPr>
          <w:p>
            <w:pPr>
              <w:spacing w:after="0"/>
              <w:rPr>
                <w:rFonts w:ascii="Arial" w:cs="Arial" w:eastAsia="Arial" w:hAnsi="Arial"/>
                <w:sz w:val="12"/>
                <w:szCs w:val="12"/>
                <w:color w:val="0000EE"/>
                <w:w w:val="92"/>
              </w:rPr>
            </w:pPr>
            <w:hyperlink w:anchor="page159">
              <w:r>
                <w:rPr>
                  <w:rFonts w:ascii="Arial" w:cs="Arial" w:eastAsia="Arial" w:hAnsi="Arial"/>
                  <w:sz w:val="12"/>
                  <w:szCs w:val="12"/>
                  <w:color w:val="0000EE"/>
                  <w:w w:val="92"/>
                </w:rPr>
                <w:t>Certification of Principal Financial Officer Pursuant to Rules 13a-14(a) and 15d-14(a) under the Securities Exchange Act of 1934, as Adopted Pursuant to Section 302 of the Sarbanes-Oxley Act of 2002</w:t>
              </w:r>
            </w:hyperlink>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32.1*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00" w:type="dxa"/>
            <w:vAlign w:val="bottom"/>
            <w:tcBorders>
              <w:top w:val="single" w:sz="8" w:color="0000EE"/>
            </w:tcBorders>
            <w:gridSpan w:val="14"/>
          </w:tcPr>
          <w:p>
            <w:pPr>
              <w:spacing w:after="0"/>
              <w:rPr>
                <w:rFonts w:ascii="Arial" w:cs="Arial" w:eastAsia="Arial" w:hAnsi="Arial"/>
                <w:sz w:val="12"/>
                <w:szCs w:val="12"/>
                <w:color w:val="0000EE"/>
              </w:rPr>
            </w:pPr>
            <w:hyperlink w:anchor="page160">
              <w:r>
                <w:rPr>
                  <w:rFonts w:ascii="Arial" w:cs="Arial" w:eastAsia="Arial" w:hAnsi="Arial"/>
                  <w:sz w:val="12"/>
                  <w:szCs w:val="12"/>
                  <w:color w:val="0000EE"/>
                </w:rPr>
                <w:t>Certification of Principal Executive Officer Pursuant to 18 U.S.C. Section 1350, as Adopted Pursuant to Section 906 of the Sarbanes-Oxley Act of 2002</w:t>
              </w:r>
            </w:hyperlink>
          </w:p>
        </w:tc>
        <w:tc>
          <w:tcPr>
            <w:tcW w:w="1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32.2*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tcBorders>
              <w:top w:val="single" w:sz="8" w:color="0000EE"/>
              <w:bottom w:val="single" w:sz="8" w:color="0000EE"/>
            </w:tcBorders>
            <w:gridSpan w:val="8"/>
          </w:tcPr>
          <w:p>
            <w:pPr>
              <w:spacing w:after="0"/>
              <w:rPr>
                <w:rFonts w:ascii="Arial" w:cs="Arial" w:eastAsia="Arial" w:hAnsi="Arial"/>
                <w:sz w:val="12"/>
                <w:szCs w:val="12"/>
                <w:color w:val="0000EE"/>
                <w:w w:val="91"/>
              </w:rPr>
            </w:pPr>
            <w:hyperlink w:anchor="page161">
              <w:r>
                <w:rPr>
                  <w:rFonts w:ascii="Arial" w:cs="Arial" w:eastAsia="Arial" w:hAnsi="Arial"/>
                  <w:sz w:val="12"/>
                  <w:szCs w:val="12"/>
                  <w:color w:val="0000EE"/>
                  <w:w w:val="91"/>
                </w:rPr>
                <w:t>Certification of Principal Financial Officer Pursuant to 18 U.S.C. Section 1350, as Adopted Pursuant to Section 906 of the Sarbanes-Oxley Act of 2002</w:t>
              </w:r>
            </w:hyperlink>
          </w:p>
        </w:tc>
        <w:tc>
          <w:tcPr>
            <w:tcW w:w="20" w:type="dxa"/>
            <w:vAlign w:val="bottom"/>
            <w:tcBorders>
              <w:top w:val="single" w:sz="8" w:color="0000EE"/>
            </w:tcBorders>
          </w:tcPr>
          <w:p>
            <w:pPr>
              <w:spacing w:after="0"/>
              <w:rPr>
                <w:sz w:val="18"/>
                <w:szCs w:val="18"/>
                <w:color w:val="auto"/>
              </w:rPr>
            </w:pPr>
          </w:p>
        </w:tc>
        <w:tc>
          <w:tcPr>
            <w:tcW w:w="25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gridSpan w:val="3"/>
          </w:tcPr>
          <w:p>
            <w:pPr>
              <w:spacing w:after="0"/>
              <w:rPr>
                <w:sz w:val="20"/>
                <w:szCs w:val="20"/>
                <w:color w:val="auto"/>
              </w:rPr>
            </w:pPr>
            <w:r>
              <w:rPr>
                <w:rFonts w:ascii="Arial" w:cs="Arial" w:eastAsia="Arial" w:hAnsi="Arial"/>
                <w:sz w:val="12"/>
                <w:szCs w:val="12"/>
                <w:color w:val="auto"/>
              </w:rPr>
              <w:t>101.INS*</w:t>
            </w:r>
          </w:p>
        </w:tc>
        <w:tc>
          <w:tcPr>
            <w:tcW w:w="9880" w:type="dxa"/>
            <w:vAlign w:val="bottom"/>
            <w:gridSpan w:val="19"/>
          </w:tcPr>
          <w:p>
            <w:pPr>
              <w:spacing w:after="0"/>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234"/>
        </w:trPr>
        <w:tc>
          <w:tcPr>
            <w:tcW w:w="1620" w:type="dxa"/>
            <w:vAlign w:val="bottom"/>
            <w:gridSpan w:val="3"/>
          </w:tcPr>
          <w:p>
            <w:pPr>
              <w:spacing w:after="0"/>
              <w:rPr>
                <w:sz w:val="20"/>
                <w:szCs w:val="20"/>
                <w:color w:val="auto"/>
              </w:rPr>
            </w:pPr>
            <w:r>
              <w:rPr>
                <w:rFonts w:ascii="Arial" w:cs="Arial" w:eastAsia="Arial" w:hAnsi="Arial"/>
                <w:sz w:val="12"/>
                <w:szCs w:val="12"/>
                <w:color w:val="auto"/>
              </w:rPr>
              <w:t>101.SCH*</w:t>
            </w:r>
          </w:p>
        </w:tc>
        <w:tc>
          <w:tcPr>
            <w:tcW w:w="9880" w:type="dxa"/>
            <w:vAlign w:val="bottom"/>
            <w:gridSpan w:val="19"/>
          </w:tcPr>
          <w:p>
            <w:pPr>
              <w:spacing w:after="0"/>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234"/>
        </w:trPr>
        <w:tc>
          <w:tcPr>
            <w:tcW w:w="1620" w:type="dxa"/>
            <w:vAlign w:val="bottom"/>
            <w:gridSpan w:val="3"/>
          </w:tcPr>
          <w:p>
            <w:pPr>
              <w:spacing w:after="0"/>
              <w:rPr>
                <w:sz w:val="20"/>
                <w:szCs w:val="20"/>
                <w:color w:val="auto"/>
              </w:rPr>
            </w:pPr>
            <w:r>
              <w:rPr>
                <w:rFonts w:ascii="Arial" w:cs="Arial" w:eastAsia="Arial" w:hAnsi="Arial"/>
                <w:sz w:val="12"/>
                <w:szCs w:val="12"/>
                <w:color w:val="auto"/>
              </w:rPr>
              <w:t>101.CAL*</w:t>
            </w:r>
          </w:p>
        </w:tc>
        <w:tc>
          <w:tcPr>
            <w:tcW w:w="9880" w:type="dxa"/>
            <w:vAlign w:val="bottom"/>
            <w:gridSpan w:val="19"/>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234"/>
        </w:trPr>
        <w:tc>
          <w:tcPr>
            <w:tcW w:w="1620" w:type="dxa"/>
            <w:vAlign w:val="bottom"/>
            <w:gridSpan w:val="3"/>
          </w:tcPr>
          <w:p>
            <w:pPr>
              <w:spacing w:after="0"/>
              <w:rPr>
                <w:sz w:val="20"/>
                <w:szCs w:val="20"/>
                <w:color w:val="auto"/>
              </w:rPr>
            </w:pPr>
            <w:r>
              <w:rPr>
                <w:rFonts w:ascii="Arial" w:cs="Arial" w:eastAsia="Arial" w:hAnsi="Arial"/>
                <w:sz w:val="12"/>
                <w:szCs w:val="12"/>
                <w:color w:val="auto"/>
              </w:rPr>
              <w:t>101.DEF*</w:t>
            </w:r>
          </w:p>
        </w:tc>
        <w:tc>
          <w:tcPr>
            <w:tcW w:w="9880" w:type="dxa"/>
            <w:vAlign w:val="bottom"/>
            <w:gridSpan w:val="19"/>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234"/>
        </w:trPr>
        <w:tc>
          <w:tcPr>
            <w:tcW w:w="1620" w:type="dxa"/>
            <w:vAlign w:val="bottom"/>
            <w:gridSpan w:val="3"/>
          </w:tcPr>
          <w:p>
            <w:pPr>
              <w:spacing w:after="0"/>
              <w:rPr>
                <w:sz w:val="20"/>
                <w:szCs w:val="20"/>
                <w:color w:val="auto"/>
              </w:rPr>
            </w:pPr>
            <w:r>
              <w:rPr>
                <w:rFonts w:ascii="Arial" w:cs="Arial" w:eastAsia="Arial" w:hAnsi="Arial"/>
                <w:sz w:val="12"/>
                <w:szCs w:val="12"/>
                <w:color w:val="auto"/>
              </w:rPr>
              <w:t>101.LAB*</w:t>
            </w:r>
          </w:p>
        </w:tc>
        <w:tc>
          <w:tcPr>
            <w:tcW w:w="9880" w:type="dxa"/>
            <w:vAlign w:val="bottom"/>
            <w:gridSpan w:val="19"/>
          </w:tcPr>
          <w:p>
            <w:pPr>
              <w:spacing w:after="0"/>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234"/>
        </w:trPr>
        <w:tc>
          <w:tcPr>
            <w:tcW w:w="1620" w:type="dxa"/>
            <w:vAlign w:val="bottom"/>
            <w:gridSpan w:val="3"/>
          </w:tcPr>
          <w:p>
            <w:pPr>
              <w:spacing w:after="0"/>
              <w:rPr>
                <w:sz w:val="20"/>
                <w:szCs w:val="20"/>
                <w:color w:val="auto"/>
              </w:rPr>
            </w:pPr>
            <w:r>
              <w:rPr>
                <w:rFonts w:ascii="Arial" w:cs="Arial" w:eastAsia="Arial" w:hAnsi="Arial"/>
                <w:sz w:val="12"/>
                <w:szCs w:val="12"/>
                <w:color w:val="auto"/>
              </w:rPr>
              <w:t>101.PRE*</w:t>
            </w:r>
          </w:p>
        </w:tc>
        <w:tc>
          <w:tcPr>
            <w:tcW w:w="9880" w:type="dxa"/>
            <w:vAlign w:val="bottom"/>
            <w:gridSpan w:val="19"/>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37287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1372870" cy="5715"/>
                    </a:xfrm>
                    <a:prstGeom prst="rect">
                      <a:avLst/>
                    </a:prstGeom>
                    <a:noFill/>
                  </pic:spPr>
                </pic:pic>
              </a:graphicData>
            </a:graphic>
          </wp:anchor>
        </w:drawing>
      </w:r>
    </w:p>
    <w:p>
      <w:pPr>
        <w:spacing w:after="0" w:line="151" w:lineRule="exact"/>
        <w:rPr>
          <w:sz w:val="20"/>
          <w:szCs w:val="20"/>
          <w:color w:val="auto"/>
        </w:rPr>
      </w:pPr>
    </w:p>
    <w:p>
      <w:pPr>
        <w:ind w:left="588" w:hanging="588"/>
        <w:spacing w:after="0"/>
        <w:tabs>
          <w:tab w:leader="none" w:pos="588"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50"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08"/>
          </w:cols>
          <w:pgMar w:left="212" w:top="119" w:right="179" w:bottom="1440" w:gutter="0" w:footer="0" w:header="0"/>
        </w:sectPr>
      </w:pPr>
    </w:p>
    <w:bookmarkStart w:id="115" w:name="page116"/>
    <w:bookmarkEnd w:id="11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5" w:lineRule="exact"/>
        <w:rPr>
          <w:sz w:val="20"/>
          <w:szCs w:val="20"/>
          <w:color w:val="auto"/>
        </w:rPr>
      </w:pPr>
    </w:p>
    <w:p>
      <w:pPr>
        <w:ind w:left="588" w:hanging="588"/>
        <w:spacing w:after="0" w:line="263" w:lineRule="auto"/>
        <w:tabs>
          <w:tab w:leader="none" w:pos="588" w:val="left"/>
        </w:tabs>
        <w:numPr>
          <w:ilvl w:val="0"/>
          <w:numId w:val="20"/>
        </w:numPr>
        <w:rPr>
          <w:rFonts w:ascii="Arial" w:cs="Arial" w:eastAsia="Arial" w:hAnsi="Arial"/>
          <w:sz w:val="12"/>
          <w:szCs w:val="12"/>
          <w:color w:val="auto"/>
        </w:rPr>
      </w:pPr>
      <w:r>
        <w:rPr>
          <w:rFonts w:ascii="Arial" w:cs="Arial" w:eastAsia="Arial" w:hAnsi="Arial"/>
          <w:sz w:val="12"/>
          <w:szCs w:val="12"/>
          <w:color w:val="auto"/>
        </w:rPr>
        <w:t>Certain portions of this exhibit have been omitted pursuant to a request for confidential treatment granted by,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5" w:lineRule="exact"/>
        <w:rPr>
          <w:rFonts w:ascii="Arial" w:cs="Arial" w:eastAsia="Arial" w:hAnsi="Arial"/>
          <w:sz w:val="12"/>
          <w:szCs w:val="12"/>
          <w:color w:val="auto"/>
        </w:rPr>
      </w:pPr>
    </w:p>
    <w:p>
      <w:pPr>
        <w:ind w:left="588" w:hanging="588"/>
        <w:spacing w:after="0"/>
        <w:tabs>
          <w:tab w:leader="none" w:pos="588" w:val="left"/>
        </w:tabs>
        <w:numPr>
          <w:ilvl w:val="0"/>
          <w:numId w:val="21"/>
        </w:numPr>
        <w:rPr>
          <w:rFonts w:ascii="Arial" w:cs="Arial" w:eastAsia="Arial" w:hAnsi="Arial"/>
          <w:sz w:val="12"/>
          <w:szCs w:val="12"/>
          <w:color w:val="auto"/>
        </w:rPr>
      </w:pPr>
      <w:r>
        <w:rPr>
          <w:rFonts w:ascii="Arial" w:cs="Arial" w:eastAsia="Arial" w:hAnsi="Arial"/>
          <w:sz w:val="12"/>
          <w:szCs w:val="12"/>
          <w:color w:val="auto"/>
        </w:rPr>
        <w:t>Certain portions of this exhibit have been omitted pursuant to a request for confidential treatment granted by, and have been filed separately with, the Securities and Exchange Commission.</w:t>
      </w:r>
    </w:p>
    <w:p>
      <w:pPr>
        <w:spacing w:after="0" w:line="33" w:lineRule="exact"/>
        <w:rPr>
          <w:sz w:val="20"/>
          <w:szCs w:val="20"/>
          <w:color w:val="auto"/>
        </w:rPr>
      </w:pPr>
    </w:p>
    <w:p>
      <w:pPr>
        <w:ind w:left="588" w:hanging="588"/>
        <w:spacing w:after="0"/>
        <w:tabs>
          <w:tab w:leader="none" w:pos="588"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Constitutes a management contract or compensation plan or arrangement.</w:t>
      </w: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8"/>
          </w:cols>
          <w:pgMar w:left="212" w:top="131" w:right="299" w:bottom="1440" w:gutter="0" w:footer="0" w:header="0"/>
        </w:sectPr>
      </w:pPr>
    </w:p>
    <w:bookmarkStart w:id="116" w:name="page117"/>
    <w:bookmarkEnd w:id="1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1"/>
          <w:szCs w:val="11"/>
          <w:b w:val="1"/>
          <w:bCs w:val="1"/>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00" w:type="dxa"/>
            <w:vAlign w:val="bottom"/>
          </w:tcPr>
          <w:p>
            <w:pPr>
              <w:ind w:left="1960"/>
              <w:spacing w:after="0"/>
              <w:rPr>
                <w:sz w:val="20"/>
                <w:szCs w:val="20"/>
                <w:color w:val="auto"/>
              </w:rPr>
            </w:pPr>
            <w:r>
              <w:rPr>
                <w:rFonts w:ascii="Arial" w:cs="Arial" w:eastAsia="Arial" w:hAnsi="Arial"/>
                <w:sz w:val="12"/>
                <w:szCs w:val="12"/>
                <w:color w:val="auto"/>
              </w:rPr>
              <w:t>UNITI GROUP INC.</w:t>
            </w:r>
          </w:p>
        </w:tc>
      </w:tr>
      <w:tr>
        <w:trPr>
          <w:trHeight w:val="306"/>
        </w:trPr>
        <w:tc>
          <w:tcPr>
            <w:tcW w:w="3440" w:type="dxa"/>
            <w:vAlign w:val="bottom"/>
          </w:tcPr>
          <w:p>
            <w:pPr>
              <w:spacing w:after="0"/>
              <w:rPr>
                <w:sz w:val="20"/>
                <w:szCs w:val="20"/>
                <w:color w:val="auto"/>
              </w:rPr>
            </w:pPr>
            <w:r>
              <w:rPr>
                <w:rFonts w:ascii="Arial" w:cs="Arial" w:eastAsia="Arial" w:hAnsi="Arial"/>
                <w:sz w:val="12"/>
                <w:szCs w:val="12"/>
                <w:color w:val="auto"/>
              </w:rPr>
              <w:t>Date: March 18, 2019</w:t>
            </w:r>
          </w:p>
        </w:tc>
        <w:tc>
          <w:tcPr>
            <w:tcW w:w="2740" w:type="dxa"/>
            <w:vAlign w:val="bottom"/>
          </w:tcPr>
          <w:p>
            <w:pPr>
              <w:ind w:left="2400"/>
              <w:spacing w:after="0"/>
              <w:rPr>
                <w:sz w:val="20"/>
                <w:szCs w:val="20"/>
                <w:color w:val="auto"/>
              </w:rPr>
            </w:pPr>
            <w:r>
              <w:rPr>
                <w:rFonts w:ascii="Arial" w:cs="Arial" w:eastAsia="Arial" w:hAnsi="Arial"/>
                <w:sz w:val="12"/>
                <w:szCs w:val="12"/>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Kenneth A. Gunderman</w:t>
            </w:r>
          </w:p>
        </w:tc>
      </w:tr>
      <w:tr>
        <w:trPr>
          <w:trHeight w:val="138"/>
        </w:trPr>
        <w:tc>
          <w:tcPr>
            <w:tcW w:w="34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Arial" w:cs="Arial" w:eastAsia="Arial" w:hAnsi="Arial"/>
                <w:sz w:val="12"/>
                <w:szCs w:val="12"/>
                <w:b w:val="1"/>
                <w:bCs w:val="1"/>
                <w:color w:val="auto"/>
                <w:w w:val="92"/>
              </w:rPr>
              <w:t>Kenneth A. Gunderman</w:t>
            </w:r>
          </w:p>
        </w:tc>
      </w:tr>
      <w:tr>
        <w:trPr>
          <w:trHeight w:val="157"/>
        </w:trPr>
        <w:tc>
          <w:tcPr>
            <w:tcW w:w="34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Arial" w:cs="Arial" w:eastAsia="Arial" w:hAnsi="Arial"/>
                <w:sz w:val="12"/>
                <w:szCs w:val="12"/>
                <w:b w:val="1"/>
                <w:bCs w:val="1"/>
                <w:color w:val="auto"/>
                <w:w w:val="90"/>
              </w:rPr>
              <w:t>President and Chief Executive Officer</w:t>
            </w:r>
          </w:p>
        </w:tc>
      </w:tr>
    </w:tbl>
    <w:p>
      <w:pPr>
        <w:spacing w:after="0" w:line="13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960" w:type="dxa"/>
            <w:vAlign w:val="bottom"/>
          </w:tcPr>
          <w:p>
            <w:pPr>
              <w:ind w:left="1360"/>
              <w:spacing w:after="0"/>
              <w:rPr>
                <w:sz w:val="20"/>
                <w:szCs w:val="20"/>
                <w:color w:val="auto"/>
              </w:rPr>
            </w:pPr>
            <w:r>
              <w:rPr>
                <w:rFonts w:ascii="Arial" w:cs="Arial" w:eastAsia="Arial" w:hAnsi="Arial"/>
                <w:sz w:val="10"/>
                <w:szCs w:val="10"/>
                <w:b w:val="1"/>
                <w:bCs w:val="1"/>
                <w:color w:val="auto"/>
              </w:rPr>
              <w:t>Name</w:t>
            </w:r>
          </w:p>
        </w:tc>
        <w:tc>
          <w:tcPr>
            <w:tcW w:w="5060" w:type="dxa"/>
            <w:vAlign w:val="bottom"/>
          </w:tcPr>
          <w:p>
            <w:pPr>
              <w:ind w:left="2920"/>
              <w:spacing w:after="0"/>
              <w:rPr>
                <w:sz w:val="20"/>
                <w:szCs w:val="20"/>
                <w:color w:val="auto"/>
              </w:rPr>
            </w:pPr>
            <w:r>
              <w:rPr>
                <w:rFonts w:ascii="Arial" w:cs="Arial" w:eastAsia="Arial" w:hAnsi="Arial"/>
                <w:sz w:val="10"/>
                <w:szCs w:val="10"/>
                <w:b w:val="1"/>
                <w:bCs w:val="1"/>
                <w:color w:val="auto"/>
              </w:rPr>
              <w:t>Title</w:t>
            </w:r>
          </w:p>
        </w:tc>
        <w:tc>
          <w:tcPr>
            <w:tcW w:w="3480" w:type="dxa"/>
            <w:vAlign w:val="bottom"/>
          </w:tcPr>
          <w:p>
            <w:pPr>
              <w:jc w:val="center"/>
              <w:ind w:left="881"/>
              <w:spacing w:after="0"/>
              <w:rPr>
                <w:sz w:val="20"/>
                <w:szCs w:val="20"/>
                <w:color w:val="auto"/>
              </w:rPr>
            </w:pPr>
            <w:r>
              <w:rPr>
                <w:rFonts w:ascii="Arial" w:cs="Arial" w:eastAsia="Arial" w:hAnsi="Arial"/>
                <w:sz w:val="10"/>
                <w:szCs w:val="10"/>
                <w:b w:val="1"/>
                <w:bCs w:val="1"/>
                <w:color w:val="auto"/>
                <w:w w:val="82"/>
              </w:rPr>
              <w:t>Date</w:t>
            </w:r>
          </w:p>
        </w:tc>
      </w:tr>
      <w:tr>
        <w:trPr>
          <w:trHeight w:val="395"/>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Kenneth A. Gunderman</w:t>
            </w:r>
          </w:p>
        </w:tc>
        <w:tc>
          <w:tcPr>
            <w:tcW w:w="5060" w:type="dxa"/>
            <w:vAlign w:val="bottom"/>
          </w:tcPr>
          <w:p>
            <w:pPr>
              <w:ind w:left="100"/>
              <w:spacing w:after="0"/>
              <w:rPr>
                <w:sz w:val="20"/>
                <w:szCs w:val="20"/>
                <w:color w:val="auto"/>
              </w:rPr>
            </w:pPr>
            <w:r>
              <w:rPr>
                <w:rFonts w:ascii="Arial" w:cs="Arial" w:eastAsia="Arial" w:hAnsi="Arial"/>
                <w:sz w:val="12"/>
                <w:szCs w:val="12"/>
                <w:color w:val="auto"/>
              </w:rPr>
              <w:t>President and Chief Executive Officer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Kenneth A. Gunderman</w:t>
            </w:r>
          </w:p>
        </w:tc>
        <w:tc>
          <w:tcPr>
            <w:tcW w:w="5060" w:type="dxa"/>
            <w:vAlign w:val="bottom"/>
          </w:tcPr>
          <w:p>
            <w:pPr>
              <w:ind w:left="100"/>
              <w:spacing w:after="0"/>
              <w:rPr>
                <w:sz w:val="20"/>
                <w:szCs w:val="20"/>
                <w:color w:val="auto"/>
              </w:rPr>
            </w:pPr>
            <w:r>
              <w:rPr>
                <w:rFonts w:ascii="Arial" w:cs="Arial" w:eastAsia="Arial" w:hAnsi="Arial"/>
                <w:sz w:val="12"/>
                <w:szCs w:val="12"/>
                <w:i w:val="1"/>
                <w:iCs w:val="1"/>
                <w:color w:val="auto"/>
              </w:rPr>
              <w:t>(Principal Executive Officer)</w:t>
            </w:r>
          </w:p>
        </w:tc>
        <w:tc>
          <w:tcPr>
            <w:tcW w:w="3480" w:type="dxa"/>
            <w:vAlign w:val="bottom"/>
          </w:tcPr>
          <w:p>
            <w:pPr>
              <w:spacing w:after="0"/>
              <w:rPr>
                <w:sz w:val="13"/>
                <w:szCs w:val="13"/>
                <w:color w:val="auto"/>
              </w:rPr>
            </w:pPr>
          </w:p>
        </w:tc>
      </w:tr>
      <w:tr>
        <w:trPr>
          <w:trHeight w:val="422"/>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Mark A. Wallace</w:t>
            </w:r>
          </w:p>
        </w:tc>
        <w:tc>
          <w:tcPr>
            <w:tcW w:w="5060" w:type="dxa"/>
            <w:vAlign w:val="bottom"/>
          </w:tcPr>
          <w:p>
            <w:pPr>
              <w:ind w:left="100"/>
              <w:spacing w:after="0"/>
              <w:rPr>
                <w:sz w:val="20"/>
                <w:szCs w:val="20"/>
                <w:color w:val="auto"/>
              </w:rPr>
            </w:pPr>
            <w:r>
              <w:rPr>
                <w:rFonts w:ascii="Arial" w:cs="Arial" w:eastAsia="Arial" w:hAnsi="Arial"/>
                <w:sz w:val="12"/>
                <w:szCs w:val="12"/>
                <w:color w:val="auto"/>
              </w:rPr>
              <w:t>Executive Vice President – Chief Financial Officer and Treasurer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Mark A. Wallace</w:t>
            </w:r>
          </w:p>
        </w:tc>
        <w:tc>
          <w:tcPr>
            <w:tcW w:w="5060" w:type="dxa"/>
            <w:vAlign w:val="bottom"/>
          </w:tcPr>
          <w:p>
            <w:pPr>
              <w:ind w:left="100"/>
              <w:spacing w:after="0"/>
              <w:rPr>
                <w:sz w:val="20"/>
                <w:szCs w:val="20"/>
                <w:color w:val="auto"/>
              </w:rPr>
            </w:pPr>
            <w:r>
              <w:rPr>
                <w:rFonts w:ascii="Arial" w:cs="Arial" w:eastAsia="Arial" w:hAnsi="Arial"/>
                <w:sz w:val="12"/>
                <w:szCs w:val="12"/>
                <w:i w:val="1"/>
                <w:iCs w:val="1"/>
                <w:color w:val="auto"/>
              </w:rPr>
              <w:t>(Principal Financial Officer)</w:t>
            </w:r>
          </w:p>
        </w:tc>
        <w:tc>
          <w:tcPr>
            <w:tcW w:w="3480" w:type="dxa"/>
            <w:vAlign w:val="bottom"/>
          </w:tcPr>
          <w:p>
            <w:pPr>
              <w:spacing w:after="0"/>
              <w:rPr>
                <w:sz w:val="13"/>
                <w:szCs w:val="13"/>
                <w:color w:val="auto"/>
              </w:rPr>
            </w:pPr>
          </w:p>
        </w:tc>
      </w:tr>
      <w:tr>
        <w:trPr>
          <w:trHeight w:val="314"/>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Blake Schuhmacher</w:t>
            </w:r>
          </w:p>
        </w:tc>
        <w:tc>
          <w:tcPr>
            <w:tcW w:w="5060" w:type="dxa"/>
            <w:vAlign w:val="bottom"/>
          </w:tcPr>
          <w:p>
            <w:pPr>
              <w:ind w:left="100"/>
              <w:spacing w:after="0"/>
              <w:rPr>
                <w:sz w:val="20"/>
                <w:szCs w:val="20"/>
                <w:color w:val="auto"/>
              </w:rPr>
            </w:pPr>
            <w:r>
              <w:rPr>
                <w:rFonts w:ascii="Arial" w:cs="Arial" w:eastAsia="Arial" w:hAnsi="Arial"/>
                <w:sz w:val="12"/>
                <w:szCs w:val="12"/>
                <w:color w:val="auto"/>
              </w:rPr>
              <w:t>Senior Vice President – Chief Accounting Officer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Blake Schuhmacher</w:t>
            </w:r>
          </w:p>
        </w:tc>
        <w:tc>
          <w:tcPr>
            <w:tcW w:w="5060" w:type="dxa"/>
            <w:vAlign w:val="bottom"/>
          </w:tcPr>
          <w:p>
            <w:pPr>
              <w:ind w:left="100"/>
              <w:spacing w:after="0"/>
              <w:rPr>
                <w:sz w:val="20"/>
                <w:szCs w:val="20"/>
                <w:color w:val="auto"/>
              </w:rPr>
            </w:pPr>
            <w:r>
              <w:rPr>
                <w:rFonts w:ascii="Arial" w:cs="Arial" w:eastAsia="Arial" w:hAnsi="Arial"/>
                <w:sz w:val="12"/>
                <w:szCs w:val="12"/>
                <w:i w:val="1"/>
                <w:iCs w:val="1"/>
                <w:color w:val="auto"/>
              </w:rPr>
              <w:t>(Principal Accounting Officer)</w:t>
            </w:r>
          </w:p>
        </w:tc>
        <w:tc>
          <w:tcPr>
            <w:tcW w:w="3480" w:type="dxa"/>
            <w:vAlign w:val="bottom"/>
          </w:tcPr>
          <w:p>
            <w:pPr>
              <w:spacing w:after="0"/>
              <w:rPr>
                <w:sz w:val="13"/>
                <w:szCs w:val="13"/>
                <w:color w:val="auto"/>
              </w:rPr>
            </w:pPr>
          </w:p>
        </w:tc>
      </w:tr>
      <w:tr>
        <w:trPr>
          <w:trHeight w:val="314"/>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Francis X. Frantz</w:t>
            </w:r>
          </w:p>
        </w:tc>
        <w:tc>
          <w:tcPr>
            <w:tcW w:w="5060" w:type="dxa"/>
            <w:vAlign w:val="bottom"/>
          </w:tcPr>
          <w:p>
            <w:pPr>
              <w:ind w:left="100"/>
              <w:spacing w:after="0"/>
              <w:rPr>
                <w:sz w:val="20"/>
                <w:szCs w:val="20"/>
                <w:color w:val="auto"/>
              </w:rPr>
            </w:pPr>
            <w:r>
              <w:rPr>
                <w:rFonts w:ascii="Arial" w:cs="Arial" w:eastAsia="Arial" w:hAnsi="Arial"/>
                <w:sz w:val="12"/>
                <w:szCs w:val="12"/>
                <w:color w:val="auto"/>
              </w:rPr>
              <w:t>Chairman and Director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Francis X. Frantz</w:t>
            </w:r>
          </w:p>
        </w:tc>
        <w:tc>
          <w:tcPr>
            <w:tcW w:w="5060" w:type="dxa"/>
            <w:vAlign w:val="bottom"/>
          </w:tcPr>
          <w:p>
            <w:pPr>
              <w:spacing w:after="0"/>
              <w:rPr>
                <w:sz w:val="13"/>
                <w:szCs w:val="13"/>
                <w:color w:val="auto"/>
              </w:rPr>
            </w:pPr>
          </w:p>
        </w:tc>
        <w:tc>
          <w:tcPr>
            <w:tcW w:w="348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Jennifer S. Banner</w:t>
            </w:r>
          </w:p>
        </w:tc>
        <w:tc>
          <w:tcPr>
            <w:tcW w:w="50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Jennifer S. Banner</w:t>
            </w:r>
          </w:p>
        </w:tc>
        <w:tc>
          <w:tcPr>
            <w:tcW w:w="5060" w:type="dxa"/>
            <w:vAlign w:val="bottom"/>
          </w:tcPr>
          <w:p>
            <w:pPr>
              <w:spacing w:after="0"/>
              <w:rPr>
                <w:sz w:val="13"/>
                <w:szCs w:val="13"/>
                <w:color w:val="auto"/>
              </w:rPr>
            </w:pPr>
          </w:p>
        </w:tc>
        <w:tc>
          <w:tcPr>
            <w:tcW w:w="3480" w:type="dxa"/>
            <w:vAlign w:val="bottom"/>
          </w:tcPr>
          <w:p>
            <w:pPr>
              <w:spacing w:after="0"/>
              <w:rPr>
                <w:sz w:val="13"/>
                <w:szCs w:val="13"/>
                <w:color w:val="auto"/>
              </w:rPr>
            </w:pPr>
          </w:p>
        </w:tc>
      </w:tr>
      <w:tr>
        <w:trPr>
          <w:trHeight w:val="377"/>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Scott G. Bruce</w:t>
            </w:r>
          </w:p>
        </w:tc>
        <w:tc>
          <w:tcPr>
            <w:tcW w:w="50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Scott G. Bruce</w:t>
            </w:r>
          </w:p>
        </w:tc>
        <w:tc>
          <w:tcPr>
            <w:tcW w:w="5060" w:type="dxa"/>
            <w:vAlign w:val="bottom"/>
          </w:tcPr>
          <w:p>
            <w:pPr>
              <w:spacing w:after="0"/>
              <w:rPr>
                <w:sz w:val="13"/>
                <w:szCs w:val="13"/>
                <w:color w:val="auto"/>
              </w:rPr>
            </w:pPr>
          </w:p>
        </w:tc>
        <w:tc>
          <w:tcPr>
            <w:tcW w:w="348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Andrew Frey</w:t>
            </w:r>
          </w:p>
        </w:tc>
        <w:tc>
          <w:tcPr>
            <w:tcW w:w="50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Andrew Frey</w:t>
            </w:r>
          </w:p>
        </w:tc>
        <w:tc>
          <w:tcPr>
            <w:tcW w:w="5060" w:type="dxa"/>
            <w:vAlign w:val="bottom"/>
          </w:tcPr>
          <w:p>
            <w:pPr>
              <w:spacing w:after="0"/>
              <w:rPr>
                <w:sz w:val="13"/>
                <w:szCs w:val="13"/>
                <w:color w:val="auto"/>
              </w:rPr>
            </w:pPr>
          </w:p>
        </w:tc>
        <w:tc>
          <w:tcPr>
            <w:tcW w:w="348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L. Solomon</w:t>
            </w:r>
          </w:p>
        </w:tc>
        <w:tc>
          <w:tcPr>
            <w:tcW w:w="50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80" w:type="dxa"/>
            <w:vAlign w:val="bottom"/>
          </w:tcPr>
          <w:p>
            <w:pPr>
              <w:jc w:val="center"/>
              <w:ind w:left="901"/>
              <w:spacing w:after="0"/>
              <w:rPr>
                <w:sz w:val="20"/>
                <w:szCs w:val="20"/>
                <w:color w:val="auto"/>
              </w:rPr>
            </w:pPr>
            <w:r>
              <w:rPr>
                <w:rFonts w:ascii="Arial" w:cs="Arial" w:eastAsia="Arial" w:hAnsi="Arial"/>
                <w:sz w:val="12"/>
                <w:szCs w:val="12"/>
                <w:color w:val="auto"/>
                <w:w w:val="91"/>
              </w:rPr>
              <w:t>March 18, 2019</w:t>
            </w:r>
          </w:p>
        </w:tc>
      </w:tr>
      <w:tr>
        <w:trPr>
          <w:trHeight w:val="143"/>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David L. Solomon</w:t>
            </w:r>
          </w:p>
        </w:tc>
        <w:tc>
          <w:tcPr>
            <w:tcW w:w="5060" w:type="dxa"/>
            <w:vAlign w:val="bottom"/>
          </w:tcPr>
          <w:p>
            <w:pPr>
              <w:spacing w:after="0"/>
              <w:rPr>
                <w:sz w:val="12"/>
                <w:szCs w:val="12"/>
                <w:color w:val="auto"/>
              </w:rPr>
            </w:pPr>
          </w:p>
        </w:tc>
        <w:tc>
          <w:tcPr>
            <w:tcW w:w="3480" w:type="dxa"/>
            <w:vAlign w:val="bottom"/>
          </w:tcPr>
          <w:p>
            <w:pPr>
              <w:spacing w:after="0"/>
              <w:rPr>
                <w:sz w:val="12"/>
                <w:szCs w:val="12"/>
                <w:color w:val="auto"/>
              </w:rPr>
            </w:pPr>
          </w:p>
        </w:tc>
      </w:tr>
      <w:tr>
        <w:trPr>
          <w:trHeight w:val="629"/>
        </w:trPr>
        <w:tc>
          <w:tcPr>
            <w:tcW w:w="2960" w:type="dxa"/>
            <w:vAlign w:val="bottom"/>
          </w:tcPr>
          <w:p>
            <w:pPr>
              <w:spacing w:after="0"/>
              <w:rPr>
                <w:sz w:val="24"/>
                <w:szCs w:val="24"/>
                <w:color w:val="auto"/>
              </w:rPr>
            </w:pPr>
          </w:p>
        </w:tc>
        <w:tc>
          <w:tcPr>
            <w:tcW w:w="5060" w:type="dxa"/>
            <w:vAlign w:val="bottom"/>
          </w:tcPr>
          <w:p>
            <w:pPr>
              <w:ind w:left="2680"/>
              <w:spacing w:after="0"/>
              <w:rPr>
                <w:sz w:val="20"/>
                <w:szCs w:val="20"/>
                <w:color w:val="auto"/>
              </w:rPr>
            </w:pPr>
            <w:r>
              <w:rPr>
                <w:rFonts w:ascii="Arial" w:cs="Arial" w:eastAsia="Arial" w:hAnsi="Arial"/>
                <w:sz w:val="12"/>
                <w:szCs w:val="12"/>
                <w:color w:val="auto"/>
              </w:rPr>
              <w:t>117</w:t>
            </w:r>
          </w:p>
        </w:tc>
        <w:tc>
          <w:tcPr>
            <w:tcW w:w="3480" w:type="dxa"/>
            <w:vAlign w:val="bottom"/>
          </w:tcPr>
          <w:p>
            <w:pPr>
              <w:spacing w:after="0"/>
              <w:rPr>
                <w:sz w:val="24"/>
                <w:szCs w:val="24"/>
                <w:color w:val="auto"/>
              </w:rPr>
            </w:pPr>
          </w:p>
        </w:tc>
      </w:tr>
      <w:tr>
        <w:trPr>
          <w:trHeight w:val="72"/>
        </w:trPr>
        <w:tc>
          <w:tcPr>
            <w:tcW w:w="2960" w:type="dxa"/>
            <w:vAlign w:val="bottom"/>
            <w:tcBorders>
              <w:bottom w:val="single" w:sz="8" w:color="9A9A9A"/>
            </w:tcBorders>
          </w:tcPr>
          <w:p>
            <w:pPr>
              <w:spacing w:after="0"/>
              <w:rPr>
                <w:sz w:val="6"/>
                <w:szCs w:val="6"/>
                <w:color w:val="auto"/>
              </w:rPr>
            </w:pPr>
          </w:p>
        </w:tc>
        <w:tc>
          <w:tcPr>
            <w:tcW w:w="5060" w:type="dxa"/>
            <w:vAlign w:val="bottom"/>
            <w:tcBorders>
              <w:bottom w:val="single" w:sz="8" w:color="9A9A9A"/>
            </w:tcBorders>
          </w:tcPr>
          <w:p>
            <w:pPr>
              <w:spacing w:after="0"/>
              <w:rPr>
                <w:sz w:val="6"/>
                <w:szCs w:val="6"/>
                <w:color w:val="auto"/>
              </w:rPr>
            </w:pPr>
          </w:p>
        </w:tc>
        <w:tc>
          <w:tcPr>
            <w:tcW w:w="3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17" w:name="page118"/>
    <w:bookmarkEnd w:id="1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40" w:type="dxa"/>
            <w:vAlign w:val="bottom"/>
            <w:gridSpan w:val="2"/>
          </w:tcPr>
          <w:p>
            <w:pPr>
              <w:spacing w:after="0"/>
              <w:rPr>
                <w:sz w:val="20"/>
                <w:szCs w:val="20"/>
                <w:color w:val="auto"/>
              </w:rPr>
            </w:pPr>
            <w:r>
              <w:rPr>
                <w:rFonts w:ascii="Arial" w:cs="Arial" w:eastAsia="Arial" w:hAnsi="Arial"/>
                <w:sz w:val="10"/>
                <w:szCs w:val="10"/>
                <w:color w:val="auto"/>
              </w:rPr>
              <w:t>(Thousands, except par value)</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December 31, 2018</w:t>
            </w:r>
          </w:p>
        </w:tc>
        <w:tc>
          <w:tcPr>
            <w:tcW w:w="360" w:type="dxa"/>
            <w:vAlign w:val="bottom"/>
          </w:tcPr>
          <w:p>
            <w:pPr>
              <w:spacing w:after="0"/>
              <w:rPr>
                <w:sz w:val="10"/>
                <w:szCs w:val="10"/>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December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261</w:t>
            </w:r>
          </w:p>
        </w:tc>
        <w:tc>
          <w:tcPr>
            <w:tcW w:w="240" w:type="dxa"/>
            <w:vAlign w:val="bottom"/>
          </w:tcPr>
          <w:p>
            <w:pPr>
              <w:spacing w:after="0"/>
              <w:rPr>
                <w:sz w:val="13"/>
                <w:szCs w:val="13"/>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2,188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Accounts receivable, net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Borders>
              <w:bottom w:val="single" w:sz="8" w:color="CFF0FC"/>
            </w:tcBorders>
          </w:tcPr>
          <w:p>
            <w:pPr>
              <w:ind w:left="140"/>
              <w:spacing w:after="0"/>
              <w:rPr>
                <w:sz w:val="20"/>
                <w:szCs w:val="20"/>
                <w:color w:val="auto"/>
              </w:rPr>
            </w:pPr>
            <w:r>
              <w:rPr>
                <w:rFonts w:ascii="Arial" w:cs="Arial" w:eastAsia="Arial" w:hAnsi="Arial"/>
                <w:sz w:val="12"/>
                <w:szCs w:val="12"/>
                <w:color w:val="auto"/>
              </w:rPr>
              <w:t>Other assets</w:t>
            </w: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Assets</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ind w:left="140"/>
              <w:spacing w:after="0"/>
              <w:rPr>
                <w:sz w:val="20"/>
                <w:szCs w:val="20"/>
                <w:color w:val="auto"/>
              </w:rPr>
            </w:pPr>
            <w:r>
              <w:rPr>
                <w:rFonts w:ascii="Arial" w:cs="Arial" w:eastAsia="Arial" w:hAnsi="Arial"/>
                <w:sz w:val="12"/>
                <w:szCs w:val="12"/>
                <w:color w:val="auto"/>
              </w:rPr>
              <w:t>Accrued other liabilities</w:t>
            </w: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30</w:t>
            </w:r>
          </w:p>
        </w:tc>
        <w:tc>
          <w:tcPr>
            <w:tcW w:w="240" w:type="dxa"/>
            <w:vAlign w:val="bottom"/>
          </w:tcPr>
          <w:p>
            <w:pPr>
              <w:spacing w:after="0"/>
              <w:rPr>
                <w:sz w:val="13"/>
                <w:szCs w:val="13"/>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Dividends payable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111,265</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107,078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ind w:left="140"/>
              <w:spacing w:after="0"/>
              <w:rPr>
                <w:sz w:val="20"/>
                <w:szCs w:val="20"/>
                <w:color w:val="auto"/>
              </w:rPr>
            </w:pPr>
            <w:r>
              <w:rPr>
                <w:rFonts w:ascii="Arial" w:cs="Arial" w:eastAsia="Arial" w:hAnsi="Arial"/>
                <w:sz w:val="12"/>
                <w:szCs w:val="12"/>
                <w:color w:val="auto"/>
              </w:rPr>
              <w:t>Cash distributions and losses in excess of investments in consolidated subsidiaries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1,388,036</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1,120,120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Contingent consideration</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Borders>
              <w:bottom w:val="single" w:sz="8" w:color="CFF0FC"/>
            </w:tcBorders>
          </w:tcPr>
          <w:p>
            <w:pPr>
              <w:ind w:left="140"/>
              <w:spacing w:after="0"/>
              <w:rPr>
                <w:sz w:val="20"/>
                <w:szCs w:val="20"/>
                <w:color w:val="auto"/>
              </w:rPr>
            </w:pPr>
            <w:r>
              <w:rPr>
                <w:rFonts w:ascii="Arial" w:cs="Arial" w:eastAsia="Arial" w:hAnsi="Arial"/>
                <w:sz w:val="12"/>
                <w:szCs w:val="12"/>
                <w:color w:val="auto"/>
              </w:rPr>
              <w:t>Notes and other debt, net</w:t>
            </w: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shd w:val="clear" w:color="auto" w:fill="CFF0FC"/>
          </w:tcPr>
          <w:p>
            <w:pPr>
              <w:ind w:left="300"/>
              <w:spacing w:after="0"/>
              <w:rPr>
                <w:sz w:val="20"/>
                <w:szCs w:val="20"/>
                <w:color w:val="auto"/>
              </w:rPr>
            </w:pPr>
            <w:r>
              <w:rPr>
                <w:rFonts w:ascii="Arial" w:cs="Arial" w:eastAsia="Arial" w:hAnsi="Arial"/>
                <w:sz w:val="12"/>
                <w:szCs w:val="12"/>
                <w:color w:val="auto"/>
              </w:rPr>
              <w:t>Total liabilities</w:t>
            </w:r>
          </w:p>
        </w:tc>
        <w:tc>
          <w:tcPr>
            <w:tcW w:w="16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1,499,331</w:t>
            </w:r>
          </w:p>
        </w:tc>
        <w:tc>
          <w:tcPr>
            <w:tcW w:w="24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1,227,207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w w:val="96"/>
              </w:rPr>
              <w:t>Convertible Preferred Stock</w:t>
            </w:r>
            <w:r>
              <w:rPr>
                <w:rFonts w:ascii="Arial" w:cs="Arial" w:eastAsia="Arial" w:hAnsi="Arial"/>
                <w:sz w:val="12"/>
                <w:szCs w:val="12"/>
                <w:color w:val="auto"/>
                <w:w w:val="96"/>
              </w:rPr>
              <w:t>, Series A, $0.0001 par value, 88 shares authorized, issued and outstanding, $87,500 liquidation value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86,508</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83,530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Shareholders' Deficit: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ind w:left="14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FF0FC"/>
          </w:tcPr>
          <w:p>
            <w:pPr>
              <w:ind w:left="140"/>
              <w:spacing w:after="0"/>
              <w:rPr>
                <w:sz w:val="20"/>
                <w:szCs w:val="20"/>
                <w:color w:val="auto"/>
              </w:rPr>
            </w:pPr>
            <w:r>
              <w:rPr>
                <w:rFonts w:ascii="Arial" w:cs="Arial" w:eastAsia="Arial" w:hAnsi="Arial"/>
                <w:sz w:val="12"/>
                <w:szCs w:val="12"/>
                <w:color w:val="auto"/>
                <w:w w:val="89"/>
              </w:rPr>
              <w:t>Common stock, $0.0001 par value, 500,000 shares authorized, issued and outstanding: 180,536 shares at December 31, 2018 and 174,852</w:t>
            </w: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at December 31, 2017</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757,517</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644,328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Accumulated other comprehensive income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30,105</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ind w:left="140"/>
              <w:spacing w:after="0"/>
              <w:rPr>
                <w:sz w:val="20"/>
                <w:szCs w:val="20"/>
                <w:color w:val="auto"/>
              </w:rPr>
            </w:pPr>
            <w:r>
              <w:rPr>
                <w:rFonts w:ascii="Arial" w:cs="Arial" w:eastAsia="Arial" w:hAnsi="Arial"/>
                <w:sz w:val="12"/>
                <w:szCs w:val="12"/>
                <w:color w:val="auto"/>
              </w:rPr>
              <w:t>Distributions in excess of accumulated earnings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2"/>
                <w:szCs w:val="12"/>
                <w:color w:val="auto"/>
              </w:rPr>
              <w:t>(2,373,218)</w:t>
            </w:r>
          </w:p>
        </w:tc>
        <w:tc>
          <w:tcPr>
            <w:tcW w:w="360" w:type="dxa"/>
            <w:vAlign w:val="bottom"/>
          </w:tcPr>
          <w:p>
            <w:pPr>
              <w:spacing w:after="0"/>
              <w:rPr>
                <w:sz w:val="13"/>
                <w:szCs w:val="13"/>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2"/>
                <w:szCs w:val="12"/>
                <w:color w:val="auto"/>
              </w:rPr>
              <w:t>(1,960,715)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shd w:val="clear" w:color="auto" w:fill="CFF0FC"/>
          </w:tcPr>
          <w:p>
            <w:pPr>
              <w:ind w:left="300"/>
              <w:spacing w:after="0"/>
              <w:rPr>
                <w:sz w:val="20"/>
                <w:szCs w:val="20"/>
                <w:color w:val="auto"/>
              </w:rPr>
            </w:pPr>
            <w:r>
              <w:rPr>
                <w:rFonts w:ascii="Arial" w:cs="Arial" w:eastAsia="Arial" w:hAnsi="Arial"/>
                <w:sz w:val="12"/>
                <w:szCs w:val="12"/>
                <w:color w:val="auto"/>
              </w:rPr>
              <w:t>Total Uniti shareholders' deficit</w:t>
            </w: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(1,585,578)</w:t>
            </w:r>
          </w:p>
        </w:tc>
        <w:tc>
          <w:tcPr>
            <w:tcW w:w="3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(1,308,549)</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Liabilities, Convertible Preferred Stock, and Shareholders' Deficit</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261</w:t>
            </w:r>
          </w:p>
        </w:tc>
        <w:tc>
          <w:tcPr>
            <w:tcW w:w="24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2,188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8" w:name="page119"/>
    <w:bookmarkEnd w:id="1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Comprehensive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6"/>
              </w:rPr>
              <w:t>Year Ended December 31,</w:t>
            </w:r>
          </w:p>
        </w:tc>
        <w:tc>
          <w:tcPr>
            <w:tcW w:w="4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8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300" w:type="dxa"/>
            <w:vAlign w:val="bottom"/>
          </w:tcPr>
          <w:p>
            <w:pPr>
              <w:jc w:val="right"/>
              <w:ind w:right="70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702"/>
              <w:spacing w:after="0"/>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ind w:right="701"/>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20" w:type="dxa"/>
            <w:vAlign w:val="bottom"/>
            <w:gridSpan w:val="2"/>
          </w:tcPr>
          <w:p>
            <w:pPr>
              <w:ind w:left="160"/>
              <w:spacing w:after="0"/>
              <w:rPr>
                <w:sz w:val="20"/>
                <w:szCs w:val="20"/>
                <w:color w:val="auto"/>
              </w:rPr>
            </w:pPr>
            <w:r>
              <w:rPr>
                <w:rFonts w:ascii="Arial" w:cs="Arial" w:eastAsia="Arial" w:hAnsi="Arial"/>
                <w:sz w:val="12"/>
                <w:szCs w:val="12"/>
                <w:color w:val="auto"/>
              </w:rPr>
              <w:t>Interest expense</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119,702</w:t>
            </w:r>
          </w:p>
        </w:tc>
        <w:tc>
          <w:tcPr>
            <w:tcW w:w="220" w:type="dxa"/>
            <w:vAlign w:val="bottom"/>
          </w:tcPr>
          <w:p>
            <w:pPr>
              <w:spacing w:after="0"/>
              <w:rPr>
                <w:sz w:val="13"/>
                <w:szCs w:val="13"/>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267,959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General and administrative expense</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gridSpan w:val="2"/>
          </w:tcPr>
          <w:p>
            <w:pPr>
              <w:ind w:left="160"/>
              <w:spacing w:after="0"/>
              <w:rPr>
                <w:sz w:val="20"/>
                <w:szCs w:val="20"/>
                <w:color w:val="auto"/>
              </w:rPr>
            </w:pPr>
            <w:r>
              <w:rPr>
                <w:rFonts w:ascii="Arial" w:cs="Arial" w:eastAsia="Arial" w:hAnsi="Arial"/>
                <w:sz w:val="12"/>
                <w:szCs w:val="12"/>
                <w:color w:val="auto"/>
              </w:rPr>
              <w:t>Transaction related costs</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3,945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expense</w:t>
            </w:r>
          </w:p>
        </w:tc>
        <w:tc>
          <w:tcPr>
            <w:tcW w:w="40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9,253</w:t>
            </w:r>
          </w:p>
        </w:tc>
        <w:tc>
          <w:tcPr>
            <w:tcW w:w="22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Total costs and expenses</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128,995</w:t>
            </w:r>
          </w:p>
        </w:tc>
        <w:tc>
          <w:tcPr>
            <w:tcW w:w="2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276,733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Operating loss</w:t>
            </w: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(128,995)</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(276,733)</w:t>
            </w:r>
          </w:p>
        </w:tc>
        <w:tc>
          <w:tcPr>
            <w:tcW w:w="0" w:type="dxa"/>
            <w:vAlign w:val="bottom"/>
          </w:tcPr>
          <w:p>
            <w:pPr>
              <w:spacing w:after="0"/>
              <w:rPr>
                <w:sz w:val="1"/>
                <w:szCs w:val="1"/>
                <w:color w:val="auto"/>
              </w:rPr>
            </w:pPr>
          </w:p>
        </w:tc>
      </w:tr>
      <w:tr>
        <w:trPr>
          <w:trHeight w:val="153"/>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Earnings from consolidated subsidiaries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16,209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119,556</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276,521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(loss) before income taxes</w:t>
            </w:r>
          </w:p>
        </w:tc>
        <w:tc>
          <w:tcPr>
            <w:tcW w:w="4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16,187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(9,439)</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53"/>
        </w:trPr>
        <w:tc>
          <w:tcPr>
            <w:tcW w:w="58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16,187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2"/>
                <w:szCs w:val="12"/>
                <w:color w:val="auto"/>
              </w:rPr>
              <w:t>(9,439)</w:t>
            </w:r>
          </w:p>
        </w:tc>
        <w:tc>
          <w:tcPr>
            <w:tcW w:w="4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Comprehensive income (loss)</w:t>
            </w: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38,472</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4,751</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(1,154)</w:t>
            </w:r>
          </w:p>
        </w:tc>
        <w:tc>
          <w:tcPr>
            <w:tcW w:w="0" w:type="dxa"/>
            <w:vAlign w:val="bottom"/>
          </w:tcPr>
          <w:p>
            <w:pPr>
              <w:spacing w:after="0"/>
              <w:rPr>
                <w:sz w:val="1"/>
                <w:szCs w:val="1"/>
                <w:color w:val="auto"/>
              </w:rPr>
            </w:pPr>
          </w:p>
        </w:tc>
      </w:tr>
      <w:tr>
        <w:trPr>
          <w:trHeight w:val="27"/>
        </w:trPr>
        <w:tc>
          <w:tcPr>
            <w:tcW w:w="57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9" w:name="page120"/>
    <w:bookmarkEnd w:id="1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6"/>
              </w:rPr>
              <w:t>Year Ended December 31,</w:t>
            </w:r>
          </w:p>
        </w:tc>
        <w:tc>
          <w:tcPr>
            <w:tcW w:w="4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820" w:type="dxa"/>
            <w:vAlign w:val="bottom"/>
            <w:gridSpan w:val="3"/>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300" w:type="dxa"/>
            <w:vAlign w:val="bottom"/>
          </w:tcPr>
          <w:p>
            <w:pPr>
              <w:jc w:val="right"/>
              <w:ind w:right="70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701"/>
              <w:spacing w:after="0"/>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ind w:right="701"/>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20" w:type="dxa"/>
            <w:vAlign w:val="bottom"/>
            <w:gridSpan w:val="3"/>
          </w:tcPr>
          <w:p>
            <w:pPr>
              <w:spacing w:after="0"/>
              <w:rPr>
                <w:sz w:val="20"/>
                <w:szCs w:val="20"/>
                <w:color w:val="auto"/>
              </w:rPr>
            </w:pPr>
            <w:r>
              <w:rPr>
                <w:rFonts w:ascii="Arial" w:cs="Arial" w:eastAsia="Arial" w:hAnsi="Arial"/>
                <w:sz w:val="12"/>
                <w:szCs w:val="12"/>
                <w:color w:val="auto"/>
              </w:rPr>
              <w:t>Net cash provided by (used in) operating activities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425,771</w:t>
            </w:r>
          </w:p>
        </w:tc>
        <w:tc>
          <w:tcPr>
            <w:tcW w:w="12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2"/>
                <w:szCs w:val="12"/>
                <w:color w:val="auto"/>
              </w:rPr>
              <w:t>(602,530)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(59,076)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800" w:type="dxa"/>
            <w:vAlign w:val="bottom"/>
            <w:gridSpan w:val="2"/>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Consideration paid to Windstream Services</w:t>
            </w:r>
          </w:p>
        </w:tc>
        <w:tc>
          <w:tcPr>
            <w:tcW w:w="40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20" w:type="dxa"/>
            <w:vAlign w:val="bottom"/>
            <w:gridSpan w:val="3"/>
          </w:tcPr>
          <w:p>
            <w:pPr>
              <w:spacing w:after="0"/>
              <w:rPr>
                <w:sz w:val="20"/>
                <w:szCs w:val="20"/>
                <w:color w:val="auto"/>
              </w:rPr>
            </w:pPr>
            <w:r>
              <w:rPr>
                <w:rFonts w:ascii="Arial" w:cs="Arial" w:eastAsia="Arial" w:hAnsi="Arial"/>
                <w:sz w:val="12"/>
                <w:szCs w:val="12"/>
                <w:color w:val="auto"/>
              </w:rPr>
              <w:t>Net cash used in investing activities</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800" w:type="dxa"/>
            <w:vAlign w:val="bottom"/>
            <w:gridSpan w:val="2"/>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Principal payment on debt</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(5,270)</w:t>
            </w:r>
          </w:p>
        </w:tc>
        <w:tc>
          <w:tcPr>
            <w:tcW w:w="4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(22,027)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tcPr>
          <w:p>
            <w:pPr>
              <w:ind w:left="140"/>
              <w:spacing w:after="0"/>
              <w:rPr>
                <w:sz w:val="20"/>
                <w:szCs w:val="20"/>
                <w:color w:val="auto"/>
              </w:rPr>
            </w:pPr>
            <w:r>
              <w:rPr>
                <w:rFonts w:ascii="Arial" w:cs="Arial" w:eastAsia="Arial" w:hAnsi="Arial"/>
                <w:sz w:val="12"/>
                <w:szCs w:val="12"/>
                <w:color w:val="auto"/>
              </w:rPr>
              <w:t>Dividends paid</w:t>
            </w:r>
          </w:p>
        </w:tc>
        <w:tc>
          <w:tcPr>
            <w:tcW w:w="40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(426,094)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2"/>
                <w:szCs w:val="12"/>
                <w:color w:val="auto"/>
              </w:rPr>
              <w:t>(400,210)</w:t>
            </w:r>
          </w:p>
        </w:tc>
        <w:tc>
          <w:tcPr>
            <w:tcW w:w="4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(367,830)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Proceeds from issuance of Notes</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201,000</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548,875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tcPr>
          <w:p>
            <w:pPr>
              <w:ind w:left="140"/>
              <w:spacing w:after="0"/>
              <w:rPr>
                <w:sz w:val="20"/>
                <w:szCs w:val="20"/>
                <w:color w:val="auto"/>
              </w:rPr>
            </w:pPr>
            <w:r>
              <w:rPr>
                <w:rFonts w:ascii="Arial" w:cs="Arial" w:eastAsia="Arial" w:hAnsi="Arial"/>
                <w:sz w:val="12"/>
                <w:szCs w:val="12"/>
                <w:color w:val="auto"/>
              </w:rPr>
              <w:t>Borrowings under revolving credit facility</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350,000</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641,000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Payments under revolving credit facility</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(125,000)</w:t>
            </w:r>
          </w:p>
        </w:tc>
        <w:tc>
          <w:tcPr>
            <w:tcW w:w="4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(641,000)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tcPr>
          <w:p>
            <w:pPr>
              <w:ind w:left="140"/>
              <w:spacing w:after="0"/>
              <w:rPr>
                <w:sz w:val="20"/>
                <w:szCs w:val="20"/>
                <w:color w:val="auto"/>
              </w:rPr>
            </w:pPr>
            <w:r>
              <w:rPr>
                <w:rFonts w:ascii="Arial" w:cs="Arial" w:eastAsia="Arial" w:hAnsi="Arial"/>
                <w:sz w:val="12"/>
                <w:szCs w:val="12"/>
                <w:color w:val="auto"/>
              </w:rPr>
              <w:t>Payments of contingent consideration</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2"/>
                <w:szCs w:val="12"/>
                <w:color w:val="auto"/>
              </w:rPr>
              <w:t>(18,791)</w:t>
            </w: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Purchase of noncontrolling interests</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(560)</w:t>
            </w:r>
          </w:p>
        </w:tc>
        <w:tc>
          <w:tcPr>
            <w:tcW w:w="4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tcPr>
          <w:p>
            <w:pPr>
              <w:ind w:left="140"/>
              <w:spacing w:after="0"/>
              <w:rPr>
                <w:sz w:val="20"/>
                <w:szCs w:val="20"/>
                <w:color w:val="auto"/>
              </w:rPr>
            </w:pPr>
            <w:r>
              <w:rPr>
                <w:rFonts w:ascii="Arial" w:cs="Arial" w:eastAsia="Arial" w:hAnsi="Arial"/>
                <w:sz w:val="12"/>
                <w:szCs w:val="12"/>
                <w:color w:val="auto"/>
              </w:rPr>
              <w:t>Deferred financing costs</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2"/>
                <w:szCs w:val="12"/>
                <w:color w:val="auto"/>
              </w:rPr>
              <w:t>(24,686)</w:t>
            </w:r>
          </w:p>
        </w:tc>
        <w:tc>
          <w:tcPr>
            <w:tcW w:w="4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(20,557)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Common stock issuance, net of costs</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109,441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498,926</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tcPr>
          <w:p>
            <w:pPr>
              <w:ind w:left="140"/>
              <w:spacing w:after="0"/>
              <w:rPr>
                <w:sz w:val="20"/>
                <w:szCs w:val="20"/>
                <w:color w:val="auto"/>
              </w:rPr>
            </w:pPr>
            <w:r>
              <w:rPr>
                <w:rFonts w:ascii="Arial" w:cs="Arial" w:eastAsia="Arial" w:hAnsi="Arial"/>
                <w:sz w:val="12"/>
                <w:szCs w:val="12"/>
                <w:color w:val="auto"/>
              </w:rPr>
              <w:t>Net share settlement</w:t>
            </w:r>
          </w:p>
        </w:tc>
        <w:tc>
          <w:tcPr>
            <w:tcW w:w="40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(1,604)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2"/>
                <w:szCs w:val="12"/>
                <w:color w:val="auto"/>
              </w:rPr>
              <w:t>(1,836)</w:t>
            </w:r>
          </w:p>
        </w:tc>
        <w:tc>
          <w:tcPr>
            <w:tcW w:w="4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(2,359)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Intercompany transactions, net</w:t>
            </w:r>
          </w:p>
        </w:tc>
        <w:tc>
          <w:tcPr>
            <w:tcW w:w="4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(109,441)</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tcBorders>
              <w:bottom w:val="single" w:sz="8" w:color="CFF0FC"/>
            </w:tcBorders>
            <w:gridSpan w:val="2"/>
          </w:tcPr>
          <w:p>
            <w:pPr>
              <w:ind w:left="140"/>
              <w:spacing w:after="0"/>
              <w:rPr>
                <w:sz w:val="20"/>
                <w:szCs w:val="20"/>
                <w:color w:val="auto"/>
              </w:rPr>
            </w:pPr>
            <w:r>
              <w:rPr>
                <w:rFonts w:ascii="Arial" w:cs="Arial" w:eastAsia="Arial" w:hAnsi="Arial"/>
                <w:sz w:val="12"/>
                <w:szCs w:val="12"/>
                <w:color w:val="auto"/>
              </w:rPr>
              <w:t>Cash in-lieu of fractional shares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cash (used in) provided by financing activities</w:t>
            </w: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(427,698)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473,573</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190,204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20" w:type="dxa"/>
            <w:vAlign w:val="bottom"/>
            <w:gridSpan w:val="3"/>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Net (decrease) increase in cash and cash equivalents</w:t>
            </w: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(1,927)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(128,957)</w:t>
            </w:r>
          </w:p>
        </w:tc>
        <w:tc>
          <w:tcPr>
            <w:tcW w:w="4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131,128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20" w:type="dxa"/>
            <w:vAlign w:val="bottom"/>
            <w:gridSpan w:val="3"/>
          </w:tcPr>
          <w:p>
            <w:pPr>
              <w:spacing w:after="0"/>
              <w:rPr>
                <w:sz w:val="20"/>
                <w:szCs w:val="20"/>
                <w:color w:val="auto"/>
              </w:rPr>
            </w:pPr>
            <w:r>
              <w:rPr>
                <w:rFonts w:ascii="Arial" w:cs="Arial" w:eastAsia="Arial" w:hAnsi="Arial"/>
                <w:sz w:val="12"/>
                <w:szCs w:val="12"/>
                <w:color w:val="auto"/>
              </w:rPr>
              <w:t>Cash and cash equivalents at beginning of period</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2,188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131,145</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Cash and cash equivalents at end of period</w:t>
            </w: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2,188</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131,145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20" w:name="page121"/>
    <w:bookmarkEnd w:id="1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Background and Basis of Presentation</w:t>
      </w:r>
    </w:p>
    <w:p>
      <w:pPr>
        <w:spacing w:after="0" w:line="8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Uniti Group Inc.’s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Subsidiary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 Subsidiaries</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During 2017, the parent company completed its reorganization (the “up-REIT Reorganization”) to operate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December 31, 2018, we are the sole general partner of the Operating Partnership and own approximately 97.7% of the partnership interests in the Operating Partnership.</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Cash dividends received from subsidiaries and recorded in Cash Flow from Operating Activities in the Condensed Statement of Cash Flows were $426.1 million and $104.9 million for the year ended December 31, 2018 and 2017,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No cash dividends were received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38"/>
        </w:trPr>
        <w:tc>
          <w:tcPr>
            <w:tcW w:w="43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44"/>
        </w:trPr>
        <w:tc>
          <w:tcPr>
            <w:tcW w:w="84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center"/>
              <w:ind w:left="841"/>
              <w:spacing w:after="0"/>
              <w:rPr>
                <w:sz w:val="20"/>
                <w:szCs w:val="20"/>
                <w:color w:val="auto"/>
              </w:rPr>
            </w:pPr>
            <w:r>
              <w:rPr>
                <w:rFonts w:ascii="Arial" w:cs="Arial" w:eastAsia="Arial" w:hAnsi="Arial"/>
                <w:sz w:val="12"/>
                <w:szCs w:val="12"/>
                <w:b w:val="1"/>
                <w:bCs w:val="1"/>
                <w:color w:val="auto"/>
                <w:w w:val="95"/>
              </w:rPr>
              <w:t>Uniti Group Inc.</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w w:val="90"/>
              </w:rPr>
              <w:t>Schedule II – Valuation and Qualifying Accounts</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89"/>
              </w:rPr>
              <w:t>(dollars in thousands)</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840" w:type="dxa"/>
            <w:vAlign w:val="bottom"/>
          </w:tcPr>
          <w:p>
            <w:pPr>
              <w:spacing w:after="0"/>
              <w:rPr>
                <w:sz w:val="24"/>
                <w:szCs w:val="24"/>
                <w:color w:val="auto"/>
              </w:rPr>
            </w:pPr>
          </w:p>
        </w:tc>
        <w:tc>
          <w:tcPr>
            <w:tcW w:w="3460" w:type="dxa"/>
            <w:vAlign w:val="bottom"/>
            <w:gridSpan w:val="2"/>
          </w:tcPr>
          <w:p>
            <w:pPr>
              <w:jc w:val="center"/>
              <w:ind w:right="1000"/>
              <w:spacing w:after="0"/>
              <w:rPr>
                <w:sz w:val="20"/>
                <w:szCs w:val="20"/>
                <w:color w:val="auto"/>
              </w:rPr>
            </w:pPr>
            <w:r>
              <w:rPr>
                <w:rFonts w:ascii="Arial" w:cs="Arial" w:eastAsia="Arial" w:hAnsi="Arial"/>
                <w:sz w:val="12"/>
                <w:szCs w:val="12"/>
                <w:color w:val="auto"/>
                <w:w w:val="94"/>
              </w:rPr>
              <w:t>Column A</w:t>
            </w:r>
          </w:p>
        </w:tc>
        <w:tc>
          <w:tcPr>
            <w:tcW w:w="80" w:type="dxa"/>
            <w:vAlign w:val="bottom"/>
          </w:tcPr>
          <w:p>
            <w:pPr>
              <w:spacing w:after="0"/>
              <w:rPr>
                <w:sz w:val="24"/>
                <w:szCs w:val="24"/>
                <w:color w:val="auto"/>
              </w:rPr>
            </w:pPr>
          </w:p>
        </w:tc>
        <w:tc>
          <w:tcPr>
            <w:tcW w:w="1520" w:type="dxa"/>
            <w:vAlign w:val="bottom"/>
            <w:gridSpan w:val="2"/>
          </w:tcPr>
          <w:p>
            <w:pPr>
              <w:ind w:left="380"/>
              <w:spacing w:after="0"/>
              <w:rPr>
                <w:sz w:val="20"/>
                <w:szCs w:val="20"/>
                <w:color w:val="auto"/>
              </w:rPr>
            </w:pPr>
            <w:r>
              <w:rPr>
                <w:rFonts w:ascii="Arial" w:cs="Arial" w:eastAsia="Arial" w:hAnsi="Arial"/>
                <w:sz w:val="12"/>
                <w:szCs w:val="12"/>
                <w:color w:val="auto"/>
              </w:rPr>
              <w:t>Column B</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left="364"/>
              <w:spacing w:after="0"/>
              <w:rPr>
                <w:sz w:val="20"/>
                <w:szCs w:val="20"/>
                <w:color w:val="auto"/>
              </w:rPr>
            </w:pPr>
            <w:r>
              <w:rPr>
                <w:rFonts w:ascii="Arial" w:cs="Arial" w:eastAsia="Arial" w:hAnsi="Arial"/>
                <w:sz w:val="12"/>
                <w:szCs w:val="12"/>
                <w:color w:val="auto"/>
                <w:w w:val="93"/>
              </w:rPr>
              <w:t>Column C</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2"/>
                <w:szCs w:val="12"/>
                <w:color w:val="auto"/>
              </w:rPr>
              <w:t>Column 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color w:val="auto"/>
                <w:w w:val="94"/>
              </w:rPr>
              <w:t>Column E</w:t>
            </w:r>
          </w:p>
        </w:tc>
        <w:tc>
          <w:tcPr>
            <w:tcW w:w="20" w:type="dxa"/>
            <w:vAlign w:val="bottom"/>
          </w:tcPr>
          <w:p>
            <w:pPr>
              <w:spacing w:after="0"/>
              <w:rPr>
                <w:sz w:val="24"/>
                <w:szCs w:val="24"/>
                <w:color w:val="auto"/>
              </w:rPr>
            </w:pPr>
          </w:p>
        </w:tc>
      </w:tr>
      <w:tr>
        <w:trPr>
          <w:trHeight w:val="151"/>
        </w:trPr>
        <w:tc>
          <w:tcPr>
            <w:tcW w:w="84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3"/>
          </w:tcPr>
          <w:p>
            <w:pPr>
              <w:jc w:val="center"/>
              <w:ind w:left="364"/>
              <w:spacing w:after="0"/>
              <w:rPr>
                <w:sz w:val="20"/>
                <w:szCs w:val="20"/>
                <w:color w:val="auto"/>
              </w:rPr>
            </w:pPr>
            <w:r>
              <w:rPr>
                <w:rFonts w:ascii="Arial" w:cs="Arial" w:eastAsia="Arial" w:hAnsi="Arial"/>
                <w:sz w:val="10"/>
                <w:szCs w:val="10"/>
                <w:color w:val="auto"/>
                <w:w w:val="92"/>
              </w:rPr>
              <w:t>Additions</w:t>
            </w:r>
          </w:p>
        </w:tc>
        <w:tc>
          <w:tcPr>
            <w:tcW w:w="64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5"/>
        </w:trPr>
        <w:tc>
          <w:tcPr>
            <w:tcW w:w="8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tcPr>
          <w:p>
            <w:pPr>
              <w:jc w:val="right"/>
              <w:ind w:right="500"/>
              <w:spacing w:after="0" w:line="85" w:lineRule="exact"/>
              <w:rPr>
                <w:sz w:val="20"/>
                <w:szCs w:val="20"/>
                <w:color w:val="auto"/>
              </w:rPr>
            </w:pPr>
            <w:r>
              <w:rPr>
                <w:rFonts w:ascii="Arial" w:cs="Arial" w:eastAsia="Arial" w:hAnsi="Arial"/>
                <w:sz w:val="8"/>
                <w:szCs w:val="8"/>
                <w:color w:val="auto"/>
              </w:rPr>
              <w:t>Charged to Cost</w:t>
            </w: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2"/>
        </w:trPr>
        <w:tc>
          <w:tcPr>
            <w:tcW w:w="84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jc w:val="center"/>
              <w:ind w:right="806"/>
              <w:spacing w:after="0" w:line="112" w:lineRule="exact"/>
              <w:rPr>
                <w:sz w:val="20"/>
                <w:szCs w:val="20"/>
                <w:color w:val="auto"/>
              </w:rPr>
            </w:pPr>
            <w:r>
              <w:rPr>
                <w:rFonts w:ascii="Arial" w:cs="Arial" w:eastAsia="Arial" w:hAnsi="Arial"/>
                <w:sz w:val="10"/>
                <w:szCs w:val="10"/>
                <w:color w:val="auto"/>
                <w:w w:val="87"/>
              </w:rPr>
              <w:t>Description</w:t>
            </w:r>
          </w:p>
        </w:tc>
        <w:tc>
          <w:tcPr>
            <w:tcW w:w="16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ind w:right="61"/>
              <w:spacing w:after="0" w:line="112" w:lineRule="exact"/>
              <w:rPr>
                <w:sz w:val="20"/>
                <w:szCs w:val="20"/>
                <w:color w:val="auto"/>
              </w:rPr>
            </w:pPr>
            <w:r>
              <w:rPr>
                <w:rFonts w:ascii="Arial" w:cs="Arial" w:eastAsia="Arial" w:hAnsi="Arial"/>
                <w:sz w:val="10"/>
                <w:szCs w:val="10"/>
                <w:color w:val="auto"/>
                <w:w w:val="87"/>
              </w:rPr>
              <w:t>Balance at Beginning of Period</w:t>
            </w:r>
          </w:p>
        </w:tc>
        <w:tc>
          <w:tcPr>
            <w:tcW w:w="18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244"/>
              <w:spacing w:after="0" w:line="112" w:lineRule="exact"/>
              <w:rPr>
                <w:sz w:val="20"/>
                <w:szCs w:val="20"/>
                <w:color w:val="auto"/>
              </w:rPr>
            </w:pPr>
            <w:r>
              <w:rPr>
                <w:rFonts w:ascii="Arial" w:cs="Arial" w:eastAsia="Arial" w:hAnsi="Arial"/>
                <w:sz w:val="10"/>
                <w:szCs w:val="10"/>
                <w:color w:val="auto"/>
                <w:w w:val="91"/>
              </w:rPr>
              <w:t>and Expenses</w:t>
            </w:r>
          </w:p>
        </w:tc>
        <w:tc>
          <w:tcPr>
            <w:tcW w:w="26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gridSpan w:val="2"/>
          </w:tcPr>
          <w:p>
            <w:pPr>
              <w:spacing w:after="0" w:line="112" w:lineRule="exact"/>
              <w:rPr>
                <w:sz w:val="20"/>
                <w:szCs w:val="20"/>
                <w:color w:val="auto"/>
              </w:rPr>
            </w:pPr>
            <w:r>
              <w:rPr>
                <w:rFonts w:ascii="Arial" w:cs="Arial" w:eastAsia="Arial" w:hAnsi="Arial"/>
                <w:sz w:val="10"/>
                <w:szCs w:val="10"/>
                <w:color w:val="auto"/>
                <w:w w:val="87"/>
              </w:rPr>
              <w:t>Charged to Other Accounts</w:t>
            </w:r>
          </w:p>
        </w:tc>
        <w:tc>
          <w:tcPr>
            <w:tcW w:w="26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401"/>
              <w:spacing w:after="0" w:line="112" w:lineRule="exact"/>
              <w:rPr>
                <w:sz w:val="20"/>
                <w:szCs w:val="20"/>
                <w:color w:val="auto"/>
              </w:rPr>
            </w:pPr>
            <w:r>
              <w:rPr>
                <w:rFonts w:ascii="Arial" w:cs="Arial" w:eastAsia="Arial" w:hAnsi="Arial"/>
                <w:sz w:val="10"/>
                <w:szCs w:val="10"/>
                <w:color w:val="auto"/>
              </w:rPr>
              <w:t>Deductions</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gridSpan w:val="2"/>
          </w:tcPr>
          <w:p>
            <w:pPr>
              <w:jc w:val="center"/>
              <w:spacing w:after="0" w:line="112" w:lineRule="exact"/>
              <w:rPr>
                <w:sz w:val="20"/>
                <w:szCs w:val="20"/>
                <w:color w:val="auto"/>
              </w:rPr>
            </w:pPr>
            <w:r>
              <w:rPr>
                <w:rFonts w:ascii="Arial" w:cs="Arial" w:eastAsia="Arial" w:hAnsi="Arial"/>
                <w:sz w:val="10"/>
                <w:szCs w:val="10"/>
                <w:color w:val="auto"/>
                <w:w w:val="86"/>
              </w:rPr>
              <w:t>Balance at End of Period</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r>
      <w:tr>
        <w:trPr>
          <w:trHeight w:val="151"/>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Valuation allowance for deferred tax assets:</w:t>
            </w:r>
          </w:p>
        </w:tc>
        <w:tc>
          <w:tcPr>
            <w:tcW w:w="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30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30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Year Ended December 31, 2017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8,176</w:t>
            </w:r>
          </w:p>
        </w:tc>
        <w:tc>
          <w:tcPr>
            <w:tcW w:w="1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(8,176)</w:t>
            </w:r>
          </w:p>
        </w:tc>
        <w:tc>
          <w:tcPr>
            <w:tcW w:w="300" w:type="dxa"/>
            <w:vAlign w:val="bottom"/>
            <w:gridSpan w:val="2"/>
            <w:shd w:val="clear" w:color="auto" w:fill="CFF0FC"/>
          </w:tcPr>
          <w:p>
            <w:pPr>
              <w:jc w:val="right"/>
              <w:ind w:right="72"/>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0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8,176</w:t>
            </w:r>
          </w:p>
        </w:tc>
        <w:tc>
          <w:tcPr>
            <w:tcW w:w="26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30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8,176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Allowance for Doubtful Accounts</w:t>
            </w:r>
          </w:p>
        </w:tc>
        <w:tc>
          <w:tcPr>
            <w:tcW w:w="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0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1,011</w:t>
            </w:r>
          </w:p>
        </w:tc>
        <w:tc>
          <w:tcPr>
            <w:tcW w:w="1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1,333</w:t>
            </w:r>
          </w:p>
        </w:tc>
        <w:tc>
          <w:tcPr>
            <w:tcW w:w="2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2"/>
                <w:szCs w:val="12"/>
                <w:color w:val="auto"/>
              </w:rPr>
              <w:t>(56)</w:t>
            </w:r>
          </w:p>
        </w:tc>
        <w:tc>
          <w:tcPr>
            <w:tcW w:w="30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2,288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Year Ended December 31, 2017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1,352</w:t>
            </w:r>
          </w:p>
        </w:tc>
        <w:tc>
          <w:tcPr>
            <w:tcW w:w="1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(86)</w:t>
            </w:r>
          </w:p>
        </w:tc>
        <w:tc>
          <w:tcPr>
            <w:tcW w:w="4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(300)</w:t>
            </w:r>
          </w:p>
        </w:tc>
        <w:tc>
          <w:tcPr>
            <w:tcW w:w="300" w:type="dxa"/>
            <w:vAlign w:val="bottom"/>
            <w:gridSpan w:val="2"/>
            <w:shd w:val="clear" w:color="auto" w:fill="CFF0FC"/>
          </w:tcPr>
          <w:p>
            <w:pPr>
              <w:jc w:val="right"/>
              <w:ind w:right="72"/>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1,011</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0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1,352</w:t>
            </w:r>
          </w:p>
        </w:tc>
        <w:tc>
          <w:tcPr>
            <w:tcW w:w="2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30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1,352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21"/>
        </w:trPr>
        <w:tc>
          <w:tcPr>
            <w:tcW w:w="8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left="1141"/>
              <w:spacing w:after="0"/>
              <w:rPr>
                <w:sz w:val="20"/>
                <w:szCs w:val="20"/>
                <w:color w:val="auto"/>
              </w:rPr>
            </w:pPr>
            <w:r>
              <w:rPr>
                <w:rFonts w:ascii="Arial" w:cs="Arial" w:eastAsia="Arial" w:hAnsi="Arial"/>
                <w:sz w:val="12"/>
                <w:szCs w:val="12"/>
                <w:color w:val="auto"/>
                <w:w w:val="85"/>
              </w:rPr>
              <w:t>S-5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3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22" w:name="page123"/>
    <w:bookmarkEnd w:id="122"/>
    <w:p>
      <w:pPr>
        <w:ind w:left="4"/>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As of December 31, 2018</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Col. A</w:t>
            </w:r>
          </w:p>
        </w:tc>
        <w:tc>
          <w:tcPr>
            <w:tcW w:w="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Col. B</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Col. C</w:t>
            </w:r>
          </w:p>
        </w:tc>
        <w:tc>
          <w:tcPr>
            <w:tcW w:w="140" w:type="dxa"/>
            <w:vAlign w:val="bottom"/>
          </w:tcPr>
          <w:p>
            <w:pPr>
              <w:spacing w:after="0"/>
              <w:rPr>
                <w:sz w:val="13"/>
                <w:szCs w:val="13"/>
                <w:color w:val="auto"/>
              </w:rPr>
            </w:pPr>
          </w:p>
        </w:tc>
        <w:tc>
          <w:tcPr>
            <w:tcW w:w="1120" w:type="dxa"/>
            <w:vAlign w:val="bottom"/>
            <w:tcBorders>
              <w:bottom w:val="single" w:sz="8" w:color="auto"/>
            </w:tcBorders>
            <w:gridSpan w:val="2"/>
          </w:tcPr>
          <w:p>
            <w:pPr>
              <w:jc w:val="center"/>
              <w:ind w:left="663"/>
              <w:spacing w:after="0"/>
              <w:rPr>
                <w:sz w:val="20"/>
                <w:szCs w:val="20"/>
                <w:color w:val="auto"/>
              </w:rPr>
            </w:pPr>
            <w:r>
              <w:rPr>
                <w:rFonts w:ascii="Arial" w:cs="Arial" w:eastAsia="Arial" w:hAnsi="Arial"/>
                <w:sz w:val="12"/>
                <w:szCs w:val="12"/>
                <w:color w:val="auto"/>
                <w:w w:val="95"/>
              </w:rPr>
              <w:t>Col. D</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color w:val="auto"/>
                <w:w w:val="91"/>
              </w:rPr>
              <w:t>Col. E</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color w:val="auto"/>
                <w:w w:val="93"/>
              </w:rPr>
              <w:t>Col. F</w:t>
            </w:r>
          </w:p>
        </w:tc>
        <w:tc>
          <w:tcPr>
            <w:tcW w:w="260" w:type="dxa"/>
            <w:vAlign w:val="bottom"/>
          </w:tcPr>
          <w:p>
            <w:pPr>
              <w:spacing w:after="0"/>
              <w:rPr>
                <w:sz w:val="13"/>
                <w:szCs w:val="13"/>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color w:val="auto"/>
              </w:rPr>
              <w:t>Col. G</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Col. H</w:t>
            </w:r>
          </w:p>
        </w:tc>
        <w:tc>
          <w:tcPr>
            <w:tcW w:w="14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Col. I</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4"/>
          </w:tcPr>
          <w:p>
            <w:pPr>
              <w:jc w:val="center"/>
              <w:ind w:right="160"/>
              <w:spacing w:after="0"/>
              <w:rPr>
                <w:sz w:val="20"/>
                <w:szCs w:val="20"/>
                <w:color w:val="auto"/>
              </w:rPr>
            </w:pPr>
            <w:r>
              <w:rPr>
                <w:rFonts w:ascii="Arial" w:cs="Arial" w:eastAsia="Arial" w:hAnsi="Arial"/>
                <w:sz w:val="10"/>
                <w:szCs w:val="10"/>
                <w:color w:val="auto"/>
                <w:w w:val="86"/>
              </w:rPr>
              <w:t>Cost capitalized subsequent to acquisition</w:t>
            </w:r>
            <w:r>
              <w:rPr>
                <w:rFonts w:ascii="Arial" w:cs="Arial" w:eastAsia="Arial" w:hAnsi="Arial"/>
                <w:sz w:val="8"/>
                <w:szCs w:val="8"/>
                <w:color w:val="auto"/>
                <w:w w:val="86"/>
              </w:rPr>
              <w:t>(1)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w w:val="88"/>
              </w:rPr>
              <w:t>Life on which Depreciation</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0"/>
                <w:szCs w:val="10"/>
                <w:color w:val="auto"/>
                <w:w w:val="89"/>
              </w:rPr>
              <w:t>Initial cost to</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w:t>
            </w: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0"/>
                <w:szCs w:val="10"/>
                <w:color w:val="auto"/>
                <w:w w:val="88"/>
              </w:rPr>
              <w:t>Gross Amount Carried at</w:t>
            </w:r>
          </w:p>
        </w:tc>
        <w:tc>
          <w:tcPr>
            <w:tcW w:w="100" w:type="dxa"/>
            <w:vAlign w:val="bottom"/>
          </w:tcPr>
          <w:p>
            <w:pPr>
              <w:spacing w:after="0"/>
              <w:rPr>
                <w:sz w:val="9"/>
                <w:szCs w:val="9"/>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6"/>
              </w:rPr>
              <w:t>Accumulated</w:t>
            </w: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color w:val="auto"/>
                <w:w w:val="87"/>
              </w:rPr>
              <w:t>in Latest Income</w:t>
            </w:r>
          </w:p>
        </w:tc>
        <w:tc>
          <w:tcPr>
            <w:tcW w:w="0" w:type="dxa"/>
            <w:vAlign w:val="bottom"/>
          </w:tcPr>
          <w:p>
            <w:pPr>
              <w:spacing w:after="0"/>
              <w:rPr>
                <w:sz w:val="1"/>
                <w:szCs w:val="1"/>
                <w:color w:val="auto"/>
              </w:rPr>
            </w:pPr>
          </w:p>
        </w:tc>
      </w:tr>
      <w:tr>
        <w:trPr>
          <w:trHeight w:val="85"/>
        </w:trPr>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60" w:type="dxa"/>
            <w:vAlign w:val="bottom"/>
            <w:tcBorders>
              <w:bottom w:val="single" w:sz="8" w:color="auto"/>
            </w:tcBorders>
          </w:tcPr>
          <w:p>
            <w:pPr>
              <w:ind w:left="200"/>
              <w:spacing w:after="0" w:line="112" w:lineRule="exact"/>
              <w:rPr>
                <w:sz w:val="20"/>
                <w:szCs w:val="20"/>
                <w:color w:val="auto"/>
              </w:rPr>
            </w:pPr>
            <w:r>
              <w:rPr>
                <w:rFonts w:ascii="Arial" w:cs="Arial" w:eastAsia="Arial" w:hAnsi="Arial"/>
                <w:sz w:val="10"/>
                <w:szCs w:val="10"/>
                <w:color w:val="auto"/>
              </w:rPr>
              <w:t>Description</w:t>
            </w:r>
          </w:p>
        </w:tc>
        <w:tc>
          <w:tcPr>
            <w:tcW w:w="8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ind w:left="40"/>
              <w:spacing w:after="0" w:line="112" w:lineRule="exact"/>
              <w:rPr>
                <w:sz w:val="20"/>
                <w:szCs w:val="20"/>
                <w:color w:val="auto"/>
              </w:rPr>
            </w:pPr>
            <w:r>
              <w:rPr>
                <w:rFonts w:ascii="Arial" w:cs="Arial" w:eastAsia="Arial" w:hAnsi="Arial"/>
                <w:sz w:val="10"/>
                <w:szCs w:val="10"/>
                <w:color w:val="auto"/>
              </w:rPr>
              <w:t>Encumbrances</w:t>
            </w:r>
          </w:p>
        </w:tc>
        <w:tc>
          <w:tcPr>
            <w:tcW w:w="26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91"/>
              </w:rPr>
              <w:t>company</w:t>
            </w:r>
            <w:r>
              <w:rPr>
                <w:rFonts w:ascii="Arial" w:cs="Arial" w:eastAsia="Arial" w:hAnsi="Arial"/>
                <w:sz w:val="8"/>
                <w:szCs w:val="8"/>
                <w:color w:val="auto"/>
                <w:w w:val="91"/>
              </w:rPr>
              <w:t>(1)</w:t>
            </w:r>
          </w:p>
        </w:tc>
        <w:tc>
          <w:tcPr>
            <w:tcW w:w="140" w:type="dxa"/>
            <w:vAlign w:val="bottom"/>
            <w:tcBorders>
              <w:bottom w:val="single" w:sz="8" w:color="CFF0FC"/>
            </w:tcBorders>
          </w:tcPr>
          <w:p>
            <w:pPr>
              <w:spacing w:after="0"/>
              <w:rPr>
                <w:sz w:val="9"/>
                <w:szCs w:val="9"/>
                <w:color w:val="auto"/>
              </w:rPr>
            </w:pPr>
          </w:p>
        </w:tc>
        <w:tc>
          <w:tcPr>
            <w:tcW w:w="980" w:type="dxa"/>
            <w:vAlign w:val="bottom"/>
            <w:tcBorders>
              <w:bottom w:val="single" w:sz="8" w:color="auto"/>
            </w:tcBorders>
          </w:tcPr>
          <w:p>
            <w:pPr>
              <w:jc w:val="right"/>
              <w:ind w:right="163"/>
              <w:spacing w:after="0" w:line="112" w:lineRule="exact"/>
              <w:rPr>
                <w:sz w:val="20"/>
                <w:szCs w:val="20"/>
                <w:color w:val="auto"/>
              </w:rPr>
            </w:pPr>
            <w:r>
              <w:rPr>
                <w:rFonts w:ascii="Arial" w:cs="Arial" w:eastAsia="Arial" w:hAnsi="Arial"/>
                <w:sz w:val="10"/>
                <w:szCs w:val="10"/>
                <w:color w:val="auto"/>
              </w:rPr>
              <w:t>Improvements</w:t>
            </w:r>
          </w:p>
        </w:tc>
        <w:tc>
          <w:tcPr>
            <w:tcW w:w="14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jc w:val="right"/>
              <w:ind w:right="81"/>
              <w:spacing w:after="0" w:line="112" w:lineRule="exact"/>
              <w:rPr>
                <w:sz w:val="20"/>
                <w:szCs w:val="20"/>
                <w:color w:val="auto"/>
              </w:rPr>
            </w:pPr>
            <w:r>
              <w:rPr>
                <w:rFonts w:ascii="Arial" w:cs="Arial" w:eastAsia="Arial" w:hAnsi="Arial"/>
                <w:sz w:val="10"/>
                <w:szCs w:val="10"/>
                <w:color w:val="auto"/>
              </w:rPr>
              <w:t>Carry Costs</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61"/>
              <w:spacing w:after="0" w:line="112" w:lineRule="exact"/>
              <w:rPr>
                <w:sz w:val="20"/>
                <w:szCs w:val="20"/>
                <w:color w:val="auto"/>
              </w:rPr>
            </w:pPr>
            <w:r>
              <w:rPr>
                <w:rFonts w:ascii="Arial" w:cs="Arial" w:eastAsia="Arial" w:hAnsi="Arial"/>
                <w:sz w:val="10"/>
                <w:szCs w:val="10"/>
                <w:color w:val="auto"/>
                <w:w w:val="89"/>
              </w:rPr>
              <w:t>Close of Period</w:t>
            </w:r>
            <w:r>
              <w:rPr>
                <w:rFonts w:ascii="Arial" w:cs="Arial" w:eastAsia="Arial" w:hAnsi="Arial"/>
                <w:sz w:val="8"/>
                <w:szCs w:val="8"/>
                <w:color w:val="auto"/>
                <w:w w:val="89"/>
              </w:rPr>
              <w:t>(5)</w:t>
            </w:r>
          </w:p>
        </w:tc>
        <w:tc>
          <w:tcPr>
            <w:tcW w:w="26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62"/>
              <w:spacing w:after="0" w:line="112" w:lineRule="exact"/>
              <w:rPr>
                <w:sz w:val="20"/>
                <w:szCs w:val="20"/>
                <w:color w:val="auto"/>
              </w:rPr>
            </w:pPr>
            <w:r>
              <w:rPr>
                <w:rFonts w:ascii="Arial" w:cs="Arial" w:eastAsia="Arial" w:hAnsi="Arial"/>
                <w:sz w:val="10"/>
                <w:szCs w:val="10"/>
                <w:color w:val="auto"/>
                <w:w w:val="88"/>
              </w:rPr>
              <w:t>Depreciation</w:t>
            </w:r>
          </w:p>
        </w:tc>
        <w:tc>
          <w:tcPr>
            <w:tcW w:w="2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95"/>
              </w:rPr>
              <w:t>Date of Construction</w:t>
            </w:r>
            <w:r>
              <w:rPr>
                <w:rFonts w:ascii="Arial" w:cs="Arial" w:eastAsia="Arial" w:hAnsi="Arial"/>
                <w:sz w:val="8"/>
                <w:szCs w:val="8"/>
                <w:color w:val="auto"/>
                <w:w w:val="95"/>
              </w:rPr>
              <w:t>(2)</w:t>
            </w:r>
          </w:p>
        </w:tc>
        <w:tc>
          <w:tcPr>
            <w:tcW w:w="14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98"/>
              </w:rPr>
              <w:t>Date Acquired</w:t>
            </w:r>
            <w:r>
              <w:rPr>
                <w:rFonts w:ascii="Arial" w:cs="Arial" w:eastAsia="Arial" w:hAnsi="Arial"/>
                <w:sz w:val="8"/>
                <w:szCs w:val="8"/>
                <w:color w:val="auto"/>
                <w:w w:val="98"/>
              </w:rPr>
              <w:t>(2)</w:t>
            </w:r>
          </w:p>
        </w:tc>
        <w:tc>
          <w:tcPr>
            <w:tcW w:w="14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85"/>
              </w:rPr>
              <w:t>Statements is Computed</w:t>
            </w:r>
          </w:p>
        </w:tc>
        <w:tc>
          <w:tcPr>
            <w:tcW w:w="0" w:type="dxa"/>
            <w:vAlign w:val="bottom"/>
          </w:tcPr>
          <w:p>
            <w:pPr>
              <w:spacing w:after="0"/>
              <w:rPr>
                <w:sz w:val="1"/>
                <w:szCs w:val="1"/>
                <w:color w:val="auto"/>
              </w:rPr>
            </w:pPr>
          </w:p>
        </w:tc>
      </w:tr>
      <w:tr>
        <w:trPr>
          <w:trHeight w:val="142"/>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26,672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Indefinite</w:t>
            </w:r>
          </w:p>
        </w:tc>
        <w:tc>
          <w:tcPr>
            <w:tcW w:w="0" w:type="dxa"/>
            <w:vAlign w:val="bottom"/>
          </w:tcPr>
          <w:p>
            <w:pPr>
              <w:spacing w:after="0"/>
              <w:rPr>
                <w:sz w:val="1"/>
                <w:szCs w:val="1"/>
                <w:color w:val="auto"/>
              </w:rPr>
            </w:pPr>
          </w:p>
        </w:tc>
      </w:tr>
      <w:tr>
        <w:trPr>
          <w:trHeight w:val="144"/>
        </w:trPr>
        <w:tc>
          <w:tcPr>
            <w:tcW w:w="1700" w:type="dxa"/>
            <w:vAlign w:val="bottom"/>
            <w:gridSpan w:val="2"/>
          </w:tcPr>
          <w:p>
            <w:pPr>
              <w:spacing w:after="0"/>
              <w:rPr>
                <w:sz w:val="20"/>
                <w:szCs w:val="20"/>
                <w:color w:val="auto"/>
              </w:rPr>
            </w:pPr>
            <w:r>
              <w:rPr>
                <w:rFonts w:ascii="Arial" w:cs="Arial" w:eastAsia="Arial" w:hAnsi="Arial"/>
                <w:sz w:val="12"/>
                <w:szCs w:val="12"/>
                <w:color w:val="auto"/>
              </w:rPr>
              <w:t>Building and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Arial" w:cs="Arial" w:eastAsia="Arial" w:hAnsi="Arial"/>
                <w:sz w:val="12"/>
                <w:szCs w:val="12"/>
                <w:color w:val="auto"/>
              </w:rPr>
              <w:t>improvements</w:t>
            </w:r>
          </w:p>
        </w:tc>
        <w:tc>
          <w:tcPr>
            <w:tcW w:w="100" w:type="dxa"/>
            <w:vAlign w:val="bottom"/>
          </w:tcPr>
          <w:p>
            <w:pPr>
              <w:spacing w:after="0"/>
              <w:rPr>
                <w:sz w:val="13"/>
                <w:szCs w:val="13"/>
                <w:color w:val="auto"/>
              </w:rPr>
            </w:pPr>
          </w:p>
        </w:tc>
        <w:tc>
          <w:tcPr>
            <w:tcW w:w="102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327,280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(165,604)</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3 - 40 years</w:t>
            </w: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Poles</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248,989</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(182,577)</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Arial" w:cs="Arial" w:eastAsia="Arial" w:hAnsi="Arial"/>
                <w:sz w:val="12"/>
                <w:szCs w:val="12"/>
                <w:color w:val="auto"/>
              </w:rPr>
              <w:t>Fiber</w:t>
            </w:r>
          </w:p>
        </w:tc>
        <w:tc>
          <w:tcPr>
            <w:tcW w:w="100" w:type="dxa"/>
            <w:vAlign w:val="bottom"/>
          </w:tcPr>
          <w:p>
            <w:pPr>
              <w:spacing w:after="0"/>
              <w:rPr>
                <w:sz w:val="13"/>
                <w:szCs w:val="13"/>
                <w:color w:val="auto"/>
              </w:rPr>
            </w:pPr>
          </w:p>
        </w:tc>
        <w:tc>
          <w:tcPr>
            <w:tcW w:w="102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2,399,415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(1,077,827)</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Equipment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(21)</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5 -7 years</w:t>
            </w: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Arial" w:cs="Arial" w:eastAsia="Arial" w:hAnsi="Arial"/>
                <w:sz w:val="12"/>
                <w:szCs w:val="12"/>
                <w:color w:val="auto"/>
              </w:rPr>
              <w:t>Copper</w:t>
            </w:r>
          </w:p>
        </w:tc>
        <w:tc>
          <w:tcPr>
            <w:tcW w:w="100" w:type="dxa"/>
            <w:vAlign w:val="bottom"/>
          </w:tcPr>
          <w:p>
            <w:pPr>
              <w:spacing w:after="0"/>
              <w:rPr>
                <w:sz w:val="13"/>
                <w:szCs w:val="13"/>
                <w:color w:val="auto"/>
              </w:rPr>
            </w:pPr>
          </w:p>
        </w:tc>
        <w:tc>
          <w:tcPr>
            <w:tcW w:w="102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3,721,649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(3,243,626)</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Conduit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89,692</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(59,905)</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Arial" w:cs="Arial" w:eastAsia="Arial" w:hAnsi="Arial"/>
                <w:sz w:val="12"/>
                <w:szCs w:val="12"/>
                <w:color w:val="auto"/>
              </w:rPr>
              <w:t>Towers</w:t>
            </w:r>
          </w:p>
        </w:tc>
        <w:tc>
          <w:tcPr>
            <w:tcW w:w="100" w:type="dxa"/>
            <w:vAlign w:val="bottom"/>
          </w:tcPr>
          <w:p>
            <w:pPr>
              <w:spacing w:after="0"/>
              <w:rPr>
                <w:sz w:val="13"/>
                <w:szCs w:val="13"/>
                <w:color w:val="auto"/>
              </w:rPr>
            </w:pPr>
          </w:p>
        </w:tc>
        <w:tc>
          <w:tcPr>
            <w:tcW w:w="102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115,351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(6,486)</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44"/>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Real property</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34,878</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(1,135)</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3"/>
                <w:szCs w:val="13"/>
                <w:color w:val="auto"/>
              </w:rPr>
            </w:pPr>
          </w:p>
        </w:tc>
        <w:tc>
          <w:tcPr>
            <w:tcW w:w="102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11,524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(1,945)</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15 - 20 years</w:t>
            </w:r>
          </w:p>
        </w:tc>
        <w:tc>
          <w:tcPr>
            <w:tcW w:w="0" w:type="dxa"/>
            <w:vAlign w:val="bottom"/>
          </w:tcPr>
          <w:p>
            <w:pPr>
              <w:spacing w:after="0"/>
              <w:rPr>
                <w:sz w:val="1"/>
                <w:szCs w:val="1"/>
                <w:color w:val="auto"/>
              </w:rPr>
            </w:pPr>
          </w:p>
        </w:tc>
      </w:tr>
      <w:tr>
        <w:trPr>
          <w:trHeight w:val="144"/>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Construction in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progress</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24,597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4" w:hanging="143"/>
        <w:spacing w:after="0"/>
        <w:tabs>
          <w:tab w:leader="none" w:pos="144" w:val="left"/>
        </w:tabs>
        <w:numPr>
          <w:ilvl w:val="0"/>
          <w:numId w:val="23"/>
        </w:numPr>
        <w:rPr>
          <w:rFonts w:ascii="Arial" w:cs="Arial" w:eastAsia="Arial" w:hAnsi="Arial"/>
          <w:sz w:val="10"/>
          <w:szCs w:val="10"/>
          <w:color w:val="auto"/>
        </w:rPr>
      </w:pPr>
      <w:r>
        <w:rPr>
          <w:rFonts w:ascii="Arial" w:cs="Arial" w:eastAsia="Arial" w:hAnsi="Arial"/>
          <w:sz w:val="12"/>
          <w:szCs w:val="12"/>
          <w:color w:val="auto"/>
        </w:rPr>
        <w:t>Given the voluminous nature and variety of our real estate investment assets, this schedule omits columns C and D from the schedule III presentation.</w:t>
      </w:r>
    </w:p>
    <w:p>
      <w:pPr>
        <w:spacing w:after="0" w:line="14" w:lineRule="exact"/>
        <w:rPr>
          <w:rFonts w:ascii="Arial" w:cs="Arial" w:eastAsia="Arial" w:hAnsi="Arial"/>
          <w:sz w:val="10"/>
          <w:szCs w:val="10"/>
          <w:color w:val="auto"/>
        </w:rPr>
      </w:pPr>
    </w:p>
    <w:p>
      <w:pPr>
        <w:ind w:left="144" w:hanging="144"/>
        <w:spacing w:after="0"/>
        <w:tabs>
          <w:tab w:leader="none" w:pos="144" w:val="left"/>
        </w:tabs>
        <w:numPr>
          <w:ilvl w:val="0"/>
          <w:numId w:val="23"/>
        </w:numPr>
        <w:rPr>
          <w:rFonts w:ascii="Arial" w:cs="Arial" w:eastAsia="Arial" w:hAnsi="Arial"/>
          <w:sz w:val="10"/>
          <w:szCs w:val="10"/>
          <w:color w:val="auto"/>
        </w:rPr>
      </w:pPr>
      <w:r>
        <w:rPr>
          <w:rFonts w:ascii="Arial" w:cs="Arial" w:eastAsia="Arial" w:hAnsi="Arial"/>
          <w:sz w:val="12"/>
          <w:szCs w:val="12"/>
          <w:color w:val="auto"/>
        </w:rPr>
        <w:t>Because additions and improvements to our real estate investment assets are ongoing, construction and acquisition dates are not applicable.</w:t>
      </w:r>
    </w:p>
    <w:p>
      <w:pPr>
        <w:spacing w:after="0" w:line="6" w:lineRule="exact"/>
        <w:rPr>
          <w:rFonts w:ascii="Arial" w:cs="Arial" w:eastAsia="Arial" w:hAnsi="Arial"/>
          <w:sz w:val="10"/>
          <w:szCs w:val="10"/>
          <w:color w:val="auto"/>
        </w:rPr>
      </w:pPr>
    </w:p>
    <w:p>
      <w:pPr>
        <w:ind w:left="144" w:hanging="143"/>
        <w:spacing w:after="0"/>
        <w:tabs>
          <w:tab w:leader="none" w:pos="144" w:val="left"/>
        </w:tabs>
        <w:numPr>
          <w:ilvl w:val="0"/>
          <w:numId w:val="23"/>
        </w:numPr>
        <w:rPr>
          <w:rFonts w:ascii="Arial" w:cs="Arial" w:eastAsia="Arial" w:hAnsi="Arial"/>
          <w:sz w:val="10"/>
          <w:szCs w:val="10"/>
          <w:color w:val="auto"/>
        </w:rPr>
      </w:pPr>
      <w:r>
        <w:rPr>
          <w:rFonts w:ascii="Arial" w:cs="Arial" w:eastAsia="Arial" w:hAnsi="Arial"/>
          <w:sz w:val="12"/>
          <w:szCs w:val="12"/>
          <w:color w:val="auto"/>
        </w:rPr>
        <w:t>For the year ended December 31, 2018, the amount of capitalized costs related to the Distribution Systems is as follows (millions):</w:t>
      </w:r>
    </w:p>
    <w:p>
      <w:pPr>
        <w:spacing w:after="0" w:line="141" w:lineRule="exact"/>
        <w:rPr>
          <w:sz w:val="20"/>
          <w:szCs w:val="20"/>
          <w:color w:val="auto"/>
        </w:rPr>
      </w:pPr>
    </w:p>
    <w:p>
      <w:pPr>
        <w:ind w:left="784"/>
        <w:spacing w:after="0"/>
        <w:tabs>
          <w:tab w:leader="none" w:pos="4243" w:val="left"/>
          <w:tab w:leader="none" w:pos="4763" w:val="left"/>
        </w:tabs>
        <w:rPr>
          <w:sz w:val="20"/>
          <w:szCs w:val="20"/>
          <w:color w:val="auto"/>
        </w:rPr>
      </w:pPr>
      <w:r>
        <w:rPr>
          <w:rFonts w:ascii="Arial" w:cs="Arial" w:eastAsia="Arial" w:hAnsi="Arial"/>
          <w:sz w:val="12"/>
          <w:szCs w:val="12"/>
          <w:color w:val="auto"/>
        </w:rPr>
        <w:t>Tenant capital improvements</w:t>
      </w:r>
      <w:r>
        <w:rPr>
          <w:rFonts w:ascii="Arial" w:cs="Arial" w:eastAsia="Arial" w:hAnsi="Arial"/>
          <w:sz w:val="10"/>
          <w:szCs w:val="10"/>
          <w:color w:val="auto"/>
        </w:rPr>
        <w:t>(4)</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153.6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9525</wp:posOffset>
            </wp:positionV>
            <wp:extent cx="50355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20955</wp:posOffset>
            </wp:positionV>
            <wp:extent cx="50355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line="85" w:lineRule="exact"/>
        <w:rPr>
          <w:sz w:val="20"/>
          <w:szCs w:val="20"/>
          <w:color w:val="auto"/>
        </w:rPr>
      </w:pPr>
    </w:p>
    <w:p>
      <w:pPr>
        <w:ind w:left="224" w:right="200" w:hanging="223"/>
        <w:spacing w:after="0" w:line="276" w:lineRule="auto"/>
        <w:tabs>
          <w:tab w:leader="none" w:pos="148" w:val="left"/>
        </w:tabs>
        <w:numPr>
          <w:ilvl w:val="0"/>
          <w:numId w:val="24"/>
        </w:numPr>
        <w:rPr>
          <w:rFonts w:ascii="Arial" w:cs="Arial" w:eastAsia="Arial" w:hAnsi="Arial"/>
          <w:sz w:val="10"/>
          <w:szCs w:val="10"/>
          <w:color w:val="auto"/>
        </w:rPr>
      </w:pPr>
      <w:r>
        <w:rPr>
          <w:rFonts w:ascii="Arial" w:cs="Arial" w:eastAsia="Arial" w:hAnsi="Arial"/>
          <w:sz w:val="12"/>
          <w:szCs w:val="12"/>
          <w:color w:val="auto"/>
        </w:rPr>
        <w:t>Tenant capital improvements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42" w:lineRule="exact"/>
        <w:rPr>
          <w:rFonts w:ascii="Arial" w:cs="Arial" w:eastAsia="Arial" w:hAnsi="Arial"/>
          <w:sz w:val="10"/>
          <w:szCs w:val="10"/>
          <w:color w:val="auto"/>
        </w:rPr>
      </w:pPr>
    </w:p>
    <w:p>
      <w:pPr>
        <w:ind w:left="144" w:hanging="143"/>
        <w:spacing w:after="0"/>
        <w:tabs>
          <w:tab w:leader="none" w:pos="144" w:val="left"/>
        </w:tabs>
        <w:numPr>
          <w:ilvl w:val="0"/>
          <w:numId w:val="24"/>
        </w:numPr>
        <w:rPr>
          <w:rFonts w:ascii="Arial" w:cs="Arial" w:eastAsia="Arial" w:hAnsi="Arial"/>
          <w:sz w:val="10"/>
          <w:szCs w:val="10"/>
          <w:color w:val="auto"/>
        </w:rPr>
      </w:pPr>
      <w:r>
        <w:rPr>
          <w:rFonts w:ascii="Arial" w:cs="Arial" w:eastAsia="Arial" w:hAnsi="Arial"/>
          <w:sz w:val="12"/>
          <w:szCs w:val="12"/>
          <w:color w:val="auto"/>
        </w:rPr>
        <w:t>Aggregate cost for Federal income tax purposes related to our real estate investment assets is $6.5 billion.</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32917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4"/>
          </w:cols>
          <w:pgMar w:left="216" w:top="130" w:right="199" w:bottom="1440" w:gutter="0" w:footer="0" w:header="0"/>
        </w:sectPr>
      </w:pPr>
    </w:p>
    <w:bookmarkStart w:id="123" w:name="page124"/>
    <w:bookmarkEnd w:id="1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December 31, 2018</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bottom w:val="single" w:sz="8" w:color="CFF0FC"/>
            </w:tcBorders>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2018</w:t>
            </w: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2017</w:t>
            </w:r>
          </w:p>
        </w:tc>
        <w:tc>
          <w:tcPr>
            <w:tcW w:w="120" w:type="dxa"/>
            <w:vAlign w:val="bottom"/>
            <w:tcBorders>
              <w:bottom w:val="single" w:sz="8" w:color="CFF0FC"/>
            </w:tcBorders>
          </w:tcPr>
          <w:p>
            <w:pPr>
              <w:spacing w:after="0"/>
              <w:rPr>
                <w:sz w:val="13"/>
                <w:szCs w:val="13"/>
                <w:color w:val="auto"/>
              </w:rPr>
            </w:pPr>
          </w:p>
        </w:tc>
      </w:tr>
      <w:tr>
        <w:trPr>
          <w:trHeight w:val="142"/>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Gross amount at beginning</w:t>
            </w:r>
          </w:p>
        </w:tc>
        <w:tc>
          <w:tcPr>
            <w:tcW w:w="44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6,603,480</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6,256,248</w:t>
            </w:r>
          </w:p>
        </w:tc>
        <w:tc>
          <w:tcPr>
            <w:tcW w:w="120" w:type="dxa"/>
            <w:vAlign w:val="bottom"/>
            <w:shd w:val="clear" w:color="auto" w:fill="CFF0FC"/>
          </w:tcPr>
          <w:p>
            <w:pPr>
              <w:spacing w:after="0"/>
              <w:rPr>
                <w:sz w:val="12"/>
                <w:szCs w:val="12"/>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Tenant capital improvements</w:t>
            </w:r>
          </w:p>
        </w:tc>
        <w:tc>
          <w:tcPr>
            <w:tcW w:w="4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153,615</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227,969</w:t>
            </w: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Acquisitions</w:t>
            </w: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231,142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80,132</w:t>
            </w: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18,439</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45,552</w:t>
            </w:r>
          </w:p>
        </w:tc>
        <w:tc>
          <w:tcPr>
            <w:tcW w:w="120" w:type="dxa"/>
            <w:vAlign w:val="bottom"/>
            <w:shd w:val="clear" w:color="auto" w:fill="CFF0FC"/>
          </w:tcPr>
          <w:p>
            <w:pPr>
              <w:spacing w:after="0"/>
              <w:rPr>
                <w:sz w:val="13"/>
                <w:szCs w:val="13"/>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additions</w:t>
            </w: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403,196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353,653</w:t>
            </w:r>
          </w:p>
        </w:tc>
        <w:tc>
          <w:tcPr>
            <w:tcW w:w="120" w:type="dxa"/>
            <w:vAlign w:val="bottom"/>
          </w:tcPr>
          <w:p>
            <w:pPr>
              <w:spacing w:after="0"/>
              <w:rPr>
                <w:sz w:val="12"/>
                <w:szCs w:val="12"/>
                <w:color w:val="auto"/>
              </w:rPr>
            </w:pPr>
          </w:p>
        </w:tc>
      </w:tr>
      <w:tr>
        <w:trPr>
          <w:trHeight w:val="153"/>
        </w:trPr>
        <w:tc>
          <w:tcPr>
            <w:tcW w:w="4440" w:type="dxa"/>
            <w:vAlign w:val="bottom"/>
            <w:shd w:val="clear" w:color="auto" w:fill="CFF0FC"/>
          </w:tcPr>
          <w:p>
            <w:pPr>
              <w:spacing w:after="0"/>
              <w:rPr>
                <w:sz w:val="13"/>
                <w:szCs w:val="13"/>
                <w:color w:val="auto"/>
              </w:rPr>
            </w:pPr>
          </w:p>
        </w:tc>
        <w:tc>
          <w:tcPr>
            <w:tcW w:w="4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Deductions during period:</w:t>
            </w: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Cost of real estate sold or disposed</w:t>
            </w:r>
          </w:p>
        </w:tc>
        <w:tc>
          <w:tcPr>
            <w:tcW w:w="4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6,577</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6,421</w:t>
            </w: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2"/>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Total deductions</w:t>
            </w:r>
          </w:p>
        </w:tc>
        <w:tc>
          <w:tcPr>
            <w:tcW w:w="4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6,577</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6,421</w:t>
            </w:r>
          </w:p>
        </w:tc>
        <w:tc>
          <w:tcPr>
            <w:tcW w:w="120" w:type="dxa"/>
            <w:vAlign w:val="bottom"/>
            <w:shd w:val="clear" w:color="auto" w:fill="CFF0FC"/>
          </w:tcPr>
          <w:p>
            <w:pPr>
              <w:spacing w:after="0"/>
              <w:rPr>
                <w:sz w:val="12"/>
                <w:szCs w:val="12"/>
                <w:color w:val="auto"/>
              </w:rPr>
            </w:pPr>
          </w:p>
        </w:tc>
      </w:tr>
      <w:tr>
        <w:trPr>
          <w:trHeight w:val="153"/>
        </w:trPr>
        <w:tc>
          <w:tcPr>
            <w:tcW w:w="44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Balance at end</w:t>
            </w:r>
          </w:p>
        </w:tc>
        <w:tc>
          <w:tcPr>
            <w:tcW w:w="44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7,000,099</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6,603,480</w:t>
            </w:r>
          </w:p>
        </w:tc>
        <w:tc>
          <w:tcPr>
            <w:tcW w:w="120" w:type="dxa"/>
            <w:vAlign w:val="bottom"/>
            <w:shd w:val="clear" w:color="auto" w:fill="CFF0FC"/>
          </w:tcPr>
          <w:p>
            <w:pPr>
              <w:spacing w:after="0"/>
              <w:rPr>
                <w:sz w:val="13"/>
                <w:szCs w:val="13"/>
                <w:color w:val="auto"/>
              </w:rPr>
            </w:pPr>
          </w:p>
        </w:tc>
      </w:tr>
      <w:tr>
        <w:trPr>
          <w:trHeight w:val="297"/>
        </w:trPr>
        <w:tc>
          <w:tcPr>
            <w:tcW w:w="4440" w:type="dxa"/>
            <w:vAlign w:val="bottom"/>
            <w:tcBorders>
              <w:bottom w:val="single" w:sz="8" w:color="CFF0FC"/>
            </w:tcBorders>
          </w:tcPr>
          <w:p>
            <w:pPr>
              <w:spacing w:after="0"/>
              <w:rPr>
                <w:sz w:val="24"/>
                <w:szCs w:val="24"/>
                <w:color w:val="auto"/>
              </w:rPr>
            </w:pPr>
          </w:p>
        </w:tc>
        <w:tc>
          <w:tcPr>
            <w:tcW w:w="4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2017</w:t>
            </w:r>
          </w:p>
        </w:tc>
        <w:tc>
          <w:tcPr>
            <w:tcW w:w="120" w:type="dxa"/>
            <w:vAlign w:val="bottom"/>
            <w:tcBorders>
              <w:bottom w:val="single" w:sz="8" w:color="CFF0FC"/>
            </w:tcBorders>
          </w:tcPr>
          <w:p>
            <w:pPr>
              <w:spacing w:after="0"/>
              <w:rPr>
                <w:sz w:val="24"/>
                <w:szCs w:val="24"/>
                <w:color w:val="auto"/>
              </w:rPr>
            </w:pPr>
          </w:p>
        </w:tc>
      </w:tr>
      <w:tr>
        <w:trPr>
          <w:trHeight w:val="142"/>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Gross amount of accumulated depreciation at beginning</w:t>
            </w:r>
          </w:p>
        </w:tc>
        <w:tc>
          <w:tcPr>
            <w:tcW w:w="44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4,399,789</w:t>
            </w:r>
          </w:p>
        </w:tc>
        <w:tc>
          <w:tcPr>
            <w:tcW w:w="160" w:type="dxa"/>
            <w:vAlign w:val="bottom"/>
            <w:shd w:val="clear" w:color="auto" w:fill="CFF0FC"/>
          </w:tcPr>
          <w:p>
            <w:pPr>
              <w:spacing w:after="0"/>
              <w:rPr>
                <w:sz w:val="12"/>
                <w:szCs w:val="12"/>
                <w:color w:val="auto"/>
              </w:rPr>
            </w:pPr>
          </w:p>
        </w:tc>
        <w:tc>
          <w:tcPr>
            <w:tcW w:w="4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4,054,748</w:t>
            </w:r>
          </w:p>
        </w:tc>
        <w:tc>
          <w:tcPr>
            <w:tcW w:w="120" w:type="dxa"/>
            <w:vAlign w:val="bottom"/>
            <w:shd w:val="clear" w:color="auto" w:fill="CFF0FC"/>
          </w:tcPr>
          <w:p>
            <w:pPr>
              <w:spacing w:after="0"/>
              <w:rPr>
                <w:sz w:val="12"/>
                <w:szCs w:val="12"/>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w:t>
            </w:r>
          </w:p>
        </w:tc>
        <w:tc>
          <w:tcPr>
            <w:tcW w:w="4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343,282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351,332</w:t>
            </w: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2"/>
                <w:szCs w:val="12"/>
                <w:color w:val="auto"/>
              </w:rPr>
              <w:t>(423)</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(45)</w:t>
            </w:r>
          </w:p>
        </w:tc>
      </w:tr>
      <w:tr>
        <w:trPr>
          <w:trHeight w:val="142"/>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additions</w:t>
            </w:r>
          </w:p>
        </w:tc>
        <w:tc>
          <w:tcPr>
            <w:tcW w:w="41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342,859</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351,287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4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Deductions during period:</w:t>
            </w:r>
          </w:p>
        </w:tc>
        <w:tc>
          <w:tcPr>
            <w:tcW w:w="4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Amount of accumulated depreciation for assets sold or disposed</w:t>
            </w: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3,522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6,246</w:t>
            </w: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deductions</w:t>
            </w: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3,522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6,246</w:t>
            </w:r>
          </w:p>
        </w:tc>
        <w:tc>
          <w:tcPr>
            <w:tcW w:w="120" w:type="dxa"/>
            <w:vAlign w:val="bottom"/>
          </w:tcPr>
          <w:p>
            <w:pPr>
              <w:spacing w:after="0"/>
              <w:rPr>
                <w:sz w:val="12"/>
                <w:szCs w:val="12"/>
                <w:color w:val="auto"/>
              </w:rPr>
            </w:pPr>
          </w:p>
        </w:tc>
      </w:tr>
      <w:tr>
        <w:trPr>
          <w:trHeight w:val="153"/>
        </w:trPr>
        <w:tc>
          <w:tcPr>
            <w:tcW w:w="4440" w:type="dxa"/>
            <w:vAlign w:val="bottom"/>
            <w:shd w:val="clear" w:color="auto" w:fill="CFF0FC"/>
          </w:tcPr>
          <w:p>
            <w:pPr>
              <w:spacing w:after="0"/>
              <w:rPr>
                <w:sz w:val="13"/>
                <w:szCs w:val="13"/>
                <w:color w:val="auto"/>
              </w:rPr>
            </w:pPr>
          </w:p>
        </w:tc>
        <w:tc>
          <w:tcPr>
            <w:tcW w:w="414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Balance at end</w:t>
            </w:r>
          </w:p>
        </w:tc>
        <w:tc>
          <w:tcPr>
            <w:tcW w:w="44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4,739,126</w:t>
            </w:r>
          </w:p>
        </w:tc>
        <w:tc>
          <w:tcPr>
            <w:tcW w:w="160" w:type="dxa"/>
            <w:vAlign w:val="bottom"/>
          </w:tcPr>
          <w:p>
            <w:pPr>
              <w:spacing w:after="0"/>
              <w:rPr>
                <w:sz w:val="13"/>
                <w:szCs w:val="13"/>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4,399,789</w:t>
            </w:r>
          </w:p>
        </w:tc>
        <w:tc>
          <w:tcPr>
            <w:tcW w:w="120" w:type="dxa"/>
            <w:vAlign w:val="bottom"/>
          </w:tcPr>
          <w:p>
            <w:pPr>
              <w:spacing w:after="0"/>
              <w:rPr>
                <w:sz w:val="13"/>
                <w:szCs w:val="13"/>
                <w:color w:val="auto"/>
              </w:rPr>
            </w:pPr>
          </w:p>
        </w:tc>
      </w:tr>
      <w:tr>
        <w:trPr>
          <w:trHeight w:val="576"/>
        </w:trPr>
        <w:tc>
          <w:tcPr>
            <w:tcW w:w="4440" w:type="dxa"/>
            <w:vAlign w:val="bottom"/>
          </w:tcPr>
          <w:p>
            <w:pPr>
              <w:spacing w:after="0"/>
              <w:rPr>
                <w:sz w:val="24"/>
                <w:szCs w:val="24"/>
                <w:color w:val="auto"/>
              </w:rPr>
            </w:pPr>
          </w:p>
        </w:tc>
        <w:tc>
          <w:tcPr>
            <w:tcW w:w="4400" w:type="dxa"/>
            <w:vAlign w:val="bottom"/>
            <w:gridSpan w:val="3"/>
          </w:tcPr>
          <w:p>
            <w:pPr>
              <w:jc w:val="right"/>
              <w:ind w:right="3020"/>
              <w:spacing w:after="0"/>
              <w:rPr>
                <w:sz w:val="20"/>
                <w:szCs w:val="20"/>
                <w:color w:val="auto"/>
              </w:rPr>
            </w:pPr>
            <w:r>
              <w:rPr>
                <w:rFonts w:ascii="Arial" w:cs="Arial" w:eastAsia="Arial" w:hAnsi="Arial"/>
                <w:sz w:val="12"/>
                <w:szCs w:val="12"/>
                <w:color w:val="auto"/>
              </w:rPr>
              <w:t>S-7</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2"/>
          <w:szCs w:val="12"/>
          <w:b w:val="1"/>
          <w:bCs w:val="1"/>
          <w:color w:val="auto"/>
        </w:rPr>
        <w:t>Exhibit 10.11</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EXECUTION VERSION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NO. 4 AND LIMITED WAIVER</w:t>
      </w:r>
    </w:p>
    <w:p>
      <w:pPr>
        <w:spacing w:after="0" w:line="152" w:lineRule="exact"/>
        <w:rPr>
          <w:sz w:val="20"/>
          <w:szCs w:val="20"/>
          <w:color w:val="auto"/>
        </w:rPr>
      </w:pPr>
    </w:p>
    <w:p>
      <w:pPr>
        <w:ind w:right="20" w:firstLine="883"/>
        <w:spacing w:after="0" w:line="275" w:lineRule="auto"/>
        <w:rPr>
          <w:sz w:val="20"/>
          <w:szCs w:val="20"/>
          <w:color w:val="auto"/>
        </w:rPr>
      </w:pPr>
      <w:r>
        <w:rPr>
          <w:rFonts w:ascii="Arial" w:cs="Arial" w:eastAsia="Arial" w:hAnsi="Arial"/>
          <w:sz w:val="12"/>
          <w:szCs w:val="12"/>
          <w:color w:val="auto"/>
        </w:rPr>
        <w:t>This Amendment No. 4 and Limited Waiver (this “</w:t>
      </w:r>
      <w:r>
        <w:rPr>
          <w:rFonts w:ascii="Arial" w:cs="Arial" w:eastAsia="Arial" w:hAnsi="Arial"/>
          <w:sz w:val="12"/>
          <w:szCs w:val="12"/>
          <w:u w:val="single" w:color="auto"/>
          <w:color w:val="auto"/>
        </w:rPr>
        <w:t>Agreement</w:t>
      </w:r>
      <w:r>
        <w:rPr>
          <w:rFonts w:ascii="Arial" w:cs="Arial" w:eastAsia="Arial" w:hAnsi="Arial"/>
          <w:sz w:val="12"/>
          <w:szCs w:val="12"/>
          <w:color w:val="auto"/>
        </w:rPr>
        <w:t>” or “</w:t>
      </w:r>
      <w:r>
        <w:rPr>
          <w:rFonts w:ascii="Arial" w:cs="Arial" w:eastAsia="Arial" w:hAnsi="Arial"/>
          <w:sz w:val="12"/>
          <w:szCs w:val="12"/>
          <w:u w:val="single" w:color="auto"/>
          <w:color w:val="auto"/>
        </w:rPr>
        <w:t>Amendment No. 4 and Limited Waiver</w:t>
      </w:r>
      <w:r>
        <w:rPr>
          <w:rFonts w:ascii="Arial" w:cs="Arial" w:eastAsia="Arial" w:hAnsi="Arial"/>
          <w:sz w:val="12"/>
          <w:szCs w:val="12"/>
          <w:color w:val="auto"/>
        </w:rPr>
        <w:t>”), dated as of March 18, 2019, to the Credit Agreement, dated as of April 24, 2015 (as amended by Amendment No. 1 thereto dated October 21, 2016, as further amended by Amendment No. 2 dated February 9, 2017, as further amended by Amendment No. 3 dated April 27, 2017 and after giving effect to the Borrower Assumption Agreement and Joinder, dated as of May 9, 2017,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capitalized terms used in this Amendment No. 4 and Limited Waiver and not otherwise defined herein shall have the respective meanings given thereto in the Credit Agreement), is made by and among Uniti Group Inc. (f/k/a Communications Sales &amp; Leasing, Inc.), a Maryland corporation (the “</w:t>
      </w:r>
      <w:r>
        <w:rPr>
          <w:rFonts w:ascii="Arial" w:cs="Arial" w:eastAsia="Arial" w:hAnsi="Arial"/>
          <w:sz w:val="12"/>
          <w:szCs w:val="12"/>
          <w:u w:val="single" w:color="auto"/>
          <w:color w:val="auto"/>
        </w:rPr>
        <w:t>Parent Guarantor</w:t>
      </w:r>
      <w:r>
        <w:rPr>
          <w:rFonts w:ascii="Arial" w:cs="Arial" w:eastAsia="Arial" w:hAnsi="Arial"/>
          <w:sz w:val="12"/>
          <w:szCs w:val="12"/>
          <w:color w:val="auto"/>
        </w:rPr>
        <w:t>”), Uniti Group LP, a Delaware limited partnership (the “</w:t>
      </w:r>
      <w:r>
        <w:rPr>
          <w:rFonts w:ascii="Arial" w:cs="Arial" w:eastAsia="Arial" w:hAnsi="Arial"/>
          <w:sz w:val="12"/>
          <w:szCs w:val="12"/>
          <w:u w:val="single" w:color="auto"/>
          <w:color w:val="auto"/>
        </w:rPr>
        <w:t>Assumed Borrower</w:t>
      </w:r>
      <w:r>
        <w:rPr>
          <w:rFonts w:ascii="Arial" w:cs="Arial" w:eastAsia="Arial" w:hAnsi="Arial"/>
          <w:sz w:val="12"/>
          <w:szCs w:val="12"/>
          <w:color w:val="auto"/>
        </w:rPr>
        <w:t>”), Uniti Group Finance Inc., a Delaware corporation (“</w:t>
      </w:r>
      <w:r>
        <w:rPr>
          <w:rFonts w:ascii="Arial" w:cs="Arial" w:eastAsia="Arial" w:hAnsi="Arial"/>
          <w:sz w:val="12"/>
          <w:szCs w:val="12"/>
          <w:u w:val="single" w:color="auto"/>
          <w:color w:val="auto"/>
        </w:rPr>
        <w:t>FinCo</w:t>
      </w:r>
      <w:r>
        <w:rPr>
          <w:rFonts w:ascii="Arial" w:cs="Arial" w:eastAsia="Arial" w:hAnsi="Arial"/>
          <w:sz w:val="12"/>
          <w:szCs w:val="12"/>
          <w:color w:val="auto"/>
        </w:rPr>
        <w:t>”), CSL CAPITAL, LLC (“</w:t>
      </w:r>
      <w:r>
        <w:rPr>
          <w:rFonts w:ascii="Arial" w:cs="Arial" w:eastAsia="Arial" w:hAnsi="Arial"/>
          <w:sz w:val="12"/>
          <w:szCs w:val="12"/>
          <w:u w:val="single" w:color="auto"/>
          <w:color w:val="auto"/>
        </w:rPr>
        <w:t>CSL Capital</w:t>
      </w:r>
      <w:r>
        <w:rPr>
          <w:rFonts w:ascii="Arial" w:cs="Arial" w:eastAsia="Arial" w:hAnsi="Arial"/>
          <w:sz w:val="12"/>
          <w:szCs w:val="12"/>
          <w:color w:val="auto"/>
        </w:rPr>
        <w:t>” and, collectively with the Assumed Borrower and Finco, the “</w:t>
      </w:r>
      <w:r>
        <w:rPr>
          <w:rFonts w:ascii="Arial" w:cs="Arial" w:eastAsia="Arial" w:hAnsi="Arial"/>
          <w:sz w:val="12"/>
          <w:szCs w:val="12"/>
          <w:u w:val="single" w:color="auto"/>
          <w:color w:val="auto"/>
        </w:rPr>
        <w:t>Borrowers</w:t>
      </w:r>
      <w:r>
        <w:rPr>
          <w:rFonts w:ascii="Arial" w:cs="Arial" w:eastAsia="Arial" w:hAnsi="Arial"/>
          <w:sz w:val="12"/>
          <w:szCs w:val="12"/>
          <w:color w:val="auto"/>
        </w:rPr>
        <w:t>”), the Lenders party hereto and Bank of America, N.A., as Administrative Agent and Collateral Agent (the “</w:t>
      </w:r>
      <w:r>
        <w:rPr>
          <w:rFonts w:ascii="Arial" w:cs="Arial" w:eastAsia="Arial" w:hAnsi="Arial"/>
          <w:sz w:val="12"/>
          <w:szCs w:val="12"/>
          <w:u w:val="single" w:color="auto"/>
          <w:color w:val="auto"/>
        </w:rPr>
        <w:t>Administrative Agent</w:t>
      </w:r>
      <w:r>
        <w:rPr>
          <w:rFonts w:ascii="Arial" w:cs="Arial" w:eastAsia="Arial" w:hAnsi="Arial"/>
          <w:sz w:val="12"/>
          <w:szCs w:val="12"/>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W I T N E S S E T H</w:t>
      </w:r>
      <w:r>
        <w:rPr>
          <w:rFonts w:ascii="Arial" w:cs="Arial" w:eastAsia="Arial" w:hAnsi="Arial"/>
          <w:sz w:val="13"/>
          <w:szCs w:val="13"/>
          <w:b w:val="1"/>
          <w:bCs w:val="1"/>
          <w:color w:val="auto"/>
        </w:rPr>
        <w:t>:</w:t>
      </w:r>
    </w:p>
    <w:p>
      <w:pPr>
        <w:spacing w:after="0" w:line="148" w:lineRule="exact"/>
        <w:rPr>
          <w:sz w:val="20"/>
          <w:szCs w:val="20"/>
          <w:color w:val="auto"/>
        </w:rPr>
      </w:pPr>
    </w:p>
    <w:p>
      <w:pPr>
        <w:ind w:right="100" w:firstLine="883"/>
        <w:spacing w:after="0" w:line="261"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Borrowers have advised the Administrative Agent and the Lenders that PricewaterhouseCoopers LLP may include a going concern or like qualification or exception (the “</w:t>
      </w:r>
      <w:r>
        <w:rPr>
          <w:rFonts w:ascii="Arial" w:cs="Arial" w:eastAsia="Arial" w:hAnsi="Arial"/>
          <w:sz w:val="13"/>
          <w:szCs w:val="13"/>
          <w:u w:val="single" w:color="auto"/>
          <w:color w:val="auto"/>
        </w:rPr>
        <w:t>Going</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Concern Qualification</w:t>
      </w:r>
      <w:r>
        <w:rPr>
          <w:rFonts w:ascii="Arial" w:cs="Arial" w:eastAsia="Arial" w:hAnsi="Arial"/>
          <w:sz w:val="13"/>
          <w:szCs w:val="13"/>
          <w:color w:val="auto"/>
        </w:rPr>
        <w:t>”) in its audit opinion with respect to the financial statements of Holdings and its Subsidiaries for the fiscal year ended December 31, 2018 (the “</w:t>
      </w:r>
      <w:r>
        <w:rPr>
          <w:rFonts w:ascii="Arial" w:cs="Arial" w:eastAsia="Arial" w:hAnsi="Arial"/>
          <w:sz w:val="13"/>
          <w:szCs w:val="13"/>
          <w:u w:val="single" w:color="auto"/>
          <w:color w:val="auto"/>
        </w:rPr>
        <w:t>2018 Audited Financial Statements</w:t>
      </w:r>
      <w:r>
        <w:rPr>
          <w:rFonts w:ascii="Arial" w:cs="Arial" w:eastAsia="Arial" w:hAnsi="Arial"/>
          <w:sz w:val="13"/>
          <w:szCs w:val="13"/>
          <w:color w:val="auto"/>
        </w:rPr>
        <w:t>”) required to be delivered pursuant to Section 6.01(a) of the Credit Agreement and the penultimate paragraph of Section 6.01 of the Credit Agreement;</w:t>
      </w:r>
    </w:p>
    <w:p>
      <w:pPr>
        <w:spacing w:after="0" w:line="116" w:lineRule="exact"/>
        <w:rPr>
          <w:sz w:val="20"/>
          <w:szCs w:val="20"/>
          <w:color w:val="auto"/>
        </w:rPr>
      </w:pPr>
    </w:p>
    <w:p>
      <w:pPr>
        <w:ind w:right="40" w:firstLine="883"/>
        <w:spacing w:after="0" w:line="27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delivery of 2018 Audited Financial Statements accompanied by an auditor’s report containing the Going Concern Qualification would violate</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6.01(a)</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Credit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would result in a Default or Event of Default under </w:t>
      </w:r>
      <w:r>
        <w:rPr>
          <w:rFonts w:ascii="Arial" w:cs="Arial" w:eastAsia="Arial" w:hAnsi="Arial"/>
          <w:sz w:val="13"/>
          <w:szCs w:val="13"/>
          <w:u w:val="single" w:color="auto"/>
          <w:color w:val="auto"/>
        </w:rPr>
        <w:t>Section 8.01(b)</w:t>
      </w:r>
      <w:r>
        <w:rPr>
          <w:rFonts w:ascii="Arial" w:cs="Arial" w:eastAsia="Arial" w:hAnsi="Arial"/>
          <w:sz w:val="13"/>
          <w:szCs w:val="13"/>
          <w:color w:val="auto"/>
        </w:rPr>
        <w:t xml:space="preserve"> of the Credit Agreement (any such Default or Event of Default being, collectively, the “</w:t>
      </w:r>
      <w:r>
        <w:rPr>
          <w:rFonts w:ascii="Arial" w:cs="Arial" w:eastAsia="Arial" w:hAnsi="Arial"/>
          <w:sz w:val="13"/>
          <w:szCs w:val="13"/>
          <w:u w:val="single" w:color="auto"/>
          <w:color w:val="auto"/>
        </w:rPr>
        <w:t>Specified Default</w:t>
      </w:r>
      <w:r>
        <w:rPr>
          <w:rFonts w:ascii="Arial" w:cs="Arial" w:eastAsia="Arial" w:hAnsi="Arial"/>
          <w:sz w:val="13"/>
          <w:szCs w:val="13"/>
          <w:color w:val="auto"/>
        </w:rPr>
        <w:t>”);</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Loan Parties have requested that the Required Lenders waive the Specified Default arising from such breach of the terms of</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6.01(a)</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Credit Agreement;</w:t>
      </w:r>
    </w:p>
    <w:p>
      <w:pPr>
        <w:spacing w:after="0" w:line="148" w:lineRule="exact"/>
        <w:rPr>
          <w:sz w:val="20"/>
          <w:szCs w:val="20"/>
          <w:color w:val="auto"/>
        </w:rPr>
      </w:pPr>
    </w:p>
    <w:p>
      <w:pPr>
        <w:ind w:right="100" w:firstLine="883"/>
        <w:spacing w:after="0" w:line="27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10.01 of the Credit Agreement, the Loan Parties and the Required Lenders may amend or waive any provision of the Credit Agreement or any other Loan Document</w:t>
      </w:r>
      <w:r>
        <w:rPr>
          <w:rFonts w:ascii="Arial" w:cs="Arial" w:eastAsia="Arial" w:hAnsi="Arial"/>
          <w:sz w:val="13"/>
          <w:szCs w:val="13"/>
          <w:b w:val="1"/>
          <w:bCs w:val="1"/>
          <w:color w:val="auto"/>
        </w:rPr>
        <w:t xml:space="preserve"> </w:t>
      </w:r>
      <w:r>
        <w:rPr>
          <w:rFonts w:ascii="Arial" w:cs="Arial" w:eastAsia="Arial" w:hAnsi="Arial"/>
          <w:sz w:val="13"/>
          <w:szCs w:val="13"/>
          <w:color w:val="auto"/>
        </w:rPr>
        <w:t>pursuant to an agreement in writing; and</w:t>
      </w:r>
    </w:p>
    <w:p>
      <w:pPr>
        <w:spacing w:after="0" w:line="104" w:lineRule="exact"/>
        <w:rPr>
          <w:sz w:val="20"/>
          <w:szCs w:val="20"/>
          <w:color w:val="auto"/>
        </w:rPr>
      </w:pPr>
    </w:p>
    <w:p>
      <w:pPr>
        <w:ind w:right="260" w:firstLine="883"/>
        <w:spacing w:after="0" w:line="27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10.01 of the Credit Agreement, the Loan Parties and each of the undersigned Lenders, together constituting the Required Lenders, are willing to amend the Credit</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waive the Specified Default with respect to the 2018 Audited Financial Statements on the terms and conditions set forth herein;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premises and further valuable consideration, the receipt and sufficiency of which is hereby acknowledged, the parties hereto agree as follows:</w:t>
      </w:r>
    </w:p>
    <w:p>
      <w:pPr>
        <w:spacing w:after="0" w:line="163" w:lineRule="exact"/>
        <w:rPr>
          <w:sz w:val="20"/>
          <w:szCs w:val="20"/>
          <w:color w:val="auto"/>
        </w:rPr>
      </w:pPr>
    </w:p>
    <w:p>
      <w:pPr>
        <w:ind w:right="100" w:firstLine="875"/>
        <w:spacing w:after="0" w:line="271" w:lineRule="auto"/>
        <w:tabs>
          <w:tab w:leader="none" w:pos="1847"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t>Limited Waiver</w:t>
      </w:r>
      <w:r>
        <w:rPr>
          <w:rFonts w:ascii="Arial" w:cs="Arial" w:eastAsia="Arial" w:hAnsi="Arial"/>
          <w:sz w:val="13"/>
          <w:szCs w:val="13"/>
          <w:color w:val="auto"/>
        </w:rPr>
        <w:t>. Subject to the terms and conditions set forth herein, the Lenders signatory hereto hereby waive the Specified Default arising solely from the Borrowers' delivery of an audit report containing the Going Concern Qualification with respect to the 2018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32917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25" w:name="page126"/>
    <w:bookmarkEnd w:id="125"/>
    <w:p>
      <w:pPr>
        <w:ind w:right="80" w:firstLine="883"/>
        <w:spacing w:after="0" w:line="251" w:lineRule="auto"/>
        <w:rPr>
          <w:sz w:val="20"/>
          <w:szCs w:val="20"/>
          <w:color w:val="auto"/>
        </w:rPr>
      </w:pPr>
      <w:r>
        <w:rPr>
          <w:rFonts w:ascii="Arial" w:cs="Arial" w:eastAsia="Arial" w:hAnsi="Arial"/>
          <w:sz w:val="13"/>
          <w:szCs w:val="13"/>
          <w:color w:val="auto"/>
        </w:rPr>
        <w:t>The limited waiver set forth in this Section 1 (the “</w:t>
      </w:r>
      <w:r>
        <w:rPr>
          <w:rFonts w:ascii="Arial" w:cs="Arial" w:eastAsia="Arial" w:hAnsi="Arial"/>
          <w:sz w:val="13"/>
          <w:szCs w:val="13"/>
          <w:u w:val="single" w:color="auto"/>
          <w:color w:val="auto"/>
        </w:rPr>
        <w:t>Default Waiver</w:t>
      </w:r>
      <w:r>
        <w:rPr>
          <w:rFonts w:ascii="Arial" w:cs="Arial" w:eastAsia="Arial" w:hAnsi="Arial"/>
          <w:sz w:val="13"/>
          <w:szCs w:val="13"/>
          <w:color w:val="auto"/>
        </w:rPr>
        <w:t>”) is limited to the extent expressly set forth above and no other terms, covenants or provisions of the Credit Agreement or any other Loan Document shall in any way be affected hereby. The Default Waiver is granted only with respect to the Specified Default relating to the 2018 Audited Financial Statements, and shall not apply to any financial statements for any other fiscal year or period, any other breach of the terms of the Credit Agreement, or any actual or prospective default or breach of any other provision of the Credit Agreement or any other Loan Document. The Default Waiver shall not in any manner create a course of dealing or otherwise impair the future ability of the Administrative Agent or the Lenders to declare a Default or Event of Default under or otherwise enforce the terms of the Credit Agreement or any other Loan Document with respect to any matter other than the Specified Default specifically and expressly waived in, and subject to the terms of, the Default Waiver.</w:t>
      </w:r>
    </w:p>
    <w:p>
      <w:pPr>
        <w:spacing w:after="0" w:line="125" w:lineRule="exact"/>
        <w:rPr>
          <w:sz w:val="20"/>
          <w:szCs w:val="20"/>
          <w:color w:val="auto"/>
        </w:rPr>
      </w:pPr>
    </w:p>
    <w:p>
      <w:pPr>
        <w:ind w:left="1260" w:hanging="532"/>
        <w:spacing w:after="0"/>
        <w:tabs>
          <w:tab w:leader="none" w:pos="1260"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Amendments to the Credit Agreement</w:t>
      </w:r>
      <w:r>
        <w:rPr>
          <w:rFonts w:ascii="Arial" w:cs="Arial" w:eastAsia="Arial" w:hAnsi="Arial"/>
          <w:sz w:val="13"/>
          <w:szCs w:val="13"/>
          <w:color w:val="auto"/>
        </w:rPr>
        <w:t>. The Credit Agreement is, effective as of the Effective Date (as defined below), hereby amended as follows:</w:t>
      </w:r>
    </w:p>
    <w:p>
      <w:pPr>
        <w:spacing w:after="0" w:line="148" w:lineRule="exact"/>
        <w:rPr>
          <w:sz w:val="20"/>
          <w:szCs w:val="20"/>
          <w:color w:val="auto"/>
        </w:rPr>
      </w:pPr>
    </w:p>
    <w:p>
      <w:pPr>
        <w:ind w:left="1700"/>
        <w:spacing w:after="0"/>
        <w:tabs>
          <w:tab w:leader="none" w:pos="31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Section 1.01 of the Credit Agreement is hereby amended by adding the following definitions in appropriate alphabetical order:</w:t>
      </w:r>
    </w:p>
    <w:p>
      <w:pPr>
        <w:spacing w:after="0" w:line="148" w:lineRule="exact"/>
        <w:rPr>
          <w:sz w:val="20"/>
          <w:szCs w:val="20"/>
          <w:color w:val="auto"/>
        </w:rPr>
      </w:pPr>
    </w:p>
    <w:p>
      <w:pPr>
        <w:ind w:left="1760" w:right="140"/>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Amendment No. 4 and Limited Waiver</w:t>
      </w:r>
      <w:r>
        <w:rPr>
          <w:rFonts w:ascii="Arial" w:cs="Arial" w:eastAsia="Arial" w:hAnsi="Arial"/>
          <w:sz w:val="13"/>
          <w:szCs w:val="13"/>
          <w:color w:val="auto"/>
        </w:rPr>
        <w:t>” means that certain Amendment No. 4 and Limited Waiver, dated as of March 18, 2019, by and among the Loan Parties, the Administrative Agent and the Lenders party thereto.</w:t>
      </w:r>
    </w:p>
    <w:p>
      <w:pPr>
        <w:spacing w:after="0" w:line="113" w:lineRule="exact"/>
        <w:rPr>
          <w:sz w:val="20"/>
          <w:szCs w:val="20"/>
          <w:color w:val="auto"/>
        </w:rPr>
      </w:pPr>
    </w:p>
    <w:p>
      <w:pPr>
        <w:ind w:left="17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Amendment No. 4 and Limited Waiver Effective Date</w:t>
      </w:r>
      <w:r>
        <w:rPr>
          <w:rFonts w:ascii="Arial" w:cs="Arial" w:eastAsia="Arial" w:hAnsi="Arial"/>
          <w:sz w:val="13"/>
          <w:szCs w:val="13"/>
          <w:color w:val="auto"/>
        </w:rPr>
        <w:t>” means March 18, 2019.</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Reversion Date</w:t>
      </w:r>
      <w:r>
        <w:rPr>
          <w:rFonts w:ascii="Arial" w:cs="Arial" w:eastAsia="Arial" w:hAnsi="Arial"/>
          <w:sz w:val="12"/>
          <w:szCs w:val="12"/>
          <w:color w:val="auto"/>
        </w:rPr>
        <w:t>” means the date on which (i)(A) either Tenant, Windstream and all subsidiaries or affiliates thereof that are parties to the Master Lease from time to time (the</w:t>
      </w:r>
    </w:p>
    <w:p>
      <w:pPr>
        <w:spacing w:after="0" w:line="25" w:lineRule="exact"/>
        <w:rPr>
          <w:sz w:val="20"/>
          <w:szCs w:val="20"/>
          <w:color w:val="auto"/>
        </w:rPr>
      </w:pPr>
    </w:p>
    <w:p>
      <w:pPr>
        <w:ind w:left="1760"/>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Windstream Master Lease Parties</w:t>
      </w:r>
      <w:r>
        <w:rPr>
          <w:rFonts w:ascii="Arial" w:cs="Arial" w:eastAsia="Arial" w:hAnsi="Arial"/>
          <w:sz w:val="11"/>
          <w:szCs w:val="11"/>
          <w:color w:val="auto"/>
        </w:rPr>
        <w:t>”) have all emerged from the Chapter 11 bankruptcy cases under the United States Bankruptcy Code or (B) the Windstream Master Lease Parties shall have assumed the Master Lease pursuant to an order of the Bankruptcy Court or the Windstream Master Lease Parties shall have entered into any Permitted Replacement Lease (subject to any amendment, modification or waiver thereof that is permitted by the Credit Agreement) approved by the Bankruptcy Court (it being understood and agreed that any rejection of the Master Lease (or any Permitted Replacement Lease) or any violation of the terms thereof by any of the Windstream Master Lease Parties or any other party thereto including any party to any Master Lease Guaranty that would permit termination thereof by Parent, CSL National, LP or any of its applicable Subsidiaries after the condition in clause (i)(B) shall have been satisfied shall result in all the terms and restrictions set forth in this Agreement that apply solely prior to the Reversion Date being reinstated as if the Reversion Date did not occur until such time as a Permitted Replacement Lease is agreed to and is in effect or all relevant defaults shall have been cured)), (ii) the Master Lease (or any Permitted Replacement Lease) and any Master Lease Guaranties are in full force and effect with no amendment, modification or waiver thereof that is not permitted by the Credit Agreement,</w:t>
      </w:r>
    </w:p>
    <w:p>
      <w:pPr>
        <w:spacing w:after="0" w:line="2" w:lineRule="exact"/>
        <w:rPr>
          <w:sz w:val="20"/>
          <w:szCs w:val="20"/>
          <w:color w:val="auto"/>
        </w:rPr>
      </w:pPr>
    </w:p>
    <w:p>
      <w:pPr>
        <w:jc w:val="both"/>
        <w:ind w:left="1760" w:hanging="2"/>
        <w:spacing w:after="0" w:line="250" w:lineRule="auto"/>
        <w:tabs>
          <w:tab w:leader="none" w:pos="1991"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the Consolidated Secured Leverage Ratio, determined on a Pro Forma Basis (including after giving effect to any such amendment, modification or waiver thereof that is permitted by the Credit Agreement), as of the last day of the most recently ended Test Period for which financial statements have been delivered pursuant to </w:t>
      </w:r>
      <w:r>
        <w:rPr>
          <w:rFonts w:ascii="Arial" w:cs="Arial" w:eastAsia="Arial" w:hAnsi="Arial"/>
          <w:sz w:val="13"/>
          <w:szCs w:val="13"/>
          <w:u w:val="single" w:color="auto"/>
          <w:color w:val="auto"/>
        </w:rPr>
        <w:t>Section 6.01(a)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6.01(b)</w:t>
      </w:r>
      <w:r>
        <w:rPr>
          <w:rFonts w:ascii="Arial" w:cs="Arial" w:eastAsia="Arial" w:hAnsi="Arial"/>
          <w:sz w:val="13"/>
          <w:szCs w:val="13"/>
          <w:color w:val="auto"/>
        </w:rPr>
        <w:t xml:space="preserve"> is equal to or less than 5.00 to 1.00 and (iv) no Event of Default has occurred and is continuing.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167640</wp:posOffset>
            </wp:positionV>
            <wp:extent cx="732917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597" w:right="2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Clause (a) of the definition of “Applicable Rate” in Section 1.01 of the Credit Agreement is hereby amended and restated as follows:</w:t>
      </w:r>
    </w:p>
    <w:p>
      <w:pPr>
        <w:spacing w:after="0" w:line="159" w:lineRule="exact"/>
        <w:rPr>
          <w:sz w:val="20"/>
          <w:szCs w:val="20"/>
          <w:color w:val="auto"/>
        </w:rPr>
      </w:pPr>
    </w:p>
    <w:p>
      <w:pPr>
        <w:sectPr>
          <w:pgSz w:w="11900" w:h="16838" w:orient="portrait"/>
          <w:cols w:equalWidth="0" w:num="2">
            <w:col w:w="900" w:space="720"/>
            <w:col w:w="9780"/>
          </w:cols>
          <w:pgMar w:left="280" w:top="291" w:right="219" w:bottom="1440" w:gutter="0" w:footer="0" w:header="0"/>
        </w:sectPr>
      </w:pPr>
    </w:p>
    <w:p>
      <w:pPr>
        <w:ind w:left="820"/>
        <w:spacing w:after="0"/>
        <w:rPr>
          <w:sz w:val="20"/>
          <w:szCs w:val="20"/>
          <w:color w:val="auto"/>
        </w:rPr>
      </w:pPr>
      <w:r>
        <w:rPr>
          <w:rFonts w:ascii="Arial" w:cs="Arial" w:eastAsia="Arial" w:hAnsi="Arial"/>
          <w:sz w:val="12"/>
          <w:szCs w:val="12"/>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1"/>
          <w:szCs w:val="11"/>
          <w:color w:val="auto"/>
        </w:rPr>
        <w:t>with respect to Term Loans, 5.00% in the case of Eurodollar Rate Loans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4.00% in the case of Base Rate Loans; and”</w:t>
      </w:r>
    </w:p>
    <w:p>
      <w:pPr>
        <w:spacing w:after="0" w:line="170" w:lineRule="exact"/>
        <w:rPr>
          <w:sz w:val="20"/>
          <w:szCs w:val="20"/>
          <w:color w:val="auto"/>
        </w:rPr>
      </w:pPr>
    </w:p>
    <w:p>
      <w:pPr>
        <w:sectPr>
          <w:pgSz w:w="11900" w:h="16838" w:orient="portrait"/>
          <w:cols w:equalWidth="0" w:num="3">
            <w:col w:w="1020" w:space="440"/>
            <w:col w:w="4020" w:space="480"/>
            <w:col w:w="5440"/>
          </w:cols>
          <w:pgMar w:left="280" w:top="291" w:right="219" w:bottom="1440" w:gutter="0" w:footer="0" w:header="0"/>
          <w:type w:val="continuous"/>
        </w:sectPr>
      </w:pPr>
    </w:p>
    <w:p>
      <w:pPr>
        <w:ind w:left="2280" w:hanging="582"/>
        <w:spacing w:after="0"/>
        <w:tabs>
          <w:tab w:leader="none" w:pos="2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definition of “Available Amount” in Section 1.01 of the Credit Agreement is amended and restated as follows:</w:t>
      </w:r>
    </w:p>
    <w:p>
      <w:pPr>
        <w:spacing w:after="0" w:line="144"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Available Amount</w:t>
      </w:r>
      <w:r>
        <w:rPr>
          <w:rFonts w:ascii="Arial" w:cs="Arial" w:eastAsia="Arial" w:hAnsi="Arial"/>
          <w:sz w:val="13"/>
          <w:szCs w:val="13"/>
          <w:color w:val="auto"/>
        </w:rPr>
        <w:t xml:space="preserve">” means, at any time, the sum of (a) $50 million </w:t>
      </w:r>
      <w:r>
        <w:rPr>
          <w:rFonts w:ascii="Arial" w:cs="Arial" w:eastAsia="Arial" w:hAnsi="Arial"/>
          <w:sz w:val="13"/>
          <w:szCs w:val="13"/>
          <w:i w:val="1"/>
          <w:iCs w:val="1"/>
          <w:color w:val="auto"/>
        </w:rPr>
        <w:t>plus</w:t>
      </w:r>
      <w:r>
        <w:rPr>
          <w:rFonts w:ascii="Arial" w:cs="Arial" w:eastAsia="Arial" w:hAnsi="Arial"/>
          <w:sz w:val="13"/>
          <w:szCs w:val="13"/>
          <w:color w:val="auto"/>
        </w:rPr>
        <w:t xml:space="preserve"> (b) 95%</w:t>
      </w:r>
    </w:p>
    <w:p>
      <w:pPr>
        <w:spacing w:after="0" w:line="18" w:lineRule="exact"/>
        <w:rPr>
          <w:sz w:val="20"/>
          <w:szCs w:val="20"/>
          <w:color w:val="auto"/>
        </w:rPr>
      </w:pPr>
    </w:p>
    <w:p>
      <w:pPr>
        <w:ind w:left="1700"/>
        <w:spacing w:after="0" w:line="267" w:lineRule="auto"/>
        <w:rPr>
          <w:sz w:val="20"/>
          <w:szCs w:val="20"/>
          <w:color w:val="auto"/>
        </w:rPr>
      </w:pPr>
      <w:r>
        <w:rPr>
          <w:rFonts w:ascii="Arial" w:cs="Arial" w:eastAsia="Arial" w:hAnsi="Arial"/>
          <w:sz w:val="12"/>
          <w:szCs w:val="12"/>
          <w:color w:val="auto"/>
        </w:rPr>
        <w:t xml:space="preserve">of Funds From Operations (or, if Funds From Operations is a loss, </w:t>
      </w:r>
      <w:r>
        <w:rPr>
          <w:rFonts w:ascii="Arial" w:cs="Arial" w:eastAsia="Arial" w:hAnsi="Arial"/>
          <w:sz w:val="12"/>
          <w:szCs w:val="12"/>
          <w:i w:val="1"/>
          <w:iCs w:val="1"/>
          <w:color w:val="auto"/>
        </w:rPr>
        <w:t>minus</w:t>
      </w:r>
      <w:r>
        <w:rPr>
          <w:rFonts w:ascii="Arial" w:cs="Arial" w:eastAsia="Arial" w:hAnsi="Arial"/>
          <w:sz w:val="12"/>
          <w:szCs w:val="12"/>
          <w:color w:val="auto"/>
        </w:rPr>
        <w:t xml:space="preserve"> 100% of the amount of such loss) for the period (taken as one accounting period) beginning on the first day of the fiscal quarter during which (x) the Closing Date occurs but excluding the period beginning from April 1, 2019 until the beginning of the fiscal quarter immediately following the Reversion Date or (y) solely with respect to use of the Available Amount pursuant to clause (s) of the definition of Permitted Investments, the Amendment No. 4 and Limited Waiver Effective Date occurs, to the end of Parent’s most recently completed fiscal quarter for which financial statements have been delivered pursuant to Section 6.01(a) or Section 6.01(b) at the time of such Restricted Payment </w:t>
      </w:r>
      <w:r>
        <w:rPr>
          <w:rFonts w:ascii="Arial" w:cs="Arial" w:eastAsia="Arial" w:hAnsi="Arial"/>
          <w:sz w:val="12"/>
          <w:szCs w:val="12"/>
          <w:i w:val="1"/>
          <w:iCs w:val="1"/>
          <w:color w:val="auto"/>
        </w:rPr>
        <w:t>plus</w:t>
      </w:r>
      <w:r>
        <w:rPr>
          <w:rFonts w:ascii="Arial" w:cs="Arial" w:eastAsia="Arial" w:hAnsi="Arial"/>
          <w:sz w:val="12"/>
          <w:szCs w:val="12"/>
          <w:color w:val="auto"/>
        </w:rPr>
        <w:t xml:space="preserve"> (c) 100% of the aggregate net cash proceeds and the fair market value, as determined in good faith by Parent, of marketable securities or other property received at or prior to such time by Parent or, in connection with “UPREIT” acquisitions, by CSL National following (x) the Closing Date but excluding the period from the Amendment No. 4 and Limited Waiver Effective Date until the Reversion Date or (y) solely with respect to use of the Available Amount pursuant to clause (s) of the definition of Permitted Investments, the Amendment No. 4 and Limited Waiver Effective Date, from the issue or sale of (i) Equity Interests of Parent or CSL National and (ii) Indebtedness or Disqualified Stock of Parent or a Restricted Subsidiary that has been converted into or exchanged for Equity Interests of Parent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this clause (ii) shall not include the proceeds of (x) Equity Interests, Indebtedness or Disqualified Stock of Parent or CSL National sold to a Restricted Subsidiary or Parent or (y) Disqualified Stock or Indebtedness that has been converted or exchanged into Disqualified Stock) </w:t>
      </w:r>
      <w:r>
        <w:rPr>
          <w:rFonts w:ascii="Arial" w:cs="Arial" w:eastAsia="Arial" w:hAnsi="Arial"/>
          <w:sz w:val="12"/>
          <w:szCs w:val="12"/>
          <w:i w:val="1"/>
          <w:iCs w:val="1"/>
          <w:color w:val="auto"/>
        </w:rPr>
        <w:t>plus</w:t>
      </w:r>
      <w:r>
        <w:rPr>
          <w:rFonts w:ascii="Arial" w:cs="Arial" w:eastAsia="Arial" w:hAnsi="Arial"/>
          <w:sz w:val="12"/>
          <w:szCs w:val="12"/>
          <w:color w:val="auto"/>
        </w:rPr>
        <w:t xml:space="preserve"> (d) 100% of the aggregate amount of cash and the fair market value, as determined in good faith by Parent, of marketable securities or other property contributed to the capital of Parent or, in connection with “UPREIT” acquisitions, of CSL National (other than by a Restricted Subsidiary or Parent) following (x) the Closing Date but excluding the period from the Amendment No. 4 and Limited Waiver Effective Date until the Reversion Date or (y) solely with respect to use of the Available Amount pursuant to clause (s) of the definition of Permitted Investments, the Amendment No. 4 and Limited Waiver Effective Date, at or prior to such time </w:t>
      </w:r>
      <w:r>
        <w:rPr>
          <w:rFonts w:ascii="Arial" w:cs="Arial" w:eastAsia="Arial" w:hAnsi="Arial"/>
          <w:sz w:val="12"/>
          <w:szCs w:val="12"/>
          <w:i w:val="1"/>
          <w:iCs w:val="1"/>
          <w:color w:val="auto"/>
        </w:rPr>
        <w:t>minus</w:t>
      </w:r>
      <w:r>
        <w:rPr>
          <w:rFonts w:ascii="Arial" w:cs="Arial" w:eastAsia="Arial" w:hAnsi="Arial"/>
          <w:sz w:val="12"/>
          <w:szCs w:val="12"/>
          <w:color w:val="auto"/>
        </w:rPr>
        <w:t xml:space="preserve"> (e) the aggregate amount of Restricted Payments made in reliance on the final paragraph of Section 7.05 at or prior to such time (or solely with respect to use of the Available Amount pursuant to clause (s) of the definition of Permitted Investments, made after the Amendment No. 4 and Limited Waiver Effective Date and at or prior to such time) </w:t>
      </w:r>
      <w:r>
        <w:rPr>
          <w:rFonts w:ascii="Arial" w:cs="Arial" w:eastAsia="Arial" w:hAnsi="Arial"/>
          <w:sz w:val="12"/>
          <w:szCs w:val="12"/>
          <w:i w:val="1"/>
          <w:iCs w:val="1"/>
          <w:color w:val="auto"/>
        </w:rPr>
        <w:t xml:space="preserve">minus </w:t>
      </w:r>
      <w:r>
        <w:rPr>
          <w:rFonts w:ascii="Arial" w:cs="Arial" w:eastAsia="Arial" w:hAnsi="Arial"/>
          <w:sz w:val="12"/>
          <w:szCs w:val="12"/>
          <w:color w:val="auto"/>
        </w:rPr>
        <w:t>(f) the aggregate amount of Restricted Payments made in reliance on Section 7.05(a) at or prior to such time (or solely with respect to use of the Available Amount pursuant to</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clause (s) of the definition of Permitted Investments, made after the Amendment No. 4 and Limited Waiver Effective Date and at or prior to such time) </w:t>
      </w:r>
      <w:r>
        <w:rPr>
          <w:rFonts w:ascii="Arial" w:cs="Arial" w:eastAsia="Arial" w:hAnsi="Arial"/>
          <w:sz w:val="12"/>
          <w:szCs w:val="12"/>
          <w:i w:val="1"/>
          <w:iCs w:val="1"/>
          <w:color w:val="auto"/>
        </w:rPr>
        <w:t>minus</w:t>
      </w:r>
      <w:r>
        <w:rPr>
          <w:rFonts w:ascii="Arial" w:cs="Arial" w:eastAsia="Arial" w:hAnsi="Arial"/>
          <w:sz w:val="12"/>
          <w:szCs w:val="12"/>
          <w:color w:val="auto"/>
        </w:rPr>
        <w:t xml:space="preserve"> (g) the aggregate amount of Investments made in reliance on clause (s) of the definition of “Permitted Investment” at or prior to such time (or solely with respect to use of the Available Amount pursuant to clause (s) of the definition of Permitted Investments, made</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167640</wp:posOffset>
            </wp:positionV>
            <wp:extent cx="732917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80" w:top="291" w:right="21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66"/>
        </w:trPr>
        <w:tc>
          <w:tcPr>
            <w:tcW w:w="480" w:type="dxa"/>
            <w:vAlign w:val="bottom"/>
          </w:tcPr>
          <w:p>
            <w:pPr>
              <w:spacing w:after="0"/>
              <w:rPr>
                <w:sz w:val="14"/>
                <w:szCs w:val="14"/>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rPr>
              <w:t>after the Amendment No. 4 and Limited Waiver Effective Date and at or prior to such time).”</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(d)</w:t>
            </w:r>
          </w:p>
        </w:tc>
        <w:tc>
          <w:tcPr>
            <w:tcW w:w="10860" w:type="dxa"/>
            <w:vAlign w:val="bottom"/>
            <w:gridSpan w:val="3"/>
          </w:tcPr>
          <w:p>
            <w:pPr>
              <w:ind w:left="1140"/>
              <w:spacing w:after="0"/>
              <w:rPr>
                <w:sz w:val="20"/>
                <w:szCs w:val="20"/>
                <w:color w:val="auto"/>
              </w:rPr>
            </w:pPr>
            <w:r>
              <w:rPr>
                <w:rFonts w:ascii="Arial" w:cs="Arial" w:eastAsia="Arial" w:hAnsi="Arial"/>
                <w:sz w:val="13"/>
                <w:szCs w:val="13"/>
                <w:color w:val="auto"/>
              </w:rPr>
              <w:t>The definition of “Collateral” in Section 1.01 of the Credit Agreement is amended by adding the following immediately preceding the period at the end thereof:</w:t>
            </w:r>
          </w:p>
        </w:tc>
      </w:tr>
      <w:tr>
        <w:trPr>
          <w:trHeight w:val="268"/>
        </w:trPr>
        <w:tc>
          <w:tcPr>
            <w:tcW w:w="480" w:type="dxa"/>
            <w:vAlign w:val="bottom"/>
          </w:tcPr>
          <w:p>
            <w:pPr>
              <w:spacing w:after="0"/>
              <w:rPr>
                <w:sz w:val="23"/>
                <w:szCs w:val="23"/>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w w:val="93"/>
              </w:rPr>
              <w:t>“; for the avoidance of doubt, in addition to all other rights, interests and privileges of the Collateral Agent hereunder and under the other Loan Documents, and notwithstanding any</w:t>
            </w:r>
          </w:p>
        </w:tc>
      </w:tr>
      <w:tr>
        <w:trPr>
          <w:trHeight w:val="20"/>
        </w:trPr>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150"/>
        </w:trPr>
        <w:tc>
          <w:tcPr>
            <w:tcW w:w="480" w:type="dxa"/>
            <w:vAlign w:val="bottom"/>
          </w:tcPr>
          <w:p>
            <w:pPr>
              <w:spacing w:after="0"/>
              <w:rPr>
                <w:sz w:val="13"/>
                <w:szCs w:val="13"/>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w w:val="95"/>
              </w:rPr>
              <w:t>exclusions or limitations set forth in the Loan Documents, it is the intention of the parties that the Master Lease and all rights and interests therein and all proceeds thereof shall</w:t>
            </w:r>
          </w:p>
        </w:tc>
      </w:tr>
      <w:tr>
        <w:trPr>
          <w:trHeight w:val="166"/>
        </w:trPr>
        <w:tc>
          <w:tcPr>
            <w:tcW w:w="480" w:type="dxa"/>
            <w:vAlign w:val="bottom"/>
          </w:tcPr>
          <w:p>
            <w:pPr>
              <w:spacing w:after="0"/>
              <w:rPr>
                <w:sz w:val="14"/>
                <w:szCs w:val="14"/>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rPr>
              <w:t>constitute Collateral under, and for all purposes of, the Loan Documents”.</w:t>
            </w:r>
          </w:p>
        </w:tc>
      </w:tr>
      <w:tr>
        <w:trPr>
          <w:trHeight w:val="297"/>
        </w:trPr>
        <w:tc>
          <w:tcPr>
            <w:tcW w:w="480" w:type="dxa"/>
            <w:vAlign w:val="bottom"/>
          </w:tcPr>
          <w:p>
            <w:pPr>
              <w:spacing w:after="0"/>
              <w:rPr>
                <w:sz w:val="20"/>
                <w:szCs w:val="20"/>
                <w:color w:val="auto"/>
              </w:rPr>
            </w:pPr>
            <w:r>
              <w:rPr>
                <w:rFonts w:ascii="Arial" w:cs="Arial" w:eastAsia="Arial" w:hAnsi="Arial"/>
                <w:sz w:val="13"/>
                <w:szCs w:val="13"/>
                <w:color w:val="auto"/>
              </w:rPr>
              <w:t>(e)</w:t>
            </w:r>
          </w:p>
        </w:tc>
        <w:tc>
          <w:tcPr>
            <w:tcW w:w="10860" w:type="dxa"/>
            <w:vAlign w:val="bottom"/>
            <w:gridSpan w:val="3"/>
          </w:tcPr>
          <w:p>
            <w:pPr>
              <w:ind w:left="1140"/>
              <w:spacing w:after="0"/>
              <w:rPr>
                <w:sz w:val="20"/>
                <w:szCs w:val="20"/>
                <w:color w:val="auto"/>
              </w:rPr>
            </w:pPr>
            <w:r>
              <w:rPr>
                <w:rFonts w:ascii="Arial" w:cs="Arial" w:eastAsia="Arial" w:hAnsi="Arial"/>
                <w:sz w:val="13"/>
                <w:szCs w:val="13"/>
                <w:color w:val="auto"/>
              </w:rPr>
              <w:t>The definition of “Permitted Investments” in Section 1.01 of the Credit Agreement is amended by amending and restating clause (s) as follows:</w:t>
            </w:r>
          </w:p>
        </w:tc>
      </w:tr>
      <w:tr>
        <w:trPr>
          <w:trHeight w:val="285"/>
        </w:trPr>
        <w:tc>
          <w:tcPr>
            <w:tcW w:w="480" w:type="dxa"/>
            <w:vAlign w:val="bottom"/>
          </w:tcPr>
          <w:p>
            <w:pPr>
              <w:spacing w:after="0"/>
              <w:rPr>
                <w:sz w:val="24"/>
                <w:szCs w:val="24"/>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w w:val="92"/>
              </w:rPr>
              <w:t>“(19) so long as no Default or Event of Default shall have occurred and be continuing or would occur as a consequence thereof and Parent and its Restricted Subsidiaries shall be in</w:t>
            </w:r>
          </w:p>
        </w:tc>
      </w:tr>
      <w:tr>
        <w:trPr>
          <w:trHeight w:val="153"/>
        </w:trPr>
        <w:tc>
          <w:tcPr>
            <w:tcW w:w="480" w:type="dxa"/>
            <w:vAlign w:val="bottom"/>
          </w:tcPr>
          <w:p>
            <w:pPr>
              <w:spacing w:after="0"/>
              <w:rPr>
                <w:sz w:val="13"/>
                <w:szCs w:val="13"/>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w w:val="94"/>
              </w:rPr>
              <w:t>Pro Forma Compliance with Section 7.09 for the most recently ended Test Period for which internal financial statements are available, Investments (other than Investments in any</w:t>
            </w:r>
          </w:p>
        </w:tc>
      </w:tr>
      <w:tr>
        <w:trPr>
          <w:trHeight w:val="166"/>
        </w:trPr>
        <w:tc>
          <w:tcPr>
            <w:tcW w:w="480" w:type="dxa"/>
            <w:vAlign w:val="bottom"/>
          </w:tcPr>
          <w:p>
            <w:pPr>
              <w:spacing w:after="0"/>
              <w:rPr>
                <w:sz w:val="14"/>
                <w:szCs w:val="14"/>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rPr>
              <w:t>Restricted Subsidiary that is not a Loan Party or in any Unrestricted Subsidiary) in an aggregate amount not toexceed the Available Amount and”</w:t>
            </w:r>
          </w:p>
        </w:tc>
      </w:tr>
      <w:tr>
        <w:trPr>
          <w:trHeight w:val="303"/>
        </w:trPr>
        <w:tc>
          <w:tcPr>
            <w:tcW w:w="480" w:type="dxa"/>
            <w:vAlign w:val="bottom"/>
          </w:tcPr>
          <w:p>
            <w:pPr>
              <w:spacing w:after="0"/>
              <w:rPr>
                <w:sz w:val="20"/>
                <w:szCs w:val="20"/>
                <w:color w:val="auto"/>
              </w:rPr>
            </w:pPr>
            <w:r>
              <w:rPr>
                <w:rFonts w:ascii="Arial" w:cs="Arial" w:eastAsia="Arial" w:hAnsi="Arial"/>
                <w:sz w:val="13"/>
                <w:szCs w:val="13"/>
                <w:color w:val="auto"/>
              </w:rPr>
              <w:t>(f)</w:t>
            </w:r>
          </w:p>
        </w:tc>
        <w:tc>
          <w:tcPr>
            <w:tcW w:w="10860" w:type="dxa"/>
            <w:vAlign w:val="bottom"/>
            <w:gridSpan w:val="3"/>
          </w:tcPr>
          <w:p>
            <w:pPr>
              <w:ind w:left="1140"/>
              <w:spacing w:after="0"/>
              <w:rPr>
                <w:sz w:val="20"/>
                <w:szCs w:val="20"/>
                <w:color w:val="auto"/>
              </w:rPr>
            </w:pPr>
            <w:r>
              <w:rPr>
                <w:rFonts w:ascii="Arial" w:cs="Arial" w:eastAsia="Arial" w:hAnsi="Arial"/>
                <w:sz w:val="13"/>
                <w:szCs w:val="13"/>
                <w:color w:val="auto"/>
                <w:w w:val="94"/>
              </w:rPr>
              <w:t>The definition of “Restricted Indebtedness” in Section 1.01 of the Credit Agreement is amended by adding immediately prior to the comma the phrase “(including the 7.125% Senior</w:t>
            </w:r>
          </w:p>
        </w:tc>
      </w:tr>
      <w:tr>
        <w:trPr>
          <w:trHeight w:val="166"/>
        </w:trPr>
        <w:tc>
          <w:tcPr>
            <w:tcW w:w="480" w:type="dxa"/>
            <w:vAlign w:val="bottom"/>
          </w:tcPr>
          <w:p>
            <w:pPr>
              <w:spacing w:after="0"/>
              <w:rPr>
                <w:sz w:val="14"/>
                <w:szCs w:val="14"/>
                <w:color w:val="auto"/>
              </w:rPr>
            </w:pPr>
          </w:p>
        </w:tc>
        <w:tc>
          <w:tcPr>
            <w:tcW w:w="10860" w:type="dxa"/>
            <w:vAlign w:val="bottom"/>
            <w:gridSpan w:val="3"/>
          </w:tcPr>
          <w:p>
            <w:pPr>
              <w:ind w:left="340"/>
              <w:spacing w:after="0"/>
              <w:rPr>
                <w:sz w:val="20"/>
                <w:szCs w:val="20"/>
                <w:color w:val="auto"/>
              </w:rPr>
            </w:pPr>
            <w:r>
              <w:rPr>
                <w:rFonts w:ascii="Arial" w:cs="Arial" w:eastAsia="Arial" w:hAnsi="Arial"/>
                <w:sz w:val="13"/>
                <w:szCs w:val="13"/>
                <w:color w:val="auto"/>
              </w:rPr>
              <w:t>Unsecured Notes due December 15, 2024)”.</w:t>
            </w:r>
          </w:p>
        </w:tc>
      </w:tr>
      <w:tr>
        <w:trPr>
          <w:trHeight w:val="297"/>
        </w:trPr>
        <w:tc>
          <w:tcPr>
            <w:tcW w:w="480" w:type="dxa"/>
            <w:vAlign w:val="bottom"/>
          </w:tcPr>
          <w:p>
            <w:pPr>
              <w:spacing w:after="0"/>
              <w:rPr>
                <w:sz w:val="20"/>
                <w:szCs w:val="20"/>
                <w:color w:val="auto"/>
              </w:rPr>
            </w:pPr>
            <w:r>
              <w:rPr>
                <w:rFonts w:ascii="Arial" w:cs="Arial" w:eastAsia="Arial" w:hAnsi="Arial"/>
                <w:sz w:val="13"/>
                <w:szCs w:val="13"/>
                <w:color w:val="auto"/>
              </w:rPr>
              <w:t>(g)</w:t>
            </w:r>
          </w:p>
        </w:tc>
        <w:tc>
          <w:tcPr>
            <w:tcW w:w="10860" w:type="dxa"/>
            <w:vAlign w:val="bottom"/>
            <w:gridSpan w:val="3"/>
          </w:tcPr>
          <w:p>
            <w:pPr>
              <w:ind w:left="1140"/>
              <w:spacing w:after="0"/>
              <w:rPr>
                <w:sz w:val="20"/>
                <w:szCs w:val="20"/>
                <w:color w:val="auto"/>
              </w:rPr>
            </w:pPr>
            <w:r>
              <w:rPr>
                <w:rFonts w:ascii="Arial" w:cs="Arial" w:eastAsia="Arial" w:hAnsi="Arial"/>
                <w:sz w:val="13"/>
                <w:szCs w:val="13"/>
                <w:color w:val="auto"/>
              </w:rPr>
              <w:t>Section 7.05 of the Credit Agreement is amended by adding the following additional final paragraph of Section 7.05:</w:t>
            </w:r>
          </w:p>
        </w:tc>
      </w:tr>
      <w:tr>
        <w:trPr>
          <w:trHeight w:val="285"/>
        </w:trPr>
        <w:tc>
          <w:tcPr>
            <w:tcW w:w="480" w:type="dxa"/>
            <w:vAlign w:val="bottom"/>
          </w:tcPr>
          <w:p>
            <w:pPr>
              <w:spacing w:after="0"/>
              <w:rPr>
                <w:sz w:val="24"/>
                <w:szCs w:val="24"/>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w w:val="93"/>
              </w:rPr>
              <w:t>“Notwithstanding any other provision of this Section 7.05, from and after the Amendment No. 4 and Limited Waiver Effective Date until the Reversion Date, Parent and its Restricted</w:t>
            </w:r>
          </w:p>
        </w:tc>
      </w:tr>
      <w:tr>
        <w:trPr>
          <w:trHeight w:val="166"/>
        </w:trPr>
        <w:tc>
          <w:tcPr>
            <w:tcW w:w="480" w:type="dxa"/>
            <w:vAlign w:val="bottom"/>
          </w:tcPr>
          <w:p>
            <w:pPr>
              <w:spacing w:after="0"/>
              <w:rPr>
                <w:sz w:val="14"/>
                <w:szCs w:val="14"/>
                <w:color w:val="auto"/>
              </w:rPr>
            </w:pPr>
          </w:p>
        </w:tc>
        <w:tc>
          <w:tcPr>
            <w:tcW w:w="10860" w:type="dxa"/>
            <w:vAlign w:val="bottom"/>
            <w:gridSpan w:val="3"/>
          </w:tcPr>
          <w:p>
            <w:pPr>
              <w:ind w:left="1220"/>
              <w:spacing w:after="0"/>
              <w:rPr>
                <w:sz w:val="20"/>
                <w:szCs w:val="20"/>
                <w:color w:val="auto"/>
              </w:rPr>
            </w:pPr>
            <w:r>
              <w:rPr>
                <w:rFonts w:ascii="Arial" w:cs="Arial" w:eastAsia="Arial" w:hAnsi="Arial"/>
                <w:sz w:val="13"/>
                <w:szCs w:val="13"/>
                <w:color w:val="auto"/>
              </w:rPr>
              <w:t>Subsidiaries shall not, directly or indirectly:</w:t>
            </w:r>
          </w:p>
        </w:tc>
      </w:tr>
    </w:tbl>
    <w:p>
      <w:pPr>
        <w:spacing w:after="0" w:line="132" w:lineRule="exact"/>
        <w:rPr>
          <w:sz w:val="20"/>
          <w:szCs w:val="20"/>
          <w:color w:val="auto"/>
        </w:rPr>
      </w:pPr>
    </w:p>
    <w:p>
      <w:pPr>
        <w:ind w:left="1700" w:hanging="2"/>
        <w:spacing w:after="0" w:line="268" w:lineRule="auto"/>
        <w:tabs>
          <w:tab w:leader="none" w:pos="1858" w:val="left"/>
        </w:tabs>
        <w:numPr>
          <w:ilvl w:val="0"/>
          <w:numId w:val="29"/>
        </w:numPr>
        <w:rPr>
          <w:rFonts w:ascii="Arial" w:cs="Arial" w:eastAsia="Arial" w:hAnsi="Arial"/>
          <w:sz w:val="12"/>
          <w:szCs w:val="12"/>
          <w:color w:val="auto"/>
        </w:rPr>
      </w:pPr>
      <w:r>
        <w:rPr>
          <w:rFonts w:ascii="Arial" w:cs="Arial" w:eastAsia="Arial" w:hAnsi="Arial"/>
          <w:sz w:val="12"/>
          <w:szCs w:val="12"/>
          <w:color w:val="auto"/>
        </w:rPr>
        <w:t xml:space="preserve">declare or make any Restricted Payment other than (A) pursuant to Sections </w:t>
      </w:r>
      <w:r>
        <w:rPr>
          <w:rFonts w:ascii="Arial" w:cs="Arial" w:eastAsia="Arial" w:hAnsi="Arial"/>
          <w:sz w:val="12"/>
          <w:szCs w:val="12"/>
          <w:u w:val="single" w:color="auto"/>
          <w:color w:val="auto"/>
        </w:rPr>
        <w:t>7.05(b)</w:t>
      </w:r>
      <w:r>
        <w:rPr>
          <w:rFonts w:ascii="Arial" w:cs="Arial" w:eastAsia="Arial" w:hAnsi="Arial"/>
          <w:sz w:val="12"/>
          <w:szCs w:val="12"/>
          <w:color w:val="auto"/>
        </w:rPr>
        <w:t xml:space="preserve">, </w:t>
      </w:r>
      <w:r>
        <w:rPr>
          <w:rFonts w:ascii="Arial" w:cs="Arial" w:eastAsia="Arial" w:hAnsi="Arial"/>
          <w:sz w:val="12"/>
          <w:szCs w:val="12"/>
          <w:u w:val="single" w:color="auto"/>
          <w:color w:val="auto"/>
        </w:rPr>
        <w:t>(c)</w:t>
      </w:r>
      <w:r>
        <w:rPr>
          <w:rFonts w:ascii="Arial" w:cs="Arial" w:eastAsia="Arial" w:hAnsi="Arial"/>
          <w:sz w:val="12"/>
          <w:szCs w:val="12"/>
          <w:color w:val="auto"/>
        </w:rPr>
        <w:t xml:space="preserve">, </w:t>
      </w:r>
      <w:r>
        <w:rPr>
          <w:rFonts w:ascii="Arial" w:cs="Arial" w:eastAsia="Arial" w:hAnsi="Arial"/>
          <w:sz w:val="12"/>
          <w:szCs w:val="12"/>
          <w:u w:val="single" w:color="auto"/>
          <w:color w:val="auto"/>
        </w:rPr>
        <w:t>(d)</w:t>
      </w:r>
      <w:r>
        <w:rPr>
          <w:rFonts w:ascii="Arial" w:cs="Arial" w:eastAsia="Arial" w:hAnsi="Arial"/>
          <w:sz w:val="12"/>
          <w:szCs w:val="12"/>
          <w:color w:val="auto"/>
        </w:rPr>
        <w:t xml:space="preserve"> (subject to clause (ii) below), </w:t>
      </w:r>
      <w:r>
        <w:rPr>
          <w:rFonts w:ascii="Arial" w:cs="Arial" w:eastAsia="Arial" w:hAnsi="Arial"/>
          <w:sz w:val="12"/>
          <w:szCs w:val="12"/>
          <w:u w:val="single" w:color="auto"/>
          <w:color w:val="auto"/>
        </w:rPr>
        <w:t>(e)</w:t>
      </w:r>
      <w:r>
        <w:rPr>
          <w:rFonts w:ascii="Arial" w:cs="Arial" w:eastAsia="Arial" w:hAnsi="Arial"/>
          <w:sz w:val="12"/>
          <w:szCs w:val="12"/>
          <w:color w:val="auto"/>
        </w:rPr>
        <w:t xml:space="preserve">, </w:t>
      </w:r>
      <w:r>
        <w:rPr>
          <w:rFonts w:ascii="Arial" w:cs="Arial" w:eastAsia="Arial" w:hAnsi="Arial"/>
          <w:sz w:val="12"/>
          <w:szCs w:val="12"/>
          <w:u w:val="single" w:color="auto"/>
          <w:color w:val="auto"/>
        </w:rPr>
        <w:t>(f)</w:t>
      </w:r>
      <w:r>
        <w:rPr>
          <w:rFonts w:ascii="Arial" w:cs="Arial" w:eastAsia="Arial" w:hAnsi="Arial"/>
          <w:sz w:val="12"/>
          <w:szCs w:val="12"/>
          <w:color w:val="auto"/>
        </w:rPr>
        <w:t xml:space="preserve">, </w:t>
      </w:r>
      <w:r>
        <w:rPr>
          <w:rFonts w:ascii="Arial" w:cs="Arial" w:eastAsia="Arial" w:hAnsi="Arial"/>
          <w:sz w:val="12"/>
          <w:szCs w:val="12"/>
          <w:u w:val="single" w:color="auto"/>
          <w:color w:val="auto"/>
        </w:rPr>
        <w:t>(h)</w:t>
      </w:r>
      <w:r>
        <w:rPr>
          <w:rFonts w:ascii="Arial" w:cs="Arial" w:eastAsia="Arial" w:hAnsi="Arial"/>
          <w:sz w:val="12"/>
          <w:szCs w:val="12"/>
          <w:color w:val="auto"/>
        </w:rPr>
        <w:t xml:space="preserve">, </w:t>
      </w:r>
      <w:r>
        <w:rPr>
          <w:rFonts w:ascii="Arial" w:cs="Arial" w:eastAsia="Arial" w:hAnsi="Arial"/>
          <w:sz w:val="12"/>
          <w:szCs w:val="12"/>
          <w:u w:val="single" w:color="auto"/>
          <w:color w:val="auto"/>
        </w:rPr>
        <w:t>(i)</w:t>
      </w:r>
      <w:r>
        <w:rPr>
          <w:rFonts w:ascii="Arial" w:cs="Arial" w:eastAsia="Arial" w:hAnsi="Arial"/>
          <w:sz w:val="12"/>
          <w:szCs w:val="12"/>
          <w:color w:val="auto"/>
        </w:rPr>
        <w:t xml:space="preserve">, </w:t>
      </w:r>
      <w:r>
        <w:rPr>
          <w:rFonts w:ascii="Arial" w:cs="Arial" w:eastAsia="Arial" w:hAnsi="Arial"/>
          <w:sz w:val="12"/>
          <w:szCs w:val="12"/>
          <w:u w:val="single" w:color="auto"/>
          <w:color w:val="auto"/>
        </w:rPr>
        <w:t>(l)</w:t>
      </w:r>
      <w:r>
        <w:rPr>
          <w:rFonts w:ascii="Arial" w:cs="Arial" w:eastAsia="Arial" w:hAnsi="Arial"/>
          <w:sz w:val="12"/>
          <w:szCs w:val="12"/>
          <w:color w:val="auto"/>
        </w:rPr>
        <w:t xml:space="preserve">, </w:t>
      </w:r>
      <w:r>
        <w:rPr>
          <w:rFonts w:ascii="Arial" w:cs="Arial" w:eastAsia="Arial" w:hAnsi="Arial"/>
          <w:sz w:val="12"/>
          <w:szCs w:val="12"/>
          <w:u w:val="single" w:color="auto"/>
          <w:color w:val="auto"/>
        </w:rPr>
        <w:t>(o)</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(q)</w:t>
      </w:r>
      <w:r>
        <w:rPr>
          <w:rFonts w:ascii="Arial" w:cs="Arial" w:eastAsia="Arial" w:hAnsi="Arial"/>
          <w:sz w:val="12"/>
          <w:szCs w:val="12"/>
          <w:color w:val="auto"/>
        </w:rPr>
        <w:t>, (B) any dividend or distribution (including any cash dividend or cash distribution) on or in respect of (x) Parent’s Capital Stock, in each case constituting a Restricted Payment, to holders of such Capital Stock (including, for the avoidance of doubt, dividends or distributions that are made on a pro rata basis to all holders, including unrelated holders, of any class of such Capital Stock) solely to the extent that Parent believes in good faith that Holdings qualifies as a REIT and solely to the extent that Parent believes in good faith that the declaration or payment of a dividend or making of a distribution in such amount is necessary to (i) maintain Holdings’ status as a REIT (including, for the avoidance of doubt, Holdings’ eligibility to be taxed as a REIT under Section 857(b)) for any taxable year, determined without regard to any ability of Holdings to maintain its status as a REIT (and eligibility to be taxed as a REIT under Section 857(b)) for any taxable year by declaring or paying a dividend or making a distribution in whole or in part in any form other than cash, including shares of Parent’s or Holdings’ Capital Stock, with such dividend to be paid or distribution to be made as and when determined by Parent, whether during or after the end of the relevant taxable year, and</w:t>
      </w:r>
    </w:p>
    <w:p>
      <w:pPr>
        <w:spacing w:after="0" w:line="2" w:lineRule="exact"/>
        <w:rPr>
          <w:rFonts w:ascii="Arial" w:cs="Arial" w:eastAsia="Arial" w:hAnsi="Arial"/>
          <w:sz w:val="12"/>
          <w:szCs w:val="12"/>
          <w:color w:val="auto"/>
        </w:rPr>
      </w:pPr>
    </w:p>
    <w:p>
      <w:pPr>
        <w:ind w:left="1900" w:hanging="202"/>
        <w:spacing w:after="0"/>
        <w:tabs>
          <w:tab w:leader="none" w:pos="1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permit Holdings to pay an amount equal to any corporate-level U.S. federal and applicable state and local income</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167640</wp:posOffset>
            </wp:positionV>
            <wp:extent cx="732917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80" w:top="291" w:right="239" w:bottom="1440" w:gutter="0" w:footer="0" w:header="0"/>
        </w:sectPr>
      </w:pPr>
    </w:p>
    <w:bookmarkStart w:id="128" w:name="page129"/>
    <w:bookmarkEnd w:id="128"/>
    <w:p>
      <w:pPr>
        <w:ind w:left="540"/>
        <w:spacing w:after="0" w:line="268" w:lineRule="auto"/>
        <w:rPr>
          <w:sz w:val="20"/>
          <w:szCs w:val="20"/>
          <w:color w:val="auto"/>
        </w:rPr>
      </w:pPr>
      <w:r>
        <w:rPr>
          <w:rFonts w:ascii="Arial" w:cs="Arial" w:eastAsia="Arial" w:hAnsi="Arial"/>
          <w:sz w:val="12"/>
          <w:szCs w:val="12"/>
          <w:color w:val="auto"/>
        </w:rPr>
        <w:t>taxes payable by Holdings with respect to any undistributed taxable income (including any undistributed capital gains) (collectively, for each taxable year, the “</w:t>
      </w:r>
      <w:r>
        <w:rPr>
          <w:rFonts w:ascii="Arial" w:cs="Arial" w:eastAsia="Arial" w:hAnsi="Arial"/>
          <w:sz w:val="12"/>
          <w:szCs w:val="12"/>
          <w:u w:val="single" w:color="auto"/>
          <w:color w:val="auto"/>
        </w:rPr>
        <w:t>Minimum Required</w:t>
      </w:r>
      <w:r>
        <w:rPr>
          <w:rFonts w:ascii="Arial" w:cs="Arial" w:eastAsia="Arial" w:hAnsi="Arial"/>
          <w:sz w:val="12"/>
          <w:szCs w:val="12"/>
          <w:color w:val="auto"/>
        </w:rPr>
        <w:t xml:space="preserve"> </w:t>
      </w:r>
      <w:r>
        <w:rPr>
          <w:rFonts w:ascii="Arial" w:cs="Arial" w:eastAsia="Arial" w:hAnsi="Arial"/>
          <w:sz w:val="12"/>
          <w:szCs w:val="12"/>
          <w:u w:val="single" w:color="auto"/>
          <w:color w:val="auto"/>
        </w:rPr>
        <w:t>Distribution Amount</w:t>
      </w:r>
      <w:r>
        <w:rPr>
          <w:rFonts w:ascii="Arial" w:cs="Arial" w:eastAsia="Arial" w:hAnsi="Arial"/>
          <w:sz w:val="12"/>
          <w:szCs w:val="12"/>
          <w:color w:val="auto"/>
        </w:rPr>
        <w:t xml:space="preserve">”) or (y) shares of preferred stock issued on customary terms by a Restricted Subsidiary solely to permit such Restricted Subsidiary to qualify as a REIT, not to exceed in the aggregate for all such dividends and distributions pursuant to this clause (y) $50,000 per annum;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no cash dividend or distribution shall be permitted under this clause (B) to the extent that a Specified Event of Default has occurred and is continuing or the Obligations have been accelerated following any other Event of Default; (ii) notwithstanding the foregoing, any distributions made pursuant to subclause (x) of this clause (B) shall not exceed the amount of dividends or distributions that could have been paid or made by Parent at such time pursuant to such subclause (x) if, in the relevant taxable year, Holdings had held no assets, other than a direct or indirect equity interest in Parent, and had recognized no income, gain, loss, deduction or other tax items, other than such items of Parent allocable directly or indirectly to Holdings or, if Holdings is a REIT, dividends from Parent, and prior to or concurrent with paying or making any such dividend or distribution in reliance on this paragraph, Parent shall provide the Administrative Agent a certification in reasonable detail to such effect and (iii) dividends and distributions paid or made pursuant to this clause (B) shall be permitted only so long as Parent is a REIT, a disregarded qualified REIT subsidiary, a disregarded entity or a partnership for U.S. federal income tax purposes;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(i) Parent shall be permitted to make or pay cash dividends or distributions pursuant to subclause (x) of this clause (B) in amounts and at times sufficient to permit Holdings to declare and pay quarterly cash dividends in each taxable year, in each case, not to exceed one quarter of Parent’s good faith estimate, as of the date on which the first quarterly dividend for each taxable year is declared by Holdings, of the Minimum Required Distribution Amount for such taxable year (with any unused capacity for the taxable year carrying forward to subsequent quarters of such taxable year), and (ii) Parent shall not declare or pay cash dividends or distributions pursuant to subclause (x) of this clause (B) for any taxable year except (u) as provided in the immediately preceding clause (i) of this proviso or (y) in or after the last fiscal quarter of such taxable year and (C) without duplication of any amounts used pursuant to any subsection of Section 7.05 or section (ii) below, Restricted Payments in an aggregate amount not to exceed 100% of </w:t>
      </w:r>
      <w:r>
        <w:rPr>
          <w:rFonts w:ascii="Arial" w:cs="Arial" w:eastAsia="Arial" w:hAnsi="Arial"/>
          <w:sz w:val="13"/>
          <w:szCs w:val="13"/>
          <w:color w:val="auto"/>
        </w:rPr>
        <w:t>the</w:t>
      </w:r>
      <w:r>
        <w:rPr>
          <w:rFonts w:ascii="Arial" w:cs="Arial" w:eastAsia="Arial" w:hAnsi="Arial"/>
          <w:sz w:val="12"/>
          <w:szCs w:val="12"/>
          <w:color w:val="auto"/>
        </w:rPr>
        <w:t xml:space="preserve"> aggregate net cash proceeds received at or prior to such time by Parent following the Amendment No. 4 and Limited Waiver Effective Date from the issuance or sale of Equity Interests of Parent;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clause (C) shall not include the proceeds of Equity Interests of Parent sold to a Restricted Subsidiary or of Disqualified Stock; or</w:t>
      </w:r>
    </w:p>
    <w:p>
      <w:pPr>
        <w:spacing w:after="0" w:line="123" w:lineRule="exact"/>
        <w:rPr>
          <w:sz w:val="20"/>
          <w:szCs w:val="20"/>
          <w:color w:val="auto"/>
        </w:rPr>
      </w:pPr>
    </w:p>
    <w:p>
      <w:pPr>
        <w:ind w:left="540" w:right="40" w:hanging="2"/>
        <w:spacing w:after="0" w:line="274" w:lineRule="auto"/>
        <w:tabs>
          <w:tab w:leader="none" w:pos="734"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(A) make any principal payment on, or redeem, repurchase, defease or otherwise acquire or retire for value (including by any exchange or conversion) in each case, prior to any scheduled repayment, sinking fund payment or maturity any Junior Financing other than (i) pursuant to Sections 7.05(c) and (h), (ii) pursuant to Section 7.05(d) with the proceeds of any Refinancing Indebtedness permitted by Section 7.02(b)(xii);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Refinancing Indebtedness shall also not (w) have a shorter final maturity than the Junior Financing being refinanced, (x) have any issuers, borrowers or guarantors other than the Junior Financing being refinanced, (y) have any collateral and (z) have any mandatory prepayment requirements other than customary asset sale or change of control provisions consistent with those of the Junior Financing being refinanced or (iii) without duplication of any amounts used pursuant to any subsection of Section 7.05 or section (i) above, with 100% of the net cash proceeds received at or prior to such time by Parent following the Amendment No. 4 and Limited Waiver Effective Date from the issuance or sale of Equity Interests of Parent;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clause (iii) shall not</w:t>
      </w:r>
    </w:p>
    <w:p>
      <w:pPr>
        <w:spacing w:after="0" w:line="11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167640</wp:posOffset>
            </wp:positionV>
            <wp:extent cx="732917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0"/>
          </w:cols>
          <w:pgMar w:left="1440" w:top="291" w:right="219" w:bottom="1440" w:gutter="0" w:footer="0" w:header="0"/>
        </w:sectPr>
      </w:pPr>
    </w:p>
    <w:bookmarkStart w:id="129" w:name="page130"/>
    <w:bookmarkEnd w:id="129"/>
    <w:p>
      <w:pPr>
        <w:ind w:left="885" w:right="160"/>
        <w:spacing w:after="0" w:line="258" w:lineRule="auto"/>
        <w:rPr>
          <w:sz w:val="20"/>
          <w:szCs w:val="20"/>
          <w:color w:val="auto"/>
        </w:rPr>
      </w:pPr>
      <w:r>
        <w:rPr>
          <w:rFonts w:ascii="Arial" w:cs="Arial" w:eastAsia="Arial" w:hAnsi="Arial"/>
          <w:sz w:val="13"/>
          <w:szCs w:val="13"/>
          <w:color w:val="auto"/>
        </w:rPr>
        <w:t>include the proceeds of Equity Interests of Parent sold to a Restricted Subsidiary or of Disqualified Stock or (B) amend or modify the terms or provisions of any Junior Financing to the extent such amendments or modifications would not be permitted with respect to any Refinancing Indebtedness thereof pursuant to Section 7.02(b)(xii) and the proviso to the preceding clause (A)(ii)."</w:t>
      </w:r>
    </w:p>
    <w:p>
      <w:pPr>
        <w:spacing w:after="0" w:line="139" w:lineRule="exact"/>
        <w:rPr>
          <w:sz w:val="20"/>
          <w:szCs w:val="20"/>
          <w:color w:val="auto"/>
        </w:rPr>
      </w:pPr>
    </w:p>
    <w:p>
      <w:pPr>
        <w:ind w:left="525" w:hanging="525"/>
        <w:spacing w:after="0"/>
        <w:tabs>
          <w:tab w:leader="none" w:pos="525"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Amendments to the Security Agreement</w:t>
      </w:r>
      <w:r>
        <w:rPr>
          <w:rFonts w:ascii="Arial" w:cs="Arial" w:eastAsia="Arial" w:hAnsi="Arial"/>
          <w:sz w:val="13"/>
          <w:szCs w:val="13"/>
          <w:color w:val="auto"/>
        </w:rPr>
        <w:t>. The Security Agreement is, effective as of the Effective Date (as defined below), hereby amended as follows:</w:t>
      </w:r>
    </w:p>
    <w:p>
      <w:pPr>
        <w:spacing w:after="0" w:line="166" w:lineRule="exact"/>
        <w:rPr>
          <w:sz w:val="20"/>
          <w:szCs w:val="20"/>
          <w:color w:val="auto"/>
        </w:rPr>
      </w:pPr>
    </w:p>
    <w:p>
      <w:pPr>
        <w:jc w:val="both"/>
        <w:ind w:left="5" w:right="60" w:firstLine="815"/>
        <w:spacing w:after="0" w:line="314" w:lineRule="auto"/>
        <w:rPr>
          <w:sz w:val="20"/>
          <w:szCs w:val="20"/>
          <w:color w:val="auto"/>
        </w:rPr>
      </w:pPr>
      <w:r>
        <w:rPr>
          <w:rFonts w:ascii="Arial" w:cs="Arial" w:eastAsia="Arial" w:hAnsi="Arial"/>
          <w:sz w:val="12"/>
          <w:szCs w:val="12"/>
          <w:color w:val="auto"/>
        </w:rPr>
        <w:t>(a) The definition of “Excluded Assets” in Section 1.02 of the Security Agreement is hereby amended by (x) adding “subject to the definition of “Collateral” in the Credit Agreement” after the term “means” and before “(a)” and (y) deleting clauses (j) and (l) of the definition of “Excluded Assets” in their entirety and replacing such clauses with “[reserved]”.</w:t>
      </w:r>
    </w:p>
    <w:p>
      <w:pPr>
        <w:spacing w:after="0" w:line="89" w:lineRule="exact"/>
        <w:rPr>
          <w:sz w:val="20"/>
          <w:szCs w:val="20"/>
          <w:color w:val="auto"/>
        </w:rPr>
      </w:pPr>
    </w:p>
    <w:p>
      <w:pPr>
        <w:ind w:left="1405" w:hanging="590"/>
        <w:spacing w:after="0"/>
        <w:tabs>
          <w:tab w:leader="none" w:pos="1405"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Section 1.02 of the Security Agreement is hereby amended by adding the following definitions in appropriate alphabetical order:</w:t>
      </w:r>
    </w:p>
    <w:p>
      <w:pPr>
        <w:spacing w:after="0" w:line="148" w:lineRule="exact"/>
        <w:rPr>
          <w:sz w:val="20"/>
          <w:szCs w:val="20"/>
          <w:color w:val="auto"/>
        </w:rPr>
      </w:pPr>
    </w:p>
    <w:p>
      <w:pPr>
        <w:ind w:left="885"/>
        <w:spacing w:after="0" w:line="25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Deposit Account</w:t>
      </w:r>
      <w:r>
        <w:rPr>
          <w:rFonts w:ascii="Arial" w:cs="Arial" w:eastAsia="Arial" w:hAnsi="Arial"/>
          <w:sz w:val="13"/>
          <w:szCs w:val="13"/>
          <w:color w:val="auto"/>
        </w:rPr>
        <w:t>” shall mean a segregated Deposit Account that holds solely (a) funds used or to be used for payroll and payroll taxes and other employee benefit payments to or for the benefit of the employees of the Borrowers sand the Guarantors, (b) funds used or to be used to pay any taxes required to be collected, remitted or withheld during the current period, (c) funds which the Borrowers or a Guarantor holds in escrow or as a fiduciary for the benefit of a third person that is not the Borrowers, Holdings, Parent or a Subsidiary, (d) any deposit account that is a zero-balance disbursement account and (e) any Deposit Account holding less than an average daily balance of $2,000,000 with all such Deposit Accounts excluded pursuant to this clause (e) not to exceed an aggregate average daily balance of $25,000,000. For the avoidance of doubt, no Rent Account shall constitute an Excluded Deposit Account.”</w:t>
      </w:r>
    </w:p>
    <w:p>
      <w:pPr>
        <w:spacing w:after="0" w:line="125" w:lineRule="exact"/>
        <w:rPr>
          <w:sz w:val="20"/>
          <w:szCs w:val="20"/>
          <w:color w:val="auto"/>
        </w:rPr>
      </w:pPr>
    </w:p>
    <w:p>
      <w:pPr>
        <w:ind w:left="1385" w:hanging="570"/>
        <w:spacing w:after="0"/>
        <w:tabs>
          <w:tab w:leader="none" w:pos="1385" w:val="left"/>
        </w:tabs>
        <w:numPr>
          <w:ilvl w:val="0"/>
          <w:numId w:val="33"/>
        </w:numPr>
        <w:rPr>
          <w:rFonts w:ascii="Arial" w:cs="Arial" w:eastAsia="Arial" w:hAnsi="Arial"/>
          <w:sz w:val="13"/>
          <w:szCs w:val="13"/>
          <w:color w:val="auto"/>
        </w:rPr>
      </w:pPr>
      <w:r>
        <w:rPr>
          <w:rFonts w:ascii="Arial" w:cs="Arial" w:eastAsia="Arial" w:hAnsi="Arial"/>
          <w:sz w:val="13"/>
          <w:szCs w:val="13"/>
          <w:color w:val="auto"/>
        </w:rPr>
        <w:t>Section 3.01 of the Security Agreement is hereby amended by deleting clause (f) thereof and replacing such clause (f) with the following:</w:t>
      </w:r>
    </w:p>
    <w:p>
      <w:pPr>
        <w:spacing w:after="0" w:line="148" w:lineRule="exact"/>
        <w:rPr>
          <w:sz w:val="20"/>
          <w:szCs w:val="20"/>
          <w:color w:val="auto"/>
        </w:rPr>
      </w:pPr>
    </w:p>
    <w:p>
      <w:pPr>
        <w:ind w:left="885" w:right="20" w:firstLine="747"/>
        <w:spacing w:after="0" w:line="272" w:lineRule="auto"/>
        <w:rPr>
          <w:sz w:val="20"/>
          <w:szCs w:val="20"/>
          <w:color w:val="auto"/>
        </w:rPr>
      </w:pPr>
      <w:r>
        <w:rPr>
          <w:rFonts w:ascii="Arial" w:cs="Arial" w:eastAsia="Arial" w:hAnsi="Arial"/>
          <w:sz w:val="12"/>
          <w:szCs w:val="12"/>
          <w:color w:val="auto"/>
        </w:rPr>
        <w:t>“(f) Notwithstanding anything to the contrary in the Loan Documents, none of the Grantors shall be required to perfect the Security Interests granted by this Security Agreement (including Security Interests in Investment Property and Fixtures) by any means other than by (A) filings pursuant to the Uniform Commercial Code of the relevant State(s), (B) filings in USPTO or the USCO, as applicable, with respect to Intellectual Property as expressly required elsewhere herein, (C) delivery to the Collateral Agent to be held in its possession of all Collateral consisting of Instruments or Pledged Securities as expressly required elsewhere herein or in the Credit Agreement, (D) Fixture filings in the applicable real estate records with respect to any Fixtures associated with Material Real Property that is subject to a Mortgage and (E) with respect to any Deposit Account (other than any Excluded Deposit Account), entry into Deposit Account Control Agreements. No Grantor shall be required (i) to establish Collateral Agent’s “control” over any Electronic Chattel Paper; (ii) to establish the Agent’s “control” (within the meaning of Section 16 of the Uniform Electronic Transactions Act as in effect in the applicable jurisdiction (the “UETA”)) over any “transferable records” (as defined in UETA), (iii) to take any action (other than the actions listed in clauses (A) and (C) of the preceding sentence) with respect to any assets located outside of the United States or (iv) to perfect in any assets subject to a certificate of title statute.”</w:t>
      </w:r>
    </w:p>
    <w:p>
      <w:pPr>
        <w:spacing w:after="0" w:line="115" w:lineRule="exact"/>
        <w:rPr>
          <w:sz w:val="20"/>
          <w:szCs w:val="20"/>
          <w:color w:val="auto"/>
        </w:rPr>
      </w:pPr>
    </w:p>
    <w:p>
      <w:pPr>
        <w:ind w:left="4785"/>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167640</wp:posOffset>
            </wp:positionV>
            <wp:extent cx="732917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565"/>
          </w:cols>
          <w:pgMar w:left="1095" w:top="291" w:right="239" w:bottom="1440" w:gutter="0" w:footer="0" w:header="0"/>
        </w:sectPr>
      </w:pPr>
    </w:p>
    <w:bookmarkStart w:id="130" w:name="page131"/>
    <w:bookmarkEnd w:id="130"/>
    <w:p>
      <w:pPr>
        <w:ind w:left="1740" w:right="1260" w:hanging="770"/>
        <w:spacing w:after="0" w:line="481" w:lineRule="auto"/>
        <w:tabs>
          <w:tab w:leader="none" w:pos="1558"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Section 3.05 of the Security Agreement is hereby amended by deleting such Section in its entirety and replacing such Section 3.05 with the following: Section 3.05. </w:t>
      </w:r>
      <w:r>
        <w:rPr>
          <w:rFonts w:ascii="Arial" w:cs="Arial" w:eastAsia="Arial" w:hAnsi="Arial"/>
          <w:sz w:val="13"/>
          <w:szCs w:val="13"/>
          <w:i w:val="1"/>
          <w:iCs w:val="1"/>
          <w:color w:val="auto"/>
        </w:rPr>
        <w:t>Rents; Controlled Deposit Accounts.</w:t>
      </w:r>
      <w:r>
        <w:rPr>
          <w:rFonts w:ascii="Arial" w:cs="Arial" w:eastAsia="Arial" w:hAnsi="Arial"/>
          <w:sz w:val="13"/>
          <w:szCs w:val="13"/>
          <w:color w:val="auto"/>
        </w:rPr>
        <w:t xml:space="preserve"> Each Grantor represents, warrants and covenants as follows:</w:t>
      </w:r>
    </w:p>
    <w:p>
      <w:pPr>
        <w:sectPr>
          <w:pgSz w:w="11900" w:h="16838" w:orient="portrait"/>
          <w:cols w:equalWidth="0" w:num="1">
            <w:col w:w="10740"/>
          </w:cols>
          <w:pgMar w:left="940" w:top="291" w:right="219" w:bottom="1440" w:gutter="0" w:footer="0" w:header="0"/>
        </w:sectPr>
      </w:pPr>
    </w:p>
    <w:p>
      <w:pPr>
        <w:ind w:left="2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ind w:right="160" w:firstLine="747"/>
        <w:spacing w:after="0" w:line="271" w:lineRule="auto"/>
        <w:rPr>
          <w:sz w:val="20"/>
          <w:szCs w:val="20"/>
          <w:color w:val="auto"/>
        </w:rPr>
      </w:pPr>
      <w:r>
        <w:rPr>
          <w:rFonts w:ascii="Arial" w:cs="Arial" w:eastAsia="Arial" w:hAnsi="Arial"/>
          <w:sz w:val="13"/>
          <w:szCs w:val="13"/>
          <w:color w:val="auto"/>
        </w:rPr>
        <w:t>As of the Amendment No. 4 and Limited Waiver Effective Date, no Grantor has any Rent Accounts other than Deposit Account listed in the Perfection Certificate that was delivered by the Grantors on the Closing Date, and such Rent Account is a Controlled Deposit Account.</w:t>
      </w:r>
    </w:p>
    <w:p>
      <w:pPr>
        <w:spacing w:after="0" w:line="109" w:lineRule="exact"/>
        <w:rPr>
          <w:sz w:val="20"/>
          <w:szCs w:val="20"/>
          <w:color w:val="auto"/>
        </w:rPr>
      </w:pPr>
    </w:p>
    <w:p>
      <w:pPr>
        <w:sectPr>
          <w:pgSz w:w="11900" w:h="16838" w:orient="portrait"/>
          <w:cols w:equalWidth="0" w:num="2">
            <w:col w:w="380" w:space="660"/>
            <w:col w:w="9700"/>
          </w:cols>
          <w:pgMar w:left="940" w:top="291" w:right="2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At all times, all Rents will be deposited, upon or promptly after the receipt thereof, in one or more Controlled Deposit Accounts.</w:t>
      </w:r>
    </w:p>
    <w:p>
      <w:pPr>
        <w:spacing w:after="0" w:line="164" w:lineRule="exact"/>
        <w:rPr>
          <w:sz w:val="20"/>
          <w:szCs w:val="20"/>
          <w:color w:val="auto"/>
        </w:rPr>
      </w:pPr>
    </w:p>
    <w:p>
      <w:pPr>
        <w:sectPr>
          <w:pgSz w:w="11900" w:h="16838" w:orient="portrait"/>
          <w:cols w:equalWidth="0" w:num="2">
            <w:col w:w="1060" w:space="720"/>
            <w:col w:w="8960"/>
          </w:cols>
          <w:pgMar w:left="940" w:top="291" w:right="2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ind w:firstLine="747"/>
        <w:spacing w:after="0" w:line="249" w:lineRule="auto"/>
        <w:rPr>
          <w:sz w:val="20"/>
          <w:szCs w:val="20"/>
          <w:color w:val="auto"/>
        </w:rPr>
      </w:pPr>
      <w:r>
        <w:rPr>
          <w:rFonts w:ascii="Arial" w:cs="Arial" w:eastAsia="Arial" w:hAnsi="Arial"/>
          <w:sz w:val="13"/>
          <w:szCs w:val="13"/>
          <w:color w:val="auto"/>
        </w:rPr>
        <w:t>To the extent not constituting a Controlled Deposit Account on the Amendment No. 4 and Limited Waiver Effective Date, each Grantor shall promptly, and in any event, within 15 days (or such later date as the Collateral Agent may agree) of the Amendment No. 4 and Limited Waiver Effective Date (or such later date as the Collateral Agent may agree) deliver to the Collateral Agent a duly executed Deposit Account Control Agreement with respect to each Deposit Account (other than an Excluded Deposit Account) maintained by such Grantor as of the Amendment No. 4 and Limited Waiver Effective Date. In the event a Grantor shall hereafter establish (including by acquisition) any Deposit Account (other than an Excluded Deposit Account) it shall deliver a duly executed Deposit Account Control Agreement to the Collateral Agent with respect to such Deposit Account, promptly and in any event within 15 days (or such later date as the Collateral Agent may agree) of the establishment or acquisition of such Deposit Account. In respect of each Controlled Deposit Account, the Depositary Bank’s jurisdiction (determined as provided in UCC Section 9-304) will at all times be a jurisdiction in which Article 9 of the Uniform Commercial Code is in effect.</w:t>
      </w:r>
    </w:p>
    <w:p>
      <w:pPr>
        <w:spacing w:after="0" w:line="125" w:lineRule="exact"/>
        <w:rPr>
          <w:sz w:val="20"/>
          <w:szCs w:val="20"/>
          <w:color w:val="auto"/>
        </w:rPr>
      </w:pPr>
    </w:p>
    <w:p>
      <w:pPr>
        <w:sectPr>
          <w:pgSz w:w="11900" w:h="16838" w:orient="portrait"/>
          <w:cols w:equalWidth="0" w:num="2">
            <w:col w:w="380" w:space="660"/>
            <w:col w:w="9700"/>
          </w:cols>
          <w:pgMar w:left="940" w:top="291" w:right="2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(d)</w:t>
      </w:r>
    </w:p>
    <w:p>
      <w:pPr>
        <w:spacing w:after="0" w:line="20" w:lineRule="exact"/>
        <w:rPr>
          <w:sz w:val="20"/>
          <w:szCs w:val="20"/>
          <w:color w:val="auto"/>
        </w:rPr>
      </w:pPr>
      <w:r>
        <w:rPr>
          <w:sz w:val="20"/>
          <w:szCs w:val="20"/>
          <w:color w:val="auto"/>
        </w:rPr>
        <w:br w:type="column"/>
      </w:r>
    </w:p>
    <w:p>
      <w:pPr>
        <w:ind w:right="180" w:firstLine="747"/>
        <w:spacing w:after="0" w:line="258" w:lineRule="auto"/>
        <w:rPr>
          <w:sz w:val="20"/>
          <w:szCs w:val="20"/>
          <w:color w:val="auto"/>
        </w:rPr>
      </w:pPr>
      <w:r>
        <w:rPr>
          <w:rFonts w:ascii="Arial" w:cs="Arial" w:eastAsia="Arial" w:hAnsi="Arial"/>
          <w:sz w:val="13"/>
          <w:szCs w:val="13"/>
          <w:color w:val="auto"/>
        </w:rPr>
        <w:t>So long as the Collateral Agent has Control of a Controlled Deposit Account, the Security Interest in such Controlled Deposit Account will be perfected, subject to no prior Liens or rights of others (except the Depositary Bank’s right to deduct its normal operating charges and any uncollected funds previously credited thereto) and other non-consensual liens arising as a matter of law.</w:t>
      </w:r>
    </w:p>
    <w:p>
      <w:pPr>
        <w:spacing w:after="0" w:line="121" w:lineRule="exact"/>
        <w:rPr>
          <w:sz w:val="20"/>
          <w:szCs w:val="20"/>
          <w:color w:val="auto"/>
        </w:rPr>
      </w:pPr>
    </w:p>
    <w:p>
      <w:pPr>
        <w:sectPr>
          <w:pgSz w:w="11900" w:h="16838" w:orient="portrait"/>
          <w:cols w:equalWidth="0" w:num="2">
            <w:col w:w="400" w:space="640"/>
            <w:col w:w="9700"/>
          </w:cols>
          <w:pgMar w:left="940" w:top="291" w:right="219" w:bottom="1440" w:gutter="0" w:footer="0" w:header="0"/>
          <w:type w:val="continuous"/>
        </w:sectPr>
      </w:pPr>
    </w:p>
    <w:p>
      <w:pPr>
        <w:ind w:left="540" w:hanging="532"/>
        <w:spacing w:after="0"/>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Conditions Precedent</w:t>
      </w:r>
      <w:r>
        <w:rPr>
          <w:rFonts w:ascii="Arial" w:cs="Arial" w:eastAsia="Arial" w:hAnsi="Arial"/>
          <w:sz w:val="13"/>
          <w:szCs w:val="13"/>
          <w:color w:val="auto"/>
        </w:rPr>
        <w:t>. This Amendment No. 4 and Limited Waiver shall become effective on the date when the following conditions are met (the “</w:t>
      </w:r>
      <w:r>
        <w:rPr>
          <w:rFonts w:ascii="Arial" w:cs="Arial" w:eastAsia="Arial" w:hAnsi="Arial"/>
          <w:sz w:val="13"/>
          <w:szCs w:val="13"/>
          <w:u w:val="single" w:color="auto"/>
          <w:color w:val="auto"/>
        </w:rPr>
        <w:t>Effective Date</w:t>
      </w:r>
      <w:r>
        <w:rPr>
          <w:rFonts w:ascii="Arial" w:cs="Arial" w:eastAsia="Arial" w:hAnsi="Arial"/>
          <w:sz w:val="13"/>
          <w:szCs w:val="13"/>
          <w:color w:val="auto"/>
        </w:rPr>
        <w:t>”):</w:t>
      </w:r>
    </w:p>
    <w:p>
      <w:pPr>
        <w:spacing w:after="0" w:line="148" w:lineRule="exact"/>
        <w:rPr>
          <w:sz w:val="20"/>
          <w:szCs w:val="20"/>
          <w:color w:val="auto"/>
        </w:rPr>
      </w:pPr>
    </w:p>
    <w:p>
      <w:pPr>
        <w:ind w:right="60" w:firstLine="1240"/>
        <w:spacing w:after="0" w:line="271" w:lineRule="auto"/>
        <w:rPr>
          <w:sz w:val="20"/>
          <w:szCs w:val="20"/>
          <w:color w:val="auto"/>
        </w:rPr>
      </w:pPr>
      <w:r>
        <w:rPr>
          <w:rFonts w:ascii="Arial" w:cs="Arial" w:eastAsia="Arial" w:hAnsi="Arial"/>
          <w:sz w:val="13"/>
          <w:szCs w:val="13"/>
          <w:color w:val="auto"/>
        </w:rPr>
        <w:t>(i) the Administrative Agent shall have received a counterpart signature page of this Amendment No. 4 and Limited Waiver duly executed by each of the Parent Guarantor, the Borrowers, the Guarantors, the Administrative Agent and Lenders constituting the Required Lenders;</w:t>
      </w:r>
    </w:p>
    <w:p>
      <w:pPr>
        <w:spacing w:after="0" w:line="113" w:lineRule="exact"/>
        <w:rPr>
          <w:sz w:val="20"/>
          <w:szCs w:val="20"/>
          <w:color w:val="auto"/>
        </w:rPr>
      </w:pPr>
    </w:p>
    <w:p>
      <w:pPr>
        <w:ind w:right="120" w:firstLine="1248"/>
        <w:spacing w:after="0" w:line="271" w:lineRule="auto"/>
        <w:tabs>
          <w:tab w:leader="none" w:pos="2554"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Borrowers shall have paid to the Administrative Agent, for the account of each Lender that has delivered a counterpart to this Amendment No. 4 and Limited Waiver, a consent fee equal to 1.25% of the aggregate principal amount of the Commitments and outstanding Loans held by such Lender;</w:t>
      </w:r>
    </w:p>
    <w:p>
      <w:pPr>
        <w:spacing w:after="0" w:line="112" w:lineRule="exact"/>
        <w:rPr>
          <w:rFonts w:ascii="Arial" w:cs="Arial" w:eastAsia="Arial" w:hAnsi="Arial"/>
          <w:sz w:val="13"/>
          <w:szCs w:val="13"/>
          <w:color w:val="auto"/>
        </w:rPr>
      </w:pPr>
    </w:p>
    <w:p>
      <w:pPr>
        <w:ind w:left="2600" w:hanging="1352"/>
        <w:spacing w:after="0"/>
        <w:tabs>
          <w:tab w:leader="none" w:pos="26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Administrative Agent shall have received such documents and certificates as the Administrative Agent or its counsel may reasonably request relating</w:t>
      </w:r>
    </w:p>
    <w:p>
      <w:pPr>
        <w:spacing w:after="0" w:line="3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to the organization,</w:t>
      </w:r>
    </w:p>
    <w:p>
      <w:pPr>
        <w:spacing w:after="0" w:line="13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167640</wp:posOffset>
            </wp:positionV>
            <wp:extent cx="732917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940" w:top="291" w:right="219" w:bottom="1440" w:gutter="0" w:footer="0" w:header="0"/>
          <w:type w:val="continuous"/>
        </w:sectPr>
      </w:pPr>
    </w:p>
    <w:bookmarkStart w:id="131" w:name="page132"/>
    <w:bookmarkEnd w:id="131"/>
    <w:p>
      <w:pPr>
        <w:ind w:right="220"/>
        <w:spacing w:after="0" w:line="314" w:lineRule="auto"/>
        <w:rPr>
          <w:sz w:val="20"/>
          <w:szCs w:val="20"/>
          <w:color w:val="auto"/>
        </w:rPr>
      </w:pPr>
      <w:r>
        <w:rPr>
          <w:rFonts w:ascii="Arial" w:cs="Arial" w:eastAsia="Arial" w:hAnsi="Arial"/>
          <w:sz w:val="12"/>
          <w:szCs w:val="12"/>
          <w:color w:val="auto"/>
        </w:rPr>
        <w:t>existence and good standing of each Loan Party, the authorization of execution, delivery and performance of this Amendment No. 4 and Limited Waiver, the performance of the Credit Agreement and each other applicable Loan Document and any other legal matters relating to the Loan Documents, all in form and substance reasonably satisfactory to the Administrative Agent and its counsel;</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(iv) the Loan Parties shall have provided to the Administrative Agent an updated Perfection Certificate in form and substance reasonably satisfactory to the Administrative Agent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and its counsel;</w:t>
      </w:r>
    </w:p>
    <w:p>
      <w:pPr>
        <w:spacing w:after="0" w:line="138" w:lineRule="exact"/>
        <w:rPr>
          <w:sz w:val="20"/>
          <w:szCs w:val="20"/>
          <w:color w:val="auto"/>
        </w:rPr>
      </w:pPr>
    </w:p>
    <w:p>
      <w:pPr>
        <w:ind w:right="200" w:firstLine="1248"/>
        <w:spacing w:after="0" w:line="258" w:lineRule="auto"/>
        <w:tabs>
          <w:tab w:leader="none" w:pos="2547"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Administrative Agent shall have received a certificate, dated as of the Effective Date, signed by a Responsible Officer certifying that each of the Master Lease and the Recognition Agreement (and in each case any amendments thereto) are in full force and effect and attaching executed copies of the Master Lease and the Recognition Agreement (and in each case any amendments thereto); and</w:t>
      </w:r>
    </w:p>
    <w:p>
      <w:pPr>
        <w:spacing w:after="0" w:line="121" w:lineRule="exact"/>
        <w:rPr>
          <w:sz w:val="20"/>
          <w:szCs w:val="20"/>
          <w:color w:val="auto"/>
        </w:rPr>
      </w:pPr>
    </w:p>
    <w:p>
      <w:pPr>
        <w:jc w:val="both"/>
        <w:ind w:right="40" w:firstLine="1248"/>
        <w:spacing w:after="0" w:line="282" w:lineRule="auto"/>
        <w:tabs>
          <w:tab w:leader="none" w:pos="1501" w:val="left"/>
        </w:tabs>
        <w:numPr>
          <w:ilvl w:val="1"/>
          <w:numId w:val="38"/>
        </w:numPr>
        <w:rPr>
          <w:rFonts w:ascii="Arial" w:cs="Arial" w:eastAsia="Arial" w:hAnsi="Arial"/>
          <w:sz w:val="12"/>
          <w:szCs w:val="12"/>
          <w:color w:val="auto"/>
        </w:rPr>
      </w:pPr>
      <w:r>
        <w:rPr>
          <w:rFonts w:ascii="Arial" w:cs="Arial" w:eastAsia="Arial" w:hAnsi="Arial"/>
          <w:sz w:val="12"/>
          <w:szCs w:val="12"/>
          <w:color w:val="auto"/>
        </w:rPr>
        <w:t>the Borrowers shall have paid all fees and amounts due and payable pursuant to this Amendment No. 4 and Limited Waiver, including, to the extent invoiced, reimbursement or payment of documented and reasonable out-of-pocket expenses in connection with this Amendment No. 4 and Limited Waiver and related matters (including the reasonable and documented fees and expenses of Cahill Gordon &amp; Reindel LLP, counsel to the Administrative Agent and Weil, Gotshal &amp; Manges LLP, counsel to the ad-hoc group of Term Lenders), any other out-of-pocket expenses of the Administrative Agent required to be paid or reimbursed pursuant to the Credit Agreement and any fees and expense payable to the Administrative Agent or its affiliates as separately agreed.</w:t>
      </w:r>
    </w:p>
    <w:p>
      <w:pPr>
        <w:spacing w:after="0" w:line="108" w:lineRule="exact"/>
        <w:rPr>
          <w:rFonts w:ascii="Arial" w:cs="Arial" w:eastAsia="Arial" w:hAnsi="Arial"/>
          <w:sz w:val="12"/>
          <w:szCs w:val="12"/>
          <w:color w:val="auto"/>
        </w:rPr>
      </w:pPr>
    </w:p>
    <w:p>
      <w:pPr>
        <w:ind w:left="720" w:hanging="565"/>
        <w:spacing w:after="0"/>
        <w:tabs>
          <w:tab w:leader="none" w:pos="72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Each Loan Party represents and warrants to the Administrative Agent and the Lenders as of the Effective Date:</w:t>
      </w:r>
    </w:p>
    <w:p>
      <w:pPr>
        <w:spacing w:after="0" w:line="148" w:lineRule="exact"/>
        <w:rPr>
          <w:sz w:val="20"/>
          <w:szCs w:val="20"/>
          <w:color w:val="auto"/>
        </w:rPr>
      </w:pPr>
    </w:p>
    <w:p>
      <w:pPr>
        <w:ind w:right="180" w:firstLine="1240"/>
        <w:spacing w:after="0" w:line="254" w:lineRule="auto"/>
        <w:rPr>
          <w:sz w:val="20"/>
          <w:szCs w:val="20"/>
          <w:color w:val="auto"/>
        </w:rPr>
      </w:pPr>
      <w:r>
        <w:rPr>
          <w:rFonts w:ascii="Arial" w:cs="Arial" w:eastAsia="Arial" w:hAnsi="Arial"/>
          <w:sz w:val="13"/>
          <w:szCs w:val="13"/>
          <w:color w:val="auto"/>
        </w:rPr>
        <w:t xml:space="preserve">(i) the representations and warranties of each Loan Party contained in Article 5 of the Credit Agreement and in each other Loan Document (and acknowledging that this Amendment No. 4 and Limited Waiver is a Loan Document) are true and correct in all material respects as of the date hereof (except to the extent that such representations and warranties specifically refer to an earlier date, in which case they were true and correct as of such earlier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to the extent that such representations and warranties are qualified by materiality, material adverse effect or similar language, they are true and correct in all respects;</w:t>
      </w:r>
    </w:p>
    <w:p>
      <w:pPr>
        <w:spacing w:after="0" w:line="124" w:lineRule="exact"/>
        <w:rPr>
          <w:sz w:val="20"/>
          <w:szCs w:val="20"/>
          <w:color w:val="auto"/>
        </w:rPr>
      </w:pPr>
    </w:p>
    <w:p>
      <w:pPr>
        <w:ind w:left="2560" w:hanging="1312"/>
        <w:spacing w:after="0"/>
        <w:tabs>
          <w:tab w:leader="none" w:pos="2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 Default or Event of Default exists or will result from this Amendment No. 4 and Limited Waiver;</w:t>
      </w:r>
    </w:p>
    <w:p>
      <w:pPr>
        <w:spacing w:after="0" w:line="147" w:lineRule="exact"/>
        <w:rPr>
          <w:rFonts w:ascii="Arial" w:cs="Arial" w:eastAsia="Arial" w:hAnsi="Arial"/>
          <w:sz w:val="13"/>
          <w:szCs w:val="13"/>
          <w:color w:val="auto"/>
        </w:rPr>
      </w:pPr>
    </w:p>
    <w:p>
      <w:pPr>
        <w:ind w:firstLine="1248"/>
        <w:spacing w:after="0" w:line="254" w:lineRule="auto"/>
        <w:tabs>
          <w:tab w:leader="none" w:pos="2591"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Persons appearing as Borrowers and Guarantors on the signature pages to this Agreement constitute all Persons who are required to be Borrowers or Guarantors pursuant to the terms of the Credit Agreement and the other Loan Documents, including without limitation all Persons who were required to become Borrowers or Guarantors after the Closing Date, the Borrowers and each such Person that is a Guarantor has executed and delivered the Credit Agreement as a Borrower or a Guaranty as a Guarantor and the Loan Parties have complied with their obligations under Sections 6.02(c) and 6.11 of the Credit Agreement and under the Collateral Documents; and</w:t>
      </w:r>
    </w:p>
    <w:p>
      <w:pPr>
        <w:spacing w:after="0" w:line="123" w:lineRule="exact"/>
        <w:rPr>
          <w:rFonts w:ascii="Arial" w:cs="Arial" w:eastAsia="Arial" w:hAnsi="Arial"/>
          <w:sz w:val="13"/>
          <w:szCs w:val="13"/>
          <w:color w:val="auto"/>
        </w:rPr>
      </w:pPr>
    </w:p>
    <w:p>
      <w:pPr>
        <w:ind w:left="1480" w:hanging="232"/>
        <w:spacing w:after="0"/>
        <w:tabs>
          <w:tab w:leader="none" w:pos="14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Attached hereto as Schedule 1 is a true and complete list of all Deposit Accounts (as defined in the Security Agreement) maintained by each Loan Party, including the name of</w:t>
      </w:r>
    </w:p>
    <w:p>
      <w:pPr>
        <w:spacing w:after="0" w:line="3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each</w:t>
      </w:r>
    </w:p>
    <w:p>
      <w:pPr>
        <w:spacing w:after="0" w:line="13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167640</wp:posOffset>
            </wp:positionV>
            <wp:extent cx="732917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40"/>
          </w:cols>
          <w:pgMar w:left="940" w:top="291" w:right="219" w:bottom="1440" w:gutter="0" w:footer="0" w:header="0"/>
        </w:sectPr>
      </w:pPr>
    </w:p>
    <w:bookmarkStart w:id="132" w:name="page133"/>
    <w:bookmarkEnd w:id="132"/>
    <w:p>
      <w:pPr>
        <w:ind w:left="700" w:right="260"/>
        <w:spacing w:after="0" w:line="271" w:lineRule="auto"/>
        <w:rPr>
          <w:sz w:val="20"/>
          <w:szCs w:val="20"/>
          <w:color w:val="auto"/>
        </w:rPr>
      </w:pPr>
      <w:r>
        <w:rPr>
          <w:rFonts w:ascii="Arial" w:cs="Arial" w:eastAsia="Arial" w:hAnsi="Arial"/>
          <w:sz w:val="13"/>
          <w:szCs w:val="13"/>
          <w:color w:val="auto"/>
        </w:rPr>
        <w:t>institution where each such account is held, the name of each such account, the name of each entity that holds each account and stating if such account is required to be subject to a control agreement pursuant to the Security Agreement and the reason for such account to be excluded from the control agreement requirement.</w:t>
      </w:r>
    </w:p>
    <w:p>
      <w:pPr>
        <w:spacing w:after="0" w:line="113" w:lineRule="exact"/>
        <w:rPr>
          <w:sz w:val="20"/>
          <w:szCs w:val="20"/>
          <w:color w:val="auto"/>
        </w:rPr>
      </w:pPr>
    </w:p>
    <w:p>
      <w:pPr>
        <w:ind w:left="-20" w:firstLine="875"/>
        <w:spacing w:after="0" w:line="309" w:lineRule="auto"/>
        <w:tabs>
          <w:tab w:leader="none" w:pos="1460" w:val="left"/>
        </w:tabs>
        <w:numPr>
          <w:ilvl w:val="0"/>
          <w:numId w:val="41"/>
        </w:numPr>
        <w:rPr>
          <w:rFonts w:ascii="Arial" w:cs="Arial" w:eastAsia="Arial" w:hAnsi="Arial"/>
          <w:sz w:val="11"/>
          <w:szCs w:val="11"/>
          <w:color w:val="auto"/>
        </w:rPr>
      </w:pPr>
      <w:r>
        <w:rPr>
          <w:rFonts w:ascii="Arial" w:cs="Arial" w:eastAsia="Arial" w:hAnsi="Arial"/>
          <w:sz w:val="11"/>
          <w:szCs w:val="11"/>
          <w:u w:val="single" w:color="auto"/>
          <w:color w:val="auto"/>
        </w:rPr>
        <w:t>Costs and Expenses</w:t>
      </w:r>
      <w:r>
        <w:rPr>
          <w:rFonts w:ascii="Arial" w:cs="Arial" w:eastAsia="Arial" w:hAnsi="Arial"/>
          <w:sz w:val="11"/>
          <w:szCs w:val="11"/>
          <w:color w:val="auto"/>
        </w:rPr>
        <w:t>. The Borrowers agree to pay (i) all reasonable and documented out-of-pocket costs and expenses of the Administrative Agent (including the reasonable and documented fees and expenses of Cahill Gordon &amp; Reindel LLP, counsel to the Administrative Agent) in connection with the preparation, execution, delivery and administration of this Amendment No. 4 and Limited Waiver, the other instruments and documents to be delivered hereunder and related matters with respect to the Loan Documents and transactions contemplated hereby and (ii) all reasonable and documented out-of-pocket costs and expenses of the ad-hoc group of Term Lenders (limited to the reasonable and documented fees and expenses of Weil, Gotshal &amp; Manges LLP, counsel to the ad-hoc group of Term Lenders) in connection with the preparation, execution, delivery and administration of this Amendment No. 4 and Limited Waiver (or any subject matter contained herein) and the other instruments and documents to be delivered hereunder.</w:t>
      </w:r>
    </w:p>
    <w:p>
      <w:pPr>
        <w:spacing w:after="0" w:line="95" w:lineRule="exact"/>
        <w:rPr>
          <w:rFonts w:ascii="Arial" w:cs="Arial" w:eastAsia="Arial" w:hAnsi="Arial"/>
          <w:sz w:val="11"/>
          <w:szCs w:val="11"/>
          <w:color w:val="auto"/>
        </w:rPr>
      </w:pPr>
    </w:p>
    <w:p>
      <w:pPr>
        <w:ind w:left="1420" w:hanging="565"/>
        <w:spacing w:after="0"/>
        <w:tabs>
          <w:tab w:leader="none" w:pos="142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No. 4 and Limited Waiver shall be governed by and construed in accordance with the law of the State of New York.</w:t>
      </w:r>
    </w:p>
    <w:p>
      <w:pPr>
        <w:spacing w:after="0" w:line="147" w:lineRule="exact"/>
        <w:rPr>
          <w:rFonts w:ascii="Arial" w:cs="Arial" w:eastAsia="Arial" w:hAnsi="Arial"/>
          <w:sz w:val="13"/>
          <w:szCs w:val="13"/>
          <w:color w:val="auto"/>
        </w:rPr>
      </w:pPr>
    </w:p>
    <w:p>
      <w:pPr>
        <w:ind w:left="-20" w:right="100" w:firstLine="875"/>
        <w:spacing w:after="0" w:line="271" w:lineRule="auto"/>
        <w:tabs>
          <w:tab w:leader="none" w:pos="1428"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No. 4 and Limited Waiver may be signed in any number of counterparts, each of which shall be an original, with the same effect as if the signatures thereto and hereto were upon the same instrument.</w:t>
      </w:r>
    </w:p>
    <w:p>
      <w:pPr>
        <w:spacing w:after="0" w:line="112" w:lineRule="exact"/>
        <w:rPr>
          <w:rFonts w:ascii="Arial" w:cs="Arial" w:eastAsia="Arial" w:hAnsi="Arial"/>
          <w:sz w:val="13"/>
          <w:szCs w:val="13"/>
          <w:color w:val="auto"/>
        </w:rPr>
      </w:pPr>
    </w:p>
    <w:p>
      <w:pPr>
        <w:ind w:left="1460" w:hanging="605"/>
        <w:spacing w:after="0"/>
        <w:tabs>
          <w:tab w:leader="none" w:pos="14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Waiver of Right of Trial by Jury</w:t>
      </w:r>
      <w:r>
        <w:rPr>
          <w:rFonts w:ascii="Arial" w:cs="Arial" w:eastAsia="Arial" w:hAnsi="Arial"/>
          <w:sz w:val="13"/>
          <w:szCs w:val="13"/>
          <w:color w:val="auto"/>
        </w:rPr>
        <w:t xml:space="preserve">. Section 10.16 of the Credit Agreement is incorporated herein by reference, </w:t>
      </w:r>
      <w:r>
        <w:rPr>
          <w:rFonts w:ascii="Arial" w:cs="Arial" w:eastAsia="Arial" w:hAnsi="Arial"/>
          <w:sz w:val="13"/>
          <w:szCs w:val="13"/>
          <w:i w:val="1"/>
          <w:iCs w:val="1"/>
          <w:color w:val="auto"/>
        </w:rPr>
        <w:t>mutatis mutandis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20" w:right="60" w:firstLine="875"/>
        <w:spacing w:after="0" w:line="271" w:lineRule="auto"/>
        <w:tabs>
          <w:tab w:leader="none" w:pos="1526"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Effect of Amendment No. 4 and Limited Waiver</w:t>
      </w:r>
      <w:r>
        <w:rPr>
          <w:rFonts w:ascii="Arial" w:cs="Arial" w:eastAsia="Arial" w:hAnsi="Arial"/>
          <w:sz w:val="12"/>
          <w:szCs w:val="12"/>
          <w:color w:val="auto"/>
        </w:rPr>
        <w:t>. Except as expressly set forth herein, (i) this Amendment No. 4 and Limited Waiver shall not by implication or otherwise limit, impair, constitute a waiver of or otherwise affect the rights and remedies of the Lenders, the Administrative Agent or any other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Each and every term, condition, obligation, covenant and agreement contained in the Credit Agreement as amended hereby, or any other Loan Document, is hereby ratified and re-affirmed in all respects and shall continue in full force and effect. This Amendment No. 4 and Limited Waiver shall constitute a Loan Document for all purposes and from and after the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after giving effect to this Amendment No. 4 and Limited Waiver. Each of the Loan Parties hereby consents to this Amendment No. 4 and Limited Waiver and confirms and reaffirms (i) that all obligations of such Loan Party under the Loan Documents to which such Loan Party is a party shall continue to apply to the Credit Agreement as amended hereby, (ii) its guaranty of the Obligations, (iii) its prior pledges and grants of security interests and Liens on the Collateral to secure the Obligations pursuant to the Collateral Documents and (iv) such Guarantees, prior pledges and grants of security interests and liens on the Collateral to secure the Obligations, as applicable, shall continue to be in full force and effect and shall continue to inure to the benefit of the Collateral Agent, the Lenders and the other Secured Parties. This Agreement shall not constitute a novation of the Credit Agreement or any other Loan Document.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167640</wp:posOffset>
            </wp:positionV>
            <wp:extent cx="732917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40" w:top="291" w:right="219" w:bottom="1440" w:gutter="0" w:footer="0" w:header="0"/>
        </w:sectPr>
      </w:pPr>
    </w:p>
    <w:bookmarkStart w:id="133" w:name="page134"/>
    <w:bookmarkEnd w:id="133"/>
    <w:p>
      <w:pPr>
        <w:ind w:left="-40" w:firstLine="875"/>
        <w:spacing w:after="0" w:line="271" w:lineRule="auto"/>
        <w:tabs>
          <w:tab w:leader="none" w:pos="1436"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Amendment No. 4 and Limited Waiver Lead Arranger</w:t>
      </w:r>
      <w:r>
        <w:rPr>
          <w:rFonts w:ascii="Arial" w:cs="Arial" w:eastAsia="Arial" w:hAnsi="Arial"/>
          <w:sz w:val="13"/>
          <w:szCs w:val="13"/>
          <w:color w:val="auto"/>
        </w:rPr>
        <w:t>. Merrill Lynch, Pierce, Fenner &amp; Smith Incorporated is acting as lead arranger in connection with the Amendment No. 4 and Limited Waiver and shall be entitled to all rights, indemnities, privileges and immunities applicable to the “Arrangers” under the Loan Documents in connection herewith.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pages follow]</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167640</wp:posOffset>
            </wp:positionV>
            <wp:extent cx="732917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60" w:top="291" w:right="23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auto"/>
        </w:rPr>
        <w:t>IN WITNESS WHEREOF, the parties hereto have caused this Amendment No. 4 and Limited Waiver to be duly executed as of the date first above written.</w:t>
      </w:r>
    </w:p>
    <w:p>
      <w:pPr>
        <w:spacing w:after="0" w:line="148"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UNITI GROUP INC.</w:t>
      </w:r>
    </w:p>
    <w:p>
      <w:pPr>
        <w:spacing w:after="0" w:line="310" w:lineRule="exact"/>
        <w:rPr>
          <w:sz w:val="20"/>
          <w:szCs w:val="20"/>
          <w:color w:val="auto"/>
        </w:rPr>
      </w:pPr>
    </w:p>
    <w:tbl>
      <w:tblPr>
        <w:tblLayout w:type="fixed"/>
        <w:tblInd w:w="5220" w:type="dxa"/>
        <w:tblCellMar>
          <w:top w:w="0" w:type="dxa"/>
          <w:left w:w="0" w:type="dxa"/>
          <w:bottom w:w="0" w:type="dxa"/>
          <w:right w:w="0" w:type="dxa"/>
        </w:tblCellMar>
      </w:tblPr>
      <w:tr>
        <w:trPr>
          <w:trHeight w:val="164"/>
        </w:trPr>
        <w:tc>
          <w:tcPr>
            <w:tcW w:w="940" w:type="dxa"/>
            <w:vAlign w:val="bottom"/>
          </w:tcPr>
          <w:p>
            <w:pPr>
              <w:spacing w:after="0"/>
              <w:rPr>
                <w:sz w:val="20"/>
                <w:szCs w:val="20"/>
                <w:color w:val="auto"/>
              </w:rPr>
            </w:pPr>
            <w:r>
              <w:rPr>
                <w:rFonts w:ascii="Arial" w:cs="Arial" w:eastAsia="Arial" w:hAnsi="Arial"/>
                <w:sz w:val="13"/>
                <w:szCs w:val="13"/>
                <w:color w:val="auto"/>
              </w:rPr>
              <w:t>By:</w:t>
            </w:r>
          </w:p>
        </w:tc>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 Daniel Heard</w:t>
            </w:r>
          </w:p>
        </w:tc>
      </w:tr>
      <w:tr>
        <w:trPr>
          <w:trHeight w:val="141"/>
        </w:trPr>
        <w:tc>
          <w:tcPr>
            <w:tcW w:w="940" w:type="dxa"/>
            <w:vAlign w:val="bottom"/>
          </w:tcPr>
          <w:p>
            <w:pPr>
              <w:spacing w:after="0"/>
              <w:rPr>
                <w:sz w:val="12"/>
                <w:szCs w:val="12"/>
                <w:color w:val="auto"/>
              </w:rPr>
            </w:pPr>
          </w:p>
        </w:tc>
        <w:tc>
          <w:tcPr>
            <w:tcW w:w="4280" w:type="dxa"/>
            <w:vAlign w:val="bottom"/>
            <w:gridSpan w:val="3"/>
          </w:tcPr>
          <w:p>
            <w:pPr>
              <w:spacing w:after="0" w:line="141" w:lineRule="exact"/>
              <w:rPr>
                <w:sz w:val="20"/>
                <w:szCs w:val="20"/>
                <w:color w:val="auto"/>
              </w:rPr>
            </w:pPr>
            <w:r>
              <w:rPr>
                <w:rFonts w:ascii="Arial" w:cs="Arial" w:eastAsia="Arial" w:hAnsi="Arial"/>
                <w:sz w:val="13"/>
                <w:szCs w:val="13"/>
                <w:color w:val="auto"/>
              </w:rPr>
              <w:t>Name: Daniel Heard</w:t>
            </w:r>
          </w:p>
        </w:tc>
      </w:tr>
      <w:tr>
        <w:trPr>
          <w:trHeight w:val="166"/>
        </w:trPr>
        <w:tc>
          <w:tcPr>
            <w:tcW w:w="940" w:type="dxa"/>
            <w:vAlign w:val="bottom"/>
          </w:tcPr>
          <w:p>
            <w:pPr>
              <w:spacing w:after="0"/>
              <w:rPr>
                <w:sz w:val="14"/>
                <w:szCs w:val="14"/>
                <w:color w:val="auto"/>
              </w:rPr>
            </w:pPr>
          </w:p>
        </w:tc>
        <w:tc>
          <w:tcPr>
            <w:tcW w:w="4280" w:type="dxa"/>
            <w:vAlign w:val="bottom"/>
            <w:gridSpan w:val="3"/>
          </w:tcPr>
          <w:p>
            <w:pPr>
              <w:spacing w:after="0"/>
              <w:rPr>
                <w:sz w:val="20"/>
                <w:szCs w:val="20"/>
                <w:color w:val="auto"/>
              </w:rPr>
            </w:pPr>
            <w:r>
              <w:rPr>
                <w:rFonts w:ascii="Arial" w:cs="Arial" w:eastAsia="Arial" w:hAnsi="Arial"/>
                <w:sz w:val="13"/>
                <w:szCs w:val="13"/>
                <w:color w:val="auto"/>
              </w:rPr>
              <w:t>Title:Executive Vice President – General Counsel and Secretary</w:t>
            </w:r>
          </w:p>
        </w:tc>
      </w:tr>
      <w:tr>
        <w:trPr>
          <w:trHeight w:val="315"/>
        </w:trPr>
        <w:tc>
          <w:tcPr>
            <w:tcW w:w="5220" w:type="dxa"/>
            <w:vAlign w:val="bottom"/>
            <w:gridSpan w:val="4"/>
          </w:tcPr>
          <w:p>
            <w:pPr>
              <w:spacing w:after="0"/>
              <w:rPr>
                <w:sz w:val="20"/>
                <w:szCs w:val="20"/>
                <w:color w:val="auto"/>
              </w:rPr>
            </w:pPr>
            <w:r>
              <w:rPr>
                <w:rFonts w:ascii="Arial" w:cs="Arial" w:eastAsia="Arial" w:hAnsi="Arial"/>
                <w:sz w:val="13"/>
                <w:szCs w:val="13"/>
                <w:color w:val="auto"/>
              </w:rPr>
              <w:t>UNITI GROUP LP</w:t>
            </w:r>
          </w:p>
        </w:tc>
      </w:tr>
      <w:tr>
        <w:trPr>
          <w:trHeight w:val="481"/>
        </w:trPr>
        <w:tc>
          <w:tcPr>
            <w:tcW w:w="940" w:type="dxa"/>
            <w:vAlign w:val="bottom"/>
          </w:tcPr>
          <w:p>
            <w:pPr>
              <w:spacing w:after="0"/>
              <w:rPr>
                <w:sz w:val="20"/>
                <w:szCs w:val="20"/>
                <w:color w:val="auto"/>
              </w:rPr>
            </w:pPr>
            <w:r>
              <w:rPr>
                <w:rFonts w:ascii="Arial" w:cs="Arial" w:eastAsia="Arial" w:hAnsi="Arial"/>
                <w:sz w:val="13"/>
                <w:szCs w:val="13"/>
                <w:color w:val="auto"/>
              </w:rPr>
              <w:t>By: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80" w:type="dxa"/>
            <w:vAlign w:val="bottom"/>
          </w:tcPr>
          <w:p>
            <w:pPr>
              <w:spacing w:after="0" w:line="144" w:lineRule="exact"/>
              <w:rPr>
                <w:sz w:val="20"/>
                <w:szCs w:val="20"/>
                <w:color w:val="auto"/>
              </w:rPr>
            </w:pPr>
            <w:r>
              <w:rPr>
                <w:rFonts w:ascii="Arial" w:cs="Arial" w:eastAsia="Arial" w:hAnsi="Arial"/>
                <w:sz w:val="13"/>
                <w:szCs w:val="13"/>
                <w:color w:val="auto"/>
              </w:rPr>
              <w:t>Name:Daniel Heard</w:t>
            </w:r>
          </w:p>
        </w:tc>
      </w:tr>
      <w:tr>
        <w:trPr>
          <w:trHeight w:val="166"/>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Title:Executive Vice President – General Counsel and Secretary</w:t>
            </w:r>
          </w:p>
        </w:tc>
      </w:tr>
      <w:tr>
        <w:trPr>
          <w:trHeight w:val="856"/>
        </w:trPr>
        <w:tc>
          <w:tcPr>
            <w:tcW w:w="5220" w:type="dxa"/>
            <w:vAlign w:val="bottom"/>
            <w:gridSpan w:val="4"/>
          </w:tcPr>
          <w:p>
            <w:pPr>
              <w:spacing w:after="0"/>
              <w:rPr>
                <w:sz w:val="20"/>
                <w:szCs w:val="20"/>
                <w:color w:val="auto"/>
              </w:rPr>
            </w:pPr>
            <w:r>
              <w:rPr>
                <w:rFonts w:ascii="Arial" w:cs="Arial" w:eastAsia="Arial" w:hAnsi="Arial"/>
                <w:sz w:val="13"/>
                <w:szCs w:val="13"/>
                <w:color w:val="auto"/>
              </w:rPr>
              <w:t>UNITI GROUP FINANCE INC.</w:t>
            </w:r>
          </w:p>
        </w:tc>
      </w:tr>
      <w:tr>
        <w:trPr>
          <w:trHeight w:val="310"/>
        </w:trPr>
        <w:tc>
          <w:tcPr>
            <w:tcW w:w="940" w:type="dxa"/>
            <w:vAlign w:val="bottom"/>
          </w:tcPr>
          <w:p>
            <w:pPr>
              <w:spacing w:after="0"/>
              <w:rPr>
                <w:sz w:val="20"/>
                <w:szCs w:val="20"/>
                <w:color w:val="auto"/>
              </w:rPr>
            </w:pPr>
            <w:r>
              <w:rPr>
                <w:rFonts w:ascii="Arial" w:cs="Arial" w:eastAsia="Arial" w:hAnsi="Arial"/>
                <w:sz w:val="13"/>
                <w:szCs w:val="13"/>
                <w:color w:val="auto"/>
              </w:rPr>
              <w:t>By: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4"/>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80" w:type="dxa"/>
            <w:vAlign w:val="bottom"/>
          </w:tcPr>
          <w:p>
            <w:pPr>
              <w:spacing w:after="0" w:line="144" w:lineRule="exact"/>
              <w:rPr>
                <w:sz w:val="20"/>
                <w:szCs w:val="20"/>
                <w:color w:val="auto"/>
              </w:rPr>
            </w:pPr>
            <w:r>
              <w:rPr>
                <w:rFonts w:ascii="Arial" w:cs="Arial" w:eastAsia="Arial" w:hAnsi="Arial"/>
                <w:sz w:val="13"/>
                <w:szCs w:val="13"/>
                <w:color w:val="auto"/>
              </w:rPr>
              <w:t>Name:Daniel Heard</w:t>
            </w:r>
          </w:p>
        </w:tc>
      </w:tr>
      <w:tr>
        <w:trPr>
          <w:trHeight w:val="166"/>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Title:Executive Vice President – General Counsel and Secretary</w:t>
            </w:r>
          </w:p>
        </w:tc>
      </w:tr>
      <w:tr>
        <w:trPr>
          <w:trHeight w:val="856"/>
        </w:trPr>
        <w:tc>
          <w:tcPr>
            <w:tcW w:w="5220" w:type="dxa"/>
            <w:vAlign w:val="bottom"/>
            <w:gridSpan w:val="4"/>
          </w:tcPr>
          <w:p>
            <w:pPr>
              <w:spacing w:after="0"/>
              <w:rPr>
                <w:sz w:val="20"/>
                <w:szCs w:val="20"/>
                <w:color w:val="auto"/>
              </w:rPr>
            </w:pPr>
            <w:r>
              <w:rPr>
                <w:rFonts w:ascii="Arial" w:cs="Arial" w:eastAsia="Arial" w:hAnsi="Arial"/>
                <w:sz w:val="13"/>
                <w:szCs w:val="13"/>
                <w:color w:val="auto"/>
              </w:rPr>
              <w:t>UNITI FIBER HOLDINGS INC.</w:t>
            </w:r>
          </w:p>
        </w:tc>
      </w:tr>
      <w:tr>
        <w:trPr>
          <w:trHeight w:val="457"/>
        </w:trPr>
        <w:tc>
          <w:tcPr>
            <w:tcW w:w="940" w:type="dxa"/>
            <w:vAlign w:val="bottom"/>
          </w:tcPr>
          <w:p>
            <w:pPr>
              <w:spacing w:after="0"/>
              <w:rPr>
                <w:sz w:val="20"/>
                <w:szCs w:val="20"/>
                <w:color w:val="auto"/>
              </w:rPr>
            </w:pPr>
            <w:r>
              <w:rPr>
                <w:rFonts w:ascii="Arial" w:cs="Arial" w:eastAsia="Arial" w:hAnsi="Arial"/>
                <w:sz w:val="13"/>
                <w:szCs w:val="13"/>
                <w:color w:val="auto"/>
              </w:rPr>
              <w:t>By:</w:t>
            </w:r>
          </w:p>
        </w:tc>
        <w:tc>
          <w:tcPr>
            <w:tcW w:w="20" w:type="dxa"/>
            <w:vAlign w:val="bottom"/>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Daniel Heard</w:t>
            </w:r>
          </w:p>
        </w:tc>
      </w:tr>
      <w:tr>
        <w:trPr>
          <w:trHeight w:val="141"/>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gridSpan w:val="2"/>
          </w:tcPr>
          <w:p>
            <w:pPr>
              <w:spacing w:after="0" w:line="141" w:lineRule="exact"/>
              <w:rPr>
                <w:sz w:val="20"/>
                <w:szCs w:val="20"/>
                <w:color w:val="auto"/>
              </w:rPr>
            </w:pPr>
            <w:r>
              <w:rPr>
                <w:rFonts w:ascii="Arial" w:cs="Arial" w:eastAsia="Arial" w:hAnsi="Arial"/>
                <w:sz w:val="13"/>
                <w:szCs w:val="13"/>
                <w:color w:val="auto"/>
              </w:rPr>
              <w:t>Name:Daniel Heard</w:t>
            </w:r>
          </w:p>
        </w:tc>
      </w:tr>
      <w:tr>
        <w:trPr>
          <w:trHeight w:val="166"/>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Title:Executive Vice President – General Counsel and Secretary</w:t>
            </w:r>
          </w:p>
        </w:tc>
      </w:tr>
      <w:tr>
        <w:trPr>
          <w:trHeight w:val="324"/>
        </w:trPr>
        <w:tc>
          <w:tcPr>
            <w:tcW w:w="5220" w:type="dxa"/>
            <w:vAlign w:val="bottom"/>
            <w:gridSpan w:val="4"/>
          </w:tcPr>
          <w:p>
            <w:pPr>
              <w:spacing w:after="0"/>
              <w:rPr>
                <w:sz w:val="20"/>
                <w:szCs w:val="20"/>
                <w:color w:val="auto"/>
              </w:rPr>
            </w:pPr>
            <w:r>
              <w:rPr>
                <w:rFonts w:ascii="Arial" w:cs="Arial" w:eastAsia="Arial" w:hAnsi="Arial"/>
                <w:sz w:val="13"/>
                <w:szCs w:val="13"/>
                <w:color w:val="auto"/>
              </w:rPr>
              <w:t>CSL CAPITAL, LLC</w:t>
            </w:r>
          </w:p>
        </w:tc>
      </w:tr>
      <w:tr>
        <w:trPr>
          <w:trHeight w:val="457"/>
        </w:trPr>
        <w:tc>
          <w:tcPr>
            <w:tcW w:w="940" w:type="dxa"/>
            <w:vAlign w:val="bottom"/>
          </w:tcPr>
          <w:p>
            <w:pPr>
              <w:spacing w:after="0"/>
              <w:rPr>
                <w:sz w:val="20"/>
                <w:szCs w:val="20"/>
                <w:color w:val="auto"/>
              </w:rPr>
            </w:pPr>
            <w:r>
              <w:rPr>
                <w:rFonts w:ascii="Arial" w:cs="Arial" w:eastAsia="Arial" w:hAnsi="Arial"/>
                <w:sz w:val="13"/>
                <w:szCs w:val="13"/>
                <w:color w:val="auto"/>
              </w:rPr>
              <w:t>By:</w:t>
            </w:r>
          </w:p>
        </w:tc>
        <w:tc>
          <w:tcPr>
            <w:tcW w:w="20" w:type="dxa"/>
            <w:vAlign w:val="bottom"/>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Daniel Heard</w:t>
            </w:r>
          </w:p>
        </w:tc>
      </w:tr>
      <w:tr>
        <w:trPr>
          <w:trHeight w:val="155"/>
        </w:trPr>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Name:Daniel Heard</w:t>
            </w:r>
          </w:p>
        </w:tc>
      </w:tr>
    </w:tbl>
    <w:p>
      <w:pPr>
        <w:spacing w:after="0" w:line="130"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[Signature Page to Amendment No. 4 and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207645</wp:posOffset>
            </wp:positionV>
            <wp:extent cx="732917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440"/>
          </w:cols>
          <w:pgMar w:left="1260" w:top="291" w:right="1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color w:val="auto"/>
        </w:rPr>
        <w:t>Title:Executive Vice President – General Counsel and Secretary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Amendment No. 4 and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215265</wp:posOffset>
            </wp:positionV>
            <wp:extent cx="732917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380"/>
          </w:cols>
          <w:pgMar w:left="1440" w:top="291" w:right="1079" w:bottom="1440" w:gutter="0" w:footer="0" w:header="0"/>
        </w:sectPr>
      </w:pPr>
    </w:p>
    <w:bookmarkStart w:id="136" w:name="page137"/>
    <w:bookmarkEnd w:id="136"/>
    <w:p>
      <w:pPr>
        <w:ind w:left="5860"/>
        <w:spacing w:after="0"/>
        <w:rPr>
          <w:sz w:val="20"/>
          <w:szCs w:val="20"/>
          <w:color w:val="auto"/>
        </w:rPr>
      </w:pPr>
      <w:r>
        <w:rPr>
          <w:rFonts w:ascii="Arial" w:cs="Arial" w:eastAsia="Arial" w:hAnsi="Arial"/>
          <w:sz w:val="13"/>
          <w:szCs w:val="13"/>
          <w:color w:val="auto"/>
        </w:rPr>
        <w:t>CONTACT NETWORK, LLC</w:t>
      </w:r>
    </w:p>
    <w:p>
      <w:pPr>
        <w:spacing w:after="0" w:line="1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NATIONAL GP,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ALABAMA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ARKANSAS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FLORIDA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IOWA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MISSISSIPPI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MISSOURI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NEW MEXICO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OHIO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OKLAHOMA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REALTY,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TEXAS SYSTEM,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NORTH CAROLINA REALTY GP,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TENNESSEE REALTY PARTNER,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CSL TENNESSEE REALTY,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HUNT TELECOMMUNICATIONS,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INFORMATION TRANSPORT SOLUTIONS, INC.</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NEXUS SYSTEMS, INC.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DC,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DE,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IA,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LA,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MA,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MS,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TX,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PEG BANDWIDTH VA,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DARK FIBER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FIBER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LEASING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LEASING X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LEASING XI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TOWERS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TOWERS NMS HOLDINGS LLC</w:t>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UNITI TOWERS – NMS INVESTOR LLC</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60" w:type="dxa"/>
            <w:vAlign w:val="bottom"/>
          </w:tcPr>
          <w:p>
            <w:pPr>
              <w:spacing w:after="0"/>
              <w:rPr>
                <w:sz w:val="20"/>
                <w:szCs w:val="20"/>
                <w:color w:val="auto"/>
              </w:rPr>
            </w:pPr>
            <w:r>
              <w:rPr>
                <w:rFonts w:ascii="Arial" w:cs="Arial" w:eastAsia="Arial" w:hAnsi="Arial"/>
                <w:sz w:val="13"/>
                <w:szCs w:val="13"/>
                <w:color w:val="auto"/>
              </w:rPr>
              <w:t>By:</w:t>
            </w:r>
          </w:p>
        </w:tc>
        <w:tc>
          <w:tcPr>
            <w:tcW w:w="5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1"/>
        </w:trPr>
        <w:tc>
          <w:tcPr>
            <w:tcW w:w="1260" w:type="dxa"/>
            <w:vAlign w:val="bottom"/>
          </w:tcPr>
          <w:p>
            <w:pPr>
              <w:spacing w:after="0"/>
              <w:rPr>
                <w:sz w:val="12"/>
                <w:szCs w:val="12"/>
                <w:color w:val="auto"/>
              </w:rPr>
            </w:pPr>
          </w:p>
        </w:tc>
        <w:tc>
          <w:tcPr>
            <w:tcW w:w="5580" w:type="dxa"/>
            <w:vAlign w:val="bottom"/>
          </w:tcPr>
          <w:p>
            <w:pPr>
              <w:spacing w:after="0" w:line="141" w:lineRule="exact"/>
              <w:rPr>
                <w:sz w:val="20"/>
                <w:szCs w:val="20"/>
                <w:color w:val="auto"/>
              </w:rPr>
            </w:pPr>
            <w:r>
              <w:rPr>
                <w:rFonts w:ascii="Arial" w:cs="Arial" w:eastAsia="Arial" w:hAnsi="Arial"/>
                <w:sz w:val="13"/>
                <w:szCs w:val="13"/>
                <w:color w:val="auto"/>
              </w:rPr>
              <w:t>Name:Daniel Heard</w:t>
            </w:r>
          </w:p>
        </w:tc>
      </w:tr>
      <w:tr>
        <w:trPr>
          <w:trHeight w:val="166"/>
        </w:trPr>
        <w:tc>
          <w:tcPr>
            <w:tcW w:w="126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Title:Executive Vice President – General Counsel and Secretary</w:t>
            </w:r>
          </w:p>
        </w:tc>
      </w:tr>
    </w:tbl>
    <w:p>
      <w:pPr>
        <w:spacing w:after="0" w:line="200" w:lineRule="exact"/>
        <w:rPr>
          <w:sz w:val="20"/>
          <w:szCs w:val="20"/>
          <w:color w:val="auto"/>
        </w:rPr>
      </w:pPr>
    </w:p>
    <w:p>
      <w:pPr>
        <w:spacing w:after="0" w:line="35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[Signature Page to Amendment No. 4 and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207645</wp:posOffset>
            </wp:positionV>
            <wp:extent cx="732917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453" w:right="1440" w:bottom="1440" w:gutter="0" w:footer="0" w:header="0"/>
        </w:sectPr>
      </w:pPr>
    </w:p>
    <w:bookmarkStart w:id="137" w:name="page138"/>
    <w:bookmarkEnd w:id="137"/>
    <w:p>
      <w:pPr>
        <w:ind w:left="6260"/>
        <w:spacing w:after="0"/>
        <w:rPr>
          <w:sz w:val="20"/>
          <w:szCs w:val="20"/>
          <w:color w:val="auto"/>
        </w:rPr>
      </w:pPr>
      <w:r>
        <w:rPr>
          <w:rFonts w:ascii="Arial" w:cs="Arial" w:eastAsia="Arial" w:hAnsi="Arial"/>
          <w:sz w:val="13"/>
          <w:szCs w:val="13"/>
          <w:color w:val="auto"/>
        </w:rPr>
        <w:t>CSL NATIONAL, LP, as a Guarantor</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By: CSL NATIONAL GP, LLC, as its general partner</w:t>
      </w:r>
    </w:p>
    <w:p>
      <w:pPr>
        <w:spacing w:after="0" w:line="175" w:lineRule="exact"/>
        <w:rPr>
          <w:sz w:val="20"/>
          <w:szCs w:val="20"/>
          <w:color w:val="auto"/>
        </w:rPr>
      </w:pPr>
    </w:p>
    <w:tbl>
      <w:tblPr>
        <w:tblLayout w:type="fixed"/>
        <w:tblInd w:w="720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4"/>
        </w:trPr>
        <w:tc>
          <w:tcPr>
            <w:tcW w:w="780" w:type="dxa"/>
            <w:vAlign w:val="bottom"/>
          </w:tcPr>
          <w:p>
            <w:pPr>
              <w:spacing w:after="0"/>
              <w:rPr>
                <w:sz w:val="12"/>
                <w:szCs w:val="12"/>
                <w:color w:val="auto"/>
              </w:rPr>
            </w:pPr>
          </w:p>
        </w:tc>
        <w:tc>
          <w:tcPr>
            <w:tcW w:w="3500" w:type="dxa"/>
            <w:vAlign w:val="bottom"/>
          </w:tcPr>
          <w:p>
            <w:pPr>
              <w:spacing w:after="0" w:line="144" w:lineRule="exact"/>
              <w:rPr>
                <w:sz w:val="20"/>
                <w:szCs w:val="20"/>
                <w:color w:val="auto"/>
              </w:rPr>
            </w:pPr>
            <w:r>
              <w:rPr>
                <w:rFonts w:ascii="Arial" w:cs="Arial" w:eastAsia="Arial" w:hAnsi="Arial"/>
                <w:sz w:val="13"/>
                <w:szCs w:val="13"/>
                <w:color w:val="auto"/>
              </w:rPr>
              <w:t>Name:Daniel Heard</w:t>
            </w:r>
          </w:p>
        </w:tc>
      </w:tr>
      <w:tr>
        <w:trPr>
          <w:trHeight w:val="166"/>
        </w:trPr>
        <w:tc>
          <w:tcPr>
            <w:tcW w:w="7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4"/>
              </w:rPr>
              <w:t>Title:Executive Vice President – General Counsel and Secretary</w:t>
            </w:r>
          </w:p>
        </w:tc>
      </w:tr>
    </w:tbl>
    <w:p>
      <w:pPr>
        <w:spacing w:after="0" w:line="321"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CSL NORTH CAROLINA REALTY, LP, as a Guarantor</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By: CSL NORTH CAROLINA REALTY GP, LLC, as its general partner</w:t>
      </w:r>
    </w:p>
    <w:p>
      <w:pPr>
        <w:spacing w:after="0" w:line="175" w:lineRule="exact"/>
        <w:rPr>
          <w:sz w:val="20"/>
          <w:szCs w:val="20"/>
          <w:color w:val="auto"/>
        </w:rPr>
      </w:pPr>
    </w:p>
    <w:tbl>
      <w:tblPr>
        <w:tblLayout w:type="fixed"/>
        <w:tblInd w:w="720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4"/>
        </w:trPr>
        <w:tc>
          <w:tcPr>
            <w:tcW w:w="780" w:type="dxa"/>
            <w:vAlign w:val="bottom"/>
          </w:tcPr>
          <w:p>
            <w:pPr>
              <w:spacing w:after="0"/>
              <w:rPr>
                <w:sz w:val="12"/>
                <w:szCs w:val="12"/>
                <w:color w:val="auto"/>
              </w:rPr>
            </w:pPr>
          </w:p>
        </w:tc>
        <w:tc>
          <w:tcPr>
            <w:tcW w:w="3500" w:type="dxa"/>
            <w:vAlign w:val="bottom"/>
          </w:tcPr>
          <w:p>
            <w:pPr>
              <w:spacing w:after="0" w:line="144" w:lineRule="exact"/>
              <w:rPr>
                <w:sz w:val="20"/>
                <w:szCs w:val="20"/>
                <w:color w:val="auto"/>
              </w:rPr>
            </w:pPr>
            <w:r>
              <w:rPr>
                <w:rFonts w:ascii="Arial" w:cs="Arial" w:eastAsia="Arial" w:hAnsi="Arial"/>
                <w:sz w:val="13"/>
                <w:szCs w:val="13"/>
                <w:color w:val="auto"/>
              </w:rPr>
              <w:t>Name:Daniel Heard</w:t>
            </w:r>
          </w:p>
        </w:tc>
      </w:tr>
      <w:tr>
        <w:trPr>
          <w:trHeight w:val="166"/>
        </w:trPr>
        <w:tc>
          <w:tcPr>
            <w:tcW w:w="7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4"/>
              </w:rPr>
              <w:t>Title:Executive Vice President – General Counsel and Secretary</w:t>
            </w:r>
          </w:p>
        </w:tc>
      </w:tr>
    </w:tbl>
    <w:p>
      <w:pPr>
        <w:spacing w:after="0" w:line="321"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CSL NORTH CAROLINA SYSTEM, LP, as a Guarantor</w:t>
      </w:r>
    </w:p>
    <w:p>
      <w:pPr>
        <w:spacing w:after="0" w:line="166" w:lineRule="exact"/>
        <w:rPr>
          <w:sz w:val="20"/>
          <w:szCs w:val="20"/>
          <w:color w:val="auto"/>
        </w:rPr>
      </w:pPr>
    </w:p>
    <w:p>
      <w:pPr>
        <w:jc w:val="right"/>
        <w:ind w:right="840"/>
        <w:spacing w:after="0"/>
        <w:rPr>
          <w:sz w:val="20"/>
          <w:szCs w:val="20"/>
          <w:color w:val="auto"/>
        </w:rPr>
      </w:pPr>
      <w:r>
        <w:rPr>
          <w:rFonts w:ascii="Arial" w:cs="Arial" w:eastAsia="Arial" w:hAnsi="Arial"/>
          <w:sz w:val="13"/>
          <w:szCs w:val="13"/>
          <w:color w:val="auto"/>
        </w:rPr>
        <w:t>By: CSL NORTH CAROLINA REALTY GP, LLC, as its general partner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40" w:type="dxa"/>
            <w:vAlign w:val="bottom"/>
          </w:tcPr>
          <w:p>
            <w:pPr>
              <w:ind w:left="7260"/>
              <w:spacing w:after="0"/>
              <w:rPr>
                <w:sz w:val="20"/>
                <w:szCs w:val="20"/>
                <w:color w:val="auto"/>
              </w:rPr>
            </w:pPr>
            <w:r>
              <w:rPr>
                <w:rFonts w:ascii="Arial" w:cs="Arial" w:eastAsia="Arial" w:hAnsi="Arial"/>
                <w:sz w:val="13"/>
                <w:szCs w:val="13"/>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c>
          <w:tcPr>
            <w:tcW w:w="20" w:type="dxa"/>
            <w:vAlign w:val="bottom"/>
          </w:tcPr>
          <w:p>
            <w:pPr>
              <w:spacing w:after="0"/>
              <w:rPr>
                <w:sz w:val="14"/>
                <w:szCs w:val="14"/>
                <w:color w:val="auto"/>
              </w:rPr>
            </w:pPr>
          </w:p>
        </w:tc>
      </w:tr>
      <w:tr>
        <w:trPr>
          <w:trHeight w:val="144"/>
        </w:trPr>
        <w:tc>
          <w:tcPr>
            <w:tcW w:w="8040" w:type="dxa"/>
            <w:vAlign w:val="bottom"/>
          </w:tcPr>
          <w:p>
            <w:pPr>
              <w:spacing w:after="0"/>
              <w:rPr>
                <w:sz w:val="12"/>
                <w:szCs w:val="12"/>
                <w:color w:val="auto"/>
              </w:rPr>
            </w:pPr>
          </w:p>
        </w:tc>
        <w:tc>
          <w:tcPr>
            <w:tcW w:w="3440" w:type="dxa"/>
            <w:vAlign w:val="bottom"/>
          </w:tcPr>
          <w:p>
            <w:pPr>
              <w:spacing w:after="0" w:line="144" w:lineRule="exact"/>
              <w:rPr>
                <w:sz w:val="20"/>
                <w:szCs w:val="20"/>
                <w:color w:val="auto"/>
              </w:rPr>
            </w:pPr>
            <w:r>
              <w:rPr>
                <w:rFonts w:ascii="Arial" w:cs="Arial" w:eastAsia="Arial" w:hAnsi="Arial"/>
                <w:sz w:val="13"/>
                <w:szCs w:val="13"/>
                <w:color w:val="auto"/>
              </w:rPr>
              <w:t>Name: Daniel Heard</w:t>
            </w:r>
          </w:p>
        </w:tc>
        <w:tc>
          <w:tcPr>
            <w:tcW w:w="20" w:type="dxa"/>
            <w:vAlign w:val="bottom"/>
          </w:tcPr>
          <w:p>
            <w:pPr>
              <w:spacing w:after="0"/>
              <w:rPr>
                <w:sz w:val="12"/>
                <w:szCs w:val="12"/>
                <w:color w:val="auto"/>
              </w:rPr>
            </w:pPr>
          </w:p>
        </w:tc>
      </w:tr>
      <w:tr>
        <w:trPr>
          <w:trHeight w:val="153"/>
        </w:trPr>
        <w:tc>
          <w:tcPr>
            <w:tcW w:w="804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Title:  Executive Vice President –General Counsel and</w:t>
            </w:r>
          </w:p>
        </w:tc>
        <w:tc>
          <w:tcPr>
            <w:tcW w:w="20" w:type="dxa"/>
            <w:vAlign w:val="bottom"/>
          </w:tcPr>
          <w:p>
            <w:pPr>
              <w:spacing w:after="0"/>
              <w:rPr>
                <w:sz w:val="13"/>
                <w:szCs w:val="13"/>
                <w:color w:val="auto"/>
              </w:rPr>
            </w:pPr>
          </w:p>
        </w:tc>
      </w:tr>
      <w:tr>
        <w:trPr>
          <w:trHeight w:val="166"/>
        </w:trPr>
        <w:tc>
          <w:tcPr>
            <w:tcW w:w="8040" w:type="dxa"/>
            <w:vAlign w:val="bottom"/>
          </w:tcPr>
          <w:p>
            <w:pPr>
              <w:spacing w:after="0"/>
              <w:rPr>
                <w:sz w:val="14"/>
                <w:szCs w:val="14"/>
                <w:color w:val="auto"/>
              </w:rPr>
            </w:pPr>
          </w:p>
        </w:tc>
        <w:tc>
          <w:tcPr>
            <w:tcW w:w="3440" w:type="dxa"/>
            <w:vAlign w:val="bottom"/>
          </w:tcPr>
          <w:p>
            <w:pPr>
              <w:ind w:left="440"/>
              <w:spacing w:after="0"/>
              <w:rPr>
                <w:sz w:val="20"/>
                <w:szCs w:val="20"/>
                <w:color w:val="auto"/>
              </w:rPr>
            </w:pPr>
            <w:r>
              <w:rPr>
                <w:rFonts w:ascii="Arial" w:cs="Arial" w:eastAsia="Arial" w:hAnsi="Arial"/>
                <w:sz w:val="13"/>
                <w:szCs w:val="13"/>
                <w:color w:val="auto"/>
              </w:rPr>
              <w:t>Secretary</w:t>
            </w:r>
          </w:p>
        </w:tc>
        <w:tc>
          <w:tcPr>
            <w:tcW w:w="20" w:type="dxa"/>
            <w:vAlign w:val="bottom"/>
          </w:tcPr>
          <w:p>
            <w:pPr>
              <w:spacing w:after="0"/>
              <w:rPr>
                <w:sz w:val="14"/>
                <w:szCs w:val="14"/>
                <w:color w:val="auto"/>
              </w:rPr>
            </w:pPr>
          </w:p>
        </w:tc>
      </w:tr>
      <w:tr>
        <w:trPr>
          <w:trHeight w:val="450"/>
        </w:trPr>
        <w:tc>
          <w:tcPr>
            <w:tcW w:w="8040" w:type="dxa"/>
            <w:vAlign w:val="bottom"/>
          </w:tcPr>
          <w:p>
            <w:pPr>
              <w:ind w:left="4180"/>
              <w:spacing w:after="0"/>
              <w:rPr>
                <w:sz w:val="20"/>
                <w:szCs w:val="20"/>
                <w:color w:val="auto"/>
              </w:rPr>
            </w:pPr>
            <w:r>
              <w:rPr>
                <w:rFonts w:ascii="Arial" w:cs="Arial" w:eastAsia="Arial" w:hAnsi="Arial"/>
                <w:sz w:val="13"/>
                <w:szCs w:val="13"/>
                <w:color w:val="auto"/>
              </w:rPr>
              <w:t>[Signature Page to Amendment No. 4 and Limited Waiver]</w:t>
            </w: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0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615" w:right="179" w:bottom="1440" w:gutter="0" w:footer="0" w:header="0"/>
        </w:sectPr>
      </w:pPr>
    </w:p>
    <w:bookmarkStart w:id="138" w:name="page139"/>
    <w:bookmarkEnd w:id="138"/>
    <w:p>
      <w:pPr>
        <w:ind w:left="5040"/>
        <w:spacing w:after="0"/>
        <w:rPr>
          <w:sz w:val="20"/>
          <w:szCs w:val="20"/>
          <w:color w:val="auto"/>
        </w:rPr>
      </w:pPr>
      <w:r>
        <w:rPr>
          <w:rFonts w:ascii="Arial" w:cs="Arial" w:eastAsia="Arial" w:hAnsi="Arial"/>
          <w:sz w:val="13"/>
          <w:szCs w:val="13"/>
          <w:color w:val="auto"/>
        </w:rPr>
        <w:t>UNITI HOLDINGS LP, as a Guarantor</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By: UNITI HOLDINGS GP LLC, as its general partner</w:t>
      </w:r>
    </w:p>
    <w:p>
      <w:pPr>
        <w:spacing w:after="0" w:line="175" w:lineRule="exact"/>
        <w:rPr>
          <w:sz w:val="20"/>
          <w:szCs w:val="20"/>
          <w:color w:val="auto"/>
        </w:rPr>
      </w:pPr>
    </w:p>
    <w:tbl>
      <w:tblPr>
        <w:tblLayout w:type="fixed"/>
        <w:tblInd w:w="604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Arial" w:cs="Arial" w:eastAsia="Arial" w:hAnsi="Arial"/>
                <w:sz w:val="13"/>
                <w:szCs w:val="13"/>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4"/>
        </w:trPr>
        <w:tc>
          <w:tcPr>
            <w:tcW w:w="780" w:type="dxa"/>
            <w:vAlign w:val="bottom"/>
          </w:tcPr>
          <w:p>
            <w:pPr>
              <w:spacing w:after="0"/>
              <w:rPr>
                <w:sz w:val="12"/>
                <w:szCs w:val="12"/>
                <w:color w:val="auto"/>
              </w:rPr>
            </w:pPr>
          </w:p>
        </w:tc>
        <w:tc>
          <w:tcPr>
            <w:tcW w:w="3440" w:type="dxa"/>
            <w:vAlign w:val="bottom"/>
          </w:tcPr>
          <w:p>
            <w:pPr>
              <w:spacing w:after="0" w:line="144" w:lineRule="exact"/>
              <w:rPr>
                <w:sz w:val="20"/>
                <w:szCs w:val="20"/>
                <w:color w:val="auto"/>
              </w:rPr>
            </w:pPr>
            <w:r>
              <w:rPr>
                <w:rFonts w:ascii="Arial" w:cs="Arial" w:eastAsia="Arial" w:hAnsi="Arial"/>
                <w:sz w:val="13"/>
                <w:szCs w:val="13"/>
                <w:color w:val="auto"/>
              </w:rPr>
              <w:t>Name: Daniel Heard</w:t>
            </w:r>
          </w:p>
        </w:tc>
      </w:tr>
      <w:tr>
        <w:trPr>
          <w:trHeight w:val="153"/>
        </w:trPr>
        <w:tc>
          <w:tcPr>
            <w:tcW w:w="7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Title:  Executive Vice President – General Counsel and</w:t>
            </w:r>
          </w:p>
        </w:tc>
      </w:tr>
      <w:tr>
        <w:trPr>
          <w:trHeight w:val="166"/>
        </w:trPr>
        <w:tc>
          <w:tcPr>
            <w:tcW w:w="780" w:type="dxa"/>
            <w:vAlign w:val="bottom"/>
          </w:tcPr>
          <w:p>
            <w:pPr>
              <w:spacing w:after="0"/>
              <w:rPr>
                <w:sz w:val="14"/>
                <w:szCs w:val="14"/>
                <w:color w:val="auto"/>
              </w:rPr>
            </w:pPr>
          </w:p>
        </w:tc>
        <w:tc>
          <w:tcPr>
            <w:tcW w:w="3440" w:type="dxa"/>
            <w:vAlign w:val="bottom"/>
          </w:tcPr>
          <w:p>
            <w:pPr>
              <w:ind w:left="440"/>
              <w:spacing w:after="0"/>
              <w:rPr>
                <w:sz w:val="20"/>
                <w:szCs w:val="20"/>
                <w:color w:val="auto"/>
              </w:rPr>
            </w:pPr>
            <w:r>
              <w:rPr>
                <w:rFonts w:ascii="Arial" w:cs="Arial" w:eastAsia="Arial" w:hAnsi="Arial"/>
                <w:sz w:val="13"/>
                <w:szCs w:val="13"/>
                <w:color w:val="auto"/>
              </w:rPr>
              <w:t>Secretary</w:t>
            </w:r>
          </w:p>
        </w:tc>
      </w:tr>
    </w:tbl>
    <w:p>
      <w:pPr>
        <w:spacing w:after="0" w:line="200" w:lineRule="exact"/>
        <w:rPr>
          <w:sz w:val="20"/>
          <w:szCs w:val="20"/>
          <w:color w:val="auto"/>
        </w:rPr>
      </w:pPr>
    </w:p>
    <w:p>
      <w:pPr>
        <w:spacing w:after="0" w:line="265"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UNITI LATAM LP, as a Guarantor</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By: UNITI LATAM GP LLC, as its general partner</w:t>
      </w:r>
    </w:p>
    <w:p>
      <w:pPr>
        <w:spacing w:after="0" w:line="175" w:lineRule="exact"/>
        <w:rPr>
          <w:sz w:val="20"/>
          <w:szCs w:val="20"/>
          <w:color w:val="auto"/>
        </w:rPr>
      </w:pPr>
    </w:p>
    <w:tbl>
      <w:tblPr>
        <w:tblLayout w:type="fixed"/>
        <w:tblInd w:w="604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Arial" w:cs="Arial" w:eastAsia="Arial" w:hAnsi="Arial"/>
                <w:sz w:val="13"/>
                <w:szCs w:val="13"/>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4"/>
        </w:trPr>
        <w:tc>
          <w:tcPr>
            <w:tcW w:w="780" w:type="dxa"/>
            <w:vAlign w:val="bottom"/>
          </w:tcPr>
          <w:p>
            <w:pPr>
              <w:spacing w:after="0"/>
              <w:rPr>
                <w:sz w:val="12"/>
                <w:szCs w:val="12"/>
                <w:color w:val="auto"/>
              </w:rPr>
            </w:pPr>
          </w:p>
        </w:tc>
        <w:tc>
          <w:tcPr>
            <w:tcW w:w="3440" w:type="dxa"/>
            <w:vAlign w:val="bottom"/>
          </w:tcPr>
          <w:p>
            <w:pPr>
              <w:spacing w:after="0" w:line="144" w:lineRule="exact"/>
              <w:rPr>
                <w:sz w:val="20"/>
                <w:szCs w:val="20"/>
                <w:color w:val="auto"/>
              </w:rPr>
            </w:pPr>
            <w:r>
              <w:rPr>
                <w:rFonts w:ascii="Arial" w:cs="Arial" w:eastAsia="Arial" w:hAnsi="Arial"/>
                <w:sz w:val="13"/>
                <w:szCs w:val="13"/>
                <w:color w:val="auto"/>
              </w:rPr>
              <w:t>Name:Daniel Heard</w:t>
            </w:r>
          </w:p>
        </w:tc>
      </w:tr>
      <w:tr>
        <w:trPr>
          <w:trHeight w:val="153"/>
        </w:trPr>
        <w:tc>
          <w:tcPr>
            <w:tcW w:w="7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Title:   Executive Vice President – General Counsel and</w:t>
            </w:r>
          </w:p>
        </w:tc>
      </w:tr>
      <w:tr>
        <w:trPr>
          <w:trHeight w:val="166"/>
        </w:trPr>
        <w:tc>
          <w:tcPr>
            <w:tcW w:w="780" w:type="dxa"/>
            <w:vAlign w:val="bottom"/>
          </w:tcPr>
          <w:p>
            <w:pPr>
              <w:spacing w:after="0"/>
              <w:rPr>
                <w:sz w:val="14"/>
                <w:szCs w:val="14"/>
                <w:color w:val="auto"/>
              </w:rPr>
            </w:pPr>
          </w:p>
        </w:tc>
        <w:tc>
          <w:tcPr>
            <w:tcW w:w="3440" w:type="dxa"/>
            <w:vAlign w:val="bottom"/>
          </w:tcPr>
          <w:p>
            <w:pPr>
              <w:ind w:left="440"/>
              <w:spacing w:after="0"/>
              <w:rPr>
                <w:sz w:val="20"/>
                <w:szCs w:val="20"/>
                <w:color w:val="auto"/>
              </w:rPr>
            </w:pPr>
            <w:r>
              <w:rPr>
                <w:rFonts w:ascii="Arial" w:cs="Arial" w:eastAsia="Arial" w:hAnsi="Arial"/>
                <w:sz w:val="13"/>
                <w:szCs w:val="13"/>
                <w:color w:val="auto"/>
              </w:rPr>
              <w:t>Secretary</w:t>
            </w:r>
          </w:p>
        </w:tc>
      </w:tr>
    </w:tbl>
    <w:p>
      <w:pPr>
        <w:spacing w:after="0" w:line="303"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UNITI QRS HOLDINGS LP, as a Guarantor</w:t>
      </w:r>
    </w:p>
    <w:p>
      <w:pPr>
        <w:spacing w:after="0" w:line="166" w:lineRule="exact"/>
        <w:rPr>
          <w:sz w:val="20"/>
          <w:szCs w:val="20"/>
          <w:color w:val="auto"/>
        </w:rPr>
      </w:pPr>
    </w:p>
    <w:p>
      <w:pPr>
        <w:jc w:val="right"/>
        <w:ind w:right="1680"/>
        <w:spacing w:after="0"/>
        <w:rPr>
          <w:sz w:val="20"/>
          <w:szCs w:val="20"/>
          <w:color w:val="auto"/>
        </w:rPr>
      </w:pPr>
      <w:r>
        <w:rPr>
          <w:rFonts w:ascii="Arial" w:cs="Arial" w:eastAsia="Arial" w:hAnsi="Arial"/>
          <w:sz w:val="13"/>
          <w:szCs w:val="13"/>
          <w:color w:val="auto"/>
        </w:rPr>
        <w:t>By: UNITI QRS Holdings GP LLC, as its general partner</w:t>
      </w:r>
    </w:p>
    <w:p>
      <w:pPr>
        <w:spacing w:after="0" w:line="175" w:lineRule="exact"/>
        <w:rPr>
          <w:sz w:val="20"/>
          <w:szCs w:val="20"/>
          <w:color w:val="auto"/>
        </w:rPr>
      </w:pPr>
    </w:p>
    <w:tbl>
      <w:tblPr>
        <w:tblLayout w:type="fixed"/>
        <w:tblInd w:w="598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Heard</w:t>
            </w:r>
          </w:p>
        </w:tc>
      </w:tr>
      <w:tr>
        <w:trPr>
          <w:trHeight w:val="144"/>
        </w:trPr>
        <w:tc>
          <w:tcPr>
            <w:tcW w:w="780" w:type="dxa"/>
            <w:vAlign w:val="bottom"/>
          </w:tcPr>
          <w:p>
            <w:pPr>
              <w:spacing w:after="0"/>
              <w:rPr>
                <w:sz w:val="12"/>
                <w:szCs w:val="12"/>
                <w:color w:val="auto"/>
              </w:rPr>
            </w:pPr>
          </w:p>
        </w:tc>
        <w:tc>
          <w:tcPr>
            <w:tcW w:w="3500" w:type="dxa"/>
            <w:vAlign w:val="bottom"/>
          </w:tcPr>
          <w:p>
            <w:pPr>
              <w:spacing w:after="0" w:line="144" w:lineRule="exact"/>
              <w:rPr>
                <w:sz w:val="20"/>
                <w:szCs w:val="20"/>
                <w:color w:val="auto"/>
              </w:rPr>
            </w:pPr>
            <w:r>
              <w:rPr>
                <w:rFonts w:ascii="Arial" w:cs="Arial" w:eastAsia="Arial" w:hAnsi="Arial"/>
                <w:sz w:val="13"/>
                <w:szCs w:val="13"/>
                <w:color w:val="auto"/>
              </w:rPr>
              <w:t>Name:Daniel Heard</w:t>
            </w:r>
          </w:p>
        </w:tc>
      </w:tr>
      <w:tr>
        <w:trPr>
          <w:trHeight w:val="166"/>
        </w:trPr>
        <w:tc>
          <w:tcPr>
            <w:tcW w:w="7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4"/>
              </w:rPr>
              <w:t>Title:Executive Vice President –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960"/>
        <w:spacing w:after="0"/>
        <w:rPr>
          <w:sz w:val="20"/>
          <w:szCs w:val="20"/>
          <w:color w:val="auto"/>
        </w:rPr>
      </w:pPr>
      <w:r>
        <w:rPr>
          <w:rFonts w:ascii="Arial" w:cs="Arial" w:eastAsia="Arial" w:hAnsi="Arial"/>
          <w:sz w:val="13"/>
          <w:szCs w:val="13"/>
          <w:color w:val="auto"/>
        </w:rPr>
        <w:t>[Signature Page to Amendment No. 4 and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207645</wp:posOffset>
            </wp:positionV>
            <wp:extent cx="732917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453" w:right="199" w:bottom="1440" w:gutter="0" w:footer="0" w:header="0"/>
        </w:sectPr>
      </w:pPr>
    </w:p>
    <w:bookmarkStart w:id="139" w:name="page140"/>
    <w:bookmarkEnd w:id="139"/>
    <w:p>
      <w:pPr>
        <w:ind w:left="5040"/>
        <w:spacing w:after="0"/>
        <w:rPr>
          <w:sz w:val="20"/>
          <w:szCs w:val="20"/>
          <w:color w:val="auto"/>
        </w:rPr>
      </w:pPr>
      <w:r>
        <w:rPr>
          <w:rFonts w:ascii="Arial" w:cs="Arial" w:eastAsia="Arial" w:hAnsi="Arial"/>
          <w:sz w:val="13"/>
          <w:szCs w:val="13"/>
          <w:color w:val="auto"/>
        </w:rPr>
        <w:t>BANK OF AMERICA, N.A.,</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as Administrative Agent</w:t>
      </w:r>
    </w:p>
    <w:p>
      <w:pPr>
        <w:spacing w:after="0" w:line="156" w:lineRule="exact"/>
        <w:rPr>
          <w:sz w:val="20"/>
          <w:szCs w:val="20"/>
          <w:color w:val="auto"/>
        </w:rPr>
      </w:pPr>
    </w:p>
    <w:tbl>
      <w:tblPr>
        <w:tblLayout w:type="fixed"/>
        <w:tblInd w:w="5040" w:type="dxa"/>
        <w:tblCellMar>
          <w:top w:w="0" w:type="dxa"/>
          <w:left w:w="0" w:type="dxa"/>
          <w:bottom w:w="0" w:type="dxa"/>
          <w:right w:w="0" w:type="dxa"/>
        </w:tblCellMar>
      </w:tblPr>
      <w:tr>
        <w:trPr>
          <w:trHeight w:val="164"/>
        </w:trPr>
        <w:tc>
          <w:tcPr>
            <w:tcW w:w="920" w:type="dxa"/>
            <w:vAlign w:val="bottom"/>
          </w:tcPr>
          <w:p>
            <w:pPr>
              <w:spacing w:after="0"/>
              <w:rPr>
                <w:sz w:val="20"/>
                <w:szCs w:val="20"/>
                <w:color w:val="auto"/>
              </w:rPr>
            </w:pPr>
            <w:r>
              <w:rPr>
                <w:rFonts w:ascii="Arial" w:cs="Arial" w:eastAsia="Arial" w:hAnsi="Arial"/>
                <w:sz w:val="13"/>
                <w:szCs w:val="13"/>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Laura L. Olson</w:t>
            </w:r>
          </w:p>
        </w:tc>
      </w:tr>
      <w:tr>
        <w:trPr>
          <w:trHeight w:val="132"/>
        </w:trPr>
        <w:tc>
          <w:tcPr>
            <w:tcW w:w="920" w:type="dxa"/>
            <w:vAlign w:val="bottom"/>
          </w:tcPr>
          <w:p>
            <w:pPr>
              <w:spacing w:after="0"/>
              <w:rPr>
                <w:sz w:val="11"/>
                <w:szCs w:val="11"/>
                <w:color w:val="auto"/>
              </w:rPr>
            </w:pPr>
          </w:p>
        </w:tc>
        <w:tc>
          <w:tcPr>
            <w:tcW w:w="4360" w:type="dxa"/>
            <w:vAlign w:val="bottom"/>
          </w:tcPr>
          <w:p>
            <w:pPr>
              <w:spacing w:after="0" w:line="132" w:lineRule="exact"/>
              <w:rPr>
                <w:sz w:val="20"/>
                <w:szCs w:val="20"/>
                <w:color w:val="auto"/>
              </w:rPr>
            </w:pPr>
            <w:r>
              <w:rPr>
                <w:rFonts w:ascii="Arial" w:cs="Arial" w:eastAsia="Arial" w:hAnsi="Arial"/>
                <w:sz w:val="13"/>
                <w:szCs w:val="13"/>
                <w:color w:val="auto"/>
              </w:rPr>
              <w:t>Name: Laura L. Olson</w:t>
            </w:r>
          </w:p>
        </w:tc>
      </w:tr>
      <w:tr>
        <w:trPr>
          <w:trHeight w:val="166"/>
        </w:trPr>
        <w:tc>
          <w:tcPr>
            <w:tcW w:w="9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Title: Vice President</w:t>
            </w:r>
          </w:p>
        </w:tc>
      </w:tr>
    </w:tbl>
    <w:p>
      <w:pPr>
        <w:spacing w:after="0" w:line="294"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Amendment No. 4 and Limited Waiver to Credit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104775</wp:posOffset>
            </wp:positionV>
            <wp:extent cx="732917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320"/>
          </w:cols>
          <w:pgMar w:left="1440" w:top="291" w:right="1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3"/>
          <w:szCs w:val="13"/>
          <w:color w:val="auto"/>
        </w:rPr>
        <w:t>Lender Signature Pages: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[On File with the Administrative Agent]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to Amendment No. 4 and Limited Waiver to Credit Agreement</w:t>
      </w:r>
      <w:r>
        <w:rPr>
          <w:rFonts w:ascii="Arial" w:cs="Arial" w:eastAsia="Arial" w:hAnsi="Arial"/>
          <w:sz w:val="11"/>
          <w:szCs w:val="11"/>
          <w:color w:val="auto"/>
        </w:rPr>
        <w:t>]</w:t>
      </w:r>
    </w:p>
    <w:p>
      <w:pPr>
        <w:sectPr>
          <w:pgSz w:w="11900" w:h="16838" w:orient="portrait"/>
          <w:cols w:equalWidth="0" w:num="1">
            <w:col w:w="9019"/>
          </w:cols>
          <w:pgMar w:left="1440" w:top="291" w:right="1440" w:bottom="1440" w:gutter="0" w:footer="0" w:header="0"/>
        </w:sectPr>
      </w:pPr>
    </w:p>
    <w:bookmarkStart w:id="141" w:name="page142"/>
    <w:bookmarkEnd w:id="141"/>
    <w:p>
      <w:pPr>
        <w:ind w:left="10800"/>
        <w:spacing w:after="0"/>
        <w:rPr>
          <w:sz w:val="20"/>
          <w:szCs w:val="20"/>
          <w:color w:val="auto"/>
        </w:rPr>
      </w:pPr>
      <w:r>
        <w:rPr>
          <w:rFonts w:ascii="Arial" w:cs="Arial" w:eastAsia="Arial" w:hAnsi="Arial"/>
          <w:sz w:val="11"/>
          <w:szCs w:val="11"/>
          <w:b w:val="1"/>
          <w:bCs w:val="1"/>
          <w:color w:val="auto"/>
        </w:rPr>
        <w:t>Exhibit 10.19</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UNITI GROUP INC.</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2015 EQUITY INCENTIVE PLAN</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RESTRICTED SHARES AGREEMENT - TIME-BASED VESTING ONLY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Summary of Restricted Share Grant</w:t>
      </w:r>
    </w:p>
    <w:p>
      <w:pPr>
        <w:spacing w:after="0" w:line="106" w:lineRule="exact"/>
        <w:rPr>
          <w:sz w:val="20"/>
          <w:szCs w:val="20"/>
          <w:color w:val="auto"/>
        </w:rPr>
      </w:pPr>
    </w:p>
    <w:p>
      <w:pPr>
        <w:ind w:right="160" w:firstLine="883"/>
        <w:spacing w:after="0" w:line="257" w:lineRule="auto"/>
        <w:rPr>
          <w:sz w:val="20"/>
          <w:szCs w:val="20"/>
          <w:color w:val="auto"/>
        </w:rPr>
      </w:pPr>
      <w:r>
        <w:rPr>
          <w:rFonts w:ascii="Arial" w:cs="Arial" w:eastAsia="Arial" w:hAnsi="Arial"/>
          <w:sz w:val="14"/>
          <w:szCs w:val="14"/>
          <w:color w:val="auto"/>
        </w:rPr>
        <w:t>Uniti Group Inc., a Maryland corporation (the “Company”), grants to the Grantee named below, in accordance with the terms of the Uniti Group Inc. 2015 Equity Incentive Plan (the “Plan”), and this Restricted Shares Agreement (the “Agreement”), the following number of Restricted Shares covered by this Agreement (the “Restricted Shares”), on the Date of Grant set forth below:</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Name of Grantee: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Number of Restricted Shares:</w:t>
      </w:r>
    </w:p>
    <w:p>
      <w:pPr>
        <w:spacing w:after="0" w:line="118" w:lineRule="exact"/>
        <w:rPr>
          <w:sz w:val="20"/>
          <w:szCs w:val="20"/>
          <w:color w:val="auto"/>
        </w:rPr>
      </w:pPr>
    </w:p>
    <w:p>
      <w:pPr>
        <w:ind w:left="60"/>
        <w:spacing w:after="0"/>
        <w:tabs>
          <w:tab w:leader="none" w:pos="1660" w:val="left"/>
        </w:tabs>
        <w:rPr>
          <w:sz w:val="20"/>
          <w:szCs w:val="20"/>
          <w:color w:val="auto"/>
        </w:rPr>
      </w:pPr>
      <w:r>
        <w:rPr>
          <w:rFonts w:ascii="Arial" w:cs="Arial" w:eastAsia="Arial" w:hAnsi="Arial"/>
          <w:sz w:val="14"/>
          <w:szCs w:val="14"/>
          <w:color w:val="auto"/>
        </w:rPr>
        <w:t>Date of Grant:</w:t>
      </w:r>
      <w:r>
        <w:rPr>
          <w:sz w:val="20"/>
          <w:szCs w:val="20"/>
          <w:color w:val="auto"/>
        </w:rPr>
        <w:tab/>
      </w:r>
      <w:r>
        <w:rPr>
          <w:rFonts w:ascii="Arial" w:cs="Arial" w:eastAsia="Arial" w:hAnsi="Arial"/>
          <w:sz w:val="13"/>
          <w:szCs w:val="13"/>
          <w:color w:val="auto"/>
        </w:rPr>
        <w:t>____________</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Terms of Agreement</w:t>
      </w:r>
    </w:p>
    <w:p>
      <w:pPr>
        <w:spacing w:after="0" w:line="114" w:lineRule="exact"/>
        <w:rPr>
          <w:sz w:val="20"/>
          <w:szCs w:val="20"/>
          <w:color w:val="auto"/>
        </w:rPr>
      </w:pPr>
    </w:p>
    <w:p>
      <w:pPr>
        <w:ind w:right="20" w:firstLine="875"/>
        <w:spacing w:after="0" w:line="279" w:lineRule="auto"/>
        <w:tabs>
          <w:tab w:leader="none" w:pos="1424"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Grant of Restricted Shares</w:t>
      </w:r>
      <w:r>
        <w:rPr>
          <w:rFonts w:ascii="Arial" w:cs="Arial" w:eastAsia="Arial" w:hAnsi="Arial"/>
          <w:sz w:val="14"/>
          <w:szCs w:val="14"/>
          <w:color w:val="auto"/>
        </w:rPr>
        <w:t>. Subject to and upon the terms, conditions, and restrictions set forth in this Agreement and in the Plan, the Company hereby grants to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as of the Date of Grant, the total number of Restricted Shares (the “Restricted Shares”) set forth above. The Restricted Shares shall be fully paid and nonassessable.</w:t>
      </w:r>
    </w:p>
    <w:p>
      <w:pPr>
        <w:spacing w:after="0" w:line="67" w:lineRule="exact"/>
        <w:rPr>
          <w:rFonts w:ascii="Arial" w:cs="Arial" w:eastAsia="Arial" w:hAnsi="Arial"/>
          <w:sz w:val="14"/>
          <w:szCs w:val="14"/>
          <w:b w:val="1"/>
          <w:bCs w:val="1"/>
          <w:color w:val="auto"/>
        </w:rPr>
      </w:pPr>
    </w:p>
    <w:p>
      <w:pPr>
        <w:ind w:left="1420" w:hanging="545"/>
        <w:spacing w:after="0"/>
        <w:tabs>
          <w:tab w:leader="none" w:pos="142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Vesting of Restricted Shares</w:t>
      </w:r>
      <w:r>
        <w:rPr>
          <w:rFonts w:ascii="Arial" w:cs="Arial" w:eastAsia="Arial" w:hAnsi="Arial"/>
          <w:sz w:val="14"/>
          <w:szCs w:val="14"/>
          <w:color w:val="auto"/>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ind w:left="260"/>
              <w:spacing w:after="0"/>
              <w:rPr>
                <w:sz w:val="20"/>
                <w:szCs w:val="20"/>
                <w:color w:val="auto"/>
              </w:rPr>
            </w:pPr>
            <w:r>
              <w:rPr>
                <w:rFonts w:ascii="Arial" w:cs="Arial" w:eastAsia="Arial" w:hAnsi="Arial"/>
                <w:sz w:val="14"/>
                <w:szCs w:val="14"/>
                <w:color w:val="auto"/>
              </w:rPr>
              <w:t>(a)</w:t>
            </w:r>
          </w:p>
        </w:tc>
        <w:tc>
          <w:tcPr>
            <w:tcW w:w="10400" w:type="dxa"/>
            <w:vAlign w:val="bottom"/>
            <w:gridSpan w:val="2"/>
          </w:tcPr>
          <w:p>
            <w:pPr>
              <w:ind w:left="2160"/>
              <w:spacing w:after="0"/>
              <w:rPr>
                <w:sz w:val="20"/>
                <w:szCs w:val="20"/>
                <w:color w:val="auto"/>
              </w:rPr>
            </w:pPr>
            <w:r>
              <w:rPr>
                <w:rFonts w:ascii="Arial" w:cs="Arial" w:eastAsia="Arial" w:hAnsi="Arial"/>
                <w:sz w:val="14"/>
                <w:szCs w:val="14"/>
                <w:color w:val="auto"/>
                <w:w w:val="94"/>
              </w:rPr>
              <w:t>The Restricted Shares shall become vested and nonforfeitable (“Vested”) if the Grantee shall have remained in the continuous employ of the</w:t>
            </w:r>
          </w:p>
        </w:tc>
      </w:tr>
      <w:tr>
        <w:trPr>
          <w:trHeight w:val="182"/>
        </w:trPr>
        <w:tc>
          <w:tcPr>
            <w:tcW w:w="1100" w:type="dxa"/>
            <w:vAlign w:val="bottom"/>
          </w:tcPr>
          <w:p>
            <w:pPr>
              <w:spacing w:after="0"/>
              <w:rPr>
                <w:sz w:val="15"/>
                <w:szCs w:val="15"/>
                <w:color w:val="auto"/>
              </w:rPr>
            </w:pPr>
          </w:p>
        </w:tc>
        <w:tc>
          <w:tcPr>
            <w:tcW w:w="10400" w:type="dxa"/>
            <w:vAlign w:val="bottom"/>
            <w:gridSpan w:val="2"/>
          </w:tcPr>
          <w:p>
            <w:pPr>
              <w:ind w:left="660"/>
              <w:spacing w:after="0"/>
              <w:rPr>
                <w:sz w:val="20"/>
                <w:szCs w:val="20"/>
                <w:color w:val="auto"/>
              </w:rPr>
            </w:pPr>
            <w:r>
              <w:rPr>
                <w:rFonts w:ascii="Arial" w:cs="Arial" w:eastAsia="Arial" w:hAnsi="Arial"/>
                <w:sz w:val="14"/>
                <w:szCs w:val="14"/>
                <w:color w:val="auto"/>
              </w:rPr>
              <w:t>Company or a Subsidiary through the vesting dates set forth below with respect to the percentage of Restricted Shares set forth next to such date:</w:t>
            </w:r>
          </w:p>
        </w:tc>
      </w:tr>
      <w:tr>
        <w:trPr>
          <w:trHeight w:val="268"/>
        </w:trPr>
        <w:tc>
          <w:tcPr>
            <w:tcW w:w="110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280" w:type="dxa"/>
            <w:vAlign w:val="bottom"/>
          </w:tcPr>
          <w:p>
            <w:pPr>
              <w:ind w:left="520"/>
              <w:spacing w:after="0"/>
              <w:rPr>
                <w:sz w:val="20"/>
                <w:szCs w:val="20"/>
                <w:color w:val="auto"/>
              </w:rPr>
            </w:pPr>
            <w:r>
              <w:rPr>
                <w:rFonts w:ascii="Arial" w:cs="Arial" w:eastAsia="Arial" w:hAnsi="Arial"/>
                <w:sz w:val="10"/>
                <w:szCs w:val="10"/>
                <w:b w:val="1"/>
                <w:bCs w:val="1"/>
                <w:color w:val="auto"/>
              </w:rPr>
              <w:t>Percentage of Restricted Shares Vesting</w:t>
            </w:r>
          </w:p>
        </w:tc>
      </w:tr>
      <w:tr>
        <w:trPr>
          <w:trHeight w:val="124"/>
        </w:trPr>
        <w:tc>
          <w:tcPr>
            <w:tcW w:w="1100" w:type="dxa"/>
            <w:vAlign w:val="bottom"/>
          </w:tcPr>
          <w:p>
            <w:pPr>
              <w:spacing w:after="0"/>
              <w:rPr>
                <w:sz w:val="10"/>
                <w:szCs w:val="10"/>
                <w:color w:val="auto"/>
              </w:rPr>
            </w:pPr>
          </w:p>
        </w:tc>
        <w:tc>
          <w:tcPr>
            <w:tcW w:w="4120" w:type="dxa"/>
            <w:vAlign w:val="bottom"/>
          </w:tcPr>
          <w:p>
            <w:pPr>
              <w:ind w:left="2700"/>
              <w:spacing w:after="0"/>
              <w:rPr>
                <w:sz w:val="20"/>
                <w:szCs w:val="20"/>
                <w:color w:val="auto"/>
              </w:rPr>
            </w:pPr>
            <w:r>
              <w:rPr>
                <w:rFonts w:ascii="Arial" w:cs="Arial" w:eastAsia="Arial" w:hAnsi="Arial"/>
                <w:sz w:val="10"/>
                <w:szCs w:val="10"/>
                <w:b w:val="1"/>
                <w:bCs w:val="1"/>
                <w:color w:val="auto"/>
              </w:rPr>
              <w:t>Vesting Date</w:t>
            </w:r>
          </w:p>
        </w:tc>
        <w:tc>
          <w:tcPr>
            <w:tcW w:w="6280" w:type="dxa"/>
            <w:vAlign w:val="bottom"/>
          </w:tcPr>
          <w:p>
            <w:pPr>
              <w:ind w:left="520"/>
              <w:spacing w:after="0"/>
              <w:rPr>
                <w:sz w:val="20"/>
                <w:szCs w:val="20"/>
                <w:color w:val="auto"/>
              </w:rPr>
            </w:pPr>
            <w:r>
              <w:rPr>
                <w:rFonts w:ascii="Arial" w:cs="Arial" w:eastAsia="Arial" w:hAnsi="Arial"/>
                <w:sz w:val="10"/>
                <w:szCs w:val="10"/>
                <w:b w:val="1"/>
                <w:bCs w:val="1"/>
                <w:color w:val="auto"/>
              </w:rPr>
              <w:t>on such Vesting Date</w:t>
            </w:r>
          </w:p>
        </w:tc>
      </w:tr>
      <w:tr>
        <w:trPr>
          <w:trHeight w:val="714"/>
        </w:trPr>
        <w:tc>
          <w:tcPr>
            <w:tcW w:w="1100" w:type="dxa"/>
            <w:vAlign w:val="bottom"/>
          </w:tcPr>
          <w:p>
            <w:pPr>
              <w:ind w:left="260"/>
              <w:spacing w:after="0"/>
              <w:rPr>
                <w:sz w:val="20"/>
                <w:szCs w:val="20"/>
                <w:color w:val="auto"/>
              </w:rPr>
            </w:pPr>
            <w:r>
              <w:rPr>
                <w:rFonts w:ascii="Arial" w:cs="Arial" w:eastAsia="Arial" w:hAnsi="Arial"/>
                <w:sz w:val="14"/>
                <w:szCs w:val="14"/>
                <w:color w:val="auto"/>
              </w:rPr>
              <w:t>(b)</w:t>
            </w:r>
          </w:p>
        </w:tc>
        <w:tc>
          <w:tcPr>
            <w:tcW w:w="10400" w:type="dxa"/>
            <w:vAlign w:val="bottom"/>
            <w:gridSpan w:val="2"/>
          </w:tcPr>
          <w:p>
            <w:pPr>
              <w:ind w:left="2160"/>
              <w:spacing w:after="0"/>
              <w:rPr>
                <w:sz w:val="20"/>
                <w:szCs w:val="20"/>
                <w:color w:val="auto"/>
              </w:rPr>
            </w:pPr>
            <w:r>
              <w:rPr>
                <w:rFonts w:ascii="Arial" w:cs="Arial" w:eastAsia="Arial" w:hAnsi="Arial"/>
                <w:sz w:val="14"/>
                <w:szCs w:val="14"/>
                <w:color w:val="auto"/>
                <w:w w:val="95"/>
              </w:rPr>
              <w:t>Notwithstanding the provisions of Section 2(a), in the event the Grantee experiences a Company-approved retirement (as determined in the</w:t>
            </w:r>
          </w:p>
        </w:tc>
      </w:tr>
      <w:tr>
        <w:trPr>
          <w:trHeight w:val="162"/>
        </w:trPr>
        <w:tc>
          <w:tcPr>
            <w:tcW w:w="1100" w:type="dxa"/>
            <w:vAlign w:val="bottom"/>
          </w:tcPr>
          <w:p>
            <w:pPr>
              <w:spacing w:after="0"/>
              <w:rPr>
                <w:sz w:val="14"/>
                <w:szCs w:val="14"/>
                <w:color w:val="auto"/>
              </w:rPr>
            </w:pPr>
          </w:p>
        </w:tc>
        <w:tc>
          <w:tcPr>
            <w:tcW w:w="10400" w:type="dxa"/>
            <w:vAlign w:val="bottom"/>
            <w:gridSpan w:val="2"/>
          </w:tcPr>
          <w:p>
            <w:pPr>
              <w:ind w:left="660"/>
              <w:spacing w:after="0"/>
              <w:rPr>
                <w:sz w:val="20"/>
                <w:szCs w:val="20"/>
                <w:color w:val="auto"/>
              </w:rPr>
            </w:pPr>
            <w:r>
              <w:rPr>
                <w:rFonts w:ascii="Arial" w:cs="Arial" w:eastAsia="Arial" w:hAnsi="Arial"/>
                <w:sz w:val="14"/>
                <w:szCs w:val="14"/>
                <w:color w:val="auto"/>
                <w:w w:val="93"/>
              </w:rPr>
              <w:t>sole discretion of the Committee), the Grantee shall immediately become Vested in a pro rata portion of his Restricted Shares based on the number of days the Grantee</w:t>
            </w:r>
          </w:p>
        </w:tc>
      </w:tr>
      <w:tr>
        <w:trPr>
          <w:trHeight w:val="182"/>
        </w:trPr>
        <w:tc>
          <w:tcPr>
            <w:tcW w:w="1100" w:type="dxa"/>
            <w:vAlign w:val="bottom"/>
          </w:tcPr>
          <w:p>
            <w:pPr>
              <w:spacing w:after="0"/>
              <w:rPr>
                <w:sz w:val="15"/>
                <w:szCs w:val="15"/>
                <w:color w:val="auto"/>
              </w:rPr>
            </w:pPr>
          </w:p>
        </w:tc>
        <w:tc>
          <w:tcPr>
            <w:tcW w:w="10400" w:type="dxa"/>
            <w:vAlign w:val="bottom"/>
            <w:gridSpan w:val="2"/>
          </w:tcPr>
          <w:p>
            <w:pPr>
              <w:ind w:left="660"/>
              <w:spacing w:after="0"/>
              <w:rPr>
                <w:sz w:val="20"/>
                <w:szCs w:val="20"/>
                <w:color w:val="auto"/>
              </w:rPr>
            </w:pPr>
            <w:r>
              <w:rPr>
                <w:rFonts w:ascii="Arial" w:cs="Arial" w:eastAsia="Arial" w:hAnsi="Arial"/>
                <w:sz w:val="14"/>
                <w:szCs w:val="14"/>
                <w:color w:val="auto"/>
              </w:rPr>
              <w:t>was employed by the Company between the Date of Grant and the Vesting Date.</w:t>
            </w:r>
          </w:p>
        </w:tc>
      </w:tr>
      <w:tr>
        <w:trPr>
          <w:trHeight w:val="259"/>
        </w:trPr>
        <w:tc>
          <w:tcPr>
            <w:tcW w:w="1100" w:type="dxa"/>
            <w:vAlign w:val="bottom"/>
          </w:tcPr>
          <w:p>
            <w:pPr>
              <w:ind w:left="260"/>
              <w:spacing w:after="0"/>
              <w:rPr>
                <w:sz w:val="20"/>
                <w:szCs w:val="20"/>
                <w:color w:val="auto"/>
              </w:rPr>
            </w:pPr>
            <w:r>
              <w:rPr>
                <w:rFonts w:ascii="Arial" w:cs="Arial" w:eastAsia="Arial" w:hAnsi="Arial"/>
                <w:sz w:val="14"/>
                <w:szCs w:val="14"/>
                <w:color w:val="auto"/>
              </w:rPr>
              <w:t>(c)</w:t>
            </w:r>
          </w:p>
        </w:tc>
        <w:tc>
          <w:tcPr>
            <w:tcW w:w="10400" w:type="dxa"/>
            <w:vAlign w:val="bottom"/>
            <w:gridSpan w:val="2"/>
          </w:tcPr>
          <w:p>
            <w:pPr>
              <w:ind w:left="2160"/>
              <w:spacing w:after="0"/>
              <w:rPr>
                <w:sz w:val="20"/>
                <w:szCs w:val="20"/>
                <w:color w:val="auto"/>
              </w:rPr>
            </w:pPr>
            <w:r>
              <w:rPr>
                <w:rFonts w:ascii="Arial" w:cs="Arial" w:eastAsia="Arial" w:hAnsi="Arial"/>
                <w:sz w:val="14"/>
                <w:szCs w:val="14"/>
                <w:color w:val="auto"/>
                <w:w w:val="97"/>
              </w:rPr>
              <w:t>Notwithstanding the provisions of Section 2(a) or 2(b), all of the Restricted Shares covered by this Agreement shall immediately become</w:t>
            </w:r>
          </w:p>
        </w:tc>
      </w:tr>
      <w:tr>
        <w:trPr>
          <w:trHeight w:val="162"/>
        </w:trPr>
        <w:tc>
          <w:tcPr>
            <w:tcW w:w="1100" w:type="dxa"/>
            <w:vAlign w:val="bottom"/>
          </w:tcPr>
          <w:p>
            <w:pPr>
              <w:spacing w:after="0"/>
              <w:rPr>
                <w:sz w:val="14"/>
                <w:szCs w:val="14"/>
                <w:color w:val="auto"/>
              </w:rPr>
            </w:pPr>
          </w:p>
        </w:tc>
        <w:tc>
          <w:tcPr>
            <w:tcW w:w="10400" w:type="dxa"/>
            <w:vAlign w:val="bottom"/>
            <w:gridSpan w:val="2"/>
          </w:tcPr>
          <w:p>
            <w:pPr>
              <w:ind w:left="660"/>
              <w:spacing w:after="0"/>
              <w:rPr>
                <w:sz w:val="20"/>
                <w:szCs w:val="20"/>
                <w:color w:val="auto"/>
              </w:rPr>
            </w:pPr>
            <w:r>
              <w:rPr>
                <w:rFonts w:ascii="Arial" w:cs="Arial" w:eastAsia="Arial" w:hAnsi="Arial"/>
                <w:sz w:val="14"/>
                <w:szCs w:val="14"/>
                <w:color w:val="auto"/>
                <w:w w:val="99"/>
              </w:rPr>
              <w:t>Vested if, during the vesting period, the Grantee’s employment with the Company and its Subsidiaries is terminated without Cause, the Grantee terminates his</w:t>
            </w:r>
          </w:p>
        </w:tc>
      </w:tr>
      <w:tr>
        <w:trPr>
          <w:trHeight w:val="182"/>
        </w:trPr>
        <w:tc>
          <w:tcPr>
            <w:tcW w:w="1100" w:type="dxa"/>
            <w:vAlign w:val="bottom"/>
          </w:tcPr>
          <w:p>
            <w:pPr>
              <w:spacing w:after="0"/>
              <w:rPr>
                <w:sz w:val="15"/>
                <w:szCs w:val="15"/>
                <w:color w:val="auto"/>
              </w:rPr>
            </w:pPr>
          </w:p>
        </w:tc>
        <w:tc>
          <w:tcPr>
            <w:tcW w:w="4120" w:type="dxa"/>
            <w:vAlign w:val="bottom"/>
          </w:tcPr>
          <w:p>
            <w:pPr>
              <w:ind w:left="660"/>
              <w:spacing w:after="0"/>
              <w:rPr>
                <w:sz w:val="20"/>
                <w:szCs w:val="20"/>
                <w:color w:val="auto"/>
              </w:rPr>
            </w:pPr>
            <w:r>
              <w:rPr>
                <w:rFonts w:ascii="Arial" w:cs="Arial" w:eastAsia="Arial" w:hAnsi="Arial"/>
                <w:sz w:val="14"/>
                <w:szCs w:val="14"/>
                <w:color w:val="auto"/>
              </w:rPr>
              <w:t>employment with the Company or a Subsidiary for</w:t>
            </w:r>
          </w:p>
        </w:tc>
        <w:tc>
          <w:tcPr>
            <w:tcW w:w="6280" w:type="dxa"/>
            <w:vAlign w:val="bottom"/>
          </w:tcPr>
          <w:p>
            <w:pPr>
              <w:spacing w:after="0"/>
              <w:rPr>
                <w:sz w:val="15"/>
                <w:szCs w:val="15"/>
                <w:color w:val="auto"/>
              </w:rPr>
            </w:pPr>
          </w:p>
        </w:tc>
      </w:tr>
      <w:tr>
        <w:trPr>
          <w:trHeight w:val="183"/>
        </w:trPr>
        <w:tc>
          <w:tcPr>
            <w:tcW w:w="1100" w:type="dxa"/>
            <w:vAlign w:val="bottom"/>
            <w:tcBorders>
              <w:bottom w:val="single" w:sz="8" w:color="9A9A9A"/>
            </w:tcBorders>
          </w:tcPr>
          <w:p>
            <w:pPr>
              <w:spacing w:after="0"/>
              <w:rPr>
                <w:sz w:val="15"/>
                <w:szCs w:val="15"/>
                <w:color w:val="auto"/>
              </w:rPr>
            </w:pPr>
          </w:p>
        </w:tc>
        <w:tc>
          <w:tcPr>
            <w:tcW w:w="4120" w:type="dxa"/>
            <w:vAlign w:val="bottom"/>
            <w:tcBorders>
              <w:bottom w:val="single" w:sz="8" w:color="9A9A9A"/>
            </w:tcBorders>
          </w:tcPr>
          <w:p>
            <w:pPr>
              <w:spacing w:after="0"/>
              <w:rPr>
                <w:sz w:val="15"/>
                <w:szCs w:val="15"/>
                <w:color w:val="auto"/>
              </w:rPr>
            </w:pPr>
          </w:p>
        </w:tc>
        <w:tc>
          <w:tcPr>
            <w:tcW w:w="62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142" w:name="page143"/>
    <w:bookmarkEnd w:id="142"/>
    <w:p>
      <w:pPr>
        <w:ind w:left="3220"/>
        <w:spacing w:after="0"/>
        <w:rPr>
          <w:sz w:val="20"/>
          <w:szCs w:val="20"/>
          <w:color w:val="auto"/>
        </w:rPr>
      </w:pPr>
      <w:r>
        <w:rPr>
          <w:rFonts w:ascii="Arial" w:cs="Arial" w:eastAsia="Arial" w:hAnsi="Arial"/>
          <w:sz w:val="12"/>
          <w:szCs w:val="12"/>
          <w:color w:val="auto"/>
        </w:rPr>
        <w:t>Good Reason, or the Grantee dies or becomes permanently disabled (as determined by the Committee) while in the employ of the Company</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or a Subsidiary.</w:t>
      </w:r>
    </w:p>
    <w:p>
      <w:pPr>
        <w:sectPr>
          <w:pgSz w:w="11900" w:h="16838" w:orient="portrait"/>
          <w:cols w:equalWidth="0" w:num="1">
            <w:col w:w="11380"/>
          </w:cols>
          <w:pgMar w:left="260" w:top="269" w:right="259" w:bottom="1440" w:gutter="0" w:footer="0" w:header="0"/>
        </w:sectPr>
      </w:pPr>
    </w:p>
    <w:p>
      <w:pPr>
        <w:spacing w:after="0" w:line="10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20" w:firstLine="1495"/>
        <w:spacing w:after="0" w:line="273" w:lineRule="auto"/>
        <w:rPr>
          <w:sz w:val="20"/>
          <w:szCs w:val="20"/>
          <w:color w:val="auto"/>
        </w:rPr>
      </w:pPr>
      <w:r>
        <w:rPr>
          <w:rFonts w:ascii="Arial" w:cs="Arial" w:eastAsia="Arial" w:hAnsi="Arial"/>
          <w:sz w:val="14"/>
          <w:szCs w:val="14"/>
          <w:color w:val="auto"/>
        </w:rPr>
        <w:t>Notwithstanding anything contained in this Agreement to the contrary, the Committee may, in its sole discretion, accelerate the time at which the Restricted Shares become vested and nonforfeitable on such terms and conditions as it deems appropriate.</w:t>
      </w:r>
    </w:p>
    <w:p>
      <w:pPr>
        <w:spacing w:after="0" w:line="71" w:lineRule="exact"/>
        <w:rPr>
          <w:sz w:val="20"/>
          <w:szCs w:val="20"/>
          <w:color w:val="auto"/>
        </w:rPr>
      </w:pPr>
    </w:p>
    <w:p>
      <w:pPr>
        <w:sectPr>
          <w:pgSz w:w="11900" w:h="16838" w:orient="portrait"/>
          <w:cols w:equalWidth="0" w:num="2">
            <w:col w:w="1000" w:space="720"/>
            <w:col w:w="9660"/>
          </w:cols>
          <w:pgMar w:left="260" w:top="269" w:right="259" w:bottom="1440" w:gutter="0" w:footer="0" w:header="0"/>
          <w:type w:val="continuous"/>
        </w:sectPr>
      </w:pPr>
    </w:p>
    <w:p>
      <w:pPr>
        <w:ind w:left="-40" w:right="80" w:firstLine="875"/>
        <w:spacing w:after="0" w:line="254" w:lineRule="auto"/>
        <w:tabs>
          <w:tab w:leader="none" w:pos="1384"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Forfeiture of Shares</w:t>
      </w:r>
      <w:r>
        <w:rPr>
          <w:rFonts w:ascii="Arial" w:cs="Arial" w:eastAsia="Arial" w:hAnsi="Arial"/>
          <w:sz w:val="14"/>
          <w:szCs w:val="14"/>
          <w:color w:val="auto"/>
        </w:rPr>
        <w:t>. The Restricted Shares that have not yet Vested pursuant to Section 2 (including without limitation any cash dividends or distributions and any non-cash proceeds related to the Restricted Shares for which the record date occurs on or after the date of forfeiture) shall be forfeited automatically without further action or notice if the Grantee ceases to be employed by the Company or a Subsidiary other than as provided in Section 2(b). In the event of a forfeiture of the Restricted Shares, the stock book entry account representing the Restricted Shares covered by this Agreement shall be cancelled and all Restricted Shares shall be returned to the Company.</w:t>
      </w:r>
    </w:p>
    <w:p>
      <w:pPr>
        <w:spacing w:after="0" w:line="84" w:lineRule="exact"/>
        <w:rPr>
          <w:rFonts w:ascii="Arial" w:cs="Arial" w:eastAsia="Arial" w:hAnsi="Arial"/>
          <w:sz w:val="14"/>
          <w:szCs w:val="14"/>
          <w:b w:val="1"/>
          <w:bCs w:val="1"/>
          <w:color w:val="auto"/>
        </w:rPr>
      </w:pPr>
    </w:p>
    <w:p>
      <w:pPr>
        <w:ind w:left="-40" w:right="100" w:firstLine="875"/>
        <w:spacing w:after="0" w:line="251" w:lineRule="auto"/>
        <w:tabs>
          <w:tab w:leader="none" w:pos="1384"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Transferability</w:t>
      </w:r>
      <w:r>
        <w:rPr>
          <w:rFonts w:ascii="Arial" w:cs="Arial" w:eastAsia="Arial" w:hAnsi="Arial"/>
          <w:sz w:val="14"/>
          <w:szCs w:val="14"/>
          <w:color w:val="auto"/>
        </w:rPr>
        <w:t>. The Restricted Shares may not be sold, exchanged, assigned, transferred, pledged, encumbered or otherwise disposed of by the Grantee, except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until the Restricted Shares have become nonforfeitable as provided in Section 2. Any purported transfer or encumbrance in violation of the provisions of this Section 4 shall be void, and the other party to any such purported transaction shall not obtain any rights to or interest in such Restricted Shares. The Committee, in its sole discretion, when and as is permitted by the Plan, may waive the restrictions on transferability with respect to all or a portion of the Restricted Shares, provided that any permitted transferee (other than the Company) shall remain subject to all the terms and conditions applicable to the Restricted Shares prior to such transfer.</w:t>
      </w:r>
    </w:p>
    <w:p>
      <w:pPr>
        <w:spacing w:after="0" w:line="94" w:lineRule="exact"/>
        <w:rPr>
          <w:rFonts w:ascii="Arial" w:cs="Arial" w:eastAsia="Arial" w:hAnsi="Arial"/>
          <w:sz w:val="14"/>
          <w:szCs w:val="14"/>
          <w:b w:val="1"/>
          <w:bCs w:val="1"/>
          <w:color w:val="auto"/>
        </w:rPr>
      </w:pPr>
    </w:p>
    <w:p>
      <w:pPr>
        <w:ind w:left="-40" w:firstLine="875"/>
        <w:spacing w:after="0" w:line="270" w:lineRule="auto"/>
        <w:tabs>
          <w:tab w:leader="none" w:pos="1384"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Dividend, Voting and Other Rights</w:t>
      </w:r>
      <w:r>
        <w:rPr>
          <w:rFonts w:ascii="Arial" w:cs="Arial" w:eastAsia="Arial" w:hAnsi="Arial"/>
          <w:sz w:val="13"/>
          <w:szCs w:val="13"/>
          <w:color w:val="auto"/>
        </w:rPr>
        <w:t>. Except as otherwise provided herein, from and after the Date of Grant, the Grantee shall have all of the rights of a stockholder with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respect to the Restricted Shares, including the right to vote the Restricted Shares and receive any cash dividends that may be paid thereon (which such dividends shall be paid no later than the end of the calendar year in which the dividends are paid to the holders of the Common Shares or, if later, the 15th day of the third month following the date the dividends are paid to the holders of the Common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additional Common Shares or other securities that the Grantee may become entitled to receive pursuant to a stock dividend, stock split, combination of shares, recapitalization, merger, consolidation, separation or reorganization or any other change in the capital structure of the Company shall be considered Restricted Shares and shall be subject to the same restrictions as the Restricted Shares covered by this Agreement. Any cash dividends paid with respect to the Restricted Shares shall be reported on the Grantee’s annual wage and tax statement (Form W-2) as compensation and shall be subject to all applicable tax withholdings as provided in Section 10.</w:t>
      </w:r>
    </w:p>
    <w:p>
      <w:pPr>
        <w:spacing w:after="0" w:line="74" w:lineRule="exact"/>
        <w:rPr>
          <w:rFonts w:ascii="Arial" w:cs="Arial" w:eastAsia="Arial" w:hAnsi="Arial"/>
          <w:sz w:val="13"/>
          <w:szCs w:val="13"/>
          <w:b w:val="1"/>
          <w:bCs w:val="1"/>
          <w:color w:val="auto"/>
        </w:rPr>
      </w:pPr>
    </w:p>
    <w:p>
      <w:pPr>
        <w:ind w:left="-40" w:right="100" w:firstLine="875"/>
        <w:spacing w:after="0" w:line="254" w:lineRule="auto"/>
        <w:tabs>
          <w:tab w:leader="none" w:pos="1384"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Custody of Restricted Shares</w:t>
      </w:r>
      <w:r>
        <w:rPr>
          <w:rFonts w:ascii="Arial" w:cs="Arial" w:eastAsia="Arial" w:hAnsi="Arial"/>
          <w:sz w:val="14"/>
          <w:szCs w:val="14"/>
          <w:color w:val="auto"/>
        </w:rPr>
        <w:t>;</w:t>
      </w:r>
      <w:r>
        <w:rPr>
          <w:rFonts w:ascii="Arial" w:cs="Arial" w:eastAsia="Arial" w:hAnsi="Arial"/>
          <w:sz w:val="14"/>
          <w:szCs w:val="14"/>
          <w:b w:val="1"/>
          <w:bCs w:val="1"/>
          <w:color w:val="auto"/>
        </w:rPr>
        <w:t xml:space="preserve"> Stock Power. </w:t>
      </w:r>
      <w:r>
        <w:rPr>
          <w:rFonts w:ascii="Arial" w:cs="Arial" w:eastAsia="Arial" w:hAnsi="Arial"/>
          <w:sz w:val="14"/>
          <w:szCs w:val="14"/>
          <w:color w:val="auto"/>
        </w:rPr>
        <w:t>Until the Restricted Shares have become Vested as provided in Section 2, the Restricted Shares shall be issued in book-entry</w:t>
      </w:r>
      <w:r>
        <w:rPr>
          <w:rFonts w:ascii="Arial" w:cs="Arial" w:eastAsia="Arial" w:hAnsi="Arial"/>
          <w:sz w:val="14"/>
          <w:szCs w:val="14"/>
          <w:b w:val="1"/>
          <w:bCs w:val="1"/>
          <w:color w:val="auto"/>
        </w:rPr>
        <w:t xml:space="preserve"> </w:t>
      </w:r>
      <w:r>
        <w:rPr>
          <w:rFonts w:ascii="Arial" w:cs="Arial" w:eastAsia="Arial" w:hAnsi="Arial"/>
          <w:sz w:val="14"/>
          <w:szCs w:val="14"/>
          <w:color w:val="auto"/>
        </w:rPr>
        <w:t>only form and shall not be represented by a certificate. The restrictions set forth in this Agreement shall be reflected on the stock transfer records maintained by or on behalf of the Company. By execution of this Agreement and effective until the Restricted Shares have become Vested as provided in Section 2, the Grantee hereby irrevocably constitute and appoint a person or persons of the Company’s choosing, or any of them, attorneys-in-fact to transfer the Restricted Shares 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134620</wp:posOffset>
            </wp:positionV>
            <wp:extent cx="732917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60" w:top="269" w:right="259" w:bottom="1440" w:gutter="0" w:footer="0" w:header="0"/>
          <w:type w:val="continuous"/>
        </w:sectPr>
      </w:pPr>
    </w:p>
    <w:bookmarkStart w:id="143" w:name="page144"/>
    <w:bookmarkEnd w:id="143"/>
    <w:p>
      <w:pPr>
        <w:ind w:right="240"/>
        <w:spacing w:after="0" w:line="313" w:lineRule="auto"/>
        <w:rPr>
          <w:sz w:val="20"/>
          <w:szCs w:val="20"/>
          <w:color w:val="auto"/>
        </w:rPr>
      </w:pPr>
      <w:r>
        <w:rPr>
          <w:rFonts w:ascii="Arial" w:cs="Arial" w:eastAsia="Arial" w:hAnsi="Arial"/>
          <w:sz w:val="13"/>
          <w:szCs w:val="13"/>
          <w:color w:val="auto"/>
        </w:rPr>
        <w:t>the stock transfer records of the Company with full power of substitution. The Grantee agrees to take any and all other actions (including without limitation executing, delivering, performing and filing such other agreements, instruments and documents) as the Company may deem necessary or appropriate to carry out and give effect to the provisions of this Agreement.</w:t>
      </w:r>
    </w:p>
    <w:p>
      <w:pPr>
        <w:spacing w:after="0" w:line="47" w:lineRule="exact"/>
        <w:rPr>
          <w:sz w:val="20"/>
          <w:szCs w:val="20"/>
          <w:color w:val="auto"/>
        </w:rPr>
      </w:pPr>
    </w:p>
    <w:p>
      <w:pPr>
        <w:ind w:right="20" w:firstLine="875"/>
        <w:spacing w:after="0" w:line="260" w:lineRule="auto"/>
        <w:tabs>
          <w:tab w:leader="none" w:pos="1424"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Continuous Employment</w:t>
      </w:r>
      <w:r>
        <w:rPr>
          <w:rFonts w:ascii="Arial" w:cs="Arial" w:eastAsia="Arial" w:hAnsi="Arial"/>
          <w:sz w:val="14"/>
          <w:szCs w:val="14"/>
          <w:color w:val="auto"/>
        </w:rPr>
        <w:t>. For purposes of this Agreement, the continuous employment of the Grantee with the Company and its Subsidiaries shall not be deemed to have</w:t>
      </w:r>
      <w:r>
        <w:rPr>
          <w:rFonts w:ascii="Arial" w:cs="Arial" w:eastAsia="Arial" w:hAnsi="Arial"/>
          <w:sz w:val="14"/>
          <w:szCs w:val="14"/>
          <w:b w:val="1"/>
          <w:bCs w:val="1"/>
          <w:color w:val="auto"/>
        </w:rPr>
        <w:t xml:space="preserve"> </w:t>
      </w:r>
      <w:r>
        <w:rPr>
          <w:rFonts w:ascii="Arial" w:cs="Arial" w:eastAsia="Arial" w:hAnsi="Arial"/>
          <w:sz w:val="14"/>
          <w:szCs w:val="14"/>
          <w:color w:val="auto"/>
        </w:rPr>
        <w:t>been interrupted, and the Grantee shall not be deemed to have ceased to be an employee of the Company and its Subsidiaries, by reason of the transfer of his employment among the Company and its Subsidiaries or a leave of absence approved by the Committee.</w:t>
      </w:r>
    </w:p>
    <w:p>
      <w:pPr>
        <w:spacing w:after="0" w:line="89" w:lineRule="exact"/>
        <w:rPr>
          <w:rFonts w:ascii="Arial" w:cs="Arial" w:eastAsia="Arial" w:hAnsi="Arial"/>
          <w:sz w:val="14"/>
          <w:szCs w:val="14"/>
          <w:b w:val="1"/>
          <w:bCs w:val="1"/>
          <w:color w:val="auto"/>
        </w:rPr>
      </w:pPr>
    </w:p>
    <w:p>
      <w:pPr>
        <w:ind w:right="20" w:firstLine="875"/>
        <w:spacing w:after="0" w:line="272" w:lineRule="auto"/>
        <w:tabs>
          <w:tab w:leader="none" w:pos="1424"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No Employment Contract; Disclaimer</w:t>
      </w:r>
      <w:r>
        <w:rPr>
          <w:rFonts w:ascii="Arial" w:cs="Arial" w:eastAsia="Arial" w:hAnsi="Arial"/>
          <w:sz w:val="13"/>
          <w:szCs w:val="13"/>
          <w:color w:val="auto"/>
        </w:rPr>
        <w:t>. Nothing contained in this Agreement shall confer upon the Grantee any right with respect to continuance of employment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and its Subsidiaries, nor limit or affect in any manner the right of the Company and its Subsidiaries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their respective officers, directors, employees, agents or contractors.</w:t>
      </w:r>
    </w:p>
    <w:p>
      <w:pPr>
        <w:spacing w:after="0" w:line="73" w:lineRule="exact"/>
        <w:rPr>
          <w:rFonts w:ascii="Arial" w:cs="Arial" w:eastAsia="Arial" w:hAnsi="Arial"/>
          <w:sz w:val="13"/>
          <w:szCs w:val="13"/>
          <w:b w:val="1"/>
          <w:bCs w:val="1"/>
          <w:color w:val="auto"/>
        </w:rPr>
      </w:pPr>
    </w:p>
    <w:p>
      <w:pPr>
        <w:jc w:val="both"/>
        <w:ind w:right="160" w:firstLine="875"/>
        <w:spacing w:after="0" w:line="260" w:lineRule="auto"/>
        <w:tabs>
          <w:tab w:leader="none" w:pos="1424"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Relation to Other Benefits</w:t>
      </w:r>
      <w:r>
        <w:rPr>
          <w:rFonts w:ascii="Arial" w:cs="Arial" w:eastAsia="Arial" w:hAnsi="Arial"/>
          <w:sz w:val="14"/>
          <w:szCs w:val="14"/>
          <w:color w:val="auto"/>
        </w:rPr>
        <w:t>. Any economic or other benefit to the Grantee under this Agreement or the Plan shall not be taken into account in determining any benefits to</w:t>
      </w:r>
      <w:r>
        <w:rPr>
          <w:rFonts w:ascii="Arial" w:cs="Arial" w:eastAsia="Arial" w:hAnsi="Arial"/>
          <w:sz w:val="14"/>
          <w:szCs w:val="14"/>
          <w:b w:val="1"/>
          <w:bCs w:val="1"/>
          <w:color w:val="auto"/>
        </w:rPr>
        <w:t xml:space="preserve"> </w:t>
      </w:r>
      <w:r>
        <w:rPr>
          <w:rFonts w:ascii="Arial" w:cs="Arial" w:eastAsia="Arial" w:hAnsi="Arial"/>
          <w:sz w:val="14"/>
          <w:szCs w:val="14"/>
          <w:color w:val="auto"/>
        </w:rPr>
        <w:t>which the Grantee may be entitled under any profit-sharing, retirement or other benefit or compensation plan maintained by the Company or a Subsidiary and shall not affect the amount of any life insurance coverage available to any beneficiary under any life insurance plan covering employees of the Company or a Subsidiary.</w:t>
      </w:r>
    </w:p>
    <w:p>
      <w:pPr>
        <w:spacing w:after="0" w:line="80" w:lineRule="exact"/>
        <w:rPr>
          <w:rFonts w:ascii="Arial" w:cs="Arial" w:eastAsia="Arial" w:hAnsi="Arial"/>
          <w:sz w:val="14"/>
          <w:szCs w:val="14"/>
          <w:b w:val="1"/>
          <w:bCs w:val="1"/>
          <w:color w:val="auto"/>
        </w:rPr>
      </w:pPr>
    </w:p>
    <w:p>
      <w:pPr>
        <w:ind w:firstLine="875"/>
        <w:spacing w:after="0" w:line="272" w:lineRule="auto"/>
        <w:tabs>
          <w:tab w:leader="none" w:pos="1496"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Taxes and Withholding</w:t>
      </w:r>
      <w:r>
        <w:rPr>
          <w:rFonts w:ascii="Arial" w:cs="Arial" w:eastAsia="Arial" w:hAnsi="Arial"/>
          <w:sz w:val="13"/>
          <w:szCs w:val="13"/>
          <w:color w:val="auto"/>
        </w:rPr>
        <w:t>. The Grantee is responsible for any federal, state, local or other taxes with respect to the Restricted Shares (including the grant, the Vesting, the</w:t>
      </w:r>
      <w:r>
        <w:rPr>
          <w:rFonts w:ascii="Arial" w:cs="Arial" w:eastAsia="Arial" w:hAnsi="Arial"/>
          <w:sz w:val="13"/>
          <w:szCs w:val="13"/>
          <w:b w:val="1"/>
          <w:bCs w:val="1"/>
          <w:color w:val="auto"/>
        </w:rPr>
        <w:t xml:space="preserve"> </w:t>
      </w:r>
      <w:r>
        <w:rPr>
          <w:rFonts w:ascii="Arial" w:cs="Arial" w:eastAsia="Arial" w:hAnsi="Arial"/>
          <w:sz w:val="13"/>
          <w:szCs w:val="13"/>
          <w:color w:val="auto"/>
        </w:rPr>
        <w:t>receipt of Common Shares, the sale of Common Shares and the receipt of dividends or distributions, if any). The Company does not guarantee any particular tax treatment or results in connection with the grant or Vesting of the Restricted Shares or the payment of dividends or distributions. If the Company or any Subsidiary is required to withhold any federal, state, local or other taxes in connection with the delivery or vesting of the Restricted Shares, the Grantee shall pay the tax or make provisions that are satisfactory to the Company or such Subsidiary for the payment thereof. The Grantee may elect to satisfy all or any portion of any such withholding obligation by surrendering to the Company or such Subsidiary a portion of the Common Shares that become Vested hereunder, and the Common Shares so surrendered by the Grantee shall be credited against any such withholding obligation at the Market Value per Share of such Common Shares on the date of such surrender.</w:t>
      </w:r>
    </w:p>
    <w:p>
      <w:pPr>
        <w:spacing w:after="0" w:line="82" w:lineRule="exact"/>
        <w:rPr>
          <w:rFonts w:ascii="Arial" w:cs="Arial" w:eastAsia="Arial" w:hAnsi="Arial"/>
          <w:sz w:val="13"/>
          <w:szCs w:val="13"/>
          <w:b w:val="1"/>
          <w:bCs w:val="1"/>
          <w:color w:val="auto"/>
        </w:rPr>
      </w:pPr>
    </w:p>
    <w:p>
      <w:pPr>
        <w:ind w:right="20" w:firstLine="875"/>
        <w:spacing w:after="0" w:line="279" w:lineRule="auto"/>
        <w:tabs>
          <w:tab w:leader="none" w:pos="1488"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Section 83(b) Election Prohibited. </w:t>
      </w:r>
      <w:r>
        <w:rPr>
          <w:rFonts w:ascii="Arial" w:cs="Arial" w:eastAsia="Arial" w:hAnsi="Arial"/>
          <w:sz w:val="14"/>
          <w:szCs w:val="14"/>
          <w:color w:val="auto"/>
        </w:rPr>
        <w:t>As a condition to receiving this award, the Grantee acknowledges and agrees that he or she shall not file an election under Section 83(b)</w:t>
      </w:r>
      <w:r>
        <w:rPr>
          <w:rFonts w:ascii="Arial" w:cs="Arial" w:eastAsia="Arial" w:hAnsi="Arial"/>
          <w:sz w:val="14"/>
          <w:szCs w:val="14"/>
          <w:b w:val="1"/>
          <w:bCs w:val="1"/>
          <w:color w:val="auto"/>
        </w:rPr>
        <w:t xml:space="preserve"> </w:t>
      </w:r>
      <w:r>
        <w:rPr>
          <w:rFonts w:ascii="Arial" w:cs="Arial" w:eastAsia="Arial" w:hAnsi="Arial"/>
          <w:sz w:val="14"/>
          <w:szCs w:val="14"/>
          <w:color w:val="auto"/>
        </w:rPr>
        <w:t>of the Code with respect to all or any portion of the Restricted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732917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69" w:right="219" w:bottom="1440" w:gutter="0" w:footer="0" w:header="0"/>
        </w:sectPr>
      </w:pPr>
    </w:p>
    <w:bookmarkStart w:id="144" w:name="page145"/>
    <w:bookmarkEnd w:id="144"/>
    <w:p>
      <w:pPr>
        <w:ind w:left="-60" w:right="240" w:firstLine="875"/>
        <w:spacing w:after="0" w:line="260" w:lineRule="auto"/>
        <w:tabs>
          <w:tab w:leader="none" w:pos="1436"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Compliance with Law</w:t>
      </w:r>
      <w:r>
        <w:rPr>
          <w:rFonts w:ascii="Arial" w:cs="Arial" w:eastAsia="Arial" w:hAnsi="Arial"/>
          <w:sz w:val="14"/>
          <w:szCs w:val="14"/>
          <w:color w:val="auto"/>
        </w:rPr>
        <w:t>. The Company shall make reasonable efforts to comply with all applicable federal and state securities laws and listing requirements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NASDAQ or any national securities exchange with respect to the Restricted Shares;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notwithstanding any other provision of this Agreement, the Restricted Shares shall not be delivered or become Vested if the delivery or vesting thereof would result in a violation of any such law or listing requirement.</w:t>
      </w:r>
    </w:p>
    <w:p>
      <w:pPr>
        <w:spacing w:after="0" w:line="80" w:lineRule="exact"/>
        <w:rPr>
          <w:rFonts w:ascii="Arial" w:cs="Arial" w:eastAsia="Arial" w:hAnsi="Arial"/>
          <w:sz w:val="14"/>
          <w:szCs w:val="14"/>
          <w:b w:val="1"/>
          <w:bCs w:val="1"/>
          <w:color w:val="auto"/>
        </w:rPr>
      </w:pPr>
    </w:p>
    <w:p>
      <w:pPr>
        <w:ind w:left="-60" w:right="200" w:firstLine="875"/>
        <w:spacing w:after="0" w:line="260" w:lineRule="auto"/>
        <w:tabs>
          <w:tab w:leader="none" w:pos="1436"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w:t>
      </w:r>
      <w:r>
        <w:rPr>
          <w:rFonts w:ascii="Arial" w:cs="Arial" w:eastAsia="Arial" w:hAnsi="Arial"/>
          <w:sz w:val="14"/>
          <w:szCs w:val="14"/>
          <w:color w:val="auto"/>
        </w:rPr>
        <w:t>. Subject to the terms of the Plan, the Committee may modify this Agreement upon written notice to the Grantee. Any amendment to the Plan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deemed to be an amendment to this Agreement to the extent that the amendment is applicable hereto. Notwithstanding the foregoing, no amendment of the Plan or this Agreement shall adversely affect the rights of the Grantee under this Agreement regarding Restricted Shares that are then vested under the Plan without the Grantee’s consent.</w:t>
      </w:r>
    </w:p>
    <w:p>
      <w:pPr>
        <w:spacing w:after="0" w:line="89" w:lineRule="exact"/>
        <w:rPr>
          <w:rFonts w:ascii="Arial" w:cs="Arial" w:eastAsia="Arial" w:hAnsi="Arial"/>
          <w:sz w:val="14"/>
          <w:szCs w:val="14"/>
          <w:b w:val="1"/>
          <w:bCs w:val="1"/>
          <w:color w:val="auto"/>
        </w:rPr>
      </w:pPr>
    </w:p>
    <w:p>
      <w:pPr>
        <w:ind w:left="-60" w:right="200" w:firstLine="875"/>
        <w:spacing w:after="0" w:line="279" w:lineRule="auto"/>
        <w:tabs>
          <w:tab w:leader="none" w:pos="1436"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 In the event that one or more of the provisions of this Agreement shall be invalidated for any reason by a court of competent jurisdiction, any provision so</w:t>
      </w:r>
      <w:r>
        <w:rPr>
          <w:rFonts w:ascii="Arial" w:cs="Arial" w:eastAsia="Arial" w:hAnsi="Arial"/>
          <w:sz w:val="14"/>
          <w:szCs w:val="14"/>
          <w:b w:val="1"/>
          <w:bCs w:val="1"/>
          <w:color w:val="auto"/>
        </w:rPr>
        <w:t xml:space="preserve"> </w:t>
      </w:r>
      <w:r>
        <w:rPr>
          <w:rFonts w:ascii="Arial" w:cs="Arial" w:eastAsia="Arial" w:hAnsi="Arial"/>
          <w:sz w:val="14"/>
          <w:szCs w:val="14"/>
          <w:color w:val="auto"/>
        </w:rPr>
        <w:t>invalidated shall be deemed to be separable from the other provisions hereof, and the remaining provisions hereof shall continue to be valid and fully enforceable.</w:t>
      </w:r>
    </w:p>
    <w:p>
      <w:pPr>
        <w:spacing w:after="0" w:line="67" w:lineRule="exact"/>
        <w:rPr>
          <w:rFonts w:ascii="Arial" w:cs="Arial" w:eastAsia="Arial" w:hAnsi="Arial"/>
          <w:sz w:val="14"/>
          <w:szCs w:val="14"/>
          <w:b w:val="1"/>
          <w:bCs w:val="1"/>
          <w:color w:val="auto"/>
        </w:rPr>
      </w:pPr>
    </w:p>
    <w:p>
      <w:pPr>
        <w:ind w:left="-60" w:right="60" w:firstLine="875"/>
        <w:spacing w:after="0" w:line="251" w:lineRule="auto"/>
        <w:tabs>
          <w:tab w:leader="none" w:pos="1436"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Relation to Plan</w:t>
      </w:r>
      <w:r>
        <w:rPr>
          <w:rFonts w:ascii="Arial" w:cs="Arial" w:eastAsia="Arial" w:hAnsi="Arial"/>
          <w:sz w:val="14"/>
          <w:szCs w:val="14"/>
          <w:color w:val="auto"/>
        </w:rPr>
        <w:t>. This Agreement is subject to the terms and conditions of the Plan. This Agreement and the Plan contain the entire agreement and understanding of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Shares.</w:t>
      </w:r>
    </w:p>
    <w:p>
      <w:pPr>
        <w:spacing w:after="0" w:line="85" w:lineRule="exact"/>
        <w:rPr>
          <w:rFonts w:ascii="Arial" w:cs="Arial" w:eastAsia="Arial" w:hAnsi="Arial"/>
          <w:sz w:val="14"/>
          <w:szCs w:val="14"/>
          <w:b w:val="1"/>
          <w:bCs w:val="1"/>
          <w:color w:val="auto"/>
        </w:rPr>
      </w:pPr>
    </w:p>
    <w:p>
      <w:pPr>
        <w:ind w:left="-60" w:right="240" w:firstLine="875"/>
        <w:spacing w:after="0" w:line="279" w:lineRule="auto"/>
        <w:tabs>
          <w:tab w:leader="none" w:pos="1436"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Successors and Assigns</w:t>
      </w:r>
      <w:r>
        <w:rPr>
          <w:rFonts w:ascii="Arial" w:cs="Arial" w:eastAsia="Arial" w:hAnsi="Arial"/>
          <w:sz w:val="14"/>
          <w:szCs w:val="14"/>
          <w:color w:val="auto"/>
        </w:rPr>
        <w:t>. Without limiting Section 4, the provisions of this Agreement shall inure to the benefit of, and be binding upon, the successors, administrators,</w:t>
      </w:r>
      <w:r>
        <w:rPr>
          <w:rFonts w:ascii="Arial" w:cs="Arial" w:eastAsia="Arial" w:hAnsi="Arial"/>
          <w:sz w:val="14"/>
          <w:szCs w:val="14"/>
          <w:b w:val="1"/>
          <w:bCs w:val="1"/>
          <w:color w:val="auto"/>
        </w:rPr>
        <w:t xml:space="preserve"> </w:t>
      </w:r>
      <w:r>
        <w:rPr>
          <w:rFonts w:ascii="Arial" w:cs="Arial" w:eastAsia="Arial" w:hAnsi="Arial"/>
          <w:sz w:val="14"/>
          <w:szCs w:val="14"/>
          <w:color w:val="auto"/>
        </w:rPr>
        <w:t>heirs, legal representatives and assigns of the Grantee, and the successors and assigns of the Company.</w:t>
      </w:r>
    </w:p>
    <w:p>
      <w:pPr>
        <w:spacing w:after="0" w:line="76" w:lineRule="exact"/>
        <w:rPr>
          <w:rFonts w:ascii="Arial" w:cs="Arial" w:eastAsia="Arial" w:hAnsi="Arial"/>
          <w:sz w:val="14"/>
          <w:szCs w:val="14"/>
          <w:b w:val="1"/>
          <w:bCs w:val="1"/>
          <w:color w:val="auto"/>
        </w:rPr>
      </w:pPr>
    </w:p>
    <w:p>
      <w:pPr>
        <w:ind w:left="-60" w:right="80" w:firstLine="875"/>
        <w:spacing w:after="0" w:line="279" w:lineRule="auto"/>
        <w:tabs>
          <w:tab w:leader="none" w:pos="1436"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Governing Law</w:t>
      </w:r>
      <w:r>
        <w:rPr>
          <w:rFonts w:ascii="Arial" w:cs="Arial" w:eastAsia="Arial" w:hAnsi="Arial"/>
          <w:sz w:val="14"/>
          <w:szCs w:val="14"/>
          <w:color w:val="auto"/>
        </w:rPr>
        <w:t>. The interpretation, performance, and enforcement of this Agreement shall be governed by the laws of the State of Maryland, without giving effect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principles of conflict of laws thereof.</w:t>
      </w:r>
    </w:p>
    <w:p>
      <w:pPr>
        <w:spacing w:after="0" w:line="67" w:lineRule="exact"/>
        <w:rPr>
          <w:rFonts w:ascii="Arial" w:cs="Arial" w:eastAsia="Arial" w:hAnsi="Arial"/>
          <w:sz w:val="14"/>
          <w:szCs w:val="14"/>
          <w:b w:val="1"/>
          <w:bCs w:val="1"/>
          <w:color w:val="auto"/>
        </w:rPr>
      </w:pPr>
    </w:p>
    <w:p>
      <w:pPr>
        <w:ind w:left="-60" w:firstLine="875"/>
        <w:spacing w:after="0" w:line="275" w:lineRule="auto"/>
        <w:tabs>
          <w:tab w:leader="none" w:pos="1436"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Electronic Delivery. </w:t>
      </w:r>
      <w:r>
        <w:rPr>
          <w:rFonts w:ascii="Arial" w:cs="Arial" w:eastAsia="Arial" w:hAnsi="Arial"/>
          <w:sz w:val="13"/>
          <w:szCs w:val="13"/>
          <w:color w:val="auto"/>
        </w:rPr>
        <w:t>The Grantee hereby consents and agrees to electronic delivery of any documents that the Company may elect to deliver (including, but not limited to,</w:t>
      </w:r>
      <w:r>
        <w:rPr>
          <w:rFonts w:ascii="Arial" w:cs="Arial" w:eastAsia="Arial" w:hAnsi="Arial"/>
          <w:sz w:val="13"/>
          <w:szCs w:val="13"/>
          <w:b w:val="1"/>
          <w:bCs w:val="1"/>
          <w:color w:val="auto"/>
        </w:rPr>
        <w:t xml:space="preserve"> </w:t>
      </w:r>
      <w:r>
        <w:rPr>
          <w:rFonts w:ascii="Arial" w:cs="Arial" w:eastAsia="Arial" w:hAnsi="Arial"/>
          <w:sz w:val="13"/>
          <w:szCs w:val="13"/>
          <w:color w:val="auto"/>
        </w:rPr>
        <w:t>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134620</wp:posOffset>
            </wp:positionV>
            <wp:extent cx="732917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0"/>
          </w:cols>
          <w:pgMar w:left="280" w:top="265" w:right="259" w:bottom="1440" w:gutter="0" w:footer="0" w:header="0"/>
        </w:sectPr>
      </w:pPr>
    </w:p>
    <w:bookmarkStart w:id="145" w:name="page146"/>
    <w:bookmarkEnd w:id="145"/>
    <w:p>
      <w:pPr>
        <w:spacing w:after="0" w:line="257" w:lineRule="auto"/>
        <w:rPr>
          <w:sz w:val="20"/>
          <w:szCs w:val="20"/>
          <w:color w:val="auto"/>
        </w:rPr>
      </w:pPr>
      <w:r>
        <w:rPr>
          <w:rFonts w:ascii="Arial" w:cs="Arial" w:eastAsia="Arial" w:hAnsi="Arial"/>
          <w:sz w:val="14"/>
          <w:szCs w:val="14"/>
          <w:color w:val="auto"/>
        </w:rPr>
        <w:t>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86" w:lineRule="exact"/>
        <w:rPr>
          <w:sz w:val="20"/>
          <w:szCs w:val="20"/>
          <w:color w:val="auto"/>
        </w:rPr>
      </w:pPr>
    </w:p>
    <w:p>
      <w:pPr>
        <w:ind w:right="40" w:firstLine="883"/>
        <w:spacing w:after="0" w:line="273" w:lineRule="auto"/>
        <w:rPr>
          <w:sz w:val="20"/>
          <w:szCs w:val="20"/>
          <w:color w:val="auto"/>
        </w:rPr>
      </w:pPr>
      <w:r>
        <w:rPr>
          <w:rFonts w:ascii="Arial" w:cs="Arial" w:eastAsia="Arial" w:hAnsi="Arial"/>
          <w:sz w:val="14"/>
          <w:szCs w:val="14"/>
          <w:color w:val="auto"/>
        </w:rPr>
        <w:t>IN WITNESS WHEREOF, the Company has caused this Agreement to be executed on its behalf by its duly authorized officer and the Grantee has also executed this Agreement, as of the Date of Grant.</w:t>
      </w:r>
    </w:p>
    <w:p>
      <w:pPr>
        <w:spacing w:after="0" w:line="84"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UNITI GROUP INC.</w:t>
      </w:r>
    </w:p>
    <w:p>
      <w:pPr>
        <w:sectPr>
          <w:pgSz w:w="11900" w:h="16838" w:orient="portrait"/>
          <w:cols w:equalWidth="0" w:num="1">
            <w:col w:w="11460"/>
          </w:cols>
          <w:pgMar w:left="220" w:top="269" w:right="219" w:bottom="1440" w:gutter="0" w:footer="0" w:header="0"/>
        </w:sectPr>
      </w:pPr>
    </w:p>
    <w:p>
      <w:pPr>
        <w:spacing w:after="0" w:line="145"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Kenny Gunderman</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CEO</w:t>
      </w:r>
    </w:p>
    <w:p>
      <w:pPr>
        <w:spacing w:after="0" w:line="152" w:lineRule="exact"/>
        <w:rPr>
          <w:sz w:val="20"/>
          <w:szCs w:val="20"/>
          <w:color w:val="auto"/>
        </w:rPr>
      </w:pPr>
    </w:p>
    <w:p>
      <w:pPr>
        <w:sectPr>
          <w:pgSz w:w="11900" w:h="16838" w:orient="portrait"/>
          <w:cols w:equalWidth="0" w:num="2">
            <w:col w:w="5600" w:space="440"/>
            <w:col w:w="5420"/>
          </w:cols>
          <w:pgMar w:left="220" w:top="269" w:right="219" w:bottom="1440" w:gutter="0" w:footer="0" w:header="0"/>
          <w:type w:val="continuous"/>
        </w:sectPr>
      </w:pPr>
    </w:p>
    <w:p>
      <w:pPr>
        <w:ind w:right="60"/>
        <w:spacing w:after="0" w:line="251" w:lineRule="auto"/>
        <w:rPr>
          <w:sz w:val="20"/>
          <w:szCs w:val="20"/>
          <w:color w:val="auto"/>
        </w:rPr>
      </w:pPr>
      <w:r>
        <w:rPr>
          <w:rFonts w:ascii="Arial" w:cs="Arial" w:eastAsia="Arial" w:hAnsi="Arial"/>
          <w:sz w:val="14"/>
          <w:szCs w:val="14"/>
          <w:color w:val="auto"/>
        </w:rPr>
        <w:t xml:space="preserve">By clicking the </w:t>
      </w:r>
      <w:r>
        <w:rPr>
          <w:rFonts w:ascii="Arial" w:cs="Arial" w:eastAsia="Arial" w:hAnsi="Arial"/>
          <w:sz w:val="14"/>
          <w:szCs w:val="14"/>
          <w:b w:val="1"/>
          <w:bCs w:val="1"/>
          <w:color w:val="auto"/>
        </w:rPr>
        <w:t>[I Accept]</w:t>
      </w:r>
      <w:r>
        <w:rPr>
          <w:rFonts w:ascii="Arial" w:cs="Arial" w:eastAsia="Arial" w:hAnsi="Arial"/>
          <w:sz w:val="14"/>
          <w:szCs w:val="14"/>
          <w:color w:val="auto"/>
        </w:rPr>
        <w:t xml:space="preserve"> button, the Grantee hereby acknowledges that a copy of the Plan, Plan Summary and Prospectus and the Company’s most recent Annual Report and Proxy Statement (the “Prospectus Information”) are available for viewing on the Company’s intranet site at [web address]. The Grantee hereby consents to receiving this Prospectus Information electronically, or, in the alternative, agrees to contact [name and phone number]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as soon as you click the </w:t>
      </w:r>
      <w:r>
        <w:rPr>
          <w:rFonts w:ascii="Arial" w:cs="Arial" w:eastAsia="Arial" w:hAnsi="Arial"/>
          <w:sz w:val="14"/>
          <w:szCs w:val="14"/>
          <w:b w:val="1"/>
          <w:bCs w:val="1"/>
          <w:color w:val="auto"/>
        </w:rPr>
        <w:t>[I Accept]</w:t>
      </w:r>
      <w:r>
        <w:rPr>
          <w:rFonts w:ascii="Arial" w:cs="Arial" w:eastAsia="Arial" w:hAnsi="Arial"/>
          <w:sz w:val="14"/>
          <w:szCs w:val="14"/>
          <w:color w:val="auto"/>
        </w:rPr>
        <w:t xml:space="preserve"> button.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69" w:right="21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3"/>
          <w:szCs w:val="13"/>
          <w:b w:val="1"/>
          <w:bCs w:val="1"/>
          <w:color w:val="auto"/>
        </w:rPr>
        <w:t>Exhibit 10.21</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UNITI GROUP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2015 EQUITY INCENTIVE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PERFORMANCE-BASED RESTRICTED STOCK UNIT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Summary of Restricted Stock Unit Award</w:t>
      </w:r>
    </w:p>
    <w:p>
      <w:pPr>
        <w:spacing w:after="0" w:line="118" w:lineRule="exact"/>
        <w:rPr>
          <w:sz w:val="20"/>
          <w:szCs w:val="20"/>
          <w:color w:val="auto"/>
        </w:rPr>
      </w:pPr>
    </w:p>
    <w:p>
      <w:pPr>
        <w:ind w:right="160" w:firstLine="883"/>
        <w:spacing w:after="0" w:line="257" w:lineRule="auto"/>
        <w:rPr>
          <w:sz w:val="20"/>
          <w:szCs w:val="20"/>
          <w:color w:val="auto"/>
        </w:rPr>
      </w:pPr>
      <w:r>
        <w:rPr>
          <w:rFonts w:ascii="Arial" w:cs="Arial" w:eastAsia="Arial" w:hAnsi="Arial"/>
          <w:sz w:val="14"/>
          <w:szCs w:val="14"/>
          <w:color w:val="auto"/>
        </w:rPr>
        <w:t>As of the Date of Grant set forth below, Uniti Group Inc., a Maryland corporation (the “Company”), grants to the Grantee named below, in accordance with the terms of the Uniti Group Inc. 2015 Equity Incentive Plan (the “Plan”), and this Restricted Stock Unit Agreement (the “Agreement”), the contingent right to receive all, a portion or a multiple of the Target Number of Restricted Stock Units set forth below:</w:t>
      </w:r>
    </w:p>
    <w:p>
      <w:pPr>
        <w:spacing w:after="0" w:line="113" w:lineRule="exact"/>
        <w:rPr>
          <w:sz w:val="20"/>
          <w:szCs w:val="20"/>
          <w:color w:val="auto"/>
        </w:rPr>
      </w:pPr>
    </w:p>
    <w:p>
      <w:pPr>
        <w:jc w:val="center"/>
        <w:ind w:right="8680"/>
        <w:spacing w:after="0"/>
        <w:rPr>
          <w:sz w:val="20"/>
          <w:szCs w:val="20"/>
          <w:color w:val="auto"/>
        </w:rPr>
      </w:pPr>
      <w:r>
        <w:rPr>
          <w:rFonts w:ascii="Arial" w:cs="Arial" w:eastAsia="Arial" w:hAnsi="Arial"/>
          <w:sz w:val="14"/>
          <w:szCs w:val="14"/>
          <w:color w:val="auto"/>
        </w:rPr>
        <w:t>Name of Grantee:</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Target Number of Restricted Stock Units: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Date of Grant: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Terms of Agreement</w:t>
      </w:r>
    </w:p>
    <w:p>
      <w:pPr>
        <w:spacing w:after="0" w:line="141" w:lineRule="exact"/>
        <w:rPr>
          <w:sz w:val="20"/>
          <w:szCs w:val="20"/>
          <w:color w:val="auto"/>
        </w:rPr>
      </w:pPr>
    </w:p>
    <w:p>
      <w:pPr>
        <w:ind w:right="140" w:firstLine="875"/>
        <w:spacing w:after="0" w:line="254" w:lineRule="auto"/>
        <w:tabs>
          <w:tab w:leader="none" w:pos="1424"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Grant of Restricted Stock Units</w:t>
      </w:r>
      <w:r>
        <w:rPr>
          <w:rFonts w:ascii="Arial" w:cs="Arial" w:eastAsia="Arial" w:hAnsi="Arial"/>
          <w:sz w:val="14"/>
          <w:szCs w:val="14"/>
          <w:color w:val="auto"/>
        </w:rPr>
        <w:t>. Subject to and upon the terms, conditions, and restrictions set forth in this Agreement and in the Plan, the Company hereby grants to the</w:t>
      </w:r>
      <w:r>
        <w:rPr>
          <w:rFonts w:ascii="Arial" w:cs="Arial" w:eastAsia="Arial" w:hAnsi="Arial"/>
          <w:sz w:val="14"/>
          <w:szCs w:val="14"/>
          <w:b w:val="1"/>
          <w:bCs w:val="1"/>
          <w:color w:val="auto"/>
        </w:rPr>
        <w:t xml:space="preserve"> </w:t>
      </w:r>
      <w:r>
        <w:rPr>
          <w:rFonts w:ascii="Arial" w:cs="Arial" w:eastAsia="Arial" w:hAnsi="Arial"/>
          <w:sz w:val="14"/>
          <w:szCs w:val="14"/>
          <w:color w:val="auto"/>
        </w:rPr>
        <w:t>Grantee as of the Date of Grant this Performance-Based Restricted Stock Unit Award, which represents the contingent right to receive all, a portion, or a multiple of the Target Number of Restricted Stock Units (the “Restricted Stock Units”) set forth herein. Except as otherwise provided herein, each Restricted Stock Unit shall represent the right to receive one Common Share and shall at all times be equal in value to one Common Share.</w:t>
      </w:r>
    </w:p>
    <w:p>
      <w:pPr>
        <w:spacing w:after="0" w:line="93" w:lineRule="exact"/>
        <w:rPr>
          <w:rFonts w:ascii="Arial" w:cs="Arial" w:eastAsia="Arial" w:hAnsi="Arial"/>
          <w:sz w:val="14"/>
          <w:szCs w:val="14"/>
          <w:color w:val="auto"/>
        </w:rPr>
      </w:pPr>
    </w:p>
    <w:p>
      <w:pPr>
        <w:ind w:left="1420" w:hanging="545"/>
        <w:spacing w:after="0"/>
        <w:tabs>
          <w:tab w:leader="none" w:pos="1420"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Right to Receive Payment</w:t>
      </w:r>
      <w:r>
        <w:rPr>
          <w:rFonts w:ascii="Arial" w:cs="Arial" w:eastAsia="Arial" w:hAnsi="Arial"/>
          <w:sz w:val="14"/>
          <w:szCs w:val="14"/>
          <w:color w:val="auto"/>
        </w:rPr>
        <w:t>.</w:t>
      </w:r>
    </w:p>
    <w:p>
      <w:pPr>
        <w:spacing w:after="0" w:line="122" w:lineRule="exact"/>
        <w:rPr>
          <w:sz w:val="20"/>
          <w:szCs w:val="20"/>
          <w:color w:val="auto"/>
        </w:rPr>
      </w:pPr>
    </w:p>
    <w:p>
      <w:pPr>
        <w:ind w:left="1460" w:hanging="585"/>
        <w:spacing w:after="0"/>
        <w:tabs>
          <w:tab w:leader="none" w:pos="146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In General</w:t>
      </w:r>
      <w:r>
        <w:rPr>
          <w:rFonts w:ascii="Arial" w:cs="Arial" w:eastAsia="Arial" w:hAnsi="Arial"/>
          <w:sz w:val="14"/>
          <w:szCs w:val="14"/>
          <w:color w:val="auto"/>
        </w:rPr>
        <w:t>.</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(i)The Grantee shall vest in all or a portion of the Target Number of Restricted Stock Units on _______________, 2018 (the “Vesting Date”), in accordance with the</w:t>
      </w:r>
    </w:p>
    <w:p>
      <w:pPr>
        <w:spacing w:after="0" w:line="13"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 xml:space="preserve">performance matrix attached hereto as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(the “Performance Matrix”); provided that the Grantee shall have remained in the continuous employ of the Company or any Subsidiary through the Vesting Date.</w:t>
      </w:r>
    </w:p>
    <w:p>
      <w:pPr>
        <w:spacing w:after="0" w:line="96" w:lineRule="exact"/>
        <w:rPr>
          <w:sz w:val="20"/>
          <w:szCs w:val="20"/>
          <w:color w:val="auto"/>
        </w:rPr>
      </w:pPr>
    </w:p>
    <w:p>
      <w:pPr>
        <w:ind w:right="40" w:firstLine="1315"/>
        <w:spacing w:after="0" w:line="249" w:lineRule="auto"/>
        <w:rPr>
          <w:sz w:val="20"/>
          <w:szCs w:val="20"/>
          <w:color w:val="auto"/>
        </w:rPr>
      </w:pPr>
      <w:r>
        <w:rPr>
          <w:rFonts w:ascii="Arial" w:cs="Arial" w:eastAsia="Arial" w:hAnsi="Arial"/>
          <w:sz w:val="14"/>
          <w:szCs w:val="14"/>
          <w:color w:val="auto"/>
        </w:rPr>
        <w:t>(ii)Notwithstanding the provisions of Section 2(a)(i), in the event the Grantee’s employment with the Company and its Subsidiaries is terminated without Cause, the Grantee terminates his employment with the Company or a Subsidiary for Good Reason, the Grantee experiences a Company-approved retirement (as determined in the sole discretion of the Committee), or the Grantee dies or becomes permanently disabled (as determined by the Committee) while in the employ of the Company or any Subsidiary, the Grantee shall remain eligible to vest in his Restricted Stock Units on the Vesting Date subject to the Performance Matrix and actual performance achieved. On the Vesting Date following such termination of employment, the Grantee shall vest in a pro-rated portion of the Restricted Stock Units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32917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147" w:name="page148"/>
    <w:bookmarkEnd w:id="147"/>
    <w:p>
      <w:pPr>
        <w:ind w:right="20"/>
        <w:spacing w:after="0" w:line="272" w:lineRule="auto"/>
        <w:rPr>
          <w:sz w:val="20"/>
          <w:szCs w:val="20"/>
          <w:color w:val="auto"/>
        </w:rPr>
      </w:pPr>
      <w:r>
        <w:rPr>
          <w:rFonts w:ascii="Arial" w:cs="Arial" w:eastAsia="Arial" w:hAnsi="Arial"/>
          <w:sz w:val="14"/>
          <w:szCs w:val="14"/>
          <w:color w:val="auto"/>
        </w:rPr>
        <w:t>Grantee would have been entitled had such termination of employment not occurred, based on the number days the Grantee was employed by the Company between the Date of Grant and the Vesting Date.</w:t>
      </w:r>
    </w:p>
    <w:p>
      <w:pPr>
        <w:spacing w:after="0" w:line="76" w:lineRule="exact"/>
        <w:rPr>
          <w:sz w:val="20"/>
          <w:szCs w:val="20"/>
          <w:color w:val="auto"/>
        </w:rPr>
      </w:pPr>
    </w:p>
    <w:p>
      <w:pPr>
        <w:ind w:right="120" w:firstLine="1315"/>
        <w:spacing w:after="0" w:line="286" w:lineRule="auto"/>
        <w:rPr>
          <w:sz w:val="20"/>
          <w:szCs w:val="20"/>
          <w:color w:val="auto"/>
        </w:rPr>
      </w:pPr>
      <w:r>
        <w:rPr>
          <w:rFonts w:ascii="Arial" w:cs="Arial" w:eastAsia="Arial" w:hAnsi="Arial"/>
          <w:sz w:val="13"/>
          <w:szCs w:val="13"/>
          <w:color w:val="auto"/>
        </w:rPr>
        <w:t>(iii)Notwithstanding the provisions of Section 2(a)(i) or 2(a)(ii), the Target Number of Restricted Stock Units covered by this Agreement (and not previously vested under Section 2(a) or forfeited under Section 3) shall immediately become vested if, prior to the applicable Vesting Date, the Grantee’s employment with the Company or any Subsidiary is terminated without Cause or the Grantee terminates his employment with the Company or any Subsidiary for Good Reason, in each case within the one year period immediately following a Change in Control.</w:t>
      </w:r>
    </w:p>
    <w:p>
      <w:pPr>
        <w:spacing w:after="0" w:line="78" w:lineRule="exact"/>
        <w:rPr>
          <w:sz w:val="20"/>
          <w:szCs w:val="20"/>
          <w:color w:val="auto"/>
        </w:rPr>
      </w:pPr>
    </w:p>
    <w:p>
      <w:pPr>
        <w:ind w:right="140" w:firstLine="1315"/>
        <w:spacing w:after="0" w:line="273" w:lineRule="auto"/>
        <w:rPr>
          <w:sz w:val="20"/>
          <w:szCs w:val="20"/>
          <w:color w:val="auto"/>
        </w:rPr>
      </w:pPr>
      <w:r>
        <w:rPr>
          <w:rFonts w:ascii="Arial" w:cs="Arial" w:eastAsia="Arial" w:hAnsi="Arial"/>
          <w:sz w:val="14"/>
          <w:szCs w:val="14"/>
          <w:color w:val="auto"/>
        </w:rPr>
        <w:t>(iv)Notwithstanding anything contained in this Agreement to the contrary, the Committee may, in its sole discretion, at any time declare the Restricted Stock Units vested and nonforfeitable on such terms and conditions as it deems appropriate.</w:t>
      </w:r>
    </w:p>
    <w:p>
      <w:pPr>
        <w:spacing w:after="0" w:line="75" w:lineRule="exact"/>
        <w:rPr>
          <w:sz w:val="20"/>
          <w:szCs w:val="20"/>
          <w:color w:val="auto"/>
        </w:rPr>
      </w:pPr>
    </w:p>
    <w:p>
      <w:pPr>
        <w:ind w:right="20" w:firstLine="875"/>
        <w:spacing w:after="0" w:line="257" w:lineRule="auto"/>
        <w:tabs>
          <w:tab w:leader="none" w:pos="1475"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Adjustment of Performance Goals</w:t>
      </w:r>
      <w:r>
        <w:rPr>
          <w:rFonts w:ascii="Arial" w:cs="Arial" w:eastAsia="Arial" w:hAnsi="Arial"/>
          <w:sz w:val="14"/>
          <w:szCs w:val="14"/>
          <w:color w:val="auto"/>
        </w:rPr>
        <w:t>. If the Committee determines that a change in the business, operations, corporate structure or capital structure of the Company or any Subsidiary, the manner in which it conducts business or other events or circumstances render any of the Performance Goals to be unsuitable, the Committee may modify such Performance Goal or the level of achievement, in whole or in part, as the Committee deems appropriate.</w:t>
      </w:r>
    </w:p>
    <w:p>
      <w:pPr>
        <w:spacing w:after="0" w:line="82" w:lineRule="exact"/>
        <w:rPr>
          <w:sz w:val="20"/>
          <w:szCs w:val="20"/>
          <w:color w:val="auto"/>
        </w:rPr>
      </w:pPr>
    </w:p>
    <w:p>
      <w:pPr>
        <w:ind w:firstLine="875"/>
        <w:spacing w:after="0" w:line="254" w:lineRule="auto"/>
        <w:tabs>
          <w:tab w:leader="none" w:pos="1424"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Forfeiture</w:t>
      </w:r>
      <w:r>
        <w:rPr>
          <w:rFonts w:ascii="Arial" w:cs="Arial" w:eastAsia="Arial" w:hAnsi="Arial"/>
          <w:sz w:val="14"/>
          <w:szCs w:val="14"/>
          <w:color w:val="auto"/>
        </w:rPr>
        <w:t>. The Restricted Stock Units that have not yet vested pursuant to Section 2(a) (and any right to unpaid Dividend Equivalents under Section 7 with respect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Restricted Stock Units) shall be forfeited automatically without further action or notice (i) except as otherwise provided pursuant to Section 2(a)(ii), to the extent that the Performance Goal for a fiscal year has not been achieved, but only with respect to the percentage of the Target Number of Restricted Stock Units allocated to such fiscal year; or (ii) in the event the Grantee ceases to be employed by the Company or any Subsidiary other than as provided in Section 2(a)(ii).</w:t>
      </w:r>
    </w:p>
    <w:p>
      <w:pPr>
        <w:spacing w:after="0" w:line="93" w:lineRule="exact"/>
        <w:rPr>
          <w:rFonts w:ascii="Arial" w:cs="Arial" w:eastAsia="Arial" w:hAnsi="Arial"/>
          <w:sz w:val="14"/>
          <w:szCs w:val="14"/>
          <w:color w:val="auto"/>
        </w:rPr>
      </w:pPr>
    </w:p>
    <w:p>
      <w:pPr>
        <w:ind w:left="1420" w:hanging="545"/>
        <w:spacing w:after="0"/>
        <w:tabs>
          <w:tab w:leader="none" w:pos="142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Payment of Restricted Stock Units</w:t>
      </w:r>
      <w:r>
        <w:rPr>
          <w:rFonts w:ascii="Arial" w:cs="Arial" w:eastAsia="Arial" w:hAnsi="Arial"/>
          <w:sz w:val="14"/>
          <w:szCs w:val="14"/>
          <w:color w:val="auto"/>
        </w:rPr>
        <w:t>.</w:t>
      </w:r>
    </w:p>
    <w:p>
      <w:pPr>
        <w:spacing w:after="0" w:line="122" w:lineRule="exact"/>
        <w:rPr>
          <w:sz w:val="20"/>
          <w:szCs w:val="20"/>
          <w:color w:val="auto"/>
        </w:rPr>
      </w:pPr>
    </w:p>
    <w:p>
      <w:pPr>
        <w:ind w:right="460" w:firstLine="875"/>
        <w:spacing w:after="0" w:line="273" w:lineRule="auto"/>
        <w:tabs>
          <w:tab w:leader="none" w:pos="1475"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In General</w:t>
      </w:r>
      <w:r>
        <w:rPr>
          <w:rFonts w:ascii="Arial" w:cs="Arial" w:eastAsia="Arial" w:hAnsi="Arial"/>
          <w:sz w:val="14"/>
          <w:szCs w:val="14"/>
          <w:color w:val="auto"/>
        </w:rPr>
        <w:t>. Except as may be otherwise provided in this Section 4, the Company shall deliver to the Grantee (or the Grantee’s estate in the event of death) the Shares underlying the vested Restricted Stock Units within sixty (60) days after the date that they become vested in accordance with Section 2.</w:t>
      </w:r>
    </w:p>
    <w:p>
      <w:pPr>
        <w:spacing w:after="0" w:line="75" w:lineRule="exact"/>
        <w:rPr>
          <w:rFonts w:ascii="Arial" w:cs="Arial" w:eastAsia="Arial" w:hAnsi="Arial"/>
          <w:sz w:val="14"/>
          <w:szCs w:val="14"/>
          <w:color w:val="auto"/>
        </w:rPr>
      </w:pPr>
    </w:p>
    <w:p>
      <w:pPr>
        <w:ind w:right="80" w:firstLine="875"/>
        <w:spacing w:after="0" w:line="257" w:lineRule="auto"/>
        <w:tabs>
          <w:tab w:leader="none" w:pos="1484"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Special Payment Terms</w:t>
      </w:r>
      <w:r>
        <w:rPr>
          <w:rFonts w:ascii="Arial" w:cs="Arial" w:eastAsia="Arial" w:hAnsi="Arial"/>
          <w:sz w:val="14"/>
          <w:szCs w:val="14"/>
          <w:color w:val="auto"/>
        </w:rPr>
        <w:t>. To the extent that the Grantee’s right to receive payment of the Restricted Stock Units constitutes a “deferral of compensation” within the meaning of Section 409A of the Code, then notwithstanding Section 4(a), the Shares underlying the Restricted Stock Units that become vested pursuant to Section 2(a)(ii), if any, shall be subject to the following rules:</w:t>
      </w:r>
    </w:p>
    <w:p>
      <w:pPr>
        <w:spacing w:after="0" w:line="95" w:lineRule="exact"/>
        <w:rPr>
          <w:rFonts w:ascii="Arial" w:cs="Arial" w:eastAsia="Arial" w:hAnsi="Arial"/>
          <w:sz w:val="14"/>
          <w:szCs w:val="14"/>
          <w:color w:val="auto"/>
        </w:rPr>
      </w:pPr>
    </w:p>
    <w:p>
      <w:pPr>
        <w:ind w:right="60" w:firstLine="1307"/>
        <w:spacing w:after="0" w:line="257" w:lineRule="auto"/>
        <w:tabs>
          <w:tab w:leader="none" w:pos="1884" w:val="left"/>
        </w:tabs>
        <w:numPr>
          <w:ilvl w:val="1"/>
          <w:numId w:val="51"/>
        </w:numPr>
        <w:rPr>
          <w:rFonts w:ascii="Arial" w:cs="Arial" w:eastAsia="Arial" w:hAnsi="Arial"/>
          <w:sz w:val="14"/>
          <w:szCs w:val="14"/>
          <w:color w:val="auto"/>
        </w:rPr>
      </w:pPr>
      <w:r>
        <w:rPr>
          <w:rFonts w:ascii="Arial" w:cs="Arial" w:eastAsia="Arial" w:hAnsi="Arial"/>
          <w:sz w:val="14"/>
          <w:szCs w:val="14"/>
          <w:color w:val="auto"/>
        </w:rPr>
        <w:t>Except as provided in Section 4(b)(ii), the Shares underlying the Restricted Stock Units that become vested pursuant to Section 2(a)(ii) shall be delivered to the Grantee (or the Grantee’s estate in the event of death) within sixty (60) days after the earlier of (x) the Grantee’s “separation from service” within the meaning of Section 409A of the Code; or (y) the Vesting Date next following the date that the Restricted Stock Units become vested pursuant to Section 2(a)(ii).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117475</wp:posOffset>
            </wp:positionV>
            <wp:extent cx="732917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148" w:name="page149"/>
    <w:bookmarkEnd w:id="148"/>
    <w:p>
      <w:pPr>
        <w:ind w:firstLine="1307"/>
        <w:spacing w:after="0" w:line="267" w:lineRule="auto"/>
        <w:tabs>
          <w:tab w:leader="none" w:pos="1924" w:val="left"/>
        </w:tabs>
        <w:numPr>
          <w:ilvl w:val="1"/>
          <w:numId w:val="52"/>
        </w:numPr>
        <w:rPr>
          <w:rFonts w:ascii="Arial" w:cs="Arial" w:eastAsia="Arial" w:hAnsi="Arial"/>
          <w:sz w:val="13"/>
          <w:szCs w:val="13"/>
          <w:color w:val="auto"/>
        </w:rPr>
      </w:pPr>
      <w:r>
        <w:rPr>
          <w:rFonts w:ascii="Arial" w:cs="Arial" w:eastAsia="Arial" w:hAnsi="Arial"/>
          <w:sz w:val="13"/>
          <w:szCs w:val="13"/>
          <w:color w:val="auto"/>
        </w:rPr>
        <w:t>If the Restricted Stock Units would otherwise become payable as a result of Section 4(b)(i)(x) but the Grantee is a “specified employee” at that time within the meaning of Section 409A of the Code (as determined pursuant to Company’s policy for identifying specified employees), then to the extent required to comply with Section 409A of the Code, payment of the Restricted Stock Units shall not be made as described Section 4(b)(i) and (x) in the case of a separation from service pursuant to Section 2(a)(ii)(A) the Shares shall instead be delivered to the Grantee within sixty (60) days after the first business day that is more than six months after the date of his or her separation from service or, if the Grantee dies during such six-month period, within ninety (90) days after the Grantee’s death (such date the “409A Settlement Date”) and (y) in the case of a separation from service pursuant to Section 2(a)(ii)(B) payment of the Restricted Stock Units shall be made on the 409A Settlement Date in cash (in lieu of payment in Shares) with a value equal to the number of Shares that otherwise would have been paid multiplied by the Market Value per Share as of the date of such separation from service, together with interest from the date of such separation from service until the 409A Settlement Date at the applicable Federal short-term rate, compounded semi-annually, in effect under 1274(d) of the Code as of the date of such separation from service.</w:t>
      </w:r>
    </w:p>
    <w:p>
      <w:pPr>
        <w:spacing w:after="0" w:line="83" w:lineRule="exact"/>
        <w:rPr>
          <w:rFonts w:ascii="Arial" w:cs="Arial" w:eastAsia="Arial" w:hAnsi="Arial"/>
          <w:sz w:val="13"/>
          <w:szCs w:val="13"/>
          <w:color w:val="auto"/>
        </w:rPr>
      </w:pPr>
    </w:p>
    <w:p>
      <w:pPr>
        <w:ind w:right="220" w:firstLine="875"/>
        <w:spacing w:after="0" w:line="273" w:lineRule="auto"/>
        <w:tabs>
          <w:tab w:leader="none" w:pos="1475"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Satisfaction of the Company’s Obligations</w:t>
      </w:r>
      <w:r>
        <w:rPr>
          <w:rFonts w:ascii="Arial" w:cs="Arial" w:eastAsia="Arial" w:hAnsi="Arial"/>
          <w:sz w:val="14"/>
          <w:szCs w:val="14"/>
          <w:color w:val="auto"/>
        </w:rPr>
        <w:t>. The Company’s obligations with respect to the Restricted Stock Units shall be satisfied in full upon the delivery of the Shares underlying the Vested Restricted Stock Units or the cash payment described in Section 4(b)(ii)(y).</w:t>
      </w:r>
    </w:p>
    <w:p>
      <w:pPr>
        <w:spacing w:after="0" w:line="80" w:lineRule="exact"/>
        <w:rPr>
          <w:sz w:val="20"/>
          <w:szCs w:val="20"/>
          <w:color w:val="auto"/>
        </w:rPr>
      </w:pPr>
    </w:p>
    <w:p>
      <w:pPr>
        <w:ind w:right="140" w:firstLine="875"/>
        <w:spacing w:after="0" w:line="260" w:lineRule="auto"/>
        <w:tabs>
          <w:tab w:leader="none" w:pos="1424"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Transferability</w:t>
      </w:r>
      <w:r>
        <w:rPr>
          <w:rFonts w:ascii="Arial" w:cs="Arial" w:eastAsia="Arial" w:hAnsi="Arial"/>
          <w:sz w:val="14"/>
          <w:szCs w:val="14"/>
          <w:color w:val="auto"/>
        </w:rPr>
        <w:t>. The Restricted Stock Units or the right to the cash payment described in Section 4(b)(ii)(y) may not be sold, exchanged, assigned, transferred, pledged,</w:t>
      </w:r>
      <w:r>
        <w:rPr>
          <w:rFonts w:ascii="Arial" w:cs="Arial" w:eastAsia="Arial" w:hAnsi="Arial"/>
          <w:sz w:val="14"/>
          <w:szCs w:val="14"/>
          <w:b w:val="1"/>
          <w:bCs w:val="1"/>
          <w:color w:val="auto"/>
        </w:rPr>
        <w:t xml:space="preserve"> </w:t>
      </w:r>
      <w:r>
        <w:rPr>
          <w:rFonts w:ascii="Arial" w:cs="Arial" w:eastAsia="Arial" w:hAnsi="Arial"/>
          <w:sz w:val="14"/>
          <w:szCs w:val="14"/>
          <w:color w:val="auto"/>
        </w:rPr>
        <w:t>encumbered or otherwise disposed of by the Grantee, unless otherwise provided under the Plan. Any purported transfer or encumbrance in violation of the provisions of this Section 5 shall be void, and the other party to any such purported transaction shall not obtain any rights to or interest in such Restricted Stock Units or cash payment right.</w:t>
      </w:r>
    </w:p>
    <w:p>
      <w:pPr>
        <w:spacing w:after="0" w:line="80" w:lineRule="exact"/>
        <w:rPr>
          <w:rFonts w:ascii="Arial" w:cs="Arial" w:eastAsia="Arial" w:hAnsi="Arial"/>
          <w:sz w:val="14"/>
          <w:szCs w:val="14"/>
          <w:color w:val="auto"/>
        </w:rPr>
      </w:pPr>
    </w:p>
    <w:p>
      <w:pPr>
        <w:ind w:right="80" w:firstLine="875"/>
        <w:spacing w:after="0" w:line="251" w:lineRule="auto"/>
        <w:tabs>
          <w:tab w:leader="none" w:pos="1424"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No Dividend, Voting or Other Rights</w:t>
      </w:r>
      <w:r>
        <w:rPr>
          <w:rFonts w:ascii="Arial" w:cs="Arial" w:eastAsia="Arial" w:hAnsi="Arial"/>
          <w:sz w:val="14"/>
          <w:szCs w:val="14"/>
          <w:color w:val="auto"/>
        </w:rPr>
        <w:t>. The Grantee shall not possess any incidents of ownership (including, without limitation, dividend and voting rights) in the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Shares underlying the Restricted Stock Units credited to his or her account until such Common Shares have been delivered to the Grantee in accordance with Section 4. The obligations of the Company under this Agreement will be merely that of an unfunded and unsecured promise of the Company to deliver Common Shares or cash as the case may be (and pay Dividend Equivalents as defined in Section 7) in the future, and the rights of the Grantee will be no greater than that of an unsecured general creditor. No assets of the Company or any Subsidiary will be held or set aside as security for the obligations of the Company under this Agreement.</w:t>
      </w:r>
    </w:p>
    <w:p>
      <w:pPr>
        <w:spacing w:after="0" w:line="85" w:lineRule="exact"/>
        <w:rPr>
          <w:rFonts w:ascii="Arial" w:cs="Arial" w:eastAsia="Arial" w:hAnsi="Arial"/>
          <w:sz w:val="14"/>
          <w:szCs w:val="14"/>
          <w:color w:val="auto"/>
        </w:rPr>
      </w:pPr>
    </w:p>
    <w:p>
      <w:pPr>
        <w:ind w:right="40" w:firstLine="875"/>
        <w:spacing w:after="0" w:line="251" w:lineRule="auto"/>
        <w:tabs>
          <w:tab w:leader="none" w:pos="1424"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Dividend Equivalents</w:t>
      </w:r>
      <w:r>
        <w:rPr>
          <w:rFonts w:ascii="Arial" w:cs="Arial" w:eastAsia="Arial" w:hAnsi="Arial"/>
          <w:sz w:val="14"/>
          <w:szCs w:val="14"/>
          <w:color w:val="auto"/>
        </w:rPr>
        <w:t>. Upon payment of a vested Restricted Stock Unit, the Grantee shall be entitled to a cash payment equal to the aggregate cash dividends declared and</w:t>
      </w:r>
      <w:r>
        <w:rPr>
          <w:rFonts w:ascii="Arial" w:cs="Arial" w:eastAsia="Arial" w:hAnsi="Arial"/>
          <w:sz w:val="14"/>
          <w:szCs w:val="14"/>
          <w:b w:val="1"/>
          <w:bCs w:val="1"/>
          <w:color w:val="auto"/>
        </w:rPr>
        <w:t xml:space="preserve"> </w:t>
      </w:r>
      <w:r>
        <w:rPr>
          <w:rFonts w:ascii="Arial" w:cs="Arial" w:eastAsia="Arial" w:hAnsi="Arial"/>
          <w:sz w:val="14"/>
          <w:szCs w:val="14"/>
          <w:color w:val="auto"/>
        </w:rPr>
        <w:t>paid or payable with respect to one (1) Common Share for each record date that occurs during the period beginning on the Date of Grant and ending on the date the vested Restricted Stock Unit is paid or, in the case of a separation from service pursuant to Section 2(a)(ii)(B), the date of the separation from service (the “Dividend Equivalent”). The Dividend Equivalents shall be forfeited to the extent that the underlying Restricted Stock Unit is forfeited and shall be paid to the Grantee, if at all, at the same time that the related vested Restricted Stock Unit is paid to the Grantee in accordance with Section 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117475</wp:posOffset>
            </wp:positionV>
            <wp:extent cx="732917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149" w:name="page150"/>
    <w:bookmarkEnd w:id="149"/>
    <w:p>
      <w:pPr>
        <w:ind w:right="180" w:firstLine="875"/>
        <w:spacing w:after="0" w:line="260" w:lineRule="auto"/>
        <w:tabs>
          <w:tab w:leader="none" w:pos="1424"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Continuous Employment</w:t>
      </w:r>
      <w:r>
        <w:rPr>
          <w:rFonts w:ascii="Arial" w:cs="Arial" w:eastAsia="Arial" w:hAnsi="Arial"/>
          <w:sz w:val="14"/>
          <w:szCs w:val="14"/>
          <w:color w:val="auto"/>
        </w:rPr>
        <w:t>. For purposes of this Agreement, the continuous employment of the Grantee with the Company or any Subsidiary shall not be deemed to have</w:t>
      </w:r>
      <w:r>
        <w:rPr>
          <w:rFonts w:ascii="Arial" w:cs="Arial" w:eastAsia="Arial" w:hAnsi="Arial"/>
          <w:sz w:val="14"/>
          <w:szCs w:val="14"/>
          <w:b w:val="1"/>
          <w:bCs w:val="1"/>
          <w:color w:val="auto"/>
        </w:rPr>
        <w:t xml:space="preserve"> </w:t>
      </w:r>
      <w:r>
        <w:rPr>
          <w:rFonts w:ascii="Arial" w:cs="Arial" w:eastAsia="Arial" w:hAnsi="Arial"/>
          <w:sz w:val="14"/>
          <w:szCs w:val="14"/>
          <w:color w:val="auto"/>
        </w:rPr>
        <w:t>been interrupted, and the Grantee shall not be deemed to have ceased to be an employee of the Company or any Subsidiary, by reason of the transfer of his or her employment among the Company and any Subsidiary, or a leave of absence approved by the Committee.</w:t>
      </w:r>
    </w:p>
    <w:p>
      <w:pPr>
        <w:spacing w:after="0" w:line="79" w:lineRule="exact"/>
        <w:rPr>
          <w:rFonts w:ascii="Arial" w:cs="Arial" w:eastAsia="Arial" w:hAnsi="Arial"/>
          <w:sz w:val="14"/>
          <w:szCs w:val="14"/>
          <w:color w:val="auto"/>
        </w:rPr>
      </w:pPr>
    </w:p>
    <w:p>
      <w:pPr>
        <w:ind w:firstLine="875"/>
        <w:spacing w:after="0" w:line="272" w:lineRule="auto"/>
        <w:tabs>
          <w:tab w:leader="none" w:pos="1424" w:val="left"/>
        </w:tabs>
        <w:numPr>
          <w:ilvl w:val="0"/>
          <w:numId w:val="55"/>
        </w:numPr>
        <w:rPr>
          <w:rFonts w:ascii="Arial" w:cs="Arial" w:eastAsia="Arial" w:hAnsi="Arial"/>
          <w:sz w:val="13"/>
          <w:szCs w:val="13"/>
          <w:color w:val="auto"/>
        </w:rPr>
      </w:pPr>
      <w:r>
        <w:rPr>
          <w:rFonts w:ascii="Arial" w:cs="Arial" w:eastAsia="Arial" w:hAnsi="Arial"/>
          <w:sz w:val="13"/>
          <w:szCs w:val="13"/>
          <w:b w:val="1"/>
          <w:bCs w:val="1"/>
          <w:color w:val="auto"/>
        </w:rPr>
        <w:t>No Employment Contract; Disclaimer</w:t>
      </w:r>
      <w:r>
        <w:rPr>
          <w:rFonts w:ascii="Arial" w:cs="Arial" w:eastAsia="Arial" w:hAnsi="Arial"/>
          <w:sz w:val="13"/>
          <w:szCs w:val="13"/>
          <w:color w:val="auto"/>
        </w:rPr>
        <w:t>. Nothing contained in this Agreement shall confer upon the Grantee any right with respect to continuance of employment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or any Subsidiary, nor limit or affect in any manner the right of the Company and any Subsidiary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its respective officers, directors, employees, agents or contractors.</w:t>
      </w:r>
    </w:p>
    <w:p>
      <w:pPr>
        <w:spacing w:after="0" w:line="82" w:lineRule="exact"/>
        <w:rPr>
          <w:rFonts w:ascii="Arial" w:cs="Arial" w:eastAsia="Arial" w:hAnsi="Arial"/>
          <w:sz w:val="13"/>
          <w:szCs w:val="13"/>
          <w:color w:val="auto"/>
        </w:rPr>
      </w:pPr>
    </w:p>
    <w:p>
      <w:pPr>
        <w:ind w:right="20" w:firstLine="875"/>
        <w:spacing w:after="0" w:line="260" w:lineRule="auto"/>
        <w:tabs>
          <w:tab w:leader="none" w:pos="1496"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Relation to Other Benefits</w:t>
      </w:r>
      <w:r>
        <w:rPr>
          <w:rFonts w:ascii="Arial" w:cs="Arial" w:eastAsia="Arial" w:hAnsi="Arial"/>
          <w:sz w:val="14"/>
          <w:szCs w:val="14"/>
          <w:color w:val="auto"/>
        </w:rPr>
        <w:t>. Any economic or other benefit to the Grantee under this Agreement or the Plan shall not be taken into account in determining any benefits to</w:t>
      </w:r>
      <w:r>
        <w:rPr>
          <w:rFonts w:ascii="Arial" w:cs="Arial" w:eastAsia="Arial" w:hAnsi="Arial"/>
          <w:sz w:val="14"/>
          <w:szCs w:val="14"/>
          <w:b w:val="1"/>
          <w:bCs w:val="1"/>
          <w:color w:val="auto"/>
        </w:rPr>
        <w:t xml:space="preserve"> </w:t>
      </w:r>
      <w:r>
        <w:rPr>
          <w:rFonts w:ascii="Arial" w:cs="Arial" w:eastAsia="Arial" w:hAnsi="Arial"/>
          <w:sz w:val="14"/>
          <w:szCs w:val="14"/>
          <w:color w:val="auto"/>
        </w:rPr>
        <w:t>which the Grantee may be entitled under any profit-sharing, retirement or other benefit or compensation plan maintained by the Company or any Subsidiary and shall not affect the amount of any life insurance coverage available to any beneficiary under any life insurance plan covering employees of the Company or any Subsidiary.</w:t>
      </w:r>
    </w:p>
    <w:p>
      <w:pPr>
        <w:spacing w:after="0" w:line="80" w:lineRule="exact"/>
        <w:rPr>
          <w:rFonts w:ascii="Arial" w:cs="Arial" w:eastAsia="Arial" w:hAnsi="Arial"/>
          <w:sz w:val="14"/>
          <w:szCs w:val="14"/>
          <w:color w:val="auto"/>
        </w:rPr>
      </w:pPr>
    </w:p>
    <w:p>
      <w:pPr>
        <w:ind w:right="40" w:firstLine="875"/>
        <w:spacing w:after="0" w:line="245" w:lineRule="auto"/>
        <w:tabs>
          <w:tab w:leader="none" w:pos="1490"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Taxes and Withholding</w:t>
      </w:r>
      <w:r>
        <w:rPr>
          <w:rFonts w:ascii="Arial" w:cs="Arial" w:eastAsia="Arial" w:hAnsi="Arial"/>
          <w:sz w:val="14"/>
          <w:szCs w:val="14"/>
          <w:color w:val="auto"/>
        </w:rPr>
        <w:t>. The Grantee is responsible for any federal, state, local or other taxes with respect to the Restricted Stock Units (including the vesting of the</w:t>
      </w:r>
      <w:r>
        <w:rPr>
          <w:rFonts w:ascii="Arial" w:cs="Arial" w:eastAsia="Arial" w:hAnsi="Arial"/>
          <w:sz w:val="14"/>
          <w:szCs w:val="14"/>
          <w:b w:val="1"/>
          <w:bCs w:val="1"/>
          <w:color w:val="auto"/>
        </w:rPr>
        <w:t xml:space="preserve"> </w:t>
      </w:r>
      <w:r>
        <w:rPr>
          <w:rFonts w:ascii="Arial" w:cs="Arial" w:eastAsia="Arial" w:hAnsi="Arial"/>
          <w:sz w:val="14"/>
          <w:szCs w:val="14"/>
          <w:color w:val="auto"/>
        </w:rPr>
        <w:t>Restricted Stock Units, the receipt of Common Shares or cash and the receipt of Dividend Equivalents). The Company does not guarantee any particular tax treatment or results in connection with the grant or vesting of the Restricted Stock Units, the delivery of Common Shares or cash or the payment of Dividend Equivalents. To the extent the Company or any Subsidiary of the Company is required to withhold any federal, state, local, foreign or other taxes in connection with the delivery of Common Shares or cash under this Agreement, the Grantee shall pay the tax or make provisions that are satisfactory to the Company or such Subsidiary for the payment thereof. The Grantee may elect (on a form provided by the Company) for the Company or any Subsidiary (as applicable) to retain a number of Common Shares otherwise deliverable hereunder (to the extent any cash otherwise payable is insufficient) with a value equal to the required withholding (based on the Market Value of the Common Shares on the date of delivery) in order to satisfy the withholding obligation; provided that in no event shall the value of the Common Shares together with any cash retained exceed the minimum amount of taxes required to be withheld or such other amount that will not result in a negative accounting impact. If the Company or any Subsidiary is required to withhold any federal, state, local or other taxes at any time other than upon delivery of Common Shares or cash under this Agreement, then the Company or the Subsidiary (as applicable) shall have the right in its sole discretion to (a) require the Grantee to pay or provide for payment of the required tax withholding, or (b) deduct the required tax withholding from any amount of salary, bonus, incentive compensation or other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117475</wp:posOffset>
            </wp:positionV>
            <wp:extent cx="732917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50" w:name="page151"/>
    <w:bookmarkEnd w:id="150"/>
    <w:p>
      <w:pPr>
        <w:jc w:val="both"/>
        <w:ind w:right="280"/>
        <w:spacing w:after="0" w:line="257" w:lineRule="auto"/>
        <w:rPr>
          <w:sz w:val="20"/>
          <w:szCs w:val="20"/>
          <w:color w:val="auto"/>
        </w:rPr>
      </w:pPr>
      <w:r>
        <w:rPr>
          <w:rFonts w:ascii="Arial" w:cs="Arial" w:eastAsia="Arial" w:hAnsi="Arial"/>
          <w:sz w:val="14"/>
          <w:szCs w:val="14"/>
          <w:color w:val="auto"/>
        </w:rPr>
        <w:t>amounts otherwise payable in cash to the Grantee (other than deferred compensation subject to Section 409A of the Code). If the Company or any Subsidiary is required to withhold any federal, state, local or other taxes with respect to Dividend Equivalents, then the Company or Subsidiary (as applicable) shall have the right in its sole discretion to reduce the cash payment related to the Dividend Equivalent by the applicable tax withholding.</w:t>
      </w:r>
    </w:p>
    <w:p>
      <w:pPr>
        <w:spacing w:after="0" w:line="82" w:lineRule="exact"/>
        <w:rPr>
          <w:sz w:val="20"/>
          <w:szCs w:val="20"/>
          <w:color w:val="auto"/>
        </w:rPr>
      </w:pPr>
    </w:p>
    <w:p>
      <w:pPr>
        <w:ind w:right="120" w:firstLine="875"/>
        <w:spacing w:after="0" w:line="260" w:lineRule="auto"/>
        <w:tabs>
          <w:tab w:leader="none" w:pos="1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Compliance with Law</w:t>
      </w:r>
      <w:r>
        <w:rPr>
          <w:rFonts w:ascii="Arial" w:cs="Arial" w:eastAsia="Arial" w:hAnsi="Arial"/>
          <w:sz w:val="14"/>
          <w:szCs w:val="14"/>
          <w:color w:val="auto"/>
        </w:rPr>
        <w:t>. The Company shall make reasonable efforts to comply with all applicable federal and state securities laws and listing requirements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NASDAQ or any national securities exchange with respect to the Restricted Stock Units; provided, however, notwithstanding any other provision of this Agreement, the Restricted Stock Units shall not be delivered if the delivery thereof would result in a violation of any such law or listing requirement.</w:t>
      </w:r>
    </w:p>
    <w:p>
      <w:pPr>
        <w:spacing w:after="0" w:line="89" w:lineRule="exact"/>
        <w:rPr>
          <w:rFonts w:ascii="Arial" w:cs="Arial" w:eastAsia="Arial" w:hAnsi="Arial"/>
          <w:sz w:val="14"/>
          <w:szCs w:val="14"/>
          <w:color w:val="auto"/>
        </w:rPr>
      </w:pPr>
    </w:p>
    <w:p>
      <w:pPr>
        <w:ind w:firstLine="875"/>
        <w:spacing w:after="0" w:line="254" w:lineRule="auto"/>
        <w:tabs>
          <w:tab w:leader="none" w:pos="1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Amendments</w:t>
      </w:r>
      <w:r>
        <w:rPr>
          <w:rFonts w:ascii="Arial" w:cs="Arial" w:eastAsia="Arial" w:hAnsi="Arial"/>
          <w:sz w:val="14"/>
          <w:szCs w:val="14"/>
          <w:color w:val="auto"/>
        </w:rPr>
        <w:t>. Subject to the terms of the Plan, the Committee may modify this Agreement upon written notice to the Grantee. Any amendment to the Plan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deemed to be an amendment to this Agreement to the extent that the amendment is applicable hereto. Notwithstanding the foregoing, and except as specifically provided in Sections 2(a)(iii) and 2(b), no amendment of the Plan or this Agreement shall adversely affect the rights of the Grantee under this Agreement regarding vested Restricted Share Units under the Plan and this Agreement without the Grantee’s consent.</w:t>
      </w:r>
    </w:p>
    <w:p>
      <w:pPr>
        <w:spacing w:after="0" w:line="84" w:lineRule="exact"/>
        <w:rPr>
          <w:rFonts w:ascii="Arial" w:cs="Arial" w:eastAsia="Arial" w:hAnsi="Arial"/>
          <w:sz w:val="14"/>
          <w:szCs w:val="14"/>
          <w:color w:val="auto"/>
        </w:rPr>
      </w:pPr>
    </w:p>
    <w:p>
      <w:pPr>
        <w:ind w:right="260" w:firstLine="875"/>
        <w:spacing w:after="0" w:line="279" w:lineRule="auto"/>
        <w:tabs>
          <w:tab w:leader="none" w:pos="1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 In the event that one or more of the provisions of this Agreement shall be invalidated for any reason by a court of competent jurisdiction, any provision so</w:t>
      </w:r>
      <w:r>
        <w:rPr>
          <w:rFonts w:ascii="Arial" w:cs="Arial" w:eastAsia="Arial" w:hAnsi="Arial"/>
          <w:sz w:val="14"/>
          <w:szCs w:val="14"/>
          <w:b w:val="1"/>
          <w:bCs w:val="1"/>
          <w:color w:val="auto"/>
        </w:rPr>
        <w:t xml:space="preserve"> </w:t>
      </w:r>
      <w:r>
        <w:rPr>
          <w:rFonts w:ascii="Arial" w:cs="Arial" w:eastAsia="Arial" w:hAnsi="Arial"/>
          <w:sz w:val="14"/>
          <w:szCs w:val="14"/>
          <w:color w:val="auto"/>
        </w:rPr>
        <w:t>invalidated shall be deemed to be separable from the other provisions hereof, and the remaining provisions hereof shall continue to be valid and fully enforceable.</w:t>
      </w:r>
    </w:p>
    <w:p>
      <w:pPr>
        <w:spacing w:after="0" w:line="67" w:lineRule="exact"/>
        <w:rPr>
          <w:rFonts w:ascii="Arial" w:cs="Arial" w:eastAsia="Arial" w:hAnsi="Arial"/>
          <w:sz w:val="14"/>
          <w:szCs w:val="14"/>
          <w:color w:val="auto"/>
        </w:rPr>
      </w:pPr>
    </w:p>
    <w:p>
      <w:pPr>
        <w:ind w:right="180" w:firstLine="875"/>
        <w:spacing w:after="0" w:line="260" w:lineRule="auto"/>
        <w:tabs>
          <w:tab w:leader="none" w:pos="1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Claw-Back Policy</w:t>
      </w:r>
      <w:r>
        <w:rPr>
          <w:rFonts w:ascii="Arial" w:cs="Arial" w:eastAsia="Arial" w:hAnsi="Arial"/>
          <w:sz w:val="14"/>
          <w:szCs w:val="14"/>
          <w:color w:val="auto"/>
        </w:rPr>
        <w:t>. Notwithstanding any provision contained herein to the contrary, this Agreement, the Restricted Stock Units and any Common Shares that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may receive pursuant to this Agreement, are subject to the Uniti Group Inc. Claw-Back Policy then in affect (the “Policy”), and the Claw-Back Policy Acknowledgement and Agreement that the Grantee signed in accordance with the Policy (the “Claw-Back Agreement”).</w:t>
      </w:r>
    </w:p>
    <w:p>
      <w:pPr>
        <w:spacing w:after="0" w:line="89" w:lineRule="exact"/>
        <w:rPr>
          <w:rFonts w:ascii="Arial" w:cs="Arial" w:eastAsia="Arial" w:hAnsi="Arial"/>
          <w:sz w:val="14"/>
          <w:szCs w:val="14"/>
          <w:color w:val="auto"/>
        </w:rPr>
      </w:pPr>
    </w:p>
    <w:p>
      <w:pPr>
        <w:ind w:right="60" w:firstLine="875"/>
        <w:spacing w:after="0" w:line="251" w:lineRule="auto"/>
        <w:tabs>
          <w:tab w:leader="none" w:pos="1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Relation to Plan</w:t>
      </w:r>
      <w:r>
        <w:rPr>
          <w:rFonts w:ascii="Arial" w:cs="Arial" w:eastAsia="Arial" w:hAnsi="Arial"/>
          <w:sz w:val="14"/>
          <w:szCs w:val="14"/>
          <w:color w:val="auto"/>
        </w:rPr>
        <w:t>. This Agreement is subject to the terms and conditions of the Plan. This Agreement, the Policy, the Claw-Back Agreement and the Plan contain the entire</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Stock Units.</w:t>
      </w:r>
    </w:p>
    <w:p>
      <w:pPr>
        <w:spacing w:after="0" w:line="85" w:lineRule="exact"/>
        <w:rPr>
          <w:rFonts w:ascii="Arial" w:cs="Arial" w:eastAsia="Arial" w:hAnsi="Arial"/>
          <w:sz w:val="14"/>
          <w:szCs w:val="14"/>
          <w:color w:val="auto"/>
        </w:rPr>
      </w:pPr>
    </w:p>
    <w:p>
      <w:pPr>
        <w:ind w:right="300" w:firstLine="875"/>
        <w:spacing w:after="0" w:line="279" w:lineRule="auto"/>
        <w:tabs>
          <w:tab w:leader="none" w:pos="1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Successors and Assigns</w:t>
      </w:r>
      <w:r>
        <w:rPr>
          <w:rFonts w:ascii="Arial" w:cs="Arial" w:eastAsia="Arial" w:hAnsi="Arial"/>
          <w:sz w:val="14"/>
          <w:szCs w:val="14"/>
          <w:color w:val="auto"/>
        </w:rPr>
        <w:t>. Without limiting Section 5, the provisions of this Agreement shall inure to the benefit of, and be binding upon, the successors, administrators,</w:t>
      </w:r>
      <w:r>
        <w:rPr>
          <w:rFonts w:ascii="Arial" w:cs="Arial" w:eastAsia="Arial" w:hAnsi="Arial"/>
          <w:sz w:val="14"/>
          <w:szCs w:val="14"/>
          <w:b w:val="1"/>
          <w:bCs w:val="1"/>
          <w:color w:val="auto"/>
        </w:rPr>
        <w:t xml:space="preserve"> </w:t>
      </w:r>
      <w:r>
        <w:rPr>
          <w:rFonts w:ascii="Arial" w:cs="Arial" w:eastAsia="Arial" w:hAnsi="Arial"/>
          <w:sz w:val="14"/>
          <w:szCs w:val="14"/>
          <w:color w:val="auto"/>
        </w:rPr>
        <w:t>heirs, legal representatives and assigns of the Grantee, and the successors and assigns of the Company and its affiliates.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117475</wp:posOffset>
            </wp:positionV>
            <wp:extent cx="732917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151" w:name="page152"/>
    <w:bookmarkEnd w:id="151"/>
    <w:p>
      <w:pPr>
        <w:ind w:left="60" w:right="80" w:firstLine="875"/>
        <w:spacing w:after="0" w:line="279" w:lineRule="auto"/>
        <w:tabs>
          <w:tab w:leader="none" w:pos="1556"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auto"/>
        </w:rPr>
        <w:t>Governing Law</w:t>
      </w:r>
      <w:r>
        <w:rPr>
          <w:rFonts w:ascii="Arial" w:cs="Arial" w:eastAsia="Arial" w:hAnsi="Arial"/>
          <w:sz w:val="14"/>
          <w:szCs w:val="14"/>
          <w:color w:val="auto"/>
        </w:rPr>
        <w:t>. The interpretation, performance, and enforcement of this Agreement shall be governed by the laws of the State of Maryland, without giving effect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principles of conflict of laws thereof.</w:t>
      </w:r>
    </w:p>
    <w:p>
      <w:pPr>
        <w:spacing w:after="0" w:line="66" w:lineRule="exact"/>
        <w:rPr>
          <w:rFonts w:ascii="Arial" w:cs="Arial" w:eastAsia="Arial" w:hAnsi="Arial"/>
          <w:sz w:val="14"/>
          <w:szCs w:val="14"/>
          <w:color w:val="auto"/>
        </w:rPr>
      </w:pPr>
    </w:p>
    <w:p>
      <w:pPr>
        <w:ind w:left="60" w:firstLine="875"/>
        <w:spacing w:after="0" w:line="296" w:lineRule="auto"/>
        <w:tabs>
          <w:tab w:leader="none" w:pos="1556"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 xml:space="preserve">Electronic Delivery. </w:t>
      </w:r>
      <w:r>
        <w:rPr>
          <w:rFonts w:ascii="Arial" w:cs="Arial" w:eastAsia="Arial" w:hAnsi="Arial"/>
          <w:sz w:val="12"/>
          <w:szCs w:val="12"/>
          <w:color w:val="auto"/>
        </w:rPr>
        <w:t>The Grantee hereby consents and agrees to electronic delivery of any documents that the Company may elect to deliver (including, but not limited to,</w:t>
      </w:r>
      <w:r>
        <w:rPr>
          <w:rFonts w:ascii="Arial" w:cs="Arial" w:eastAsia="Arial" w:hAnsi="Arial"/>
          <w:sz w:val="12"/>
          <w:szCs w:val="12"/>
          <w:b w:val="1"/>
          <w:bCs w:val="1"/>
          <w:color w:val="auto"/>
        </w:rPr>
        <w:t xml:space="preserve"> </w:t>
      </w:r>
      <w:r>
        <w:rPr>
          <w:rFonts w:ascii="Arial" w:cs="Arial" w:eastAsia="Arial" w:hAnsi="Arial"/>
          <w:sz w:val="12"/>
          <w:szCs w:val="12"/>
          <w:color w:val="auto"/>
        </w:rPr>
        <w:t>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or any Subsidiary to provide administrative services related to the Plan.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e Company has caused this Agreement to be executed on its behalf by its duly authorized officer and the Grantee has also executed this Agreement, as of the Date of Grant.</w:t>
      </w:r>
    </w:p>
    <w:p>
      <w:pPr>
        <w:spacing w:after="0" w:line="118"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UNITI GROUP INC.</w:t>
      </w:r>
    </w:p>
    <w:p>
      <w:pPr>
        <w:sectPr>
          <w:pgSz w:w="11900" w:h="16838" w:orient="portrait"/>
          <w:cols w:equalWidth="0" w:num="1">
            <w:col w:w="11480"/>
          </w:cols>
          <w:pgMar w:left="160" w:top="121" w:right="259" w:bottom="1440" w:gutter="0" w:footer="0" w:header="0"/>
        </w:sectPr>
      </w:pPr>
    </w:p>
    <w:p>
      <w:pPr>
        <w:spacing w:after="0" w:line="163"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Kenny Gunderman</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CEO</w:t>
      </w:r>
    </w:p>
    <w:p>
      <w:pPr>
        <w:spacing w:after="0" w:line="152" w:lineRule="exact"/>
        <w:rPr>
          <w:sz w:val="20"/>
          <w:szCs w:val="20"/>
          <w:color w:val="auto"/>
        </w:rPr>
      </w:pPr>
    </w:p>
    <w:p>
      <w:pPr>
        <w:sectPr>
          <w:pgSz w:w="11900" w:h="16838" w:orient="portrait"/>
          <w:cols w:equalWidth="0" w:num="2">
            <w:col w:w="5660" w:space="440"/>
            <w:col w:w="5380"/>
          </w:cols>
          <w:pgMar w:left="160" w:top="121" w:right="259" w:bottom="1440" w:gutter="0" w:footer="0" w:header="0"/>
          <w:type w:val="continuous"/>
        </w:sectPr>
      </w:pPr>
    </w:p>
    <w:p>
      <w:pPr>
        <w:ind w:left="60" w:right="20"/>
        <w:spacing w:after="0" w:line="251" w:lineRule="auto"/>
        <w:rPr>
          <w:sz w:val="20"/>
          <w:szCs w:val="20"/>
          <w:color w:val="auto"/>
        </w:rPr>
      </w:pPr>
      <w:r>
        <w:rPr>
          <w:rFonts w:ascii="Arial" w:cs="Arial" w:eastAsia="Arial" w:hAnsi="Arial"/>
          <w:sz w:val="14"/>
          <w:szCs w:val="14"/>
          <w:color w:val="auto"/>
        </w:rPr>
        <w:t xml:space="preserve">By clicking the </w:t>
      </w:r>
      <w:r>
        <w:rPr>
          <w:rFonts w:ascii="Arial" w:cs="Arial" w:eastAsia="Arial" w:hAnsi="Arial"/>
          <w:sz w:val="14"/>
          <w:szCs w:val="14"/>
          <w:b w:val="1"/>
          <w:bCs w:val="1"/>
          <w:color w:val="auto"/>
        </w:rPr>
        <w:t>[I Accept]</w:t>
      </w:r>
      <w:r>
        <w:rPr>
          <w:rFonts w:ascii="Arial" w:cs="Arial" w:eastAsia="Arial" w:hAnsi="Arial"/>
          <w:sz w:val="14"/>
          <w:szCs w:val="14"/>
          <w:color w:val="auto"/>
        </w:rPr>
        <w:t xml:space="preserve"> button, the Grantee hereby acknowledges that a copy of the Plan, Plan Summary and Prospectus and the Company’s most recent Annual Report and Proxy Statement (the “Prospectus Information”) are available for viewing on the Company’s intranet site at [web address]. The Grantee hereby consents to receiving this Prospectus Information electronically, or, in the alternative, agrees to contact [name and phone number]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as soon as you click the </w:t>
      </w:r>
      <w:r>
        <w:rPr>
          <w:rFonts w:ascii="Arial" w:cs="Arial" w:eastAsia="Arial" w:hAnsi="Arial"/>
          <w:sz w:val="14"/>
          <w:szCs w:val="14"/>
          <w:b w:val="1"/>
          <w:bCs w:val="1"/>
          <w:color w:val="auto"/>
        </w:rPr>
        <w:t>[I Accept]</w:t>
      </w:r>
      <w:r>
        <w:rPr>
          <w:rFonts w:ascii="Arial" w:cs="Arial" w:eastAsia="Arial" w:hAnsi="Arial"/>
          <w:sz w:val="14"/>
          <w:szCs w:val="14"/>
          <w:color w:val="auto"/>
        </w:rPr>
        <w:t xml:space="preserve"> button.</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117475</wp:posOffset>
            </wp:positionV>
            <wp:extent cx="732917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160" w:top="121" w:right="259" w:bottom="1440" w:gutter="0" w:footer="0" w:header="0"/>
          <w:type w:val="continuous"/>
        </w:sectPr>
      </w:pPr>
    </w:p>
    <w:bookmarkStart w:id="152" w:name="page153"/>
    <w:bookmarkEnd w:id="152"/>
    <w:p>
      <w:pPr>
        <w:jc w:val="center"/>
        <w:ind w:right="-20"/>
        <w:spacing w:after="0"/>
        <w:rPr>
          <w:sz w:val="20"/>
          <w:szCs w:val="20"/>
          <w:color w:val="auto"/>
        </w:rPr>
      </w:pPr>
      <w:r>
        <w:rPr>
          <w:rFonts w:ascii="Arial" w:cs="Arial" w:eastAsia="Arial" w:hAnsi="Arial"/>
          <w:sz w:val="14"/>
          <w:szCs w:val="14"/>
          <w:b w:val="1"/>
          <w:bCs w:val="1"/>
          <w:color w:val="auto"/>
        </w:rPr>
        <w:t>APPENDIX A</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PERFORMANCE MATRIX</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117475</wp:posOffset>
            </wp:positionV>
            <wp:extent cx="732917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14"/>
          <w:szCs w:val="14"/>
          <w:b w:val="1"/>
          <w:bCs w:val="1"/>
          <w:color w:val="auto"/>
        </w:rPr>
        <w:t>APPENDIX B</w:t>
      </w:r>
    </w:p>
    <w:p>
      <w:pPr>
        <w:sectPr>
          <w:pgSz w:w="11900" w:h="16838" w:orient="portrait"/>
          <w:cols w:equalWidth="0" w:num="1">
            <w:col w:w="9019"/>
          </w:cols>
          <w:pgMar w:left="1440" w:top="122" w:right="1440"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122" w:right="1440" w:bottom="1440" w:gutter="0" w:footer="0" w:header="0"/>
          <w:type w:val="continuous"/>
        </w:sectPr>
      </w:pPr>
    </w:p>
    <w:bookmarkStart w:id="154" w:name="page155"/>
    <w:bookmarkEnd w:id="154"/>
    <w:p>
      <w:pPr>
        <w:ind w:left="10860"/>
        <w:spacing w:after="0"/>
        <w:rPr>
          <w:sz w:val="20"/>
          <w:szCs w:val="20"/>
          <w:color w:val="auto"/>
        </w:rPr>
      </w:pPr>
      <w:r>
        <w:rPr>
          <w:rFonts w:ascii="Arial" w:cs="Arial" w:eastAsia="Arial" w:hAnsi="Arial"/>
          <w:sz w:val="11"/>
          <w:szCs w:val="11"/>
          <w:b w:val="1"/>
          <w:bCs w:val="1"/>
          <w:color w:val="auto"/>
        </w:rPr>
        <w:t>Exhibit 21.1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40" w:type="dxa"/>
            <w:vAlign w:val="bottom"/>
          </w:tcPr>
          <w:p>
            <w:pPr>
              <w:spacing w:after="0"/>
              <w:rPr>
                <w:sz w:val="13"/>
                <w:szCs w:val="13"/>
                <w:color w:val="auto"/>
              </w:rPr>
            </w:pPr>
          </w:p>
        </w:tc>
        <w:tc>
          <w:tcPr>
            <w:tcW w:w="7940" w:type="dxa"/>
            <w:vAlign w:val="bottom"/>
            <w:gridSpan w:val="3"/>
          </w:tcPr>
          <w:p>
            <w:pPr>
              <w:ind w:left="1420"/>
              <w:spacing w:after="0"/>
              <w:rPr>
                <w:sz w:val="20"/>
                <w:szCs w:val="20"/>
                <w:color w:val="auto"/>
              </w:rPr>
            </w:pPr>
            <w:r>
              <w:rPr>
                <w:rFonts w:ascii="Arial" w:cs="Arial" w:eastAsia="Arial" w:hAnsi="Arial"/>
                <w:sz w:val="12"/>
                <w:szCs w:val="12"/>
                <w:b w:val="1"/>
                <w:bCs w:val="1"/>
                <w:color w:val="auto"/>
              </w:rPr>
              <w:t>Subsidiaries of the Registrants</w:t>
            </w:r>
          </w:p>
        </w:tc>
        <w:tc>
          <w:tcPr>
            <w:tcW w:w="20" w:type="dxa"/>
            <w:vAlign w:val="bottom"/>
          </w:tcPr>
          <w:p>
            <w:pPr>
              <w:spacing w:after="0"/>
              <w:rPr>
                <w:sz w:val="13"/>
                <w:szCs w:val="13"/>
                <w:color w:val="auto"/>
              </w:rPr>
            </w:pPr>
          </w:p>
        </w:tc>
      </w:tr>
      <w:tr>
        <w:trPr>
          <w:trHeight w:val="284"/>
        </w:trPr>
        <w:tc>
          <w:tcPr>
            <w:tcW w:w="3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Subsidiary</w:t>
            </w:r>
          </w:p>
        </w:tc>
        <w:tc>
          <w:tcPr>
            <w:tcW w:w="390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State or other jurisdiction of incorporation or organization</w:t>
            </w:r>
          </w:p>
        </w:tc>
        <w:tc>
          <w:tcPr>
            <w:tcW w:w="20" w:type="dxa"/>
            <w:vAlign w:val="bottom"/>
          </w:tcPr>
          <w:p>
            <w:pPr>
              <w:spacing w:after="0"/>
              <w:rPr>
                <w:sz w:val="24"/>
                <w:szCs w:val="24"/>
                <w:color w:val="auto"/>
              </w:rPr>
            </w:pPr>
          </w:p>
        </w:tc>
      </w:tr>
      <w:tr>
        <w:trPr>
          <w:trHeight w:val="142"/>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Capital, LLC</w:t>
            </w:r>
          </w:p>
        </w:tc>
        <w:tc>
          <w:tcPr>
            <w:tcW w:w="3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2"/>
                <w:szCs w:val="12"/>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Contact Network,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2"/>
              </w:rPr>
              <w:t>Alabama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Alabama System,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Arkansas System,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Florida System,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Georgia Realty,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Georgia System,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Iowa System,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Kentucky System,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Mississippi System,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Missouri System,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National, LP</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National GP,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New Mexico System,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North Carolina Realty, LP</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North Carolina Realty GP,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North Carolina System, LP</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Ohio System,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Oklahoma System,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Realty,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Tennessee Realty,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Tennessee Realty Partner,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Texas System,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Hunt Brothers of Louisiana,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Hunt Telecommunications,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Information Transport Solutions</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2"/>
              </w:rPr>
              <w:t>Alabama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InLine Services,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Integrated Data Systems,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Network Management Holdings, Ltd</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Cayman Islands</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Network Mgmt. Services, S.A.</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87"/>
              </w:rPr>
              <w:t>Nicaragua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Nexus Systems, Inc.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Nexus Wireless,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NMS Delaware Subsidiary,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NMS NewCo 1,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NMS NewCo 2,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NMS Towers De Colombia SAS</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4"/>
              </w:rPr>
              <w:t>Colombia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NMS Towers de Mexico, S. De R.L. de C.V.</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Mexico</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DC,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DE,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IA,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IL,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LA,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MA,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MD,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MS,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NJ, LLC</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NY, LLC</w:t>
            </w:r>
          </w:p>
        </w:tc>
        <w:tc>
          <w:tcPr>
            <w:tcW w:w="3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NY Telephone Corp.</w:t>
            </w:r>
          </w:p>
        </w:tc>
        <w:tc>
          <w:tcPr>
            <w:tcW w:w="3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2"/>
              </w:rPr>
              <w:t>New York</w:t>
            </w:r>
          </w:p>
        </w:tc>
        <w:tc>
          <w:tcPr>
            <w:tcW w:w="20" w:type="dxa"/>
            <w:vAlign w:val="bottom"/>
          </w:tcPr>
          <w:p>
            <w:pPr>
              <w:spacing w:after="0"/>
              <w:rPr>
                <w:sz w:val="13"/>
                <w:szCs w:val="13"/>
                <w:color w:val="auto"/>
              </w:rPr>
            </w:pPr>
          </w:p>
        </w:tc>
      </w:tr>
      <w:tr>
        <w:trPr>
          <w:trHeight w:val="369"/>
        </w:trPr>
        <w:tc>
          <w:tcPr>
            <w:tcW w:w="35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80" w:right="17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PEG Bandwidth PA,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PEG Bandwidth Services,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PEG Bandwidth TX,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PEG Bandwidth VA,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Southern Light, LLC</w:t>
            </w:r>
          </w:p>
        </w:tc>
        <w:tc>
          <w:tcPr>
            <w:tcW w:w="530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2"/>
              </w:rPr>
              <w:t>Alabama</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Summit Wireless Infrastructure de México, S. de R.L. de C.V.</w:t>
            </w:r>
          </w:p>
        </w:tc>
        <w:tc>
          <w:tcPr>
            <w:tcW w:w="5300" w:type="dxa"/>
            <w:vAlign w:val="bottom"/>
          </w:tcPr>
          <w:p>
            <w:pPr>
              <w:jc w:val="center"/>
              <w:ind w:left="1560"/>
              <w:spacing w:after="0"/>
              <w:rPr>
                <w:sz w:val="20"/>
                <w:szCs w:val="20"/>
                <w:color w:val="auto"/>
              </w:rPr>
            </w:pPr>
            <w:r>
              <w:rPr>
                <w:rFonts w:ascii="Arial" w:cs="Arial" w:eastAsia="Arial" w:hAnsi="Arial"/>
                <w:sz w:val="12"/>
                <w:szCs w:val="12"/>
                <w:color w:val="auto"/>
                <w:w w:val="94"/>
              </w:rPr>
              <w:t>Mexico</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Summit Wireless Infrastructure Servicios, S. de R.L. de C.V.</w:t>
            </w:r>
          </w:p>
        </w:tc>
        <w:tc>
          <w:tcPr>
            <w:tcW w:w="530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4"/>
              </w:rPr>
              <w:t>Mexico</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Talk America Services,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Dark Fiber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Fiber Holdings Inc.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Fiber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Group Finance Inc.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Group LP*</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Group LP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Holdings GP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Holdings LP</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LATAM GP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LATAM LP</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Leasing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Leasing X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Leasing XI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QRS Holdings GP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QRS Holdings LP</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Towers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Towers NMS Holdings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Uniti Towers – NMS Investor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Uniti Wireless Holdings LLC</w:t>
            </w:r>
          </w:p>
        </w:tc>
        <w:tc>
          <w:tcPr>
            <w:tcW w:w="530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40"/>
        </w:trPr>
        <w:tc>
          <w:tcPr>
            <w:tcW w:w="6180" w:type="dxa"/>
            <w:vAlign w:val="bottom"/>
          </w:tcPr>
          <w:p>
            <w:pPr>
              <w:spacing w:after="0"/>
              <w:rPr>
                <w:sz w:val="20"/>
                <w:szCs w:val="20"/>
                <w:color w:val="auto"/>
              </w:rPr>
            </w:pPr>
            <w:r>
              <w:rPr>
                <w:rFonts w:ascii="Arial" w:cs="Arial" w:eastAsia="Arial" w:hAnsi="Arial"/>
                <w:sz w:val="12"/>
                <w:szCs w:val="12"/>
                <w:color w:val="auto"/>
              </w:rPr>
              <w:t>Uniti Wireless Infrastructure LLC</w:t>
            </w:r>
          </w:p>
        </w:tc>
        <w:tc>
          <w:tcPr>
            <w:tcW w:w="5300" w:type="dxa"/>
            <w:vAlign w:val="bottom"/>
          </w:tcPr>
          <w:p>
            <w:pPr>
              <w:jc w:val="center"/>
              <w:ind w:left="1540"/>
              <w:spacing w:after="0"/>
              <w:rPr>
                <w:sz w:val="20"/>
                <w:szCs w:val="20"/>
                <w:color w:val="auto"/>
              </w:rPr>
            </w:pPr>
            <w:r>
              <w:rPr>
                <w:rFonts w:ascii="Arial" w:cs="Arial" w:eastAsia="Arial" w:hAnsi="Arial"/>
                <w:sz w:val="12"/>
                <w:szCs w:val="12"/>
                <w:color w:val="auto"/>
                <w:w w:val="90"/>
              </w:rPr>
              <w:t>Delaware</w:t>
            </w:r>
          </w:p>
        </w:tc>
      </w:tr>
      <w:tr>
        <w:trPr>
          <w:trHeight w:val="157"/>
        </w:trPr>
        <w:tc>
          <w:tcPr>
            <w:tcW w:w="6180" w:type="dxa"/>
            <w:vAlign w:val="bottom"/>
          </w:tcPr>
          <w:p>
            <w:pPr>
              <w:spacing w:after="0"/>
              <w:rPr>
                <w:sz w:val="20"/>
                <w:szCs w:val="20"/>
                <w:color w:val="auto"/>
              </w:rPr>
            </w:pPr>
            <w:r>
              <w:rPr>
                <w:rFonts w:ascii="Arial" w:cs="Arial" w:eastAsia="Arial" w:hAnsi="Arial"/>
                <w:sz w:val="12"/>
                <w:szCs w:val="12"/>
                <w:b w:val="1"/>
                <w:bCs w:val="1"/>
                <w:color w:val="auto"/>
              </w:rPr>
              <w:t>____________________________</w:t>
            </w:r>
          </w:p>
        </w:tc>
        <w:tc>
          <w:tcPr>
            <w:tcW w:w="5300" w:type="dxa"/>
            <w:vAlign w:val="bottom"/>
          </w:tcPr>
          <w:p>
            <w:pPr>
              <w:spacing w:after="0"/>
              <w:rPr>
                <w:sz w:val="13"/>
                <w:szCs w:val="13"/>
                <w:color w:val="auto"/>
              </w:rPr>
            </w:pPr>
          </w:p>
        </w:tc>
      </w:tr>
    </w:tbl>
    <w:p>
      <w:pPr>
        <w:spacing w:after="0" w:line="1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sectPr>
          <w:pgSz w:w="11900" w:h="16838" w:orient="portrait"/>
          <w:cols w:equalWidth="0" w:num="1">
            <w:col w:w="11480"/>
          </w:cols>
          <w:pgMar w:left="220" w:top="292" w:right="1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2"/>
          <w:szCs w:val="12"/>
          <w:b w:val="1"/>
          <w:bCs w:val="1"/>
          <w:color w:val="auto"/>
        </w:rPr>
        <w:t>Exhibit 23.1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294" w:lineRule="exact"/>
        <w:rPr>
          <w:sz w:val="20"/>
          <w:szCs w:val="20"/>
          <w:color w:val="auto"/>
        </w:rPr>
      </w:pPr>
    </w:p>
    <w:p>
      <w:pPr>
        <w:ind w:right="280"/>
        <w:spacing w:after="0" w:line="149" w:lineRule="exact"/>
        <w:rPr>
          <w:sz w:val="20"/>
          <w:szCs w:val="20"/>
          <w:color w:val="auto"/>
        </w:rPr>
      </w:pPr>
      <w:r>
        <w:rPr>
          <w:rFonts w:ascii="Arial" w:cs="Arial" w:eastAsia="Arial" w:hAnsi="Arial"/>
          <w:sz w:val="12"/>
          <w:szCs w:val="12"/>
          <w:color w:val="auto"/>
        </w:rPr>
        <w:t>We hereby consent to the incorporation by reference in the Registration Statements on Form S</w:t>
      </w:r>
      <w:r>
        <w:rPr>
          <w:rFonts w:ascii="MS PGothic" w:cs="MS PGothic" w:eastAsia="MS PGothic" w:hAnsi="MS PGothic"/>
          <w:sz w:val="12"/>
          <w:szCs w:val="12"/>
          <w:color w:val="auto"/>
        </w:rPr>
        <w:t>‑</w:t>
      </w:r>
      <w:r>
        <w:rPr>
          <w:rFonts w:ascii="Arial" w:cs="Arial" w:eastAsia="Arial" w:hAnsi="Arial"/>
          <w:sz w:val="12"/>
          <w:szCs w:val="12"/>
          <w:color w:val="auto"/>
        </w:rPr>
        <w:t>8 (No. 333-203591 and No. 333-225501) and S-3 (No. 333-212046) of Uniti Group Inc. of our report dated March 18, 2019 relating to the financial statements, financial statement schedules and the effectiveness of internal control over financial reporting, which appears in this Form 10-K.</w:t>
      </w: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18, 2019</w:t>
      </w:r>
    </w:p>
    <w:p>
      <w:pPr>
        <w:sectPr>
          <w:pgSz w:w="11900" w:h="16838" w:orient="portrait"/>
          <w:cols w:equalWidth="0" w:num="1">
            <w:col w:w="11480"/>
          </w:cols>
          <w:pgMar w:left="220" w:top="280" w:right="199" w:bottom="1440" w:gutter="0" w:footer="0" w:header="0"/>
        </w:sectPr>
      </w:pPr>
    </w:p>
    <w:bookmarkStart w:id="157" w:name="page158"/>
    <w:bookmarkEnd w:id="157"/>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Kenneth A. Gunderman, certify that:</w:t>
      </w:r>
    </w:p>
    <w:p>
      <w:pPr>
        <w:spacing w:after="0" w:line="78" w:lineRule="exact"/>
        <w:rPr>
          <w:sz w:val="20"/>
          <w:szCs w:val="20"/>
          <w:color w:val="auto"/>
        </w:rPr>
      </w:pPr>
    </w:p>
    <w:p>
      <w:pPr>
        <w:ind w:left="528" w:hanging="528"/>
        <w:spacing w:after="0"/>
        <w:tabs>
          <w:tab w:leader="none" w:pos="5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2"/>
          <w:szCs w:val="12"/>
          <w:color w:val="auto"/>
        </w:rPr>
      </w:pPr>
    </w:p>
    <w:p>
      <w:pPr>
        <w:ind w:left="528" w:right="140" w:hanging="528"/>
        <w:spacing w:after="0" w:line="276" w:lineRule="auto"/>
        <w:tabs>
          <w:tab w:leader="none" w:pos="5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2"/>
          <w:szCs w:val="12"/>
          <w:color w:val="auto"/>
        </w:rPr>
      </w:pPr>
    </w:p>
    <w:p>
      <w:pPr>
        <w:ind w:left="1028" w:right="240" w:hanging="506"/>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2"/>
          <w:szCs w:val="12"/>
          <w:color w:val="auto"/>
        </w:rPr>
      </w:pPr>
    </w:p>
    <w:p>
      <w:pPr>
        <w:ind w:left="1028" w:right="440" w:hanging="506"/>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28" w:right="20" w:hanging="506"/>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2"/>
          <w:szCs w:val="12"/>
          <w:color w:val="auto"/>
        </w:rPr>
      </w:pPr>
    </w:p>
    <w:p>
      <w:pPr>
        <w:ind w:left="1028" w:right="60" w:hanging="506"/>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2"/>
          <w:szCs w:val="12"/>
          <w:color w:val="auto"/>
        </w:rPr>
      </w:pPr>
    </w:p>
    <w:p>
      <w:pPr>
        <w:ind w:left="528" w:right="320" w:hanging="528"/>
        <w:spacing w:after="0" w:line="276" w:lineRule="auto"/>
        <w:tabs>
          <w:tab w:leader="none" w:pos="5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2"/>
          <w:szCs w:val="12"/>
          <w:color w:val="auto"/>
        </w:rPr>
      </w:pPr>
    </w:p>
    <w:p>
      <w:pPr>
        <w:ind w:left="1028" w:right="380" w:hanging="506"/>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2"/>
          <w:szCs w:val="12"/>
          <w:color w:val="auto"/>
        </w:rPr>
      </w:pPr>
    </w:p>
    <w:p>
      <w:pPr>
        <w:ind w:left="1028" w:hanging="506"/>
        <w:spacing w:after="0"/>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4928" w:val="left"/>
          <w:tab w:leader="none" w:pos="7668" w:val="left"/>
        </w:tabs>
        <w:rPr>
          <w:sz w:val="20"/>
          <w:szCs w:val="20"/>
          <w:color w:val="auto"/>
        </w:rPr>
      </w:pPr>
      <w:r>
        <w:rPr>
          <w:rFonts w:ascii="Arial" w:cs="Arial" w:eastAsia="Arial" w:hAnsi="Arial"/>
          <w:sz w:val="12"/>
          <w:szCs w:val="12"/>
          <w:color w:val="auto"/>
        </w:rPr>
        <w:t>Date: March 18,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-86995</wp:posOffset>
            </wp:positionV>
            <wp:extent cx="40093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488"/>
          </w:cols>
          <w:pgMar w:left="212" w:top="280" w:right="1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Mark A. Wallace, certify that:</w:t>
      </w:r>
    </w:p>
    <w:p>
      <w:pPr>
        <w:spacing w:after="0" w:line="96" w:lineRule="exact"/>
        <w:rPr>
          <w:sz w:val="20"/>
          <w:szCs w:val="20"/>
          <w:color w:val="auto"/>
        </w:rPr>
      </w:pPr>
    </w:p>
    <w:p>
      <w:pPr>
        <w:ind w:left="528" w:hanging="528"/>
        <w:spacing w:after="0"/>
        <w:tabs>
          <w:tab w:leader="none" w:pos="52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2"/>
          <w:szCs w:val="12"/>
          <w:color w:val="auto"/>
        </w:rPr>
      </w:pPr>
    </w:p>
    <w:p>
      <w:pPr>
        <w:ind w:left="528" w:right="140" w:hanging="528"/>
        <w:spacing w:after="0" w:line="276" w:lineRule="auto"/>
        <w:tabs>
          <w:tab w:leader="none" w:pos="52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2"/>
          <w:szCs w:val="12"/>
          <w:color w:val="auto"/>
        </w:rPr>
      </w:pPr>
    </w:p>
    <w:p>
      <w:pPr>
        <w:ind w:left="1028" w:right="240" w:hanging="506"/>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2"/>
          <w:szCs w:val="12"/>
          <w:color w:val="auto"/>
        </w:rPr>
      </w:pPr>
    </w:p>
    <w:p>
      <w:pPr>
        <w:ind w:left="1028" w:right="440" w:hanging="506"/>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28" w:right="20" w:hanging="506"/>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2"/>
          <w:szCs w:val="12"/>
          <w:color w:val="auto"/>
        </w:rPr>
      </w:pPr>
    </w:p>
    <w:p>
      <w:pPr>
        <w:ind w:left="1028" w:right="60" w:hanging="506"/>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2"/>
          <w:szCs w:val="12"/>
          <w:color w:val="auto"/>
        </w:rPr>
      </w:pPr>
    </w:p>
    <w:p>
      <w:pPr>
        <w:ind w:left="528" w:right="320" w:hanging="528"/>
        <w:spacing w:after="0" w:line="276" w:lineRule="auto"/>
        <w:tabs>
          <w:tab w:leader="none" w:pos="52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28" w:right="380" w:hanging="506"/>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06"/>
        <w:spacing w:after="0"/>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8"/>
        <w:spacing w:after="0"/>
        <w:tabs>
          <w:tab w:leader="none" w:pos="4928" w:val="left"/>
          <w:tab w:leader="none" w:pos="7828" w:val="left"/>
        </w:tabs>
        <w:rPr>
          <w:sz w:val="20"/>
          <w:szCs w:val="20"/>
          <w:color w:val="auto"/>
        </w:rPr>
      </w:pPr>
      <w:r>
        <w:rPr>
          <w:rFonts w:ascii="Arial" w:cs="Arial" w:eastAsia="Arial" w:hAnsi="Arial"/>
          <w:sz w:val="12"/>
          <w:szCs w:val="12"/>
          <w:color w:val="auto"/>
        </w:rPr>
        <w:t>Date: March 18,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A. Wallace</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-86995</wp:posOffset>
            </wp:positionV>
            <wp:extent cx="40093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2"/>
          <w:szCs w:val="12"/>
          <w:b w:val="1"/>
          <w:bCs w:val="1"/>
          <w:color w:val="auto"/>
        </w:rPr>
        <w:t>Executive Vice President – Chief Financial Officer</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and Treasurer</w:t>
      </w:r>
    </w:p>
    <w:p>
      <w:pPr>
        <w:sectPr>
          <w:pgSz w:w="11900" w:h="16838" w:orient="portrait"/>
          <w:cols w:equalWidth="0" w:num="1">
            <w:col w:w="11488"/>
          </w:cols>
          <w:pgMar w:left="212" w:top="280" w:right="199" w:bottom="1440" w:gutter="0" w:footer="0" w:header="0"/>
        </w:sectPr>
      </w:pPr>
    </w:p>
    <w:bookmarkStart w:id="159" w:name="page160"/>
    <w:bookmarkEnd w:id="159"/>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color w:val="auto"/>
        </w:rPr>
        <w:t>In connection with the Annual Report on Form 10-K of Uniti Group Inc. (the “Company”) for the period ending December 31, 2018 as filed with the Securities and Exchange Commission on the date hereof (the “Report”), I certify, pursuant to 18 U.S.C. § 1350, as adopted pursuant to § 906 of the Sarbanes-Oxley Act of 2002, to my knowledge, that:</w:t>
      </w:r>
    </w:p>
    <w:p>
      <w:pPr>
        <w:spacing w:after="0" w:line="43" w:lineRule="exact"/>
        <w:rPr>
          <w:sz w:val="20"/>
          <w:szCs w:val="20"/>
          <w:color w:val="auto"/>
        </w:rPr>
      </w:pPr>
    </w:p>
    <w:p>
      <w:pPr>
        <w:ind w:left="1180" w:hanging="593"/>
        <w:spacing w:after="0"/>
        <w:tabs>
          <w:tab w:leader="none" w:pos="11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920" w:val="left"/>
          <w:tab w:leader="none" w:pos="7660" w:val="left"/>
        </w:tabs>
        <w:rPr>
          <w:sz w:val="20"/>
          <w:szCs w:val="20"/>
          <w:color w:val="auto"/>
        </w:rPr>
      </w:pPr>
      <w:r>
        <w:rPr>
          <w:rFonts w:ascii="Arial" w:cs="Arial" w:eastAsia="Arial" w:hAnsi="Arial"/>
          <w:sz w:val="12"/>
          <w:szCs w:val="12"/>
          <w:color w:val="auto"/>
        </w:rPr>
        <w:t>Date: March 18,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-86995</wp:posOffset>
            </wp:positionV>
            <wp:extent cx="400939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480"/>
          </w:cols>
          <w:pgMar w:left="220" w:top="280" w:right="1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color w:val="auto"/>
        </w:rPr>
        <w:t>In connection with the Annual Report on Form 10-K of Uniti Group Inc. (the “Company”) for the period ending December 31, 2018 as filed with the Securities and Exchange Commission on the date hereof (the “Report”), I certify, pursuant to 18 U.S.C. § 1350, as adopted pursuant to § 906 of the Sarbanes-Oxley Act of 2002, to my knowledge, that:</w:t>
      </w:r>
    </w:p>
    <w:p>
      <w:pPr>
        <w:spacing w:after="0" w:line="43" w:lineRule="exact"/>
        <w:rPr>
          <w:sz w:val="20"/>
          <w:szCs w:val="20"/>
          <w:color w:val="auto"/>
        </w:rPr>
      </w:pPr>
    </w:p>
    <w:p>
      <w:pPr>
        <w:ind w:left="1180" w:hanging="593"/>
        <w:spacing w:after="0"/>
        <w:tabs>
          <w:tab w:leader="none" w:pos="11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920" w:val="left"/>
          <w:tab w:leader="none" w:pos="7820" w:val="left"/>
        </w:tabs>
        <w:rPr>
          <w:sz w:val="20"/>
          <w:szCs w:val="20"/>
          <w:color w:val="auto"/>
        </w:rPr>
      </w:pPr>
      <w:r>
        <w:rPr>
          <w:rFonts w:ascii="Arial" w:cs="Arial" w:eastAsia="Arial" w:hAnsi="Arial"/>
          <w:sz w:val="12"/>
          <w:szCs w:val="12"/>
          <w:color w:val="auto"/>
        </w:rPr>
        <w:t>Date: March 18, 2019</w:t>
      </w:r>
      <w:r>
        <w:rPr>
          <w:sz w:val="20"/>
          <w:szCs w:val="20"/>
          <w:color w:val="auto"/>
        </w:rPr>
        <w:tab/>
      </w:r>
      <w:r>
        <w:rPr>
          <w:rFonts w:ascii="Arial" w:cs="Arial" w:eastAsia="Arial" w:hAnsi="Arial"/>
          <w:sz w:val="12"/>
          <w:szCs w:val="12"/>
          <w:color w:val="auto"/>
        </w:rPr>
        <w:t>By</w:t>
      </w:r>
      <w:r>
        <w:rPr>
          <w:rFonts w:ascii="Arial" w:cs="Arial" w:eastAsia="Arial" w:hAnsi="Arial"/>
          <w:sz w:val="12"/>
          <w:szCs w:val="12"/>
          <w:color w:val="222222"/>
        </w:rPr>
        <w:t>:</w:t>
      </w:r>
      <w:r>
        <w:rPr>
          <w:sz w:val="20"/>
          <w:szCs w:val="20"/>
          <w:color w:val="auto"/>
        </w:rPr>
        <w:tab/>
      </w:r>
      <w:r>
        <w:rPr>
          <w:rFonts w:ascii="Arial" w:cs="Arial" w:eastAsia="Arial" w:hAnsi="Arial"/>
          <w:sz w:val="11"/>
          <w:szCs w:val="11"/>
          <w:color w:val="auto"/>
        </w:rPr>
        <w:t>/s/ Mark A. Wallace</w:t>
      </w:r>
    </w:p>
    <w:p>
      <w:pPr>
        <w:spacing w:after="0" w:line="20" w:lineRule="exact"/>
        <w:rPr>
          <w:sz w:val="20"/>
          <w:szCs w:val="20"/>
          <w:color w:val="auto"/>
        </w:rPr>
      </w:pPr>
    </w:p>
    <w:p>
      <w:pPr>
        <w:ind w:left="7880"/>
        <w:spacing w:after="0"/>
        <w:rPr>
          <w:sz w:val="20"/>
          <w:szCs w:val="20"/>
          <w:color w:val="auto"/>
        </w:rPr>
      </w:pPr>
      <w:r>
        <w:rPr>
          <w:rFonts w:ascii="Arial" w:cs="Arial" w:eastAsia="Arial" w:hAnsi="Arial"/>
          <w:sz w:val="12"/>
          <w:szCs w:val="12"/>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-84455</wp:posOffset>
            </wp:positionV>
            <wp:extent cx="40093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2"/>
          <w:szCs w:val="12"/>
          <w:b w:val="1"/>
          <w:bCs w:val="1"/>
          <w:color w:val="auto"/>
        </w:rPr>
        <w:t>Executive Vice President – Chief Financial Officer</w:t>
      </w:r>
    </w:p>
    <w:p>
      <w:pPr>
        <w:spacing w:after="0" w:line="15" w:lineRule="exact"/>
        <w:rPr>
          <w:sz w:val="20"/>
          <w:szCs w:val="20"/>
          <w:color w:val="auto"/>
        </w:rPr>
      </w:pPr>
    </w:p>
    <w:p>
      <w:pPr>
        <w:ind w:left="7960"/>
        <w:spacing w:after="0"/>
        <w:rPr>
          <w:sz w:val="20"/>
          <w:szCs w:val="20"/>
          <w:color w:val="auto"/>
        </w:rPr>
      </w:pPr>
      <w:r>
        <w:rPr>
          <w:rFonts w:ascii="Arial" w:cs="Arial" w:eastAsia="Arial" w:hAnsi="Arial"/>
          <w:sz w:val="12"/>
          <w:szCs w:val="12"/>
          <w:b w:val="1"/>
          <w:bCs w:val="1"/>
          <w:color w:val="auto"/>
        </w:rPr>
        <w:t>and Treasurer</w:t>
      </w:r>
    </w:p>
    <w:sectPr>
      <w:pgSz w:w="11900" w:h="16838" w:orient="portrait"/>
      <w:cols w:equalWidth="0" w:num="1">
        <w:col w:w="11480"/>
      </w:cols>
      <w:pgMar w:left="220" w:top="2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1)"/>
      <w:numFmt w:val="lowerRoman"/>
      <w:start w:val="6"/>
    </w:lvl>
    <w:lvl w:ilvl="1">
      <w:lvlJc w:val="left"/>
      <w:lvlText w:val="%2."/>
      <w:numFmt w:val="lowerRoman"/>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4"/>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2"/>
    </w:lvl>
  </w:abstractNum>
  <w:abstractNum w:abstractNumId="26">
    <w:nsid w:val="725A06FB"/>
    <w:multiLevelType w:val="hybridMultilevel"/>
    <w:lvl w:ilvl="0">
      <w:lvlJc w:val="left"/>
      <w:lvlText w:val="(%1)"/>
      <w:numFmt w:val="lowerRoman"/>
      <w:start w:val="3"/>
    </w:lvl>
  </w:abstractNum>
  <w:abstractNum w:abstractNumId="27">
    <w:nsid w:val="2CD89A32"/>
    <w:multiLevelType w:val="hybridMultilevel"/>
    <w:lvl w:ilvl="0">
      <w:lvlJc w:val="left"/>
      <w:lvlText w:val="(%1)"/>
      <w:numFmt w:val="lowerLetter"/>
      <w:start w:val="3"/>
    </w:lvl>
  </w:abstractNum>
  <w:abstractNum w:abstractNumId="28">
    <w:nsid w:val="57E4CCAF"/>
    <w:multiLevelType w:val="hybridMultilevel"/>
    <w:lvl w:ilvl="0">
      <w:lvlJc w:val="left"/>
      <w:lvlText w:val="(%1)"/>
      <w:numFmt w:val="lowerRoman"/>
      <w:start w:val="1"/>
    </w:lvl>
  </w:abstractNum>
  <w:abstractNum w:abstractNumId="29">
    <w:nsid w:val="7A6D8D3C"/>
    <w:multiLevelType w:val="hybridMultilevel"/>
    <w:lvl w:ilvl="0">
      <w:lvlJc w:val="left"/>
      <w:lvlText w:val="(%1)"/>
      <w:numFmt w:val="lowerRoman"/>
      <w:start w:val="2"/>
    </w:lvl>
  </w:abstractNum>
  <w:abstractNum w:abstractNumId="30">
    <w:nsid w:val="4B588F54"/>
    <w:multiLevelType w:val="hybridMultilevel"/>
    <w:lvl w:ilvl="0">
      <w:lvlJc w:val="left"/>
      <w:lvlText w:val="%1."/>
      <w:numFmt w:val="decimal"/>
      <w:start w:val="3"/>
    </w:lvl>
  </w:abstractNum>
  <w:abstractNum w:abstractNumId="31">
    <w:nsid w:val="542289EC"/>
    <w:multiLevelType w:val="hybridMultilevel"/>
    <w:lvl w:ilvl="0">
      <w:lvlJc w:val="left"/>
      <w:lvlText w:val="(%1)"/>
      <w:numFmt w:val="lowerLetter"/>
      <w:start w:val="2"/>
    </w:lvl>
  </w:abstractNum>
  <w:abstractNum w:abstractNumId="32">
    <w:nsid w:val="6DE91B18"/>
    <w:multiLevelType w:val="hybridMultilevel"/>
    <w:lvl w:ilvl="0">
      <w:lvlJc w:val="left"/>
      <w:lvlText w:val="(%1)"/>
      <w:numFmt w:val="lowerLetter"/>
      <w:start w:val="3"/>
    </w:lvl>
  </w:abstractNum>
  <w:abstractNum w:abstractNumId="33">
    <w:nsid w:val="38437FDB"/>
    <w:multiLevelType w:val="hybridMultilevel"/>
    <w:lvl w:ilvl="0">
      <w:lvlJc w:val="left"/>
      <w:lvlText w:val="(%1)"/>
      <w:numFmt w:val="lowerLetter"/>
      <w:start w:val="4"/>
    </w:lvl>
  </w:abstractNum>
  <w:abstractNum w:abstractNumId="34">
    <w:nsid w:val="7644A45C"/>
    <w:multiLevelType w:val="hybridMultilevel"/>
    <w:lvl w:ilvl="0">
      <w:lvlJc w:val="left"/>
      <w:lvlText w:val="%1."/>
      <w:numFmt w:val="decimal"/>
      <w:start w:val="4"/>
    </w:lvl>
  </w:abstractNum>
  <w:abstractNum w:abstractNumId="35">
    <w:nsid w:val="32FFF902"/>
    <w:multiLevelType w:val="hybridMultilevel"/>
    <w:lvl w:ilvl="0">
      <w:lvlJc w:val="left"/>
      <w:lvlText w:val="(%1)"/>
      <w:numFmt w:val="lowerRoman"/>
      <w:start w:val="2"/>
    </w:lvl>
  </w:abstractNum>
  <w:abstractNum w:abstractNumId="36">
    <w:nsid w:val="684A481A"/>
    <w:multiLevelType w:val="hybridMultilevel"/>
    <w:lvl w:ilvl="0">
      <w:lvlJc w:val="left"/>
      <w:lvlText w:val="(%1)"/>
      <w:numFmt w:val="lowerRoman"/>
      <w:start w:val="5"/>
    </w:lvl>
  </w:abstractNum>
  <w:abstractNum w:abstractNumId="37">
    <w:nsid w:val="579478FE"/>
    <w:multiLevelType w:val="hybridMultilevel"/>
    <w:lvl w:ilvl="0">
      <w:lvlJc w:val="left"/>
      <w:lvlText w:val="%1"/>
      <w:numFmt w:val="decimal"/>
      <w:start w:val="1"/>
    </w:lvl>
    <w:lvl w:ilvl="1">
      <w:lvlJc w:val="left"/>
      <w:lvlText w:val="(%2)"/>
      <w:numFmt w:val="lowerRoman"/>
      <w:start w:val="7"/>
    </w:lvl>
  </w:abstractNum>
  <w:abstractNum w:abstractNumId="38">
    <w:nsid w:val="749ABB43"/>
    <w:multiLevelType w:val="hybridMultilevel"/>
    <w:lvl w:ilvl="0">
      <w:lvlJc w:val="left"/>
      <w:lvlText w:val="%1."/>
      <w:numFmt w:val="decimal"/>
      <w:start w:val="5"/>
    </w:lvl>
    <w:lvl w:ilvl="1">
      <w:lvlJc w:val="left"/>
      <w:lvlText w:val="%2"/>
      <w:numFmt w:val="lowerRoman"/>
      <w:start w:val="1"/>
    </w:lvl>
  </w:abstractNum>
  <w:abstractNum w:abstractNumId="39">
    <w:nsid w:val="3DC240FB"/>
    <w:multiLevelType w:val="hybridMultilevel"/>
    <w:lvl w:ilvl="0">
      <w:lvlJc w:val="left"/>
      <w:lvlText w:val="(%1)"/>
      <w:numFmt w:val="lowerRoman"/>
      <w:start w:val="2"/>
    </w:lvl>
  </w:abstractNum>
  <w:abstractNum w:abstractNumId="40">
    <w:nsid w:val="1BA026FA"/>
    <w:multiLevelType w:val="hybridMultilevel"/>
    <w:lvl w:ilvl="0">
      <w:lvlJc w:val="left"/>
      <w:lvlText w:val="%1."/>
      <w:numFmt w:val="decimal"/>
      <w:start w:val="6"/>
    </w:lvl>
  </w:abstractNum>
  <w:abstractNum w:abstractNumId="41">
    <w:nsid w:val="79A1DEAA"/>
    <w:multiLevelType w:val="hybridMultilevel"/>
    <w:lvl w:ilvl="0">
      <w:lvlJc w:val="left"/>
      <w:lvlText w:val="%1."/>
      <w:numFmt w:val="decimal"/>
      <w:start w:val="1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3"/>
    </w:lvl>
  </w:abstractNum>
  <w:abstractNum w:abstractNumId="44">
    <w:nsid w:val="70C6A529"/>
    <w:multiLevelType w:val="hybridMultilevel"/>
    <w:lvl w:ilvl="0">
      <w:lvlJc w:val="left"/>
      <w:lvlText w:val="%1."/>
      <w:numFmt w:val="decimal"/>
      <w:start w:val="7"/>
    </w:lvl>
  </w:abstractNum>
  <w:abstractNum w:abstractNumId="45">
    <w:nsid w:val="520EEDD1"/>
    <w:multiLevelType w:val="hybridMultilevel"/>
    <w:lvl w:ilvl="0">
      <w:lvlJc w:val="left"/>
      <w:lvlText w:val="%1."/>
      <w:numFmt w:val="decimal"/>
      <w:start w:val="12"/>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3"/>
    </w:lvl>
  </w:abstractNum>
  <w:abstractNum w:abstractNumId="49">
    <w:nsid w:val="649BB77C"/>
    <w:multiLevelType w:val="hybridMultilevel"/>
    <w:lvl w:ilvl="0">
      <w:lvlJc w:val="left"/>
      <w:lvlText w:val="%1."/>
      <w:numFmt w:val="decimal"/>
      <w:start w:val="3"/>
    </w:lvl>
  </w:abstractNum>
  <w:abstractNum w:abstractNumId="50">
    <w:nsid w:val="275AC794"/>
    <w:multiLevelType w:val="hybridMultilevel"/>
    <w:lvl w:ilvl="0">
      <w:lvlJc w:val="left"/>
      <w:lvlText w:val="(%1)"/>
      <w:numFmt w:val="lowerLetter"/>
      <w:start w:val="1"/>
    </w:lvl>
    <w:lvl w:ilvl="1">
      <w:lvlJc w:val="left"/>
      <w:lvlText w:val="(%2)"/>
      <w:numFmt w:val="lowerLetter"/>
      <w:start w:val="9"/>
    </w:lvl>
  </w:abstractNum>
  <w:abstractNum w:abstractNumId="51">
    <w:nsid w:val="39386575"/>
    <w:multiLevelType w:val="hybridMultilevel"/>
    <w:lvl w:ilvl="0">
      <w:lvlJc w:val="left"/>
      <w:lvlText w:val="%1"/>
      <w:numFmt w:val="lowerLetter"/>
      <w:start w:val="1"/>
    </w:lvl>
    <w:lvl w:ilvl="1">
      <w:lvlJc w:val="left"/>
      <w:lvlText w:val="(%2)"/>
      <w:numFmt w:val="lowerLetter"/>
      <w:start w:val="35"/>
    </w:lvl>
  </w:abstractNum>
  <w:abstractNum w:abstractNumId="52">
    <w:nsid w:val="1CF10FD8"/>
    <w:multiLevelType w:val="hybridMultilevel"/>
    <w:lvl w:ilvl="0">
      <w:lvlJc w:val="left"/>
      <w:lvlText w:val="(%1)"/>
      <w:numFmt w:val="lowerLetter"/>
      <w:start w:val="3"/>
    </w:lvl>
    <w:lvl w:ilvl="1">
      <w:lvlJc w:val="left"/>
      <w:lvlText w:val="%2"/>
      <w:numFmt w:val="lowerLetter"/>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decimal"/>
      <w:start w:val="8"/>
    </w:lvl>
  </w:abstractNum>
  <w:abstractNum w:abstractNumId="55">
    <w:nsid w:val="47398C89"/>
    <w:multiLevelType w:val="hybridMultilevel"/>
    <w:lvl w:ilvl="0">
      <w:lvlJc w:val="left"/>
      <w:lvlText w:val="%1."/>
      <w:numFmt w:val="decimal"/>
      <w:start w:val="12"/>
    </w:lvl>
  </w:abstractNum>
  <w:abstractNum w:abstractNumId="56">
    <w:nsid w:val="354FE9F9"/>
    <w:multiLevelType w:val="hybridMultilevel"/>
    <w:lvl w:ilvl="0">
      <w:lvlJc w:val="left"/>
      <w:lvlText w:val="%1."/>
      <w:numFmt w:val="decimal"/>
      <w:start w:val="18"/>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143" Type="http://schemas.openxmlformats.org/officeDocument/2006/relationships/hyperlink" Target="http://www.sec.gov/Archives/edgar/data/0001620280/000119312515106562/d895819dex21.htm" TargetMode="External"/><Relationship Id="rId144" Type="http://schemas.openxmlformats.org/officeDocument/2006/relationships/hyperlink" Target="http://www.sec.gov/Archives/edgar/data/0001620280/000095010316010194/dp62520_ex0201.htm" TargetMode="External"/><Relationship Id="rId145" Type="http://schemas.openxmlformats.org/officeDocument/2006/relationships/hyperlink" Target="http://www.sec.gov/Archives/edgar/data/0001620280/000156459016024084/csal-ex21_814.htm" TargetMode="External"/><Relationship Id="rId146" Type="http://schemas.openxmlformats.org/officeDocument/2006/relationships/hyperlink" Target="http://www.sec.gov/Archives/edgar/data/0001620280/000156459016024084/csal-ex22_879.htm" TargetMode="External"/><Relationship Id="rId147" Type="http://schemas.openxmlformats.org/officeDocument/2006/relationships/hyperlink" Target="http://www.sec.gov/Archives/edgar/data/0001620280/000095010317003463/dp75010_ex0201.htm" TargetMode="External"/><Relationship Id="rId148" Type="http://schemas.openxmlformats.org/officeDocument/2006/relationships/hyperlink" Target="http://www.sec.gov/Archives/edgar/data/0001620280/000110465917043238/a17-15991_1ex2d1.htm" TargetMode="External"/><Relationship Id="rId151" Type="http://schemas.openxmlformats.org/officeDocument/2006/relationships/hyperlink" Target="http://www.sec.gov/Archives/edgar/data/0001620280/000119312515125997/d906732dex31.htm" TargetMode="External"/><Relationship Id="rId152" Type="http://schemas.openxmlformats.org/officeDocument/2006/relationships/hyperlink" Target="http://www.sec.gov/Archives/edgar/data/0001620280/000156459017002778/csal-ex31_7.htm" TargetMode="External"/><Relationship Id="rId153" Type="http://schemas.openxmlformats.org/officeDocument/2006/relationships/hyperlink" Target="http://www.sec.gov/Archives/edgar/data/0001620280/000110465917028526/a17-12174_1ex3d1.htm" TargetMode="External"/><Relationship Id="rId154" Type="http://schemas.openxmlformats.org/officeDocument/2006/relationships/hyperlink" Target="http://www.sec.gov/Archives/edgar/data/0001620280/000119312515147341/d910956dex42.htm" TargetMode="External"/><Relationship Id="rId155" Type="http://schemas.openxmlformats.org/officeDocument/2006/relationships/hyperlink" Target="http://www.sec.gov/Archives/edgar/data/0001620280/000156459017002252/csal-ex43_1051.htm" TargetMode="External"/><Relationship Id="rId156" Type="http://schemas.openxmlformats.org/officeDocument/2006/relationships/hyperlink" Target="http://www.sec.gov/Archives/edgar/data/0001620280/000110465917031184/a17-12744_1ex4d1.htm" TargetMode="External"/><Relationship Id="rId157" Type="http://schemas.openxmlformats.org/officeDocument/2006/relationships/hyperlink" Target="http://www.sec.gov/Archives/edgar/data/0001620280/000110465917031184/a17-12744_1ex4d2.htm" TargetMode="External"/><Relationship Id="rId158" Type="http://schemas.openxmlformats.org/officeDocument/2006/relationships/hyperlink" Target="http://www.sec.gov/Archives/edgar/data/0001620280/000119312515147341/d910956dex41.htm" TargetMode="External"/><Relationship Id="rId159" Type="http://schemas.openxmlformats.org/officeDocument/2006/relationships/hyperlink" Target="http://www.sec.gov/Archives/edgar/data/0001620280/000156459017002252/csal-ex46_1053.htm" TargetMode="External"/><Relationship Id="rId162" Type="http://schemas.openxmlformats.org/officeDocument/2006/relationships/hyperlink" Target="http://www.sec.gov/Archives/edgar/data/0001620280/000156459017002252/csal-ex47_1052.htm" TargetMode="External"/><Relationship Id="rId163" Type="http://schemas.openxmlformats.org/officeDocument/2006/relationships/hyperlink" Target="http://www.sec.gov/Archives/edgar/data/0001620280/000110465917031184/a17-12744_1ex4d3.htm" TargetMode="External"/><Relationship Id="rId164" Type="http://schemas.openxmlformats.org/officeDocument/2006/relationships/hyperlink" Target="http://www.sec.gov/Archives/edgar/data/0001620280/000110465917031184/a17-12744_1ex4d4.htm" TargetMode="External"/><Relationship Id="rId165" Type="http://schemas.openxmlformats.org/officeDocument/2006/relationships/hyperlink" Target="http://www.sec.gov/Archives/edgar/data/0001620280/000156459016017675/csal-ex41_145.htm" TargetMode="External"/><Relationship Id="rId166" Type="http://schemas.openxmlformats.org/officeDocument/2006/relationships/hyperlink" Target="http://www.sec.gov/Archives/edgar/data/0001620280/000110465917031184/a17-12744_1ex3d1.htm" TargetMode="External"/><Relationship Id="rId167" Type="http://schemas.openxmlformats.org/officeDocument/2006/relationships/hyperlink" Target="http://www.sec.gov/Archives/edgar/data/0001620280/000110465916162314/a16-20068_3ex4d1.htm" TargetMode="External"/><Relationship Id="rId168" Type="http://schemas.openxmlformats.org/officeDocument/2006/relationships/hyperlink" Target="http://www.sec.gov/Archives/edgar/data/0001620280/000156459017002252/csal-ex411_1436.htm" TargetMode="External"/><Relationship Id="rId169" Type="http://schemas.openxmlformats.org/officeDocument/2006/relationships/hyperlink" Target="http://www.sec.gov/Archives/edgar/data/0001620280/000110465917031184/a17-12744_1ex4d5.htm" TargetMode="External"/><Relationship Id="rId170" Type="http://schemas.openxmlformats.org/officeDocument/2006/relationships/hyperlink" Target="http://www.sec.gov/Archives/edgar/data/0001620280/000110465917031184/a17-12744_1ex4d6.htm" TargetMode="External"/><Relationship Id="rId171" Type="http://schemas.openxmlformats.org/officeDocument/2006/relationships/hyperlink" Target="http://www.sec.gov/Archives/edgar/data/0001620280/000156459017021297/unit-ex41_429.htm" TargetMode="External"/><Relationship Id="rId174" Type="http://schemas.openxmlformats.org/officeDocument/2006/relationships/hyperlink" Target="http://www.sec.gov/Archives/edgar/data/0001620280/000119312515147341/d910956dex101.htm" TargetMode="External"/><Relationship Id="rId175" Type="http://schemas.openxmlformats.org/officeDocument/2006/relationships/hyperlink" Target="http://www.sec.gov/Archives/edgar/data/0001620280/000119312515147341/d910956dex102.htm" TargetMode="External"/><Relationship Id="rId176" Type="http://schemas.openxmlformats.org/officeDocument/2006/relationships/hyperlink" Target="http://www.sec.gov/Archives/edgar/data/0001620280/000119312515147341/d910956dex103.htm" TargetMode="External"/><Relationship Id="rId177" Type="http://schemas.openxmlformats.org/officeDocument/2006/relationships/hyperlink" Target="http://www.sec.gov/Archives/edgar/data/0001620280/000119312515147341/d910956dex105.htm" TargetMode="External"/><Relationship Id="rId178" Type="http://schemas.openxmlformats.org/officeDocument/2006/relationships/hyperlink" Target="http://www.sec.gov/Archives/edgar/data/0001620280/000119312515147341/d910956dex106.htm" TargetMode="External"/><Relationship Id="rId179" Type="http://schemas.openxmlformats.org/officeDocument/2006/relationships/hyperlink" Target="http://www.sec.gov/Archives/edgar/data/0001620280/000119312515147341/d910956dex108.htm" TargetMode="External"/><Relationship Id="rId180" Type="http://schemas.openxmlformats.org/officeDocument/2006/relationships/hyperlink" Target="http://www.sec.gov/Archives/edgar/data/0001620280/000119312515147341/d910956dex1010.htm" TargetMode="External"/><Relationship Id="rId181" Type="http://schemas.openxmlformats.org/officeDocument/2006/relationships/hyperlink" Target="http://www.sec.gov/Archives/edgar/data/0001620280/000110465916151374/a16-20228_1ex10d1.htm" TargetMode="External"/><Relationship Id="rId182" Type="http://schemas.openxmlformats.org/officeDocument/2006/relationships/hyperlink" Target="http://www.sec.gov/Archives/edgar/data/0001620280/000110465917007816/a17-3824_1ex10d1.htm" TargetMode="External"/><Relationship Id="rId183" Type="http://schemas.openxmlformats.org/officeDocument/2006/relationships/hyperlink" Target="http://www.sec.gov/Archives/edgar/data/1620280/000110465917028526/a17-12174_1ex10d1.htm" TargetMode="External"/><Relationship Id="rId186" Type="http://schemas.openxmlformats.org/officeDocument/2006/relationships/hyperlink" Target="http://www.sec.gov/Archives/edgar/data/0001620280/000110465917031184/a17-12744_1ex10d1.htm" TargetMode="External"/><Relationship Id="rId187" Type="http://schemas.openxmlformats.org/officeDocument/2006/relationships/hyperlink" Target="http://www.sec.gov/Archives/edgar/data/0001620280/000119312515147341/d910956dex1011.htm" TargetMode="External"/><Relationship Id="rId188" Type="http://schemas.openxmlformats.org/officeDocument/2006/relationships/hyperlink" Target="http://www.sec.gov/Archives/edgar/data/0001620280/000119312515089385/d798710dex109.htm" TargetMode="External"/><Relationship Id="rId189" Type="http://schemas.openxmlformats.org/officeDocument/2006/relationships/hyperlink" Target="http://www.sec.gov/Archives/edgar/data/0001620280/000119312515211690/d935720dex102.htm" TargetMode="External"/><Relationship Id="rId190" Type="http://schemas.openxmlformats.org/officeDocument/2006/relationships/hyperlink" Target="http://www.sec.gov/Archives/edgar/data/1620280/000104746915005944/a2225264zex-10_16.htm" TargetMode="External"/><Relationship Id="rId191" Type="http://schemas.openxmlformats.org/officeDocument/2006/relationships/hyperlink" Target="http://www.sec.gov/Archives/edgar/data/0001620280/000119312515089385/d798710dex1012.htm" TargetMode="External"/><Relationship Id="rId192" Type="http://schemas.openxmlformats.org/officeDocument/2006/relationships/hyperlink" Target="http://www.sec.gov/Archives/edgar/data/1620280/000119312515211690/d935720dex103.htm" TargetMode="External"/><Relationship Id="rId193" Type="http://schemas.openxmlformats.org/officeDocument/2006/relationships/hyperlink" Target="http://www.sec.gov/Archives/edgar/data/0001620280/000119312515211690/d935720dex104.htm" TargetMode="External"/><Relationship Id="rId194" Type="http://schemas.openxmlformats.org/officeDocument/2006/relationships/hyperlink" Target="http://www.sec.gov/Archives/edgar/data/1620280/000119312515211690/d935720dex105.htm" TargetMode="External"/><Relationship Id="rId195" Type="http://schemas.openxmlformats.org/officeDocument/2006/relationships/hyperlink" Target="http://www.sec.gov/Archives/edgar/data/0001620280/000119312515211690/d935720dex105.htm" TargetMode="External"/><Relationship Id="rId196" Type="http://schemas.openxmlformats.org/officeDocument/2006/relationships/hyperlink" Target="http://www.sec.gov/Archives/edgar/data/1620280/000104746915005944/a2225264zex-10_20.htm" TargetMode="External"/><Relationship Id="rId197" Type="http://schemas.openxmlformats.org/officeDocument/2006/relationships/hyperlink" Target="http://www.sec.gov/Archives/edgar/data/1620280/000156459015007263/csal-ex1020_690.htm" TargetMode="External"/><Relationship Id="rId200" Type="http://schemas.openxmlformats.org/officeDocument/2006/relationships/hyperlink" Target="http://www.sec.gov/Archives/edgar/data/0001620280/000110465918038926/a18-14910_1ex99d1.htm" TargetMode="External"/><Relationship Id="rId201" Type="http://schemas.openxmlformats.org/officeDocument/2006/relationships/hyperlink" Target="http://www.sec.gov/Archives/edgar/data/0001620280/000156459016017675/csal-ex101_144.htm" TargetMode="External"/><Relationship Id="rId202" Type="http://schemas.openxmlformats.org/officeDocument/2006/relationships/hyperlink" Target="http://www.sec.gov/Archives/edgar/data/0001620280/000156459016019251/csal-ex103_289.htm" TargetMode="External"/><Relationship Id="rId203" Type="http://schemas.openxmlformats.org/officeDocument/2006/relationships/hyperlink" Target="http://www.sec.gov/Archives/edgar/data/0001620280/000156459016024084/csal-ex102_756.htm" TargetMode="External"/><Relationship Id="rId204" Type="http://schemas.openxmlformats.org/officeDocument/2006/relationships/hyperlink" Target="http://www.sec.gov/Archives/edgar/data/0001620280/000156459017008846/unit-ex102_688.htm" TargetMode="External"/><Relationship Id="rId205" Type="http://schemas.openxmlformats.org/officeDocument/2006/relationships/hyperlink" Target="http://www.sec.gov/Archives/edgar/data/0001620280/000156459018013046/unit-ex102_2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2019-12-28T14:28:43Z</dcterms:created>
  <dcterms:modified xsi:type="dcterms:W3CDTF">2019-12-28T14:28:43Z</dcterms:modified>
</cp:coreProperties>
</file>