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80" w:hanging="572"/>
        <w:spacing w:after="0" w:line="23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78"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001-36708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6"/>
              </w:rPr>
              <w:t>Maryland</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3960" w:type="dxa"/>
            <w:vAlign w:val="bottom"/>
          </w:tcPr>
          <w:p>
            <w:pPr>
              <w:jc w:val="right"/>
              <w:ind w:right="1758"/>
              <w:spacing w:after="0"/>
              <w:rPr>
                <w:sz w:val="20"/>
                <w:szCs w:val="20"/>
                <w:color w:val="auto"/>
              </w:rPr>
            </w:pPr>
            <w:r>
              <w:rPr>
                <w:rFonts w:ascii="Arial" w:cs="Arial" w:eastAsia="Arial" w:hAnsi="Arial"/>
                <w:sz w:val="18"/>
                <w:szCs w:val="18"/>
                <w:b w:val="1"/>
                <w:bCs w:val="1"/>
                <w:color w:val="auto"/>
              </w:rPr>
              <w:t>46-5230630</w:t>
            </w:r>
          </w:p>
        </w:tc>
      </w:tr>
      <w:tr>
        <w:trPr>
          <w:trHeight w:val="148"/>
        </w:trPr>
        <w:tc>
          <w:tcPr>
            <w:tcW w:w="30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96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2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incorporation or organization)</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020" w:type="dxa"/>
            <w:vAlign w:val="bottom"/>
          </w:tcPr>
          <w:p>
            <w:pPr>
              <w:jc w:val="center"/>
              <w:ind w:right="277"/>
              <w:spacing w:after="0"/>
              <w:rPr>
                <w:sz w:val="20"/>
                <w:szCs w:val="20"/>
                <w:color w:val="auto"/>
              </w:rPr>
            </w:pPr>
            <w:r>
              <w:rPr>
                <w:rFonts w:ascii="Arial" w:cs="Arial" w:eastAsia="Arial" w:hAnsi="Arial"/>
                <w:sz w:val="18"/>
                <w:szCs w:val="18"/>
                <w:b w:val="1"/>
                <w:bCs w:val="1"/>
                <w:color w:val="auto"/>
                <w:w w:val="91"/>
              </w:rPr>
              <w:t>10802 Executive Center Drive</w:t>
            </w: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16"/>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89"/>
              </w:rPr>
              <w:t>Benton Building Suite 300</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2"/>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1"/>
              </w:rPr>
              <w:t>Little Rock, Arkansas</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jc w:val="right"/>
              <w:ind w:right="1958"/>
              <w:spacing w:after="0"/>
              <w:rPr>
                <w:sz w:val="20"/>
                <w:szCs w:val="20"/>
                <w:color w:val="auto"/>
              </w:rPr>
            </w:pPr>
            <w:r>
              <w:rPr>
                <w:rFonts w:ascii="Arial" w:cs="Arial" w:eastAsia="Arial" w:hAnsi="Arial"/>
                <w:sz w:val="18"/>
                <w:szCs w:val="18"/>
                <w:b w:val="1"/>
                <w:bCs w:val="1"/>
                <w:color w:val="auto"/>
              </w:rPr>
              <w:t>72211</w:t>
            </w:r>
          </w:p>
        </w:tc>
      </w:tr>
      <w:tr>
        <w:trPr>
          <w:trHeight w:val="186"/>
        </w:trPr>
        <w:tc>
          <w:tcPr>
            <w:tcW w:w="302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5"/>
              </w:rPr>
              <w:t>(Zip Code)</w:t>
            </w:r>
          </w:p>
        </w:tc>
      </w:tr>
      <w:tr>
        <w:trPr>
          <w:trHeight w:val="230"/>
        </w:trPr>
        <w:tc>
          <w:tcPr>
            <w:tcW w:w="9220" w:type="dxa"/>
            <w:vAlign w:val="bottom"/>
            <w:gridSpan w:val="4"/>
          </w:tcPr>
          <w:p>
            <w:pPr>
              <w:jc w:val="center"/>
              <w:ind w:right="838"/>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r>
      <w:tr>
        <w:trPr>
          <w:trHeight w:val="79"/>
        </w:trPr>
        <w:tc>
          <w:tcPr>
            <w:tcW w:w="3040" w:type="dxa"/>
            <w:vAlign w:val="bottom"/>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63"/>
        </w:trPr>
        <w:tc>
          <w:tcPr>
            <w:tcW w:w="9220" w:type="dxa"/>
            <w:vAlign w:val="bottom"/>
            <w:gridSpan w:val="4"/>
          </w:tcPr>
          <w:p>
            <w:pPr>
              <w:ind w:left="23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0"/>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88"/>
              </w:rPr>
              <w:t>Title of each class</w:t>
            </w:r>
          </w:p>
        </w:tc>
        <w:tc>
          <w:tcPr>
            <w:tcW w:w="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89"/>
              </w:rPr>
              <w:t>Name of each exchange on which registered</w:t>
            </w:r>
          </w:p>
        </w:tc>
      </w:tr>
      <w:tr>
        <w:trPr>
          <w:trHeight w:val="256"/>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90"/>
              </w:rPr>
              <w:t>Common Stock</w:t>
            </w:r>
          </w:p>
        </w:tc>
        <w:tc>
          <w:tcPr>
            <w:tcW w:w="2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93"/>
              </w:rPr>
              <w:t>The NASDAQ Global Select Market</w:t>
            </w:r>
          </w:p>
        </w:tc>
      </w:tr>
    </w:tbl>
    <w:p>
      <w:pPr>
        <w:spacing w:after="0" w:line="10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8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60" w:firstLine="51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 2020, the registrant had 194,116,016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announced with Windstream Holdings, Inc. (“Windstream Holdings”) and its subsidiaries (Windstream Holdings, together with its subsidiaries, “Windstream”) and our ability to satisfy the conditions precedent to its effectiveness, and Windstream’s ability to implement a successful plan of reorganization and emerge from bankruptcy(including the timing thereof); if the settlement is not effected, the bankruptcy and Windstream’s performance under its long-term exclusive triple-net lease with us (the “Master Lease”); if the settlement is not effected, our expectations with respect to the treatment of the Master Lease in Windstream’s petitions for relief under Chapter 11 of the Bankruptcy Code, including with respect to Windstream’s claims that the Master Lease should be recharacterized as a financing transaction, that the Master Lease is a lease of personal property and that rent payments and tenant capital improvements made by Windstream under the Master Lease constituted constructive fraudulent transfers and that we are in breach of certain of our obligations under the Master Lease; our expectations regarding the effect of substantial doubt about our ability to continue as a going concern; our expectations about our ability to maintain our status as a real estate investment trust (“REIT”); our expectations regarding the effect of the COVID-19 pandemic on our results of operations and financial condition, including the potential need to perform an interim goodwill analysis and report an impairment charge related thereto; our expectations regarding the future growth and demand of the telecommunication industry, future financing plans, business strategies, growth prospects, operating and financial performance, and our future liquidity needs and access to capital; our expectations regarding the probability of our obligation to pay contingent consideration upon Tower Cloud, Inc.'s ("Tower Cloud") achievement of certain defined operational and financial milestones;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the impact of the operating company-property company partnership with Macquarie Infrastructure Partners (“MIP”) and related acquisition of Bluebird Network, LLC (“Bluebird”); our expectations regarding the wind down of the Consumer CLEC business; our expectations regarding the disposition of certain U.S. tower assets, the results of the “go-shop” process related thereto and the “off-take” tower arrangement with a wireless infrastructure partner we entered into in connection therewith and expectations regarding the payment of dividends.</w:t>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286" w:lineRule="exact"/>
        <w:rPr>
          <w:sz w:val="20"/>
          <w:szCs w:val="20"/>
          <w:color w:val="auto"/>
        </w:rPr>
      </w:pPr>
    </w:p>
    <w:p>
      <w:pPr>
        <w:ind w:left="1000" w:right="320" w:hanging="493"/>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future prospects of our largest customer, Windstream Holdings, which, following a finding that it is in default of certain of its debt, on February 25, 2019, and along with all of its subsidiaries, filed voluntary petitions for relief under Chapter 11 of the Bankruptcy Code;</w:t>
      </w:r>
    </w:p>
    <w:p>
      <w:pPr>
        <w:spacing w:after="0" w:line="15" w:lineRule="exact"/>
        <w:rPr>
          <w:rFonts w:ascii="Arial" w:cs="Arial" w:eastAsia="Arial" w:hAnsi="Arial"/>
          <w:sz w:val="16"/>
          <w:szCs w:val="16"/>
          <w:color w:val="auto"/>
        </w:rPr>
      </w:pPr>
    </w:p>
    <w:p>
      <w:pPr>
        <w:jc w:val="both"/>
        <w:ind w:left="1000" w:right="140" w:hanging="493"/>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as a going concern if our settlement is not implemented and/or Windstream is not able to successfully emerge and the settlement is not implemented, and Windstream Holdings were to succeed in its recharacterization and fraudulent transfer claims against us, reject the Master Lease or be unable or unwilling to perform its obligations under the Master Lease;</w:t>
      </w:r>
    </w:p>
    <w:p>
      <w:pPr>
        <w:spacing w:after="0" w:line="57" w:lineRule="exact"/>
        <w:rPr>
          <w:rFonts w:ascii="Arial" w:cs="Arial" w:eastAsia="Arial" w:hAnsi="Arial"/>
          <w:sz w:val="17"/>
          <w:szCs w:val="17"/>
          <w:color w:val="auto"/>
        </w:rPr>
      </w:pPr>
    </w:p>
    <w:p>
      <w:pPr>
        <w:ind w:left="1000" w:right="1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00" w:right="32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REIT, including as a result of the effects of the recent events with respect to our largest customer, Windstream Holdings;</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2017 U.S. tax reform legislation;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the agreements regarding the announced disposition of U.S. towers assets may be modified or terminated prior to expiration or that the conditions to such disposition may not be satisfied; and</w:t>
      </w:r>
    </w:p>
    <w:p>
      <w:pPr>
        <w:spacing w:after="0" w:line="62"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for the year ended December 31, 2019, as well as those described from time to time in our future reports filed with the U.S. Securities and Exchange Commission (“SEC”).</w:t>
      </w:r>
    </w:p>
    <w:p>
      <w:pPr>
        <w:spacing w:after="0" w:line="14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9840" w:type="dxa"/>
            <w:vAlign w:val="bottom"/>
          </w:tcPr>
          <w:p>
            <w:pPr>
              <w:ind w:left="4140"/>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984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40" w:type="dxa"/>
            <w:vAlign w:val="bottom"/>
            <w:vMerge w:val="restart"/>
          </w:tcPr>
          <w:p>
            <w:pPr>
              <w:ind w:left="8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INFORMATION</w:t>
              </w:r>
            </w:hyperlink>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840" w:type="dxa"/>
            <w:vAlign w:val="bottom"/>
            <w:vMerge w:val="continue"/>
          </w:tcPr>
          <w:p>
            <w:pPr>
              <w:spacing w:after="0"/>
              <w:rPr>
                <w:sz w:val="19"/>
                <w:szCs w:val="19"/>
                <w:color w:val="auto"/>
              </w:rPr>
            </w:pPr>
          </w:p>
        </w:tc>
        <w:tc>
          <w:tcPr>
            <w:tcW w:w="98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9840" w:type="dxa"/>
            <w:vAlign w:val="bottom"/>
          </w:tcPr>
          <w:p>
            <w:pPr>
              <w:ind w:left="80"/>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w:t>
            </w:r>
            <w:hyperlink w:anchor="page10">
              <w:r>
                <w:rPr>
                  <w:rFonts w:ascii="Arial" w:cs="Arial" w:eastAsia="Arial" w:hAnsi="Arial"/>
                  <w:sz w:val="18"/>
                  <w:szCs w:val="18"/>
                  <w:u w:val="single" w:color="auto"/>
                  <w:color w:val="0000EE"/>
                </w:rPr>
                <w:t>Organization and Description of 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2.</w:t>
            </w:r>
            <w:hyperlink w:anchor="page10">
              <w:r>
                <w:rPr>
                  <w:rFonts w:ascii="Arial" w:cs="Arial" w:eastAsia="Arial" w:hAnsi="Arial"/>
                  <w:sz w:val="18"/>
                  <w:szCs w:val="18"/>
                  <w:u w:val="single" w:color="auto"/>
                  <w:color w:val="0000EE"/>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3.</w:t>
            </w:r>
            <w:hyperlink w:anchor="page13">
              <w:r>
                <w:rPr>
                  <w:rFonts w:ascii="Arial" w:cs="Arial" w:eastAsia="Arial" w:hAnsi="Arial"/>
                  <w:sz w:val="18"/>
                  <w:szCs w:val="18"/>
                  <w:u w:val="single" w:color="auto"/>
                  <w:color w:val="0000EE"/>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4.</w:t>
            </w:r>
            <w:hyperlink w:anchor="page16">
              <w:r>
                <w:rPr>
                  <w:rFonts w:ascii="Arial" w:cs="Arial" w:eastAsia="Arial" w:hAnsi="Arial"/>
                  <w:sz w:val="18"/>
                  <w:szCs w:val="18"/>
                  <w:u w:val="single" w:color="auto"/>
                  <w:color w:val="auto"/>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5.</w:t>
            </w:r>
            <w:hyperlink w:anchor="page19">
              <w:r>
                <w:rPr>
                  <w:rFonts w:ascii="Arial" w:cs="Arial" w:eastAsia="Arial" w:hAnsi="Arial"/>
                  <w:sz w:val="18"/>
                  <w:szCs w:val="18"/>
                  <w:u w:val="single" w:color="auto"/>
                  <w:color w:val="0000EE"/>
                </w:rPr>
                <w:t>Assets and Liabilities Held for Sale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6.</w:t>
            </w:r>
            <w:hyperlink w:anchor="page19">
              <w:r>
                <w:rPr>
                  <w:rFonts w:ascii="Arial" w:cs="Arial" w:eastAsia="Arial" w:hAnsi="Arial"/>
                  <w:sz w:val="18"/>
                  <w:szCs w:val="18"/>
                  <w:u w:val="single" w:color="auto"/>
                  <w:color w:val="0000EE"/>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7.</w:t>
            </w:r>
            <w:hyperlink w:anchor="page21">
              <w:r>
                <w:rPr>
                  <w:rFonts w:ascii="Arial" w:cs="Arial" w:eastAsia="Arial" w:hAnsi="Arial"/>
                  <w:sz w:val="18"/>
                  <w:szCs w:val="18"/>
                  <w:u w:val="single" w:color="auto"/>
                  <w:color w:val="0000EE"/>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8.</w:t>
            </w:r>
            <w:hyperlink w:anchor="page22">
              <w:r>
                <w:rPr>
                  <w:rFonts w:ascii="Arial" w:cs="Arial" w:eastAsia="Arial" w:hAnsi="Arial"/>
                  <w:sz w:val="18"/>
                  <w:szCs w:val="18"/>
                  <w:u w:val="single" w:color="auto"/>
                  <w:color w:val="0000EE"/>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9.</w:t>
            </w:r>
            <w:hyperlink w:anchor="page23">
              <w:r>
                <w:rPr>
                  <w:rFonts w:ascii="Arial" w:cs="Arial" w:eastAsia="Arial" w:hAnsi="Arial"/>
                  <w:sz w:val="18"/>
                  <w:szCs w:val="18"/>
                  <w:u w:val="single" w:color="auto"/>
                  <w:color w:val="0000EE"/>
                </w:rPr>
                <w:t>Goodwill and Intangible Assets and Liabilities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10.</w:t>
            </w:r>
            <w:hyperlink w:anchor="page24">
              <w:r>
                <w:rPr>
                  <w:rFonts w:ascii="Arial" w:cs="Arial" w:eastAsia="Arial" w:hAnsi="Arial"/>
                  <w:sz w:val="18"/>
                  <w:szCs w:val="18"/>
                  <w:u w:val="single" w:color="auto"/>
                  <w:color w:val="0000EE"/>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11.</w:t>
            </w:r>
            <w:hyperlink w:anchor="page28">
              <w:r>
                <w:rPr>
                  <w:rFonts w:ascii="Arial" w:cs="Arial" w:eastAsia="Arial" w:hAnsi="Arial"/>
                  <w:sz w:val="18"/>
                  <w:szCs w:val="18"/>
                  <w:u w:val="single" w:color="auto"/>
                  <w:color w:val="0000EE"/>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12.</w:t>
            </w:r>
            <w:hyperlink w:anchor="page29">
              <w:r>
                <w:rPr>
                  <w:rFonts w:ascii="Arial" w:cs="Arial" w:eastAsia="Arial" w:hAnsi="Arial"/>
                  <w:sz w:val="18"/>
                  <w:szCs w:val="18"/>
                  <w:u w:val="single" w:color="auto"/>
                  <w:color w:val="0000EE"/>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13.</w:t>
            </w:r>
            <w:hyperlink w:anchor="page30">
              <w:r>
                <w:rPr>
                  <w:rFonts w:ascii="Arial" w:cs="Arial" w:eastAsia="Arial" w:hAnsi="Arial"/>
                  <w:sz w:val="18"/>
                  <w:szCs w:val="18"/>
                  <w:u w:val="single" w:color="auto"/>
                  <w:color w:val="0000EE"/>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14.</w:t>
            </w:r>
            <w:hyperlink w:anchor="page35">
              <w:r>
                <w:rPr>
                  <w:rFonts w:ascii="Arial" w:cs="Arial" w:eastAsia="Arial" w:hAnsi="Arial"/>
                  <w:sz w:val="18"/>
                  <w:szCs w:val="18"/>
                  <w:u w:val="single" w:color="auto"/>
                  <w:color w:val="0000EE"/>
                </w:rPr>
                <w:t>Accumulated Other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15.</w:t>
            </w:r>
            <w:hyperlink w:anchor="page36">
              <w:r>
                <w:rPr>
                  <w:rFonts w:ascii="Arial" w:cs="Arial" w:eastAsia="Arial" w:hAnsi="Arial"/>
                  <w:sz w:val="18"/>
                  <w:szCs w:val="18"/>
                  <w:u w:val="single" w:color="auto"/>
                  <w:color w:val="0000EE"/>
                </w:rPr>
                <w:t>Subsequent Events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w:t>
            </w:r>
            <w:hyperlink w:anchor="page37">
              <w:r>
                <w:rPr>
                  <w:rFonts w:ascii="Arial" w:cs="Arial" w:eastAsia="Arial" w:hAnsi="Arial"/>
                  <w:sz w:val="18"/>
                  <w:szCs w:val="18"/>
                  <w:u w:val="single" w:color="auto"/>
                  <w:color w:val="0000EE"/>
                </w:rPr>
                <w:t>Overview</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2.</w:t>
            </w:r>
            <w:hyperlink w:anchor="page41">
              <w:r>
                <w:rPr>
                  <w:rFonts w:ascii="Arial" w:cs="Arial" w:eastAsia="Arial" w:hAnsi="Arial"/>
                  <w:sz w:val="18"/>
                  <w:szCs w:val="18"/>
                  <w:u w:val="single" w:color="auto"/>
                  <w:color w:val="0000EE"/>
                </w:rPr>
                <w:t>Comparison of the three months ended March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3.</w:t>
            </w:r>
            <w:hyperlink w:anchor="page48">
              <w:r>
                <w:rPr>
                  <w:rFonts w:ascii="Arial" w:cs="Arial" w:eastAsia="Arial" w:hAnsi="Arial"/>
                  <w:sz w:val="18"/>
                  <w:szCs w:val="18"/>
                  <w:u w:val="single" w:color="auto"/>
                  <w:color w:val="0000EE"/>
                </w:rPr>
                <w:t>Non-GAAP Financial Measures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4.</w:t>
            </w:r>
            <w:hyperlink w:anchor="page49">
              <w:r>
                <w:rPr>
                  <w:rFonts w:ascii="Arial" w:cs="Arial" w:eastAsia="Arial" w:hAnsi="Arial"/>
                  <w:sz w:val="18"/>
                  <w:szCs w:val="18"/>
                  <w:u w:val="single" w:color="auto"/>
                  <w:color w:val="0000EE"/>
                </w:rPr>
                <w:t>Liquidity and Capital Resources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40" w:type="dxa"/>
            <w:vAlign w:val="bottom"/>
          </w:tcPr>
          <w:p>
            <w:pPr>
              <w:ind w:left="80"/>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59"/>
        </w:trPr>
        <w:tc>
          <w:tcPr>
            <w:tcW w:w="840" w:type="dxa"/>
            <w:vAlign w:val="bottom"/>
          </w:tcPr>
          <w:p>
            <w:pPr>
              <w:spacing w:after="0"/>
              <w:rPr>
                <w:rFonts w:ascii="Arial" w:cs="Arial" w:eastAsia="Arial" w:hAnsi="Arial"/>
                <w:sz w:val="18"/>
                <w:szCs w:val="18"/>
                <w:u w:val="single" w:color="auto"/>
                <w:color w:val="0000EE"/>
                <w:w w:val="95"/>
              </w:rPr>
            </w:pPr>
            <w:hyperlink w:anchor="page63">
              <w:r>
                <w:rPr>
                  <w:rFonts w:ascii="Arial" w:cs="Arial" w:eastAsia="Arial" w:hAnsi="Arial"/>
                  <w:sz w:val="18"/>
                  <w:szCs w:val="18"/>
                  <w:u w:val="single" w:color="auto"/>
                  <w:color w:val="0000EE"/>
                  <w:w w:val="95"/>
                </w:rPr>
                <w:t>Signatures</w:t>
              </w:r>
            </w:hyperlink>
          </w:p>
        </w:tc>
        <w:tc>
          <w:tcPr>
            <w:tcW w:w="98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240" w:type="dxa"/>
            <w:vAlign w:val="bottom"/>
            <w:gridSpan w:val="3"/>
          </w:tcPr>
          <w:p>
            <w:pPr>
              <w:jc w:val="center"/>
              <w:ind w:left="3910"/>
              <w:spacing w:after="0"/>
              <w:rPr>
                <w:sz w:val="20"/>
                <w:szCs w:val="20"/>
                <w:color w:val="auto"/>
              </w:rPr>
            </w:pPr>
            <w:r>
              <w:rPr>
                <w:rFonts w:ascii="Arial" w:cs="Arial" w:eastAsia="Arial" w:hAnsi="Arial"/>
                <w:sz w:val="18"/>
                <w:szCs w:val="18"/>
                <w:b w:val="1"/>
                <w:bCs w:val="1"/>
                <w:color w:val="auto"/>
              </w:rPr>
              <w:t>PART I—FINANCIAL INFORMATION</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6740" w:type="dxa"/>
            <w:vAlign w:val="bottom"/>
            <w:gridSpan w:val="2"/>
          </w:tcPr>
          <w:p>
            <w:pPr>
              <w:jc w:val="center"/>
              <w:ind w:left="4410"/>
              <w:spacing w:after="0"/>
              <w:rPr>
                <w:sz w:val="20"/>
                <w:szCs w:val="20"/>
                <w:color w:val="auto"/>
              </w:rPr>
            </w:pPr>
            <w:r>
              <w:rPr>
                <w:rFonts w:ascii="Arial" w:cs="Arial" w:eastAsia="Arial" w:hAnsi="Arial"/>
                <w:sz w:val="18"/>
                <w:szCs w:val="18"/>
                <w:b w:val="1"/>
                <w:bCs w:val="1"/>
                <w:color w:val="auto"/>
                <w:w w:val="94"/>
              </w:rPr>
              <w:t>Uniti Group Inc.</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240" w:type="dxa"/>
            <w:vAlign w:val="bottom"/>
            <w:gridSpan w:val="3"/>
          </w:tcPr>
          <w:p>
            <w:pPr>
              <w:jc w:val="center"/>
              <w:ind w:left="39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95"/>
              </w:rPr>
              <w:t>(Unaudited)</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740" w:type="dxa"/>
            <w:vAlign w:val="bottom"/>
            <w:gridSpan w:val="2"/>
          </w:tcPr>
          <w:p>
            <w:pPr>
              <w:spacing w:after="0"/>
              <w:rPr>
                <w:sz w:val="20"/>
                <w:szCs w:val="20"/>
                <w:color w:val="auto"/>
              </w:rPr>
            </w:pPr>
            <w:r>
              <w:rPr>
                <w:rFonts w:ascii="Arial" w:cs="Arial" w:eastAsia="Arial" w:hAnsi="Arial"/>
                <w:sz w:val="18"/>
                <w:szCs w:val="18"/>
                <w:color w:val="auto"/>
              </w:rPr>
              <w:t>(Thousands, except par value)</w:t>
            </w:r>
          </w:p>
        </w:tc>
        <w:tc>
          <w:tcPr>
            <w:tcW w:w="23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2019</w:t>
            </w:r>
          </w:p>
        </w:tc>
      </w:tr>
      <w:tr>
        <w:trPr>
          <w:trHeight w:val="223"/>
        </w:trPr>
        <w:tc>
          <w:tcPr>
            <w:tcW w:w="6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3,254,600</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3,409,945</w:t>
            </w:r>
          </w:p>
        </w:tc>
        <w:tc>
          <w:tcPr>
            <w:tcW w:w="120" w:type="dxa"/>
            <w:vAlign w:val="bottom"/>
          </w:tcPr>
          <w:p>
            <w:pPr>
              <w:spacing w:after="0"/>
              <w:rPr>
                <w:sz w:val="19"/>
                <w:szCs w:val="19"/>
                <w:color w:val="auto"/>
              </w:rPr>
            </w:pPr>
          </w:p>
        </w:tc>
      </w:tr>
      <w:tr>
        <w:trPr>
          <w:trHeight w:val="229"/>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109,329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142,813</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74,763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77,623</w:t>
            </w:r>
          </w:p>
        </w:tc>
        <w:tc>
          <w:tcPr>
            <w:tcW w:w="120" w:type="dxa"/>
            <w:vAlign w:val="bottom"/>
          </w:tcPr>
          <w:p>
            <w:pPr>
              <w:spacing w:after="0"/>
              <w:rPr>
                <w:sz w:val="19"/>
                <w:szCs w:val="19"/>
                <w:color w:val="auto"/>
              </w:rPr>
            </w:pPr>
          </w:p>
        </w:tc>
      </w:tr>
      <w:tr>
        <w:trPr>
          <w:trHeight w:val="229"/>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120" w:type="dxa"/>
            <w:vAlign w:val="bottom"/>
            <w:shd w:val="clear" w:color="auto" w:fill="CFF0FC"/>
          </w:tcPr>
          <w:p>
            <w:pPr>
              <w:spacing w:after="0"/>
              <w:rPr>
                <w:sz w:val="19"/>
                <w:szCs w:val="19"/>
                <w:color w:val="auto"/>
              </w:rPr>
            </w:pPr>
          </w:p>
        </w:tc>
      </w:tr>
      <w:tr>
        <w:trPr>
          <w:trHeight w:val="229"/>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523,718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531,979</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CFF0FC"/>
          </w:tcPr>
          <w:p>
            <w:pPr>
              <w:spacing w:after="0"/>
              <w:rPr>
                <w:sz w:val="19"/>
                <w:szCs w:val="19"/>
                <w:color w:val="auto"/>
              </w:rPr>
            </w:pPr>
          </w:p>
        </w:tc>
      </w:tr>
      <w:tr>
        <w:trPr>
          <w:trHeight w:val="229"/>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Other assets, net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145,636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161,560</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211,851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5,014,080</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5,017,000</w:t>
            </w:r>
          </w:p>
        </w:tc>
        <w:tc>
          <w:tcPr>
            <w:tcW w:w="120" w:type="dxa"/>
            <w:vAlign w:val="bottom"/>
            <w:tcBorders>
              <w:bottom w:val="single" w:sz="8" w:color="CFF0FC"/>
            </w:tcBorders>
          </w:tcPr>
          <w:p>
            <w:pPr>
              <w:spacing w:after="0"/>
              <w:rPr>
                <w:sz w:val="22"/>
                <w:szCs w:val="22"/>
                <w:color w:val="auto"/>
              </w:rPr>
            </w:pPr>
          </w:p>
        </w:tc>
      </w:tr>
      <w:tr>
        <w:trPr>
          <w:trHeight w:val="426"/>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500" w:type="dxa"/>
            <w:vAlign w:val="bottom"/>
            <w:shd w:val="clear" w:color="auto" w:fill="CFF0FC"/>
          </w:tcPr>
          <w:p>
            <w:pPr>
              <w:spacing w:after="0"/>
              <w:rPr>
                <w:sz w:val="24"/>
                <w:szCs w:val="24"/>
                <w:color w:val="auto"/>
              </w:rPr>
            </w:pPr>
          </w:p>
        </w:tc>
        <w:tc>
          <w:tcPr>
            <w:tcW w:w="15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8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accrued expenses and other liabilities, net</w:t>
            </w: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171,149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227,121</w:t>
            </w:r>
          </w:p>
        </w:tc>
        <w:tc>
          <w:tcPr>
            <w:tcW w:w="120" w:type="dxa"/>
            <w:vAlign w:val="bottom"/>
            <w:shd w:val="clear" w:color="auto" w:fill="CFF0FC"/>
          </w:tcPr>
          <w:p>
            <w:pPr>
              <w:spacing w:after="0"/>
              <w:rPr>
                <w:sz w:val="19"/>
                <w:szCs w:val="19"/>
                <w:color w:val="auto"/>
              </w:rPr>
            </w:pPr>
          </w:p>
        </w:tc>
      </w:tr>
      <w:tr>
        <w:trPr>
          <w:trHeight w:val="229"/>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Accrued interest payable</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97,816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28,800</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1,102,118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1,070,671</w:t>
            </w:r>
          </w:p>
        </w:tc>
        <w:tc>
          <w:tcPr>
            <w:tcW w:w="120" w:type="dxa"/>
            <w:vAlign w:val="bottom"/>
            <w:shd w:val="clear" w:color="auto" w:fill="CFF0FC"/>
          </w:tcPr>
          <w:p>
            <w:pPr>
              <w:spacing w:after="0"/>
              <w:rPr>
                <w:sz w:val="19"/>
                <w:szCs w:val="19"/>
                <w:color w:val="auto"/>
              </w:rPr>
            </w:pPr>
          </w:p>
        </w:tc>
      </w:tr>
      <w:tr>
        <w:trPr>
          <w:trHeight w:val="229"/>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Derivative liability, net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30,446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23,679</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43,282</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19,512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24,431</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52,994</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Contingent consideration</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19"/>
                <w:szCs w:val="19"/>
                <w:color w:val="auto"/>
              </w:rPr>
            </w:pPr>
          </w:p>
        </w:tc>
      </w:tr>
      <w:tr>
        <w:trPr>
          <w:trHeight w:val="229"/>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Notes and other debt, net</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5,060,696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5,017,679</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Liabilities held for sale</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7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6,609,531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6,500,164</w:t>
            </w:r>
          </w:p>
        </w:tc>
        <w:tc>
          <w:tcPr>
            <w:tcW w:w="120" w:type="dxa"/>
            <w:vAlign w:val="bottom"/>
            <w:shd w:val="clear" w:color="auto" w:fill="CFF0FC"/>
          </w:tcPr>
          <w:p>
            <w:pPr>
              <w:spacing w:after="0"/>
              <w:rPr>
                <w:sz w:val="19"/>
                <w:szCs w:val="19"/>
                <w:color w:val="auto"/>
              </w:rPr>
            </w:pPr>
          </w:p>
        </w:tc>
      </w:tr>
      <w:tr>
        <w:trPr>
          <w:trHeight w:val="223"/>
        </w:trPr>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Shareholders' Deficit:</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740" w:type="dxa"/>
            <w:vAlign w:val="bottom"/>
            <w:gridSpan w:val="2"/>
          </w:tcPr>
          <w:p>
            <w:pPr>
              <w:ind w:left="260"/>
              <w:spacing w:after="0"/>
              <w:rPr>
                <w:sz w:val="20"/>
                <w:szCs w:val="20"/>
                <w:color w:val="auto"/>
              </w:rPr>
            </w:pPr>
            <w:r>
              <w:rPr>
                <w:rFonts w:ascii="Arial" w:cs="Arial" w:eastAsia="Arial" w:hAnsi="Arial"/>
                <w:sz w:val="18"/>
                <w:szCs w:val="18"/>
                <w:color w:val="auto"/>
                <w:w w:val="96"/>
              </w:rPr>
              <w:t>Preferred stock, $0.0001 par value, 50,000 shares authorized, no shares issued and</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outstanding</w:t>
            </w:r>
          </w:p>
        </w:tc>
        <w:tc>
          <w:tcPr>
            <w:tcW w:w="5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5"/>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2"/>
              </w:rPr>
              <w:t>Common stock, $0.0001 par value, 500,000 shares authorized, issued and outstanding:</w:t>
            </w:r>
          </w:p>
        </w:tc>
        <w:tc>
          <w:tcPr>
            <w:tcW w:w="5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192,281 shares at March 31, 2020 and 192,142 at December 31, 2019</w:t>
            </w:r>
          </w:p>
        </w:tc>
        <w:tc>
          <w:tcPr>
            <w:tcW w:w="5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0"/>
                <w:szCs w:val="20"/>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954,223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951,295</w:t>
            </w:r>
          </w:p>
        </w:tc>
        <w:tc>
          <w:tcPr>
            <w:tcW w:w="120" w:type="dxa"/>
            <w:vAlign w:val="bottom"/>
          </w:tcPr>
          <w:p>
            <w:pPr>
              <w:spacing w:after="0"/>
              <w:rPr>
                <w:sz w:val="19"/>
                <w:szCs w:val="19"/>
                <w:color w:val="auto"/>
              </w:rPr>
            </w:pPr>
          </w:p>
        </w:tc>
      </w:tr>
      <w:tr>
        <w:trPr>
          <w:trHeight w:val="229"/>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(28,717)</w:t>
            </w: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(23,442)</w:t>
            </w: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5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(2,602,777)</w:t>
            </w:r>
          </w:p>
        </w:tc>
        <w:tc>
          <w:tcPr>
            <w:tcW w:w="180" w:type="dxa"/>
            <w:vAlign w:val="bottom"/>
          </w:tcPr>
          <w:p>
            <w:pPr>
              <w:spacing w:after="0"/>
              <w:rPr>
                <w:sz w:val="19"/>
                <w:szCs w:val="19"/>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(2,494,740)</w:t>
            </w:r>
          </w:p>
        </w:tc>
      </w:tr>
      <w:tr>
        <w:trPr>
          <w:trHeight w:val="223"/>
        </w:trPr>
        <w:tc>
          <w:tcPr>
            <w:tcW w:w="67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Uniti shareholders' deficit</w:t>
            </w:r>
          </w:p>
        </w:tc>
        <w:tc>
          <w:tcPr>
            <w:tcW w:w="5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(1,677,252)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(1,566,868)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Operating partnership units</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83,704</w:t>
            </w:r>
          </w:p>
        </w:tc>
        <w:tc>
          <w:tcPr>
            <w:tcW w:w="120" w:type="dxa"/>
            <w:vAlign w:val="bottom"/>
            <w:shd w:val="clear" w:color="auto" w:fill="CFF0FC"/>
          </w:tcPr>
          <w:p>
            <w:pPr>
              <w:spacing w:after="0"/>
              <w:rPr>
                <w:sz w:val="19"/>
                <w:szCs w:val="19"/>
                <w:color w:val="auto"/>
              </w:rPr>
            </w:pPr>
          </w:p>
        </w:tc>
      </w:tr>
      <w:tr>
        <w:trPr>
          <w:trHeight w:val="215"/>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Cumulative non-voting convertible preferred stock, $0.01 par value, 3 shares</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authorized, 1 issued and outstanding</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r>
      <w:tr>
        <w:trPr>
          <w:trHeight w:val="223"/>
        </w:trPr>
        <w:tc>
          <w:tcPr>
            <w:tcW w:w="67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Total shareholders' deficit</w:t>
            </w: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(1,595,451)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(1,483,164)</w:t>
            </w:r>
          </w:p>
        </w:tc>
        <w:tc>
          <w:tcPr>
            <w:tcW w:w="120" w:type="dxa"/>
            <w:vAlign w:val="bottom"/>
            <w:shd w:val="clear" w:color="auto" w:fill="CFF0FC"/>
          </w:tcPr>
          <w:p>
            <w:pPr>
              <w:spacing w:after="0"/>
              <w:rPr>
                <w:sz w:val="19"/>
                <w:szCs w:val="19"/>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5,014,080</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5,017,000</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8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Leasing</w:t>
            </w:r>
          </w:p>
        </w:tc>
        <w:tc>
          <w:tcPr>
            <w:tcW w:w="6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184,352</w:t>
            </w:r>
          </w:p>
        </w:tc>
        <w:tc>
          <w:tcPr>
            <w:tcW w:w="160" w:type="dxa"/>
            <w:vAlign w:val="bottom"/>
          </w:tcPr>
          <w:p>
            <w:pPr>
              <w:spacing w:after="0"/>
              <w:rPr>
                <w:sz w:val="19"/>
                <w:szCs w:val="19"/>
                <w:color w:val="auto"/>
              </w:rPr>
            </w:pP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Tower</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266,162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178,393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27,133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 amortization)</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Transaction related and other costs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15,972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5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(84,842)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(4,576)</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6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8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(Loss) earnings per common share: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(0.41)</w:t>
            </w:r>
          </w:p>
        </w:tc>
        <w:tc>
          <w:tcPr>
            <w:tcW w:w="96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192,236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60" w:type="dxa"/>
            <w:vAlign w:val="bottom"/>
          </w:tcPr>
          <w:p>
            <w:pPr>
              <w:spacing w:after="0"/>
              <w:rPr>
                <w:sz w:val="19"/>
                <w:szCs w:val="19"/>
                <w:color w:val="auto"/>
              </w:rPr>
            </w:pPr>
          </w:p>
        </w:tc>
        <w:tc>
          <w:tcPr>
            <w:tcW w:w="1520" w:type="dxa"/>
            <w:vAlign w:val="bottom"/>
          </w:tcPr>
          <w:p>
            <w:pPr>
              <w:jc w:val="right"/>
              <w:ind w:right="77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ind w:right="79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9"/>
                <w:szCs w:val="19"/>
                <w:color w:val="auto"/>
              </w:rPr>
            </w:pPr>
          </w:p>
        </w:tc>
      </w:tr>
      <w:tr>
        <w:trPr>
          <w:trHeight w:val="223"/>
        </w:trPr>
        <w:tc>
          <w:tcPr>
            <w:tcW w:w="6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8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Unrealized loss on derivative contracts</w:t>
            </w:r>
          </w:p>
        </w:tc>
        <w:tc>
          <w:tcPr>
            <w:tcW w:w="4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(7,036)</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(21,686)</w:t>
            </w:r>
          </w:p>
        </w:tc>
      </w:tr>
      <w:tr>
        <w:trPr>
          <w:trHeight w:val="230"/>
        </w:trPr>
        <w:tc>
          <w:tcPr>
            <w:tcW w:w="6820" w:type="dxa"/>
            <w:vAlign w:val="bottom"/>
            <w:gridSpan w:val="2"/>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r>
      <w:tr>
        <w:trPr>
          <w:trHeight w:val="229"/>
        </w:trPr>
        <w:tc>
          <w:tcPr>
            <w:tcW w:w="6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rate swap termination</w:t>
            </w: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comprehensive loss: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(20,906)</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(18,414)</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46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r>
      <w:tr>
        <w:trPr>
          <w:trHeight w:val="223"/>
        </w:trPr>
        <w:tc>
          <w:tcPr>
            <w:tcW w:w="6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Comprehensive loss attributable to common shareholders</w:t>
            </w: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color w:val="auto"/>
              </w:rPr>
              <w:t>Noncontrolling</w:t>
            </w: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Distributions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Interest - Non-</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 Excess of</w:t>
            </w: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voting</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Total</w:t>
            </w:r>
          </w:p>
        </w:tc>
      </w:tr>
      <w:tr>
        <w:trPr>
          <w:trHeight w:val="14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Paid-in</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Accumulated</w:t>
            </w: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Interest - OP</w:t>
            </w:r>
          </w:p>
        </w:tc>
        <w:tc>
          <w:tcPr>
            <w:tcW w:w="1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Preferred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Shareholders'</w:t>
            </w:r>
          </w:p>
        </w:tc>
      </w:tr>
      <w:tr>
        <w:trPr>
          <w:trHeight w:val="167"/>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(Thousands, except share data)</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Preferred Stock</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color w:val="auto"/>
              </w:rPr>
              <w:t>Common Stock</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Units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4"/>
                <w:szCs w:val="14"/>
                <w:color w:val="auto"/>
              </w:rPr>
            </w:pPr>
          </w:p>
        </w:tc>
      </w:tr>
      <w:tr>
        <w:trPr>
          <w:trHeight w:val="210"/>
        </w:trPr>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1"/>
              </w:rPr>
              <w:t>Shares</w:t>
            </w:r>
          </w:p>
        </w:tc>
        <w:tc>
          <w:tcPr>
            <w:tcW w:w="160" w:type="dxa"/>
            <w:vAlign w:val="bottom"/>
          </w:tcPr>
          <w:p>
            <w:pPr>
              <w:spacing w:after="0"/>
              <w:rPr>
                <w:sz w:val="18"/>
                <w:szCs w:val="18"/>
                <w:color w:val="auto"/>
              </w:rPr>
            </w:pPr>
          </w:p>
        </w:tc>
        <w:tc>
          <w:tcPr>
            <w:tcW w:w="720" w:type="dxa"/>
            <w:vAlign w:val="bottom"/>
            <w:gridSpan w:val="5"/>
          </w:tcPr>
          <w:p>
            <w:pPr>
              <w:ind w:left="40"/>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w w:val="81"/>
              </w:rPr>
              <w:t>Shares</w:t>
            </w:r>
          </w:p>
        </w:tc>
        <w:tc>
          <w:tcPr>
            <w:tcW w:w="160" w:type="dxa"/>
            <w:vAlign w:val="bottom"/>
          </w:tcPr>
          <w:p>
            <w:pPr>
              <w:spacing w:after="0"/>
              <w:rPr>
                <w:sz w:val="18"/>
                <w:szCs w:val="18"/>
                <w:color w:val="auto"/>
              </w:rPr>
            </w:pPr>
          </w:p>
        </w:tc>
        <w:tc>
          <w:tcPr>
            <w:tcW w:w="740" w:type="dxa"/>
            <w:vAlign w:val="bottom"/>
            <w:gridSpan w:val="5"/>
          </w:tcPr>
          <w:p>
            <w:pPr>
              <w:ind w:left="40"/>
              <w:spacing w:after="0"/>
              <w:rPr>
                <w:sz w:val="20"/>
                <w:szCs w:val="20"/>
                <w:color w:val="auto"/>
              </w:rPr>
            </w:pPr>
            <w:r>
              <w:rPr>
                <w:rFonts w:ascii="Arial" w:cs="Arial" w:eastAsia="Arial" w:hAnsi="Arial"/>
                <w:sz w:val="14"/>
                <w:szCs w:val="14"/>
                <w:color w:val="auto"/>
              </w:rPr>
              <w:t>Amount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8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6"/>
              </w:rPr>
              <w:t>180,535,971</w:t>
            </w:r>
          </w:p>
        </w:tc>
        <w:tc>
          <w:tcPr>
            <w:tcW w:w="4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$ 757,517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30,105</w:t>
            </w: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w w:val="98"/>
              </w:rPr>
              <w:t>$ (2,373,218)</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92,375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0"/>
              </w:rPr>
              <w:t>$ (1,493,203)</w:t>
            </w:r>
          </w:p>
        </w:tc>
      </w:tr>
      <w:tr>
        <w:trPr>
          <w:trHeight w:val="215"/>
        </w:trPr>
        <w:tc>
          <w:tcPr>
            <w:tcW w:w="2040" w:type="dxa"/>
            <w:vAlign w:val="bottom"/>
            <w:gridSpan w:val="2"/>
          </w:tcPr>
          <w:p>
            <w:pPr>
              <w:spacing w:after="0"/>
              <w:rPr>
                <w:sz w:val="20"/>
                <w:szCs w:val="20"/>
                <w:color w:val="auto"/>
              </w:rPr>
            </w:pPr>
            <w:r>
              <w:rPr>
                <w:rFonts w:ascii="Arial" w:cs="Arial" w:eastAsia="Arial" w:hAnsi="Arial"/>
                <w:sz w:val="18"/>
                <w:szCs w:val="18"/>
                <w:color w:val="auto"/>
              </w:rPr>
              <w:t>Impact of change in</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accounting standard, net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of tax</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(63,110)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(63,110)</w:t>
            </w:r>
          </w:p>
        </w:tc>
      </w:tr>
      <w:tr>
        <w:trPr>
          <w:trHeight w:val="22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2,442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w:t>
            </w:r>
          </w:p>
        </w:tc>
        <w:tc>
          <w:tcPr>
            <w:tcW w:w="60" w:type="dxa"/>
            <w:vAlign w:val="bottom"/>
            <w:shd w:val="clear" w:color="auto" w:fill="CFF0FC"/>
          </w:tcPr>
          <w:p>
            <w:pPr>
              <w:spacing w:after="0"/>
              <w:rPr>
                <w:sz w:val="19"/>
                <w:szCs w:val="19"/>
                <w:color w:val="auto"/>
              </w:rPr>
            </w:pPr>
          </w:p>
        </w:tc>
      </w:tr>
      <w:tr>
        <w:trPr>
          <w:trHeight w:val="206"/>
        </w:trPr>
        <w:tc>
          <w:tcPr>
            <w:tcW w:w="2040" w:type="dxa"/>
            <w:vAlign w:val="bottom"/>
            <w:gridSpan w:val="2"/>
          </w:tcPr>
          <w:p>
            <w:pPr>
              <w:spacing w:after="0"/>
              <w:rPr>
                <w:sz w:val="20"/>
                <w:szCs w:val="20"/>
                <w:color w:val="auto"/>
              </w:rPr>
            </w:pPr>
            <w:r>
              <w:rPr>
                <w:rFonts w:ascii="Arial" w:cs="Arial" w:eastAsia="Arial" w:hAnsi="Arial"/>
                <w:sz w:val="16"/>
                <w:szCs w:val="16"/>
                <w:color w:val="auto"/>
              </w:rPr>
              <w:t>At-the-market issuance of</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40" w:type="dxa"/>
            <w:vAlign w:val="bottom"/>
            <w:gridSpan w:val="2"/>
          </w:tcPr>
          <w:p>
            <w:pPr>
              <w:spacing w:after="0"/>
              <w:rPr>
                <w:sz w:val="20"/>
                <w:szCs w:val="20"/>
                <w:color w:val="auto"/>
              </w:rPr>
            </w:pPr>
            <w:r>
              <w:rPr>
                <w:rFonts w:ascii="Arial" w:cs="Arial" w:eastAsia="Arial" w:hAnsi="Arial"/>
                <w:sz w:val="16"/>
                <w:szCs w:val="16"/>
                <w:color w:val="auto"/>
              </w:rPr>
              <w:t>common stock, net of</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40" w:type="dxa"/>
            <w:vAlign w:val="bottom"/>
            <w:gridSpan w:val="2"/>
          </w:tcPr>
          <w:p>
            <w:pPr>
              <w:spacing w:after="0"/>
              <w:rPr>
                <w:sz w:val="20"/>
                <w:szCs w:val="20"/>
                <w:color w:val="auto"/>
              </w:rPr>
            </w:pPr>
            <w:r>
              <w:rPr>
                <w:rFonts w:ascii="Arial" w:cs="Arial" w:eastAsia="Arial" w:hAnsi="Arial"/>
                <w:sz w:val="16"/>
                <w:szCs w:val="16"/>
                <w:color w:val="auto"/>
              </w:rPr>
              <w:t>offering costs</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1,176,186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21,641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21,641</w:t>
            </w:r>
          </w:p>
        </w:tc>
        <w:tc>
          <w:tcPr>
            <w:tcW w:w="60" w:type="dxa"/>
            <w:vAlign w:val="bottom"/>
          </w:tcPr>
          <w:p>
            <w:pPr>
              <w:spacing w:after="0"/>
              <w:rPr>
                <w:sz w:val="18"/>
                <w:szCs w:val="18"/>
                <w:color w:val="auto"/>
              </w:rPr>
            </w:pPr>
          </w:p>
        </w:tc>
      </w:tr>
      <w:tr>
        <w:trPr>
          <w:trHeight w:val="20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discount of</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(745)</w:t>
            </w:r>
          </w:p>
        </w:tc>
      </w:tr>
      <w:tr>
        <w:trPr>
          <w:trHeight w:val="227"/>
        </w:trPr>
        <w:tc>
          <w:tcPr>
            <w:tcW w:w="2040" w:type="dxa"/>
            <w:vAlign w:val="bottom"/>
            <w:gridSpan w:val="2"/>
          </w:tcPr>
          <w:p>
            <w:pPr>
              <w:spacing w:after="0"/>
              <w:rPr>
                <w:sz w:val="20"/>
                <w:szCs w:val="20"/>
                <w:color w:val="auto"/>
              </w:rPr>
            </w:pPr>
            <w:r>
              <w:rPr>
                <w:rFonts w:ascii="Arial" w:cs="Arial" w:eastAsia="Arial" w:hAnsi="Arial"/>
                <w:sz w:val="16"/>
                <w:szCs w:val="16"/>
                <w:color w:val="auto"/>
              </w:rPr>
              <w:t>Other comprehensive loss</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(20,444)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(462)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(20,906)</w:t>
            </w:r>
          </w:p>
        </w:tc>
      </w:tr>
      <w:tr>
        <w:trPr>
          <w:trHeight w:val="20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 dividends</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declared ($0.05 per share)</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(8,022)</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(8,022)</w:t>
            </w:r>
          </w:p>
        </w:tc>
      </w:tr>
      <w:tr>
        <w:trPr>
          <w:trHeight w:val="206"/>
        </w:trPr>
        <w:tc>
          <w:tcPr>
            <w:tcW w:w="2040" w:type="dxa"/>
            <w:vAlign w:val="bottom"/>
            <w:gridSpan w:val="2"/>
          </w:tcPr>
          <w:p>
            <w:pPr>
              <w:spacing w:after="0"/>
              <w:rPr>
                <w:sz w:val="20"/>
                <w:szCs w:val="20"/>
                <w:color w:val="auto"/>
              </w:rPr>
            </w:pPr>
            <w:r>
              <w:rPr>
                <w:rFonts w:ascii="Arial" w:cs="Arial" w:eastAsia="Arial" w:hAnsi="Arial"/>
                <w:sz w:val="16"/>
                <w:szCs w:val="16"/>
                <w:color w:val="auto"/>
              </w:rPr>
              <w:t>Distributions to</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4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(207)</w:t>
            </w:r>
          </w:p>
        </w:tc>
      </w:tr>
      <w:tr>
        <w:trPr>
          <w:trHeight w:val="20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dividends</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(656)</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(656)</w:t>
            </w:r>
          </w:p>
        </w:tc>
      </w:tr>
      <w:tr>
        <w:trPr>
          <w:trHeight w:val="227"/>
        </w:trPr>
        <w:tc>
          <w:tcPr>
            <w:tcW w:w="2040" w:type="dxa"/>
            <w:vAlign w:val="bottom"/>
            <w:gridSpan w:val="2"/>
          </w:tcPr>
          <w:p>
            <w:pPr>
              <w:spacing w:after="0"/>
              <w:rPr>
                <w:sz w:val="20"/>
                <w:szCs w:val="20"/>
                <w:color w:val="auto"/>
              </w:rPr>
            </w:pPr>
            <w:r>
              <w:rPr>
                <w:rFonts w:ascii="Arial" w:cs="Arial" w:eastAsia="Arial" w:hAnsi="Arial"/>
                <w:sz w:val="16"/>
                <w:szCs w:val="16"/>
                <w:color w:val="auto"/>
              </w:rPr>
              <w:t>Net share settlement</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(1,579)</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(1,579)</w:t>
            </w:r>
          </w:p>
        </w:tc>
      </w:tr>
      <w:tr>
        <w:trPr>
          <w:trHeight w:val="232"/>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279,152</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1,888</w:t>
            </w:r>
          </w:p>
        </w:tc>
        <w:tc>
          <w:tcPr>
            <w:tcW w:w="60" w:type="dxa"/>
            <w:vAlign w:val="bottom"/>
            <w:shd w:val="clear" w:color="auto" w:fill="CFF0FC"/>
          </w:tcPr>
          <w:p>
            <w:pPr>
              <w:spacing w:after="0"/>
              <w:rPr>
                <w:sz w:val="20"/>
                <w:szCs w:val="20"/>
                <w:color w:val="auto"/>
              </w:rPr>
            </w:pPr>
          </w:p>
        </w:tc>
      </w:tr>
      <w:tr>
        <w:trPr>
          <w:trHeight w:val="206"/>
        </w:trPr>
        <w:tc>
          <w:tcPr>
            <w:tcW w:w="2040" w:type="dxa"/>
            <w:vAlign w:val="bottom"/>
            <w:gridSpan w:val="2"/>
          </w:tcPr>
          <w:p>
            <w:pPr>
              <w:spacing w:after="0"/>
              <w:rPr>
                <w:sz w:val="20"/>
                <w:szCs w:val="20"/>
                <w:color w:val="auto"/>
              </w:rPr>
            </w:pPr>
            <w:r>
              <w:rPr>
                <w:rFonts w:ascii="Arial" w:cs="Arial" w:eastAsia="Arial" w:hAnsi="Arial"/>
                <w:sz w:val="16"/>
                <w:szCs w:val="16"/>
                <w:color w:val="auto"/>
              </w:rPr>
              <w:t>Equity settled contingent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40" w:type="dxa"/>
            <w:vAlign w:val="bottom"/>
            <w:gridSpan w:val="2"/>
          </w:tcPr>
          <w:p>
            <w:pPr>
              <w:spacing w:after="0"/>
              <w:rPr>
                <w:sz w:val="20"/>
                <w:szCs w:val="20"/>
                <w:color w:val="auto"/>
              </w:rPr>
            </w:pPr>
            <w:r>
              <w:rPr>
                <w:rFonts w:ascii="Arial" w:cs="Arial" w:eastAsia="Arial" w:hAnsi="Arial"/>
                <w:sz w:val="16"/>
                <w:szCs w:val="16"/>
                <w:color w:val="auto"/>
              </w:rPr>
              <w:t>consideration</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645,385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11,178</w:t>
            </w:r>
          </w:p>
        </w:tc>
        <w:tc>
          <w:tcPr>
            <w:tcW w:w="60" w:type="dxa"/>
            <w:vAlign w:val="bottom"/>
          </w:tcPr>
          <w:p>
            <w:pPr>
              <w:spacing w:after="0"/>
              <w:rPr>
                <w:sz w:val="18"/>
                <w:szCs w:val="18"/>
                <w:color w:val="auto"/>
              </w:rPr>
            </w:pPr>
          </w:p>
        </w:tc>
      </w:tr>
      <w:tr>
        <w:trPr>
          <w:trHeight w:val="20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Issuance of common stock -</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employee stock purchase</w:t>
            </w: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w:t>
            </w:r>
          </w:p>
        </w:tc>
        <w:tc>
          <w:tcPr>
            <w:tcW w:w="5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33,800</w:t>
            </w:r>
          </w:p>
        </w:tc>
        <w:tc>
          <w:tcPr>
            <w:tcW w:w="16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60" w:type="dxa"/>
            <w:vAlign w:val="bottom"/>
            <w:shd w:val="clear" w:color="auto" w:fill="CFF0FC"/>
          </w:tcPr>
          <w:p>
            <w:pPr>
              <w:spacing w:after="0"/>
              <w:rPr>
                <w:sz w:val="18"/>
                <w:szCs w:val="18"/>
                <w:color w:val="auto"/>
              </w:rPr>
            </w:pPr>
          </w:p>
        </w:tc>
      </w:tr>
      <w:tr>
        <w:trPr>
          <w:trHeight w:val="223"/>
        </w:trPr>
        <w:tc>
          <w:tcPr>
            <w:tcW w:w="2040" w:type="dxa"/>
            <w:vAlign w:val="bottom"/>
            <w:gridSpan w:val="2"/>
          </w:tcPr>
          <w:p>
            <w:pPr>
              <w:spacing w:after="0"/>
              <w:rPr>
                <w:sz w:val="20"/>
                <w:szCs w:val="20"/>
                <w:color w:val="auto"/>
              </w:rPr>
            </w:pPr>
            <w:r>
              <w:rPr>
                <w:rFonts w:ascii="Arial" w:cs="Arial" w:eastAsia="Arial" w:hAnsi="Arial"/>
                <w:sz w:val="16"/>
                <w:szCs w:val="16"/>
                <w:color w:val="auto"/>
              </w:rPr>
              <w:t>Balance at March 31, 2019</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182,670,494</w:t>
            </w: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$ 790,347</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9,661</w:t>
            </w:r>
          </w:p>
        </w:tc>
        <w:tc>
          <w:tcPr>
            <w:tcW w:w="12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w w:val="94"/>
              </w:rPr>
              <w:t>$ (2,442,564 )</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91,756</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 (1,550,782 )</w:t>
            </w: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8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6"/>
              </w:rPr>
              <w:t>192,141,634</w:t>
            </w:r>
          </w:p>
        </w:tc>
        <w:tc>
          <w:tcPr>
            <w:tcW w:w="4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$ 951,295</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(23,442)</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w w:val="98"/>
              </w:rPr>
              <w:t>$ (2,494,740)</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83,704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0"/>
              </w:rPr>
              <w:t>$ (1,483,164)</w:t>
            </w:r>
          </w:p>
        </w:tc>
      </w:tr>
      <w:tr>
        <w:trPr>
          <w:trHeight w:val="227"/>
        </w:trPr>
        <w:tc>
          <w:tcPr>
            <w:tcW w:w="20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(78,853)</w:t>
            </w: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(1,413)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(80,266)</w:t>
            </w:r>
          </w:p>
        </w:tc>
      </w:tr>
      <w:tr>
        <w:trPr>
          <w:trHeight w:val="233"/>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(5,275)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(95)</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(5,370)</w:t>
            </w:r>
          </w:p>
        </w:tc>
      </w:tr>
      <w:tr>
        <w:trPr>
          <w:trHeight w:val="206"/>
        </w:trPr>
        <w:tc>
          <w:tcPr>
            <w:tcW w:w="2040" w:type="dxa"/>
            <w:vAlign w:val="bottom"/>
            <w:gridSpan w:val="2"/>
          </w:tcPr>
          <w:p>
            <w:pPr>
              <w:spacing w:after="0"/>
              <w:rPr>
                <w:sz w:val="20"/>
                <w:szCs w:val="20"/>
                <w:color w:val="auto"/>
              </w:rPr>
            </w:pPr>
            <w:r>
              <w:rPr>
                <w:rFonts w:ascii="Arial" w:cs="Arial" w:eastAsia="Arial" w:hAnsi="Arial"/>
                <w:sz w:val="16"/>
                <w:szCs w:val="16"/>
                <w:color w:val="auto"/>
              </w:rPr>
              <w:t>Common stock dividends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40" w:type="dxa"/>
            <w:vAlign w:val="bottom"/>
            <w:gridSpan w:val="2"/>
          </w:tcPr>
          <w:p>
            <w:pPr>
              <w:spacing w:after="0"/>
              <w:rPr>
                <w:sz w:val="20"/>
                <w:szCs w:val="20"/>
                <w:color w:val="auto"/>
              </w:rPr>
            </w:pPr>
            <w:r>
              <w:rPr>
                <w:rFonts w:ascii="Arial" w:cs="Arial" w:eastAsia="Arial" w:hAnsi="Arial"/>
                <w:sz w:val="16"/>
                <w:szCs w:val="16"/>
                <w:color w:val="auto"/>
              </w:rPr>
              <w:t>declared ($0.15 per share)</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(29,184)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(29,184)</w:t>
            </w:r>
          </w:p>
        </w:tc>
      </w:tr>
      <w:tr>
        <w:trPr>
          <w:trHeight w:val="20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noncontrolling interest</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(520)</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(520)</w:t>
            </w:r>
          </w:p>
        </w:tc>
      </w:tr>
      <w:tr>
        <w:trPr>
          <w:trHeight w:val="206"/>
        </w:trPr>
        <w:tc>
          <w:tcPr>
            <w:tcW w:w="2040" w:type="dxa"/>
            <w:vAlign w:val="bottom"/>
            <w:gridSpan w:val="2"/>
          </w:tcPr>
          <w:p>
            <w:pPr>
              <w:spacing w:after="0"/>
              <w:rPr>
                <w:sz w:val="20"/>
                <w:szCs w:val="20"/>
                <w:color w:val="auto"/>
              </w:rPr>
            </w:pPr>
            <w:r>
              <w:rPr>
                <w:rFonts w:ascii="Arial" w:cs="Arial" w:eastAsia="Arial" w:hAnsi="Arial"/>
                <w:sz w:val="16"/>
                <w:szCs w:val="16"/>
                <w:color w:val="auto"/>
              </w:rPr>
              <w:t>Cumulative non-voting</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4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60" w:type="dxa"/>
            <w:vAlign w:val="bottom"/>
          </w:tcPr>
          <w:p>
            <w:pPr>
              <w:spacing w:after="0"/>
              <w:rPr>
                <w:sz w:val="18"/>
                <w:szCs w:val="18"/>
                <w:color w:val="auto"/>
              </w:rPr>
            </w:pPr>
          </w:p>
        </w:tc>
      </w:tr>
      <w:tr>
        <w:trPr>
          <w:trHeight w:val="233"/>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(373)</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(373)</w:t>
            </w:r>
          </w:p>
        </w:tc>
      </w:tr>
      <w:tr>
        <w:trPr>
          <w:trHeight w:val="226"/>
        </w:trPr>
        <w:tc>
          <w:tcPr>
            <w:tcW w:w="204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95,609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2,995</w:t>
            </w:r>
          </w:p>
        </w:tc>
        <w:tc>
          <w:tcPr>
            <w:tcW w:w="60" w:type="dxa"/>
            <w:vAlign w:val="bottom"/>
          </w:tcPr>
          <w:p>
            <w:pPr>
              <w:spacing w:after="0"/>
              <w:rPr>
                <w:sz w:val="19"/>
                <w:szCs w:val="19"/>
                <w:color w:val="auto"/>
              </w:rPr>
            </w:pPr>
          </w:p>
        </w:tc>
      </w:tr>
      <w:tr>
        <w:trPr>
          <w:trHeight w:val="20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Issuance of common stock -</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employee stock purchase</w:t>
            </w: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w:t>
            </w:r>
          </w:p>
        </w:tc>
        <w:tc>
          <w:tcPr>
            <w:tcW w:w="5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43,849</w:t>
            </w:r>
          </w:p>
        </w:tc>
        <w:tc>
          <w:tcPr>
            <w:tcW w:w="16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60" w:type="dxa"/>
            <w:vAlign w:val="bottom"/>
            <w:shd w:val="clear" w:color="auto" w:fill="CFF0FC"/>
          </w:tcPr>
          <w:p>
            <w:pPr>
              <w:spacing w:after="0"/>
              <w:rPr>
                <w:sz w:val="18"/>
                <w:szCs w:val="18"/>
                <w:color w:val="auto"/>
              </w:rPr>
            </w:pPr>
          </w:p>
        </w:tc>
      </w:tr>
      <w:tr>
        <w:trPr>
          <w:trHeight w:val="223"/>
        </w:trPr>
        <w:tc>
          <w:tcPr>
            <w:tcW w:w="2040" w:type="dxa"/>
            <w:vAlign w:val="bottom"/>
            <w:gridSpan w:val="2"/>
          </w:tcPr>
          <w:p>
            <w:pPr>
              <w:spacing w:after="0"/>
              <w:rPr>
                <w:sz w:val="20"/>
                <w:szCs w:val="20"/>
                <w:color w:val="auto"/>
              </w:rPr>
            </w:pPr>
            <w:r>
              <w:rPr>
                <w:rFonts w:ascii="Arial" w:cs="Arial" w:eastAsia="Arial" w:hAnsi="Arial"/>
                <w:sz w:val="16"/>
                <w:szCs w:val="16"/>
                <w:color w:val="auto"/>
              </w:rPr>
              <w:t>Balance at March 31, 2020</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192,281,092</w:t>
            </w: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$ 954,223</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(28,717)</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w w:val="94"/>
              </w:rPr>
              <w:t>$ (2,602,777 )</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81,676</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 (1,595,451 )</w:t>
            </w: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434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(80,266)</w:t>
            </w: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86,121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debt discount</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Write off of deferred financing costs and debt discount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73,952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rate swap termination</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on derivative instruments</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Straight-line revenues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on asset disposal</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(8,083)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Other capital expenditures</w:t>
            </w:r>
          </w:p>
        </w:tc>
        <w:tc>
          <w:tcPr>
            <w:tcW w:w="4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(75,093)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(79,458)</w:t>
            </w:r>
          </w:p>
        </w:tc>
        <w:tc>
          <w:tcPr>
            <w:tcW w:w="0" w:type="dxa"/>
            <w:vAlign w:val="bottom"/>
          </w:tcPr>
          <w:p>
            <w:pPr>
              <w:spacing w:after="0"/>
              <w:rPr>
                <w:sz w:val="1"/>
                <w:szCs w:val="1"/>
                <w:color w:val="auto"/>
              </w:rPr>
            </w:pPr>
          </w:p>
        </w:tc>
      </w:tr>
      <w:tr>
        <w:trPr>
          <w:trHeight w:val="223"/>
        </w:trPr>
        <w:tc>
          <w:tcPr>
            <w:tcW w:w="7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(75,093)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Repayment of Senior Secured Term Loan B</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(2,044,728)</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Principal payments on debt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(42,519)</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(110,348)</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Payments of contingent consideration</w:t>
            </w:r>
          </w:p>
        </w:tc>
        <w:tc>
          <w:tcPr>
            <w:tcW w:w="4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(7,086)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(762)</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(196,700)</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Capital lease payments</w:t>
            </w:r>
          </w:p>
        </w:tc>
        <w:tc>
          <w:tcPr>
            <w:tcW w:w="4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Payments for financing costs</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(47,775)</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(36,191)</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Common stock issuance, net of costs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Employee stock purchase program</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share settlement</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 held for sale</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23"/>
        </w:trPr>
        <w:tc>
          <w:tcPr>
            <w:tcW w:w="73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109,329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Property and equipment acquired but not yet paid</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60"/>
              <w:spacing w:after="0"/>
              <w:rPr>
                <w:sz w:val="20"/>
                <w:szCs w:val="20"/>
                <w:color w:val="auto"/>
              </w:rPr>
            </w:pPr>
            <w:r>
              <w:rPr>
                <w:rFonts w:ascii="Arial" w:cs="Arial" w:eastAsia="Arial" w:hAnsi="Arial"/>
                <w:sz w:val="18"/>
                <w:szCs w:val="18"/>
                <w:color w:val="auto"/>
              </w:rPr>
              <w:t>Tenant capital improvements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36,444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Settlement of contingent consideration through non-cash consideration</w:t>
            </w: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5"/>
          </w:tcPr>
          <w:p>
            <w:pPr>
              <w:ind w:left="2080"/>
              <w:spacing w:after="0"/>
              <w:rPr>
                <w:sz w:val="20"/>
                <w:szCs w:val="20"/>
                <w:color w:val="auto"/>
              </w:rPr>
            </w:pPr>
            <w:r>
              <w:rPr>
                <w:rFonts w:ascii="Arial" w:cs="Arial" w:eastAsia="Arial" w:hAnsi="Arial"/>
                <w:sz w:val="18"/>
                <w:szCs w:val="18"/>
                <w:color w:val="auto"/>
                <w:w w:val="90"/>
              </w:rPr>
              <w:t>The accompanying notes are an integral part of these condensed consolidated financial statements.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Uniti Group Inc. (the “Company,” “Uniti,” “we,” “us,” or “our”) was incorporated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March 31, 2020, we are the sole general partner of the Operating Partnership and own approximately 98.2% of the partnership interests in the Operating Partnership.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 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2019 (“Annual Report”), filed with the SEC on March 12, 2020. Accordingly, significant accounting policies and other disclosures normally provided have been omitted from the accompanying Condensed Consolidated Financial Statements and related notes since such items are disclosed in our Annual Report.</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u w:val="single" w:color="auto"/>
          <w:color w:val="auto"/>
        </w:rPr>
        <w:t>Going Concern</w:t>
      </w:r>
      <w:r>
        <w:rPr>
          <w:rFonts w:ascii="Arial" w:cs="Arial" w:eastAsia="Arial" w:hAnsi="Arial"/>
          <w:sz w:val="21"/>
          <w:szCs w:val="21"/>
          <w:color w:val="auto"/>
        </w:rPr>
        <w:t>—</w:t>
      </w:r>
      <w:r>
        <w:rPr>
          <w:rFonts w:ascii="Arial" w:cs="Arial" w:eastAsia="Arial" w:hAnsi="Arial"/>
          <w:sz w:val="18"/>
          <w:szCs w:val="18"/>
          <w:color w:val="auto"/>
        </w:rPr>
        <w:t xml:space="preserve">In accordance with Accounting Standards Update ("ASU") 2014-15, </w:t>
      </w:r>
      <w:r>
        <w:rPr>
          <w:rFonts w:ascii="Arial" w:cs="Arial" w:eastAsia="Arial" w:hAnsi="Arial"/>
          <w:sz w:val="18"/>
          <w:szCs w:val="18"/>
          <w:i w:val="1"/>
          <w:iCs w:val="1"/>
          <w:color w:val="auto"/>
        </w:rPr>
        <w:t>Disclosure of Uncertainties about an Entity's Ability to Continue as</w:t>
      </w:r>
      <w:r>
        <w:rPr>
          <w:rFonts w:ascii="Arial" w:cs="Arial" w:eastAsia="Arial" w:hAnsi="Arial"/>
          <w:sz w:val="18"/>
          <w:szCs w:val="18"/>
          <w:color w:val="auto"/>
        </w:rPr>
        <w:t xml:space="preserve"> </w:t>
      </w:r>
      <w:r>
        <w:rPr>
          <w:rFonts w:ascii="Arial" w:cs="Arial" w:eastAsia="Arial" w:hAnsi="Arial"/>
          <w:sz w:val="18"/>
          <w:szCs w:val="18"/>
          <w:i w:val="1"/>
          <w:iCs w:val="1"/>
          <w:color w:val="auto"/>
        </w:rPr>
        <w:t>a Going Concern (Subtopic 205-40)</w:t>
      </w:r>
      <w:r>
        <w:rPr>
          <w:rFonts w:ascii="Arial" w:cs="Arial" w:eastAsia="Arial" w:hAnsi="Arial"/>
          <w:sz w:val="18"/>
          <w:szCs w:val="18"/>
          <w:color w:val="auto"/>
        </w:rPr>
        <w:t>, the Company’s management has evaluated whether there are conditions and events, considered in the aggregate,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raise substantial doubt about the Company’s ability to continue as a going concern within one year after the date the accompanying Condensed Consolidated Financial Statements are issued.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party to a master lease agreement (the “Master Lease”) with Windstream Holdings, Inc. (“Windstream Holdings” and together with its consolidated subsidiaries “Windstream”), from which 65.0% of our revenue for the year ended December 31, 2019 was derived. In recent years, Windstream has experienced annual declines in its total revenue, sales and cash flow, and has had its credit ratings downgraded by nationally recognized credit rating agencies multiple times.</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Prior to its bankruptcy filing described below, 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a “debtor in possession” under supervision of the Bankruptcy Court.</w:t>
      </w:r>
    </w:p>
    <w:p>
      <w:pPr>
        <w:spacing w:after="0" w:line="19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bankruptcy, Windstream has the option to assume or reject the Master Lease. Because the Master Lease is a single indivisible Master Lease with a single rent payment, it must be assumed or rejected in whole and cannot be sub-divided by facility or market absent Uniti’s consent.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Windstream would require approval from the Public Utility Commissions (“PUC”) and the Federal Communications Commission (“FCC”) to cease providing service in those markets. As a result, we believe the probability of Windstream rejecting the Master Lease in bankruptcy to be remote. Windstream has filed claims against us alleging,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which could affect our status as a REIT; that the Master Lease is a lease of personal property; and that rent payments and tenant capital improvements made by Windstream under the Master Lease since at least the third quarter of 2017 constitute constructive fraudulent transfers. A rejection of the Master Lease, an adverse determination by a judge on Windstream’s claims against us,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debt covenants and maintain our status as a REIT. We participated in mediation of these claims in Windstream’s bankruptcy. On March 2, 2020, Uniti and Windstream jointly announced that they have reached an agreement in principle (the “Settlement”) to resolve any and all claims and causes of action that have been or may be asserted against Uniti by Windstream, including all litigation brought by Windstream and certain of its creditors in the context of Windstream’s Bankruptcy. On May 8, 2020, the U.S. Bankruptcy Court for the Southern District of New York approved the Settlement. </w:t>
      </w:r>
      <w:r>
        <w:rPr>
          <w:rFonts w:ascii="Arial" w:cs="Arial" w:eastAsia="Arial" w:hAnsi="Arial"/>
          <w:sz w:val="16"/>
          <w:szCs w:val="16"/>
          <w:u w:val="single" w:color="auto"/>
          <w:color w:val="auto"/>
        </w:rPr>
        <w:t>See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-44450</wp:posOffset>
            </wp:positionV>
            <wp:extent cx="5867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considered the mitigating effects of management’s plans to alleviate the substantial doubt about the ability to continue as a going concern in the event there is a disruption in the payments due to us under the Master Lease prior to Windstream’s assumption or rejection of the lease, or in the event the Settlement is not effectuated, and Windstream rejects the lease or if there is any adverse determinations in respect of Windstream’s claims. Those plans include deferring, reducing or delaying cash dividends and capital expenditures, if necessary, paying one or more dividends that are required to maintain our REIT status in shares to the extent allowed under the IRS REIT rules, curtailing acquisition activities, accessing the capital markets and identifying alternative sources of liquidity. Based on our analysis, including consideration of the assurances Windstream has made with respect to the payment of rent, we believe that we have adequate liquidity to continue to fund our operations for twelve months after the issuance of the accompanying Condensed Consolidated Financial Statements absent any adverse determination in respect to Windstream’s claims or disruptions in rent payments under the Master Lease.</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Although management has concluded the probability of a rejection of the Master Lease to be remote (were the Settlement not implemented), and has noted the absence of any provision in the Master Lease that compels renegotiation of the lease and the lack of any ability of the bankruptcy court to unilaterally reset the rent or terms of the lease, it is difficult to predict what could occur in Windstream’s bankruptcy restructuring, including any judicial decisions in respect of claims against us by Windstream or its creditors. In addition, our Credit Agreement prohibits the Company from amending the Master Lease in a manner that, among other provisions, pro forma for any such amendment, would result in a consolidated secured leverage ratio that exceeds 5.0 to 1.0. Furthermore, management has no intention amending the Master Lease in a manner that would violate our debt covenants.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connection with the Settlement, among other provisions, Windstream and Uniti have agreed to bifurcate the Master Lease into two structurally similar agreements to govern Windstream’s incumbent local exchange carrier (“ILEC”) and competitive local exchange carrier (“CLEC”) facilities, respectively (collectively, the “New Leases”). Parties to the New Leases include Windstream Holdings, Inc., Windstream Services, LLC, and its other relevant subsidiaries. The New Leases will be cross-guaranteed and cross-defaulted unless Windstream ceases to be the tenant, and the initial aggregate annual rent under the New Leases will be equal to the annual rent under the Master Lease currently in effect.</w:t>
      </w:r>
    </w:p>
    <w:p>
      <w:pPr>
        <w:spacing w:after="0" w:line="17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Settlement is subject to finalizing and executing definitive documentation, the receipt of certain regulatory approvals and other conditions precedent, including Uniti’s receipt of satisfactory “true lease” opinions confirming that the New Leaeses are “true leases” for U.S. federal income tax</w:t>
      </w:r>
    </w:p>
    <w:p>
      <w:pPr>
        <w:ind w:right="280"/>
        <w:spacing w:after="0" w:line="323" w:lineRule="auto"/>
        <w:rPr>
          <w:sz w:val="20"/>
          <w:szCs w:val="20"/>
          <w:color w:val="auto"/>
        </w:rPr>
      </w:pPr>
      <w:r>
        <w:rPr>
          <w:rFonts w:ascii="Arial" w:cs="Arial" w:eastAsia="Arial" w:hAnsi="Arial"/>
          <w:sz w:val="16"/>
          <w:szCs w:val="16"/>
          <w:color w:val="auto"/>
        </w:rPr>
        <w:t>purposes. Following satisfaction of all such conditions precedent, consummation of the Settlement will occur on the earlier of Windstream’s emergence from bankruptcy and February 28, 2021. All litigation between Windstream and Uniti is stayed while the parties implement the Settlement.</w:t>
      </w:r>
    </w:p>
    <w:p>
      <w:pPr>
        <w:spacing w:after="0" w:line="13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has evaluated its ability to continue as a going concern in light of the Settlement, including the impact of the New Leases on our compliance with our debt covenants, noting that our Credit Agreement would prohibit us from entering into the New Leases that on a pro forma basis, would result in a consolidated secured leverage that exceeds 5.0 to 1.0. Furthermore, management has no intention to structure the New Leases in a manner that would violate our debt covenants. However, there can be no certainty as to the satisfaction of the conditions precedent in the Settlement, the outcome of judicial decisions should litigation resume, and Windstream’s decision to assume or reject the Master Lease should the Settlement not become effective. Therefore, substantial doubt exists about our ability to continue as a going concern within one year after the issuance of the financial statements.</w:t>
      </w:r>
    </w:p>
    <w:p>
      <w:pPr>
        <w:spacing w:after="0" w:line="1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satisfaction of liabilities in the ordinary course of business. The accompanying Condensed Consolidated Financial Statements do not include any adjustments that might be necessary if the Company is unable to continue as a going concern.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rPr>
        <w:t xml:space="preserve">—In December 2019, an outbreak of a new strain of coronavirus (“COVID-19”) began in Wuhan, Hubei Province, China. In March 2020, the World Health Organization declared COVID-19 a pandemic. The COVID-19 pandemic has negatively impacted the global economy, disrupted global supply chains and created significant volatility and disruption of financial markets.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we have considered events or circumstances resulting from the COVID-19 pandemic that may indicate whether it is more likely than not that the fair value of reporting unit is less than its carrying value. After consideration of such events or circumstances, including evaluating potential impacts on our judgements and estimates regarding our projected cash flows used in the determination of the estimated fair value of our Fiber reporting unit, we have determined that it is not more likely than not that the fair value of reporting unit is less than its carrying value; therefore, we have not performed an interim impairment analysis during the quarter. We continue to monitor the developments associated with the COVID-19 pandemic and its related impact on our business and, if we determine that the COVID-19 pandemic is negatively impacting our business, we may conclude that an interim impairment analysis is required in a future period.</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first priority remains the health and safety of our employees, customers and other business partners. We have been actively monitoring and following government recommendations as we adjust business practices and standard operating procedures to ensure the protection of team members and ensure the continuity of our business. As of the date of this Quarterly Report on Form 10-Q, we have not experienced significant disruptions in our operations or network performance, incurred significant delays in our permitting process that would impact our timing of service installations, had disruptions or cost increases in our supply chain, or received significant requests for payment relief from our customers as a result of the COVID-19 pandemic. Furthermore, as of the date of this Quarterly Report on Form 10-Q, we have not observed declines in the valuation of relevant acquisitions, which would impact the estimated fair value of our Fiber reporting unit under the market approach, as we use market data of comparable business and acquisition valuations of recent transactions to estimate fair value. As a result, we concluded that no triggering events were present and have not performed an interim impairment analysis during the quarter. We have implemented policies and procedures designed to mitigate the risk of adverse impacts of the COVID-19 pandemic, or a future pandemic, on our operations, but we may incur additional costs to ensure continuity of business operations caused by COVID-19, or other future pandemics, which could adversely affect our financial condition and results of operations. However, the extent of such impacts will depend on future developments, which are highly uncertain and cannot be predicted, including new information which may emerge concerning the severity of COVID-19 and actions taken to contain COVID-19 or its impact, among others. Given the ongoing and dynamic nature of the circumstances, it is difficult to predict the impact of COVID-19 on us, and there is no guarantee that efforts by us, designed to address adverse impacts of COVID-19, will be effective and those adverse impacts may be material to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u w:val="single" w:color="auto"/>
          <w:color w:val="auto"/>
        </w:rPr>
        <w:t>Concentration of Credit Risks</w:t>
      </w:r>
      <w:r>
        <w:rPr>
          <w:rFonts w:ascii="Arial" w:cs="Arial" w:eastAsia="Arial" w:hAnsi="Arial"/>
          <w:sz w:val="17"/>
          <w:szCs w:val="17"/>
          <w:color w:val="auto"/>
        </w:rPr>
        <w:t>—Revenue under the Master Lease provided 65.1% and 65.5% of our revenue for the three months ended March 31, 2020 and 2019, respectively.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succeed in its claims against us or otherwise experiences operating or liquidity difficulties and becomes unable to generate sufficient cash to make payments to us.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Windstream filings can be found at www.sec.gov. Windstream filings are not incorporated by reference in this Quarterly Report on Form 10-Q.</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highlight w:val="white"/>
        </w:rPr>
        <w:t>—Certain prior year asset categories and related amounts in Note 4 have been reclassified to conform with current year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On June 16,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amends the accounting for credit losses affecting loans, debt securities, trade receivables, net investments in leases,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other financial asset not excluded from the scope that have the contractual right to receive cash. ASU 2016-13 is effect for the interim and annual reporting periods beginning after December 15, 2019. We adopted ASU 2016-13 effective January 1, 2020, and there was no material impact on our financial statements and related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description of principal activities, separated by reportable segments (</w:t>
      </w:r>
      <w:r>
        <w:rPr>
          <w:rFonts w:ascii="Arial" w:cs="Arial" w:eastAsia="Arial" w:hAnsi="Arial"/>
          <w:sz w:val="16"/>
          <w:szCs w:val="16"/>
          <w:u w:val="single" w:color="auto"/>
          <w:color w:val="0000EE"/>
        </w:rPr>
        <w:t>see Note 12</w:t>
      </w:r>
      <w:r>
        <w:rPr>
          <w:rFonts w:ascii="Arial" w:cs="Arial" w:eastAsia="Arial" w:hAnsi="Arial"/>
          <w:sz w:val="16"/>
          <w:szCs w:val="16"/>
          <w:color w:val="auto"/>
        </w:rPr>
        <w:t>), from which the Company generates its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right="8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Leasing revenue represents the results from our leasing business, Uniti Leasing, which is engaged in the acquisition of mission-critical communications assets and leasing them back to anchor customers on either an exclusive or shared-tenant basis. Due to the nature of these activities, they are outside the scope of the guidance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(“Topic 606”), and are recognized under other applicable guidance, including ASC 842. </w:t>
      </w:r>
      <w:hyperlink w:anchor="page16">
        <w:r>
          <w:rPr>
            <w:rFonts w:ascii="Arial" w:cs="Arial" w:eastAsia="Arial" w:hAnsi="Arial"/>
            <w:sz w:val="18"/>
            <w:szCs w:val="18"/>
            <w:u w:val="single" w:color="auto"/>
            <w:color w:val="auto"/>
          </w:rPr>
          <w:t>See Note 4</w:t>
        </w:r>
      </w:hyperlink>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46" w:lineRule="exact"/>
        <w:rPr>
          <w:sz w:val="20"/>
          <w:szCs w:val="20"/>
          <w:color w:val="auto"/>
        </w:rPr>
      </w:pPr>
    </w:p>
    <w:p>
      <w:pPr>
        <w:ind w:left="1120" w:hanging="748"/>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20" w:right="20" w:hanging="748"/>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20" w:right="160" w:hanging="748"/>
        <w:spacing w:after="0" w:line="263"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1120" w:right="100"/>
        <w:spacing w:after="0" w:line="308" w:lineRule="auto"/>
        <w:rPr>
          <w:sz w:val="20"/>
          <w:szCs w:val="20"/>
          <w:color w:val="auto"/>
        </w:rPr>
      </w:pPr>
      <w:r>
        <w:rPr>
          <w:rFonts w:ascii="Arial" w:cs="Arial" w:eastAsia="Arial" w:hAnsi="Arial"/>
          <w:sz w:val="17"/>
          <w:szCs w:val="17"/>
          <w:color w:val="auto"/>
        </w:rPr>
        <w:t>services and are considered distinct performance obligations under Topic 606. Dark fiber and associated maintenance services constitute a lease, and as such, they are outside the scope of Topic 606 and are governed by other applicable guidance.</w:t>
      </w:r>
    </w:p>
    <w:p>
      <w:pPr>
        <w:spacing w:after="0" w:line="146" w:lineRule="exact"/>
        <w:rPr>
          <w:sz w:val="20"/>
          <w:szCs w:val="20"/>
          <w:color w:val="auto"/>
        </w:rPr>
      </w:pPr>
    </w:p>
    <w:p>
      <w:pPr>
        <w:ind w:left="1120" w:right="20" w:hanging="748"/>
        <w:spacing w:after="0" w:line="301"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57" w:lineRule="exact"/>
        <w:rPr>
          <w:rFonts w:ascii="Arial" w:cs="Arial" w:eastAsia="Arial" w:hAnsi="Arial"/>
          <w:sz w:val="16"/>
          <w:szCs w:val="16"/>
          <w:color w:val="auto"/>
        </w:rPr>
      </w:pPr>
    </w:p>
    <w:p>
      <w:pPr>
        <w:ind w:left="1120" w:right="40" w:hanging="748"/>
        <w:spacing w:after="0" w:line="259"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under ASC 842 and are outside the scope of Topic 606. When (a) a customer makes an advance payment or (b)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86" w:lineRule="exact"/>
        <w:rPr>
          <w:rFonts w:ascii="Arial" w:cs="Arial" w:eastAsia="Arial" w:hAnsi="Arial"/>
          <w:sz w:val="18"/>
          <w:szCs w:val="18"/>
          <w:color w:val="auto"/>
        </w:rPr>
      </w:pPr>
    </w:p>
    <w:p>
      <w:pPr>
        <w:ind w:left="1120" w:hanging="748"/>
        <w:spacing w:after="0" w:line="283" w:lineRule="auto"/>
        <w:tabs>
          <w:tab w:leader="none" w:pos="1120"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Towers segment represents the operations of our towers business, Uniti Towers, through which we acquire and construct tower and tower-related real estate, which we then lease to our customers in the United States. Revenue from our towers business qualifies as a lease under ASC 842 and is outside the scope of Topic 606.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8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Revenue from contracts with customers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380"/>
              <w:spacing w:after="0"/>
              <w:rPr>
                <w:sz w:val="20"/>
                <w:szCs w:val="20"/>
                <w:color w:val="auto"/>
              </w:rPr>
            </w:pPr>
            <w:r>
              <w:rPr>
                <w:rFonts w:ascii="Arial" w:cs="Arial" w:eastAsia="Arial" w:hAnsi="Arial"/>
                <w:sz w:val="18"/>
                <w:szCs w:val="18"/>
                <w:color w:val="auto"/>
              </w:rPr>
              <w:t>Lit backhaul</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28,192</w:t>
            </w:r>
          </w:p>
        </w:tc>
        <w:tc>
          <w:tcPr>
            <w:tcW w:w="3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32,205</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19,258</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16,729</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38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20,937</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21,995</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ind w:left="140"/>
              <w:spacing w:after="0"/>
              <w:rPr>
                <w:sz w:val="20"/>
                <w:szCs w:val="20"/>
                <w:color w:val="auto"/>
              </w:rPr>
            </w:pPr>
            <w:r>
              <w:rPr>
                <w:rFonts w:ascii="Arial" w:cs="Arial" w:eastAsia="Arial" w:hAnsi="Arial"/>
                <w:sz w:val="18"/>
                <w:szCs w:val="18"/>
                <w:color w:val="auto"/>
              </w:rPr>
              <w:t>Fiber Infrastructure</w:t>
            </w:r>
          </w:p>
        </w:tc>
        <w:tc>
          <w:tcPr>
            <w:tcW w:w="2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68,935</w:t>
            </w:r>
          </w:p>
        </w:tc>
        <w:tc>
          <w:tcPr>
            <w:tcW w:w="3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71,938</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69,618</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74,973</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196,544</w:t>
            </w:r>
          </w:p>
        </w:tc>
        <w:tc>
          <w:tcPr>
            <w:tcW w:w="3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186,058</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266,162</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261,031</w:t>
            </w:r>
          </w:p>
        </w:tc>
        <w:tc>
          <w:tcPr>
            <w:tcW w:w="12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2020, and December 31, 2019, lease receivables were $22.7 million and $28.8 million, respectively, and receivables from contracts with customers were $51.8 million and $48.6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months ended March 31, 2020, we recognized revenues of $1.4 million, which was included in the December 31, 2019 contract liabilities balance.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 Liabilities</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11,535</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14,396</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March 31, 2020, our future revenues (i.e., transaction price related to remaining performance obligations) under contract accounted for under Topic 606 totaled $541.2 million, of which $446.3 million is related to contracts that are currently being invoiced and have an average remaining contract term of 2.0 years, while $94.9 million represents our backlog for sales bookings which have yet to be installed and have an average remaining contract term of 6.8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exclude from the transaction price any amounts collected from customers for sales taxes and therefore, such amounts are not included in revenue.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lease communications towers, ground, communications equipment, and dark fiber to tenants under operating leases. Our leases have initial lease terms ranging from five to 35 years, most of which includes options to extend or renew the leases for five to 80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months ended March 31, 2020 and 2019, respectively,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9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2019</w:t>
            </w:r>
          </w:p>
        </w:tc>
      </w:tr>
      <w:tr>
        <w:trPr>
          <w:trHeight w:val="223"/>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196,544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186,058</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Lease payments to be received under non-cancellable operating leases where we are the lessor for the remainder of the lease terms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4"/>
                <w:szCs w:val="14"/>
                <w:color w:val="auto"/>
              </w:rPr>
            </w:pPr>
          </w:p>
        </w:tc>
        <w:tc>
          <w:tcPr>
            <w:tcW w:w="2200" w:type="dxa"/>
            <w:vAlign w:val="bottom"/>
            <w:gridSpan w:val="2"/>
          </w:tcPr>
          <w:p>
            <w:pPr>
              <w:ind w:left="280"/>
              <w:spacing w:after="0"/>
              <w:rPr>
                <w:sz w:val="20"/>
                <w:szCs w:val="20"/>
                <w:color w:val="auto"/>
              </w:rPr>
            </w:pPr>
            <w:r>
              <w:rPr>
                <w:rFonts w:ascii="Arial" w:cs="Arial" w:eastAsia="Arial" w:hAnsi="Arial"/>
                <w:sz w:val="14"/>
                <w:szCs w:val="14"/>
                <w:b w:val="1"/>
                <w:bCs w:val="1"/>
                <w:color w:val="auto"/>
              </w:rPr>
              <w:t xml:space="preserve">March 31, 2020 </w:t>
            </w:r>
            <w:r>
              <w:rPr>
                <w:rFonts w:ascii="Arial" w:cs="Arial" w:eastAsia="Arial" w:hAnsi="Arial"/>
                <w:sz w:val="12"/>
                <w:szCs w:val="12"/>
                <w:b w:val="1"/>
                <w:bCs w:val="1"/>
                <w:color w:val="auto"/>
              </w:rPr>
              <w:t>(1)</w:t>
            </w:r>
          </w:p>
        </w:tc>
      </w:tr>
      <w:tr>
        <w:trPr>
          <w:trHeight w:val="223"/>
        </w:trPr>
        <w:tc>
          <w:tcPr>
            <w:tcW w:w="8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730,220</w:t>
            </w:r>
          </w:p>
        </w:tc>
        <w:tc>
          <w:tcPr>
            <w:tcW w:w="12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733,125</w:t>
            </w:r>
          </w:p>
        </w:tc>
        <w:tc>
          <w:tcPr>
            <w:tcW w:w="120" w:type="dxa"/>
            <w:vAlign w:val="bottom"/>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736,246</w:t>
            </w:r>
          </w:p>
        </w:tc>
        <w:tc>
          <w:tcPr>
            <w:tcW w:w="12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739,402</w:t>
            </w:r>
          </w:p>
        </w:tc>
        <w:tc>
          <w:tcPr>
            <w:tcW w:w="120" w:type="dxa"/>
            <w:vAlign w:val="bottom"/>
            <w:shd w:val="clear" w:color="auto" w:fill="CFF0FC"/>
          </w:tcPr>
          <w:p>
            <w:pPr>
              <w:spacing w:after="0"/>
              <w:rPr>
                <w:sz w:val="19"/>
                <w:szCs w:val="19"/>
                <w:color w:val="auto"/>
              </w:rPr>
            </w:pPr>
          </w:p>
        </w:tc>
      </w:tr>
      <w:tr>
        <w:trPr>
          <w:trHeight w:val="230"/>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4,320,830</w:t>
            </w:r>
          </w:p>
        </w:tc>
        <w:tc>
          <w:tcPr>
            <w:tcW w:w="120" w:type="dxa"/>
            <w:vAlign w:val="bottom"/>
            <w:tcBorders>
              <w:bottom w:val="single" w:sz="8" w:color="CFF0FC"/>
            </w:tcBorders>
          </w:tcPr>
          <w:p>
            <w:pPr>
              <w:spacing w:after="0"/>
              <w:rPr>
                <w:sz w:val="19"/>
                <w:szCs w:val="19"/>
                <w:color w:val="auto"/>
              </w:rPr>
            </w:pPr>
          </w:p>
        </w:tc>
      </w:tr>
      <w:tr>
        <w:trPr>
          <w:trHeight w:val="223"/>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7,811,249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2400" w:firstLine="8"/>
        <w:spacing w:after="0" w:line="575" w:lineRule="auto"/>
        <w:tabs>
          <w:tab w:leader="none" w:pos="223" w:val="left"/>
        </w:tabs>
        <w:numPr>
          <w:ilvl w:val="0"/>
          <w:numId w:val="7"/>
        </w:numPr>
        <w:rPr>
          <w:rFonts w:ascii="Arial" w:cs="Arial" w:eastAsia="Arial" w:hAnsi="Arial"/>
          <w:sz w:val="13"/>
          <w:szCs w:val="13"/>
          <w:color w:val="auto"/>
        </w:rPr>
      </w:pPr>
      <w:r>
        <w:rPr>
          <w:rFonts w:ascii="Arial" w:cs="Arial" w:eastAsia="Arial" w:hAnsi="Arial"/>
          <w:sz w:val="16"/>
          <w:szCs w:val="16"/>
          <w:color w:val="auto"/>
        </w:rPr>
        <w:t>Total future minimum lease payments to be received include $6.8 billion relating to the Master Lease with Windstream. The underlying assets under operating leases where we are the lessor as of March 31, 2020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27,373</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341,553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341,096</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Real property interest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Poles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259,569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258,535</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Fiber</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2,864,022</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2,836,939</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Copper</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3,801,636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3,792,366</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Conduit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89,771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89,770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Tower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182,864</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168,453</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Finance lease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32,782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7,610,269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7,557,909</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(5,088,651)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(5,033,080)</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 xml:space="preserve">Underlying assets under operating leases, net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2,521,618</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2,524,829</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$170.4 million of assets held for sale (see Note 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months ended March 31, 2020 and 2019, respectively, is summarized as follows:</w:t>
      </w:r>
    </w:p>
    <w:tbl>
      <w:tblPr>
        <w:tblLayout w:type="fixed"/>
        <w:tblInd w:w="0" w:type="dxa"/>
        <w:tblCellMar>
          <w:top w:w="0" w:type="dxa"/>
          <w:left w:w="0" w:type="dxa"/>
          <w:bottom w:w="0" w:type="dxa"/>
          <w:right w:w="0" w:type="dxa"/>
        </w:tblCellMar>
      </w:tblPr>
      <w:tr>
        <w:trPr>
          <w:trHeight w:val="141"/>
        </w:trPr>
        <w:tc>
          <w:tcPr>
            <w:tcW w:w="6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2"/>
                <w:szCs w:val="12"/>
                <w:color w:val="auto"/>
              </w:rPr>
            </w:pPr>
          </w:p>
        </w:tc>
        <w:tc>
          <w:tcPr>
            <w:tcW w:w="186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9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2019</w:t>
            </w:r>
          </w:p>
        </w:tc>
      </w:tr>
      <w:tr>
        <w:trPr>
          <w:trHeight w:val="223"/>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 expense for underlying assets under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76,274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commitments under operating leases for communications towers, ground, colocation, dark fiber lease arrangements, and buildings. We also have finance leases for dark fiber lease arrangements and other communications equipment. Our leases have initial lease terms ranging from less than one year to 30 years, most of which includes options to extend or renew the leases for less than one year to 85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have short term lease commitments amounting to approximately $1.9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months ended March 31, 2020 and 2019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4"/>
                <w:szCs w:val="14"/>
                <w:color w:val="auto"/>
              </w:rPr>
              <w:t>(Thousands)</w:t>
            </w: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2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3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9"/>
                <w:szCs w:val="19"/>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2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Total finance lease cost</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Short-term lease cost</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2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Less sublease income</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980" w:type="dxa"/>
            <w:vAlign w:val="bottom"/>
            <w:vMerge w:val="restart"/>
          </w:tcPr>
          <w:p>
            <w:pPr>
              <w:jc w:val="right"/>
              <w:ind w:right="97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reported in the Condensed Consolidated Balance Sheets for leases where we are the lessee as of March 31, 2020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on Condensed Consolidated Balance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82"/>
              </w:rPr>
              <w:t>Sheets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Operating leases</w:t>
            </w:r>
          </w:p>
        </w:tc>
        <w:tc>
          <w:tcPr>
            <w:tcW w:w="140" w:type="dxa"/>
            <w:vAlign w:val="bottom"/>
            <w:tcBorders>
              <w:top w:val="single" w:sz="8" w:color="CFF0FC"/>
            </w:tcBorders>
            <w:shd w:val="clear" w:color="auto" w:fill="CFF0FC"/>
          </w:tcPr>
          <w:p>
            <w:pPr>
              <w:spacing w:after="0"/>
              <w:rPr>
                <w:sz w:val="19"/>
                <w:szCs w:val="19"/>
                <w:color w:val="auto"/>
              </w:rPr>
            </w:pPr>
          </w:p>
        </w:tc>
        <w:tc>
          <w:tcPr>
            <w:tcW w:w="2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 xml:space="preserve">ROU assets, net </w:t>
            </w:r>
            <w:r>
              <w:rPr>
                <w:rFonts w:ascii="Arial" w:cs="Arial" w:eastAsia="Arial" w:hAnsi="Arial"/>
                <w:sz w:val="15"/>
                <w:szCs w:val="15"/>
                <w:color w:val="auto"/>
              </w:rPr>
              <w:t>(1)</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Other assets, net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127,184</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127,490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Lease liabilities </w:t>
            </w:r>
            <w:r>
              <w:rPr>
                <w:rFonts w:ascii="Arial" w:cs="Arial" w:eastAsia="Arial" w:hAnsi="Arial"/>
                <w:sz w:val="15"/>
                <w:szCs w:val="15"/>
                <w:color w:val="auto"/>
              </w:rPr>
              <w:t>(2)</w:t>
            </w:r>
          </w:p>
        </w:tc>
        <w:tc>
          <w:tcPr>
            <w:tcW w:w="30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5"/>
              </w:rPr>
              <w:t>Accounts payable, accrued expenses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127,856</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127,879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60" w:type="dxa"/>
            <w:vAlign w:val="bottom"/>
            <w:shd w:val="clear" w:color="auto" w:fill="CFF0FC"/>
          </w:tcPr>
          <w:p>
            <w:pPr>
              <w:spacing w:after="0"/>
              <w:rPr>
                <w:sz w:val="10"/>
                <w:szCs w:val="10"/>
                <w:color w:val="auto"/>
              </w:rPr>
            </w:pPr>
          </w:p>
        </w:tc>
        <w:tc>
          <w:tcPr>
            <w:tcW w:w="302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and other liabilities, net</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shd w:val="clear" w:color="auto" w:fill="CFF0FC"/>
          </w:tcPr>
          <w:p>
            <w:pPr>
              <w:spacing w:after="0"/>
              <w:rPr>
                <w:sz w:val="9"/>
                <w:szCs w:val="9"/>
                <w:color w:val="auto"/>
              </w:rPr>
            </w:pPr>
          </w:p>
        </w:tc>
        <w:tc>
          <w:tcPr>
            <w:tcW w:w="302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ROU asset, gross</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128,464</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129,900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30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11.9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11.8 years</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13.8 years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 years</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discount rate</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Includes $39.9 million ROU assets, net in Assets Held for Sale as of March 31, 2020 (See Note 5).</w:t>
      </w:r>
    </w:p>
    <w:p>
      <w:pPr>
        <w:spacing w:after="0" w:line="36" w:lineRule="exact"/>
        <w:rPr>
          <w:rFonts w:ascii="Arial" w:cs="Arial" w:eastAsia="Arial" w:hAnsi="Arial"/>
          <w:sz w:val="15"/>
          <w:szCs w:val="15"/>
          <w:color w:val="auto"/>
        </w:rPr>
      </w:pPr>
    </w:p>
    <w:p>
      <w:pPr>
        <w:ind w:left="240" w:hanging="232"/>
        <w:spacing w:after="0"/>
        <w:tabs>
          <w:tab w:leader="none" w:pos="24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Includes $40.7 million lease liabilities in Liabilities Held for Sale as of March 31, 2020 (See Note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as of March 31, 2020 and 2019, respectively,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678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2019</w:t>
            </w: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989</w:t>
            </w:r>
          </w:p>
        </w:tc>
        <w:tc>
          <w:tcPr>
            <w:tcW w:w="160" w:type="dxa"/>
            <w:vAlign w:val="bottom"/>
          </w:tcPr>
          <w:p>
            <w:pPr>
              <w:spacing w:after="0"/>
              <w:rPr>
                <w:sz w:val="19"/>
                <w:szCs w:val="19"/>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6,519</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Non-cash items: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New operating leases</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New finance leases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431"/>
        </w:trPr>
        <w:tc>
          <w:tcPr>
            <w:tcW w:w="6780" w:type="dxa"/>
            <w:vAlign w:val="bottom"/>
          </w:tcPr>
          <w:p>
            <w:pPr>
              <w:spacing w:after="0"/>
              <w:rPr>
                <w:sz w:val="20"/>
                <w:szCs w:val="20"/>
                <w:color w:val="auto"/>
              </w:rPr>
            </w:pPr>
            <w:r>
              <w:rPr>
                <w:rFonts w:ascii="Arial" w:cs="Arial" w:eastAsia="Arial" w:hAnsi="Arial"/>
                <w:sz w:val="18"/>
                <w:szCs w:val="18"/>
                <w:color w:val="auto"/>
                <w:w w:val="94"/>
              </w:rPr>
              <w:t>Future lease payments under non-cancellable leases as of March 31, 2020 are as follows: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Operating Leases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Finance Leases</w:t>
            </w: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25,055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20,316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6,655</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6,290</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50,506</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82,485</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(103,713)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(30,998)</w:t>
            </w: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Future sublease rentals as of March 31, 2020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73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4"/>
              </w:rPr>
              <w:t>Uniti Group Inc.</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73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9"/>
              </w:rPr>
              <w:t>Notes to the Condensed Consolidated Financial Statements – Continued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73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(unaudited)</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94"/>
        </w:trPr>
        <w:tc>
          <w:tcPr>
            <w:tcW w:w="1820" w:type="dxa"/>
            <w:vAlign w:val="bottom"/>
          </w:tcPr>
          <w:p>
            <w:pPr>
              <w:spacing w:after="0"/>
              <w:rPr>
                <w:sz w:val="20"/>
                <w:szCs w:val="20"/>
                <w:color w:val="auto"/>
              </w:rPr>
            </w:pPr>
            <w:r>
              <w:rPr>
                <w:rFonts w:ascii="Arial" w:cs="Arial" w:eastAsia="Arial" w:hAnsi="Arial"/>
                <w:sz w:val="14"/>
                <w:szCs w:val="14"/>
                <w:color w:val="auto"/>
              </w:rPr>
              <w:t>(Thousands)</w:t>
            </w:r>
          </w:p>
        </w:tc>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Sublease Rentals</w:t>
            </w:r>
          </w:p>
        </w:tc>
      </w:tr>
      <w:tr>
        <w:trPr>
          <w:trHeight w:val="223"/>
        </w:trPr>
        <w:tc>
          <w:tcPr>
            <w:tcW w:w="1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6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1820" w:type="dxa"/>
            <w:vAlign w:val="bottom"/>
          </w:tcPr>
          <w:p>
            <w:pPr>
              <w:spacing w:after="0"/>
              <w:rPr>
                <w:sz w:val="20"/>
                <w:szCs w:val="20"/>
                <w:color w:val="auto"/>
              </w:rPr>
            </w:pPr>
            <w:r>
              <w:rPr>
                <w:rFonts w:ascii="Arial" w:cs="Arial" w:eastAsia="Arial" w:hAnsi="Arial"/>
                <w:sz w:val="18"/>
                <w:szCs w:val="18"/>
                <w:color w:val="auto"/>
              </w:rPr>
              <w:t>2021</w:t>
            </w:r>
          </w:p>
        </w:tc>
        <w:tc>
          <w:tcPr>
            <w:tcW w:w="6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12,353</w:t>
            </w:r>
          </w:p>
        </w:tc>
        <w:tc>
          <w:tcPr>
            <w:tcW w:w="120" w:type="dxa"/>
            <w:vAlign w:val="bottom"/>
          </w:tcPr>
          <w:p>
            <w:pPr>
              <w:spacing w:after="0"/>
              <w:rPr>
                <w:sz w:val="19"/>
                <w:szCs w:val="19"/>
                <w:color w:val="auto"/>
              </w:rPr>
            </w:pPr>
          </w:p>
        </w:tc>
      </w:tr>
      <w:tr>
        <w:trPr>
          <w:trHeight w:val="230"/>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120" w:type="dxa"/>
            <w:vAlign w:val="bottom"/>
            <w:shd w:val="clear" w:color="auto" w:fill="CFF0FC"/>
          </w:tcPr>
          <w:p>
            <w:pPr>
              <w:spacing w:after="0"/>
              <w:rPr>
                <w:sz w:val="19"/>
                <w:szCs w:val="19"/>
                <w:color w:val="auto"/>
              </w:rPr>
            </w:pPr>
          </w:p>
        </w:tc>
      </w:tr>
      <w:tr>
        <w:trPr>
          <w:trHeight w:val="229"/>
        </w:trPr>
        <w:tc>
          <w:tcPr>
            <w:tcW w:w="1820" w:type="dxa"/>
            <w:vAlign w:val="bottom"/>
          </w:tcPr>
          <w:p>
            <w:pPr>
              <w:spacing w:after="0"/>
              <w:rPr>
                <w:sz w:val="20"/>
                <w:szCs w:val="20"/>
                <w:color w:val="auto"/>
              </w:rPr>
            </w:pPr>
            <w:r>
              <w:rPr>
                <w:rFonts w:ascii="Arial" w:cs="Arial" w:eastAsia="Arial" w:hAnsi="Arial"/>
                <w:sz w:val="18"/>
                <w:szCs w:val="18"/>
                <w:color w:val="auto"/>
              </w:rPr>
              <w:t>2023</w:t>
            </w:r>
          </w:p>
        </w:tc>
        <w:tc>
          <w:tcPr>
            <w:tcW w:w="6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12,580</w:t>
            </w:r>
          </w:p>
        </w:tc>
        <w:tc>
          <w:tcPr>
            <w:tcW w:w="120" w:type="dxa"/>
            <w:vAlign w:val="bottom"/>
          </w:tcPr>
          <w:p>
            <w:pPr>
              <w:spacing w:after="0"/>
              <w:rPr>
                <w:sz w:val="19"/>
                <w:szCs w:val="19"/>
                <w:color w:val="auto"/>
              </w:rPr>
            </w:pPr>
          </w:p>
        </w:tc>
      </w:tr>
      <w:tr>
        <w:trPr>
          <w:trHeight w:val="229"/>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12,774</w:t>
            </w:r>
          </w:p>
        </w:tc>
        <w:tc>
          <w:tcPr>
            <w:tcW w:w="120" w:type="dxa"/>
            <w:vAlign w:val="bottom"/>
            <w:shd w:val="clear" w:color="auto" w:fill="CFF0FC"/>
          </w:tcPr>
          <w:p>
            <w:pPr>
              <w:spacing w:after="0"/>
              <w:rPr>
                <w:sz w:val="19"/>
                <w:szCs w:val="19"/>
                <w:color w:val="auto"/>
              </w:rPr>
            </w:pPr>
          </w:p>
        </w:tc>
      </w:tr>
      <w:tr>
        <w:trPr>
          <w:trHeight w:val="230"/>
        </w:trPr>
        <w:tc>
          <w:tcPr>
            <w:tcW w:w="1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132,949</w:t>
            </w:r>
          </w:p>
        </w:tc>
        <w:tc>
          <w:tcPr>
            <w:tcW w:w="120" w:type="dxa"/>
            <w:vAlign w:val="bottom"/>
            <w:tcBorders>
              <w:bottom w:val="single" w:sz="8" w:color="CFF0FC"/>
            </w:tcBorders>
          </w:tcPr>
          <w:p>
            <w:pPr>
              <w:spacing w:after="0"/>
              <w:rPr>
                <w:sz w:val="19"/>
                <w:szCs w:val="19"/>
                <w:color w:val="auto"/>
              </w:rPr>
            </w:pPr>
          </w:p>
        </w:tc>
      </w:tr>
      <w:tr>
        <w:trPr>
          <w:trHeight w:val="223"/>
        </w:trPr>
        <w:tc>
          <w:tcPr>
            <w:tcW w:w="1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Assets and Liabilities Held for Sale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February 2020, the Company entered into a definitive agreement to sell a wireless infrastructure company 486 of our U.S. towers (the “U.S. Towers”) located across 32 states for total cash consideration of approximately $190 million, subject to adjustments. </w:t>
      </w:r>
      <w:r>
        <w:rPr>
          <w:rFonts w:ascii="Arial" w:cs="Arial" w:eastAsia="Arial" w:hAnsi="Arial"/>
          <w:sz w:val="18"/>
          <w:szCs w:val="18"/>
          <w:color w:val="212529"/>
        </w:rPr>
        <w:t>Concurrent with the sale of the U.S. towers, we</w:t>
      </w:r>
      <w:r>
        <w:rPr>
          <w:rFonts w:ascii="Arial" w:cs="Arial" w:eastAsia="Arial" w:hAnsi="Arial"/>
          <w:sz w:val="18"/>
          <w:szCs w:val="18"/>
          <w:color w:val="auto"/>
        </w:rPr>
        <w:t xml:space="preserve"> </w:t>
      </w:r>
      <w:r>
        <w:rPr>
          <w:rFonts w:ascii="Arial" w:cs="Arial" w:eastAsia="Arial" w:hAnsi="Arial"/>
          <w:sz w:val="18"/>
          <w:szCs w:val="18"/>
          <w:color w:val="212529"/>
        </w:rPr>
        <w:t>entered into a strategic “off-take” tower arrangement with the buyer. Pursuant to the “off-take” arrangement, we will continue to build towers in the U.S. and sell those towers to our partner at an agreed upon price during 2020. In May 2020, we entered into a revised agreement that modifies the structure of the previous agreement</w:t>
      </w:r>
      <w:r>
        <w:rPr>
          <w:rFonts w:ascii="Arial" w:cs="Arial" w:eastAsia="Arial" w:hAnsi="Arial"/>
          <w:sz w:val="18"/>
          <w:szCs w:val="18"/>
          <w:color w:val="000000"/>
        </w:rPr>
        <w:t>. See Note 15. The Company classified the U.S. Towers’ assets and liabilities separately on the Condensed Consolidated Balance</w:t>
      </w:r>
      <w:r>
        <w:rPr>
          <w:rFonts w:ascii="Arial" w:cs="Arial" w:eastAsia="Arial" w:hAnsi="Arial"/>
          <w:sz w:val="18"/>
          <w:szCs w:val="18"/>
          <w:color w:val="212529"/>
        </w:rPr>
        <w:t xml:space="preserve"> </w:t>
      </w:r>
      <w:r>
        <w:rPr>
          <w:rFonts w:ascii="Arial" w:cs="Arial" w:eastAsia="Arial" w:hAnsi="Arial"/>
          <w:sz w:val="18"/>
          <w:szCs w:val="18"/>
          <w:color w:val="000000"/>
        </w:rPr>
        <w:t>Sheet as of March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assets and liabilities associated with the U.S. Towers classified as held for sale as of March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580" w:type="dxa"/>
            <w:vAlign w:val="bottom"/>
          </w:tcPr>
          <w:p>
            <w:pPr>
              <w:spacing w:after="0"/>
              <w:rPr>
                <w:sz w:val="14"/>
                <w:szCs w:val="14"/>
                <w:color w:val="auto"/>
              </w:rPr>
            </w:pPr>
          </w:p>
        </w:tc>
        <w:tc>
          <w:tcPr>
            <w:tcW w:w="2660" w:type="dxa"/>
            <w:vAlign w:val="bottom"/>
            <w:gridSpan w:val="2"/>
          </w:tcPr>
          <w:p>
            <w:pPr>
              <w:ind w:left="50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7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171,936</w:t>
            </w:r>
          </w:p>
        </w:tc>
        <w:tc>
          <w:tcPr>
            <w:tcW w:w="100" w:type="dxa"/>
            <w:vAlign w:val="bottom"/>
          </w:tcPr>
          <w:p>
            <w:pPr>
              <w:spacing w:after="0"/>
              <w:rPr>
                <w:sz w:val="19"/>
                <w:szCs w:val="19"/>
                <w:color w:val="auto"/>
              </w:rPr>
            </w:pPr>
          </w:p>
        </w:tc>
      </w:tr>
      <w:tr>
        <w:trPr>
          <w:trHeight w:val="230"/>
        </w:trPr>
        <w:tc>
          <w:tcPr>
            <w:tcW w:w="8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Right of use assets, net</w:t>
            </w:r>
          </w:p>
        </w:tc>
        <w:tc>
          <w:tcPr>
            <w:tcW w:w="580" w:type="dxa"/>
            <w:vAlign w:val="bottom"/>
            <w:tcBorders>
              <w:bottom w:val="single" w:sz="8" w:color="auto"/>
            </w:tcBorders>
            <w:shd w:val="clear" w:color="auto" w:fill="CFF0FC"/>
          </w:tcPr>
          <w:p>
            <w:pPr>
              <w:spacing w:after="0"/>
              <w:rPr>
                <w:sz w:val="19"/>
                <w:szCs w:val="19"/>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100" w:type="dxa"/>
            <w:vAlign w:val="bottom"/>
            <w:shd w:val="clear" w:color="auto" w:fill="CFF0FC"/>
          </w:tcPr>
          <w:p>
            <w:pPr>
              <w:spacing w:after="0"/>
              <w:rPr>
                <w:sz w:val="19"/>
                <w:szCs w:val="19"/>
                <w:color w:val="auto"/>
              </w:rPr>
            </w:pPr>
          </w:p>
        </w:tc>
      </w:tr>
      <w:tr>
        <w:trPr>
          <w:trHeight w:val="263"/>
        </w:trPr>
        <w:tc>
          <w:tcPr>
            <w:tcW w:w="8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211,851</w:t>
            </w:r>
          </w:p>
        </w:tc>
        <w:tc>
          <w:tcPr>
            <w:tcW w:w="100" w:type="dxa"/>
            <w:vAlign w:val="bottom"/>
            <w:tcBorders>
              <w:bottom w:val="single" w:sz="8" w:color="CFF0FC"/>
            </w:tcBorders>
          </w:tcPr>
          <w:p>
            <w:pPr>
              <w:spacing w:after="0"/>
              <w:rPr>
                <w:sz w:val="22"/>
                <w:szCs w:val="22"/>
                <w:color w:val="auto"/>
              </w:rPr>
            </w:pPr>
          </w:p>
        </w:tc>
      </w:tr>
      <w:tr>
        <w:trPr>
          <w:trHeight w:val="223"/>
        </w:trPr>
        <w:tc>
          <w:tcPr>
            <w:tcW w:w="7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40,743</w:t>
            </w:r>
          </w:p>
        </w:tc>
        <w:tc>
          <w:tcPr>
            <w:tcW w:w="100" w:type="dxa"/>
            <w:vAlign w:val="bottom"/>
            <w:shd w:val="clear" w:color="auto" w:fill="CFF0FC"/>
          </w:tcPr>
          <w:p>
            <w:pPr>
              <w:spacing w:after="0"/>
              <w:rPr>
                <w:sz w:val="19"/>
                <w:szCs w:val="19"/>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40,743</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U.S. Towers are included in the results of the Towers segment. The sale does not represent a strategic shift that will have a major effect on operations and financial results and, therefore, did not qualify for presentation as a discontinued operation.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8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asset and liability, our outstanding notes and other debt, contingent consideration and accounts, interest and dividends payable.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March 31, 2020 and December 31,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Prices with Other</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March 31, 2020</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2,092,500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2,092,500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854,700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Exchangeable senior notes - 4.00%, due June 15, 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277,725</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378,281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378,281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liability, net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30,446</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4,575,568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4,569,652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Prices with Other</w:t>
            </w:r>
          </w:p>
        </w:tc>
        <w:tc>
          <w:tcPr>
            <w:tcW w:w="12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2019</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term loan B - variable rate, due October 24, 2022</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1,998,721</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971,250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511,500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Exchangeable senior unsecured notes - 4.00%, due June 15, 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309,638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574,961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liability</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4,929,256</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4,917,749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total principal balance of our outstanding notes and other debt was $5.2 billion at March 31, 2020, with a fair value of $4.5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and liabilities are carried at fair value. </w:t>
      </w:r>
      <w:r>
        <w:rPr>
          <w:rFonts w:ascii="Arial" w:cs="Arial" w:eastAsia="Arial" w:hAnsi="Arial"/>
          <w:sz w:val="17"/>
          <w:szCs w:val="17"/>
          <w:u w:val="single" w:color="auto"/>
          <w:color w:val="0000EE"/>
        </w:rPr>
        <w:t>See Note 8. The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assets and liabilities fall within Level 2 of the fair value hierarchy; however, the associated credit valuation adjustments utilized Level 3 inputs, such as estimates of credit spreads, to evaluate the likelihood of default by the Company and its counterparties. As of March 31, 2020,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and liabilities valuation in Level 2 of the fair value hierarchy</w:t>
      </w:r>
      <w:r>
        <w:rPr>
          <w:rFonts w:ascii="Arial" w:cs="Arial" w:eastAsia="Arial" w:hAnsi="Arial"/>
          <w:sz w:val="17"/>
          <w:szCs w:val="17"/>
          <w:color w:val="000000"/>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311"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24">
        <w:r>
          <w:rPr>
            <w:rFonts w:ascii="Arial" w:cs="Arial" w:eastAsia="Arial" w:hAnsi="Arial"/>
            <w:sz w:val="16"/>
            <w:szCs w:val="16"/>
            <w:u w:val="single" w:color="auto"/>
            <w:color w:val="0000EE"/>
          </w:rPr>
          <w:t>see Note 10</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acquired Tower Cloud, Inc. (“Tower Cloud”) on August 31, 2016. As part of the Tower Cloud acquisition, we may be obligated to pay contingent consideration upon achievement of certain defined operational and financial milestones from the date of acquisition through December 31, 2021.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$5.9 million as of March 31, 2020. The fair value of the contingent consideration as of March 31, 2020, was determined using a discounted cash flow model and probability adjusted estimates of the future operational milestones and is classified as Level 3. During the three months ended March 31, 2020 and 2019, we paid $7.1 million and $8.2 million, respectively, for the achievement of certain milestones in accordance with the Tower Cloud merger agreement.</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Changes in the fair value of contingent consideration arrangements are recorded in our Condensed Consolidated Statement of (Loss) Income in the period in which the change occurs. For the three months ended March 31, 2020, there was a $1.5 million, increase in the fair value of the contingent consideration that was recorded in Other (income) expense on the Condensed Consolidated Statements of (Loss) Income. For the three months ended March 31, 2019, there was a $3.3 million decrease in the fair value of the contingent consideration that was recorded in Other (income) expense on the Condensed Consolidated Statements of (Loss)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(Gain)/Loss included in</w:t>
            </w:r>
          </w:p>
        </w:tc>
        <w:tc>
          <w:tcPr>
            <w:tcW w:w="240" w:type="dxa"/>
            <w:vAlign w:val="bottom"/>
          </w:tcPr>
          <w:p>
            <w:pPr>
              <w:spacing w:after="0"/>
              <w:rPr>
                <w:sz w:val="14"/>
                <w:szCs w:val="14"/>
                <w:color w:val="auto"/>
              </w:rPr>
            </w:pPr>
          </w:p>
        </w:tc>
        <w:tc>
          <w:tcPr>
            <w:tcW w:w="156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Settlements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Transfers into Level 3</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1,495</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84"/>
              </w:rPr>
              <w:t>(7,086)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42"/>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92"/>
              </w:rPr>
              <w:t>Note 7. Property, Plant and Equipment</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120" w:type="dxa"/>
            <w:vAlign w:val="bottom"/>
            <w:gridSpan w:val="7"/>
          </w:tcPr>
          <w:p>
            <w:pPr>
              <w:spacing w:after="0"/>
              <w:rPr>
                <w:sz w:val="20"/>
                <w:szCs w:val="20"/>
                <w:color w:val="auto"/>
              </w:rPr>
            </w:pPr>
            <w:r>
              <w:rPr>
                <w:rFonts w:ascii="Arial" w:cs="Arial" w:eastAsia="Arial" w:hAnsi="Arial"/>
                <w:sz w:val="18"/>
                <w:szCs w:val="18"/>
                <w:color w:val="auto"/>
                <w:w w:val="98"/>
              </w:rPr>
              <w:t>The carrying value of property, plant and equipment is as follows:</w:t>
            </w:r>
          </w:p>
        </w:tc>
        <w:tc>
          <w:tcPr>
            <w:tcW w:w="154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Depreciable Lives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28,699</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3 - 40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356,850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355,225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Poles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259,569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3,512,240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5 - 7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305,789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3,801,637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3,792,366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Finance lease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15 - 20 years</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3 - 7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81,554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8,596,525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8,683,479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(5,341,925)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(5,273,534)</w:t>
            </w:r>
          </w:p>
        </w:tc>
        <w:tc>
          <w:tcPr>
            <w:tcW w:w="0" w:type="dxa"/>
            <w:vAlign w:val="bottom"/>
          </w:tcPr>
          <w:p>
            <w:pPr>
              <w:spacing w:after="0"/>
              <w:rPr>
                <w:sz w:val="1"/>
                <w:szCs w:val="1"/>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3,254,600</w:t>
            </w:r>
          </w:p>
        </w:tc>
        <w:tc>
          <w:tcPr>
            <w:tcW w:w="1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3,409,945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See our Annual Report for property, plant and equipment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2020 and 2019 was $77.8 million and $97.5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2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$2.04 billion and mature on October 24, 2022. </w:t>
      </w:r>
      <w:r>
        <w:rPr>
          <w:rFonts w:ascii="Arial" w:cs="Arial" w:eastAsia="Arial" w:hAnsi="Arial"/>
          <w:sz w:val="18"/>
          <w:szCs w:val="18"/>
          <w:color w:val="1F2322"/>
        </w:rPr>
        <w:t>As result of the repayment of the Company’s term loan facility in February of 2020 (</w:t>
      </w:r>
      <w:r>
        <w:rPr>
          <w:rFonts w:ascii="Arial" w:cs="Arial" w:eastAsia="Arial" w:hAnsi="Arial"/>
          <w:sz w:val="18"/>
          <w:szCs w:val="18"/>
          <w:u w:val="single" w:color="auto"/>
          <w:color w:val="0000EE"/>
        </w:rPr>
        <w:t>see Note 10</w:t>
      </w:r>
      <w:r>
        <w:rPr>
          <w:rFonts w:ascii="Arial" w:cs="Arial" w:eastAsia="Arial" w:hAnsi="Arial"/>
          <w:sz w:val="18"/>
          <w:szCs w:val="18"/>
          <w:color w:val="1F2322"/>
        </w:rPr>
        <w:t>), the Company entered into receive-fixed interest rate swaps to offset 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19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Condensed Consolidated Balance Sheets. The gross amounts of our derivative instruments subject to master netting arrangements with the same counterparty as of March 31, 2020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Gross Amounts Offset in the</w:t>
            </w:r>
          </w:p>
        </w:tc>
        <w:tc>
          <w:tcPr>
            <w:tcW w:w="12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 of Recognized</w:t>
            </w:r>
          </w:p>
        </w:tc>
        <w:tc>
          <w:tcPr>
            <w:tcW w:w="2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Liabilities presented in the</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2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12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 or Liabilities</w:t>
            </w:r>
          </w:p>
        </w:tc>
        <w:tc>
          <w:tcPr>
            <w:tcW w:w="120" w:type="dxa"/>
            <w:vAlign w:val="bottom"/>
          </w:tcPr>
          <w:p>
            <w:pPr>
              <w:spacing w:after="0"/>
              <w:rPr>
                <w:sz w:val="14"/>
                <w:szCs w:val="1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35,302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ind w:left="1180"/>
              <w:spacing w:after="0"/>
              <w:rPr>
                <w:sz w:val="20"/>
                <w:szCs w:val="20"/>
                <w:color w:val="auto"/>
              </w:rPr>
            </w:pPr>
            <w:r>
              <w:rPr>
                <w:rFonts w:ascii="Arial" w:cs="Arial" w:eastAsia="Arial" w:hAnsi="Arial"/>
                <w:sz w:val="18"/>
                <w:szCs w:val="18"/>
                <w:color w:val="auto"/>
              </w:rPr>
              <w:t>(35,302)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80"/>
              </w:rPr>
              <w:t>(35,302)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65,748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ind w:left="1180"/>
              <w:spacing w:after="0"/>
              <w:rPr>
                <w:sz w:val="20"/>
                <w:szCs w:val="20"/>
                <w:color w:val="auto"/>
              </w:rPr>
            </w:pPr>
            <w:r>
              <w:rPr>
                <w:rFonts w:ascii="Arial" w:cs="Arial" w:eastAsia="Arial" w:hAnsi="Arial"/>
                <w:sz w:val="18"/>
                <w:szCs w:val="18"/>
                <w:color w:val="auto"/>
              </w:rPr>
              <w:t>(35,302)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80"/>
              </w:rPr>
              <w:t>(35,302)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Location on Condensed</w:t>
            </w:r>
          </w:p>
        </w:tc>
        <w:tc>
          <w:tcPr>
            <w:tcW w:w="16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1"/>
        </w:trPr>
        <w:tc>
          <w:tcPr>
            <w:tcW w:w="52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Consolidated Balance Sheets</w:t>
            </w:r>
          </w:p>
        </w:tc>
        <w:tc>
          <w:tcPr>
            <w:tcW w:w="1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28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Derivative liability, net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30,446</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of March 31, 2020 and 2019, respectively, all of the interest rate swaps were valued in net unrealized loss positions and recognized as liability balances within the derivative liability, net in our Condensed Consolidated Balance Sheets. For the three months ended March 31, 2020 and 2019, the amount recorded in other comprehensive income related to the unrealized loss on derivative instruments was $7.7 million and $19.6 million, respectively. The amount reclassified out of other comprehensive income into interest expense on our Condensed Consolidated Statement of (Loss) Income for the three months ended March 31, 2020 and 2019, was $2.3 million and ($2.1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During the next twelve months, beginning April 1, 2020, we estimate that $11.3 million will be reclassified as an increase to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25, 2019, concurrently with the pricing of the Exchangeable Notes (</w:t>
      </w:r>
      <w:r>
        <w:rPr>
          <w:rFonts w:ascii="Arial" w:cs="Arial" w:eastAsia="Arial" w:hAnsi="Arial"/>
          <w:sz w:val="18"/>
          <w:szCs w:val="18"/>
          <w:u w:val="single" w:color="auto"/>
          <w:color w:val="auto"/>
        </w:rPr>
        <w:t>see Note 10</w:t>
      </w:r>
      <w:r>
        <w:rPr>
          <w:rFonts w:ascii="Arial" w:cs="Arial" w:eastAsia="Arial" w:hAnsi="Arial"/>
          <w:sz w:val="18"/>
          <w:szCs w:val="18"/>
          <w:color w:val="auto"/>
        </w:rPr>
        <w:t>), and on June 27, 2019, concurrently with the exercise by the Initial Purchasers (as defined below) of their option to purchase additional Exchangeable Notes, Uniti Fiber, the issuer of the Exchangeable Notes, entered into the Note Hedge Transactions with certain of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-582295</wp:posOffset>
            </wp:positionV>
            <wp:extent cx="539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91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6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Uniti Fiber used approximately $70.0 million of the net proceeds from the offering of the Exchangeable Notes to pay the cost of the Note Hedge Transactions. The Note Hedge Transactions meet certain accounting criteria under GAAP, and are recorded in additional paid-in capital on our Condensed Consolidated Balance Sheets, and are not accounted for as derivatives that are remeasured each reporting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5"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The Warrants are separate transactions, entered into by the Company with the Counterparties, and are not part of the terms of the Exchangeable Notes. Holders of the Exchangeable Notes will not have any rights with respect to the Warrants. The Company received approximately $50.8 million from the offering and sale of the Warrants. The Warrants meet certain accounting criteria under GAAP, and are recorded in additional paid-in capital on our Condensed Consolidated Balance Sheets, and are not accounted for as derivatives that are remeasured each reporting period.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the carrying amount of goodwill occurring during the three months ended March 31, 2020. The balance of Goodwill recorded in our Fiber Infrastructure segment as of March 31, 2020 and December 31, 2019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20" w:type="dxa"/>
            <w:vAlign w:val="bottom"/>
          </w:tcPr>
          <w:p>
            <w:pPr>
              <w:spacing w:after="0"/>
              <w:rPr>
                <w:sz w:val="20"/>
                <w:szCs w:val="20"/>
                <w:color w:val="auto"/>
              </w:rPr>
            </w:pPr>
            <w:r>
              <w:rPr>
                <w:rFonts w:ascii="Arial" w:cs="Arial" w:eastAsia="Arial" w:hAnsi="Arial"/>
                <w:sz w:val="14"/>
                <w:szCs w:val="14"/>
                <w:color w:val="auto"/>
              </w:rPr>
              <w:t>(Thousands)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76"/>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2019</w:t>
            </w:r>
          </w:p>
        </w:tc>
        <w:tc>
          <w:tcPr>
            <w:tcW w:w="2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Goodwill at March 31, 2020</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3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320" w:type="dxa"/>
            <w:vAlign w:val="bottom"/>
            <w:vMerge w:val="restart"/>
          </w:tcPr>
          <w:p>
            <w:pPr>
              <w:jc w:val="right"/>
              <w:ind w:right="43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right"/>
              <w:ind w:right="860"/>
              <w:spacing w:after="0" w:line="133" w:lineRule="exact"/>
              <w:rPr>
                <w:sz w:val="20"/>
                <w:szCs w:val="20"/>
                <w:color w:val="auto"/>
              </w:rPr>
            </w:pPr>
            <w:r>
              <w:rPr>
                <w:rFonts w:ascii="Arial" w:cs="Arial" w:eastAsia="Arial" w:hAnsi="Arial"/>
                <w:sz w:val="14"/>
                <w:szCs w:val="14"/>
                <w:b w:val="1"/>
                <w:bCs w:val="1"/>
                <w:color w:val="auto"/>
              </w:rPr>
              <w:t>Original</w:t>
            </w:r>
          </w:p>
        </w:tc>
        <w:tc>
          <w:tcPr>
            <w:tcW w:w="3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35"/>
              <w:spacing w:after="0" w:line="133" w:lineRule="exact"/>
              <w:rPr>
                <w:sz w:val="20"/>
                <w:szCs w:val="20"/>
                <w:color w:val="auto"/>
              </w:rPr>
            </w:pPr>
            <w:r>
              <w:rPr>
                <w:rFonts w:ascii="Arial" w:cs="Arial" w:eastAsia="Arial" w:hAnsi="Arial"/>
                <w:sz w:val="14"/>
                <w:szCs w:val="14"/>
                <w:b w:val="1"/>
                <w:bCs w:val="1"/>
                <w:color w:val="auto"/>
                <w:w w:val="95"/>
              </w:rPr>
              <w:t>Accumulated</w:t>
            </w:r>
          </w:p>
        </w:tc>
        <w:tc>
          <w:tcPr>
            <w:tcW w:w="2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Original</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35"/>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1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Trade name</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Finite life intangible assets: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450,603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(100,132)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450,603</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(93,794)</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In-place lease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50,705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(1,479)</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Rights of way</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(2,425)</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628,004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628,004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(104,286)</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(96,025)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intangible assets, net</w:t>
            </w: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vMerge w:val="continue"/>
            <w:shd w:val="clear" w:color="auto" w:fill="CFF0FC"/>
          </w:tcPr>
          <w:p>
            <w:pPr>
              <w:spacing w:after="0"/>
              <w:rPr>
                <w:sz w:val="20"/>
                <w:szCs w:val="20"/>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523,718</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531,979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2020, the remaining weighted average amortization period of the Company’s intangible assets was 20.2 years. Amortization expense for the three months ended March 31, 2020 and 2019 was $8.3 million and $6.3 million, respectively.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is estimated to be $31.4 million for the full year of 2020, $30.6 million in 2021, $29.6 million in 2022, $29.5 million in 2023, and $29.5 million for 2024.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and Other Debt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7"/>
        </w:trPr>
        <w:tc>
          <w:tcPr>
            <w:tcW w:w="6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8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5,233,319</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5,224,747</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28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(172,623)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(207,068)</w:t>
            </w:r>
          </w:p>
        </w:tc>
        <w:tc>
          <w:tcPr>
            <w:tcW w:w="0" w:type="dxa"/>
            <w:vAlign w:val="bottom"/>
          </w:tcPr>
          <w:p>
            <w:pPr>
              <w:spacing w:after="0"/>
              <w:rPr>
                <w:sz w:val="1"/>
                <w:szCs w:val="1"/>
                <w:color w:val="auto"/>
              </w:rPr>
            </w:pPr>
          </w:p>
        </w:tc>
      </w:tr>
      <w:tr>
        <w:trPr>
          <w:trHeight w:val="237"/>
        </w:trPr>
        <w:tc>
          <w:tcPr>
            <w:tcW w:w="7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5,060,696</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5,017,679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55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March 31, 2020 and December 31, 2019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4"/>
                <w:szCs w:val="14"/>
                <w:color w:val="auto"/>
              </w:rPr>
            </w:pPr>
          </w:p>
        </w:tc>
        <w:tc>
          <w:tcPr>
            <w:tcW w:w="28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5"/>
              <w:spacing w:after="0" w:line="133" w:lineRule="exact"/>
              <w:rPr>
                <w:sz w:val="20"/>
                <w:szCs w:val="20"/>
                <w:color w:val="auto"/>
              </w:rPr>
            </w:pPr>
            <w:r>
              <w:rPr>
                <w:rFonts w:ascii="Arial" w:cs="Arial" w:eastAsia="Arial" w:hAnsi="Arial"/>
                <w:sz w:val="14"/>
                <w:szCs w:val="14"/>
                <w:b w:val="1"/>
                <w:bCs w:val="1"/>
                <w:color w:val="auto"/>
                <w:w w:val="96"/>
              </w:rPr>
              <w:t>Unamortized</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and Debt Issuance</w:t>
            </w:r>
          </w:p>
        </w:tc>
        <w:tc>
          <w:tcPr>
            <w:tcW w:w="22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and Debt Issuance</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Senior secured term loan B - variable rate, due October 24, 2022</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7.47%)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2,044,728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(74,523)</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secured notes - 7.875%, due February 15, 2025</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8.39%)</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(45,776)</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6.29%)</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(5,248)</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(27,201)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(28,808)</w:t>
            </w: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(6,063)</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- 4.00%, due June 15, 2024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11.1%)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(81,516)</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(85,272)</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Senior secured revolving credit facility, variable rate, due April 24,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378,319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(6,819)</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575,019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5,233,319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(172,623)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5,224,747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(207,068)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At March 31, 2020, notes and other debt included the following: (i) $2.25 billion aggregate principal amount of 7.875% senior secured notes due 2025 (the “2025 Secured Notes”); (ii) $550.0 million aggregate principal amount of 6.00% Senior Secured Notes due April 15, 2023 (the “2023 Secured Notes” and, together with the 2025 Secured Notes, the “Secured Notes”); (iii) $1.11 billion aggregate principal amount of 8.25% Senior Unsecured Notes due October 15, 2023 (the “2023 Notes”); (iv) $600.0 million aggregate principal amount of 7.125% Senior Unsecured Notes due December 15, 2024 (the</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“2024 Notes”); (v) $345.0 million aggregate principal amount of 4.00% Exchangeable Senior Notes due June 15, 2024 (the “Exchangeable Notes” and together with the Secured Notes, the 2023 Notes and the 2024 Notes, the “Notes”) and (vi) $378.3 million under the senior secured revolving credit facility (the “Revolving Credit Facility”), variable rate, that matures April 24, 2022 pursuant the credit agreement by and among the Borrowers (as defined below), the guarantors and lenders party thereto and Bank of America, N.A., as administrative agent and collateral agent (the “Credit Agreement”). On February 10, 2020, the Operating Partnership and certain of its wholly-owned subsidiaries issued the 2025 Secured Notes and used the proceeds from the offering to repay all $2.05 billion of outstanding term loans under our senior secured credit facilities and to repay approximately $156.7 million of revolving loans (and terminated related commitments of approximately $157.6 million). As a result of the repayment of the term loans and terminated commitments of the revolving loans, we recognized $72.5 million and $1.4 million, respectively, of non-cash interest expense for the write off of the unamortized discount and deferred financing costs within interest expense, net on the Condensed Consolidated Statements of (Loss) Income for the three months ended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Operating Partnership, Uniti Group Finance 2019 Inc. and CSL Capital, LLC (the “Borrowers”) are borrowers under the Credit Agreement, which as of December 31, 2019, which provided for a term loan facility (in an initial principal amount of $2.14 billion) and provides for a revolving credit facility (in an initial aggregate principal amount of up to $750 million) (the “Revolving Credit Facility”). On February 10, 2020, in connection with the issuance of the 2025 Secured Notes and the effectiveness of the Sixth Amendment described below, the Borrowers repaid all $2.05 billion of outstanding term loans and repaid approximately $156.7 million of revolving loans under the Revolving Credit Facility (and terminated related commitments in an amount equal to $157.6 million, thereby reducing total commitments under the Revolving Credit Facility to $418.3 million).</w:t>
      </w:r>
    </w:p>
    <w:p>
      <w:pPr>
        <w:spacing w:after="0" w:line="178"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color w:val="auto"/>
        </w:rPr>
        <w:t>All obligations under the Credit Agreement are guaranteed by (i) the Company and (ii) certain of the Operating Partnership’s subsidiaries (the “Subsidiary Guarantors”) and are secured by substantially all of the assets of the Borrowers and the Subsidiary Guarantors, which assets also secure the Secured Notes.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The Revolving Credit Facility presently bears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2020, the Borrowers were in compliance with all of the covenants under the Credit Agreement.</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the Fourth Amendment generally limits our ability under the Credit Agreement to (i) prepay unsecured indebtedness and (ii) pay cash dividends in excess of 90% of our REIT taxable income, determined without regard to the dividends paid deduction and excluding any net capital gains.</w:t>
      </w:r>
    </w:p>
    <w:p>
      <w:pPr>
        <w:spacing w:after="0" w:line="17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On June 24, 2019, we entered into an amendment (the “Fifth Amendment”) to our Credit Agreement to extend the maturity date of $575.9 million of commitments under the Revolving Credit Facility to April 24, 2022 and to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commitments will terminate on April 24, 2022, at which time all outstanding borrowings must be repaid. The Company used a portion of the net proceeds from the offering of Exchangeable Notes described below to fund the repayments.</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an amendment (the “Sixth Amendment”) to our Credit Agreement. In addition to the restrictions imposed by the Fourth Amendment discussed above,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termination of the Master Lease would result in an “event of default” under the Credit Agreement if a replacement lease was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Borrowers, as co-issuers, have outstanding $550 million aggregate principal amount of the 2023 Secured Notes, of which $400 million was originally issued on April 24, 2015 at an issue price of 100% of par value and the remaining $150 million was issued on June 9, 2016 at an issue price of 99.25% of the par value as an add-on to the existing 2023 Secured Notes. The Borrowers, as co-issuers, also have outstanding $1.11 billion aggregate principal amount of the 2023 Notes that were originally issued on April 24, 2015 at an issue price of 97.055% of par value. The 2023 Secured Notes and the 2023 Notes are guaranteed by the Company and the Subsidiary Guarantors.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Operating Partnership and its wholly-owned subsidiaries, CSL Capital, LLC and Uniti Fiber,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and the Subsidiary Guarantors (other than Uniti Fiber, which is a co-issuer of the 2024 Notes).</w:t>
      </w:r>
    </w:p>
    <w:p>
      <w:pPr>
        <w:spacing w:after="0" w:line="1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10, 2020, the Borrowers and Uniti Fiber, as co-issuers, issued $2.25 billion aggregate principal amount of the 2025 Secured Notes at an issue price of 100% of par value. The 2025 Secured Notes are guaranteed by the Company and the Subsidiary Guarantors (other than Uniti Fiber, which is a co-issuer of the 2025 Secured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Exchangeable Notes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28, 2019, Uniti Fiber issued $345 million aggregate principal amount of the Exchangeable Notes. The Exchangeable Notes are senior unsecured notes and are guaranteed by the Company and each of the Company’s subsidiaries (other than Uniti Fiber) that is an issuer, obligor or guarantor under the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subject to limitations under the Company's Credit Agreement. The Exchangeable Notes will mature on June 15, 2024, unless earlier exchanged, redeemed or repurchased.</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carrying amount of the equity component, which is recognized as a debt discount, represents the difference between the proceeds from the issuance of the Exchangeable Notes and the fair value of the liability component of the Exchangeable Notes. The excess of the principal amount of the liability component over its carrying amount will be amortized to interest expense using an effective interest rate of 11.1% over the term of the Exchangeable Notes. The equity component is not remeasured as long as it continues to meet the conditions for equity classification.</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Debt issuance costs related to the Exchangeable Notes were comprised of commissions payable to the Initial Purchasers of $10.4 million and third-party costs of approximately $1.4 million.</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Condensed Consolidated Balance Sheets. These costs are amortized to interest expense using the effective interest method over the term of the Exchangeable Notes. Debt issuance costs of $2.9 million attributable to the equity component are netted with the equity component in stockholders’ equity, which netted to $80.8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(Loss) Income. For the three months ended March 31, 2020 and 2019, we recognized $3.0 million and $3.8 million, respectively, of non-cash interest expense related to the amortization of deferred financing costs.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Prior to the second quarter of 2019, the earnings-per-share impact of the Company’s 3% Convertible Preferred Stock, $0.0001 par value (“Series A Shares”), issued in connection with the May 2, 2016 acquisition of PEG Bandwidth, LLC, was calculated using the net share settlement method, whereby the redemption value of the instrument is assumed to be settled in cash and only the conversion premium, if any, is assumed to be settled in shares. The Series A Shares provided Uniti the option to settle the instrument in cash or shares. During the second quarter of 2019, the Company received notice from the holder of the Series A Shares of its election to convert all its shares, and the Company made an election to issue shares upon conversion, which occurred on July 2, 2019.</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dilutive effect of the Exchangeable Notes (</w:t>
      </w:r>
      <w:r>
        <w:rPr>
          <w:rFonts w:ascii="Arial" w:cs="Arial" w:eastAsia="Arial" w:hAnsi="Arial"/>
          <w:sz w:val="17"/>
          <w:szCs w:val="17"/>
          <w:u w:val="single" w:color="auto"/>
          <w:color w:val="0000EE"/>
        </w:rPr>
        <w:t>see Note 10</w:t>
      </w:r>
      <w:r>
        <w:rPr>
          <w:rFonts w:ascii="Arial" w:cs="Arial" w:eastAsia="Arial" w:hAnsi="Arial"/>
          <w:sz w:val="17"/>
          <w:szCs w:val="17"/>
          <w:color w:val="auto"/>
        </w:rPr>
        <w:t>)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r>
        <w:rPr>
          <w:rFonts w:ascii="Arial" w:cs="Arial" w:eastAsia="Arial" w:hAnsi="Arial"/>
          <w:sz w:val="17"/>
          <w:szCs w:val="17"/>
          <w:u w:val="single" w:color="auto"/>
          <w:color w:val="0000EE"/>
        </w:rPr>
        <w:t>see Note 8</w:t>
      </w:r>
      <w:r>
        <w:rPr>
          <w:rFonts w:ascii="Arial" w:cs="Arial" w:eastAsia="Arial" w:hAnsi="Arial"/>
          <w:sz w:val="17"/>
          <w:szCs w:val="17"/>
          <w:color w:val="auto"/>
        </w:rPr>
        <w:t>) is calculated using the treasury-stock method. During the three months ended March 31, 2020, the Warrants were excluded from diluted shares outstanding because the exercise price exceeded the average market price of our common stock for the reporting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80" w:type="dxa"/>
            <w:vAlign w:val="bottom"/>
            <w:tcBorders>
              <w:bottom w:val="single" w:sz="8" w:color="auto"/>
            </w:tcBorders>
            <w:vMerge w:val="continue"/>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9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12"/>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Numerator:</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shareholders</w:t>
            </w:r>
          </w:p>
        </w:tc>
        <w:tc>
          <w:tcPr>
            <w:tcW w:w="2120" w:type="dxa"/>
            <w:vAlign w:val="bottom"/>
            <w:gridSpan w:val="3"/>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(78,853)</w:t>
            </w:r>
          </w:p>
        </w:tc>
        <w:tc>
          <w:tcPr>
            <w:tcW w:w="98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5080" w:type="dxa"/>
            <w:vAlign w:val="bottom"/>
          </w:tcPr>
          <w:p>
            <w:pPr>
              <w:ind w:left="620"/>
              <w:spacing w:after="0"/>
              <w:rPr>
                <w:sz w:val="20"/>
                <w:szCs w:val="20"/>
                <w:color w:val="auto"/>
              </w:rPr>
            </w:pPr>
            <w:r>
              <w:rPr>
                <w:rFonts w:ascii="Arial" w:cs="Arial" w:eastAsia="Arial" w:hAnsi="Arial"/>
                <w:sz w:val="18"/>
                <w:szCs w:val="18"/>
                <w:color w:val="auto"/>
              </w:rPr>
              <w:t>Amortization of discount on convertible preferred stock</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common shares</w:t>
            </w:r>
          </w:p>
        </w:tc>
        <w:tc>
          <w:tcPr>
            <w:tcW w:w="1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(79,056)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Denominator:</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40" w:type="dxa"/>
            <w:vAlign w:val="bottom"/>
            <w:vMerge w:val="restart"/>
          </w:tcPr>
          <w:p>
            <w:pPr>
              <w:jc w:val="right"/>
              <w:ind w:right="71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ind w:right="79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ind w:right="812"/>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shareholders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(78,853)</w:t>
            </w:r>
          </w:p>
        </w:tc>
        <w:tc>
          <w:tcPr>
            <w:tcW w:w="86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50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5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6700" w:type="dxa"/>
            <w:vAlign w:val="bottom"/>
            <w:gridSpan w:val="2"/>
          </w:tcPr>
          <w:p>
            <w:pPr>
              <w:ind w:left="620"/>
              <w:spacing w:after="0"/>
              <w:rPr>
                <w:sz w:val="20"/>
                <w:szCs w:val="20"/>
                <w:color w:val="auto"/>
              </w:rPr>
            </w:pPr>
            <w:r>
              <w:rPr>
                <w:rFonts w:ascii="Arial" w:cs="Arial" w:eastAsia="Arial" w:hAnsi="Arial"/>
                <w:sz w:val="18"/>
                <w:szCs w:val="18"/>
                <w:color w:val="auto"/>
              </w:rPr>
              <w:t>Amortization of discount on convertible preferred stock</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Impact on if-converted dilutive securities</w:t>
            </w: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ind w:left="260"/>
              <w:spacing w:after="0"/>
              <w:rPr>
                <w:sz w:val="20"/>
                <w:szCs w:val="20"/>
                <w:color w:val="auto"/>
              </w:rPr>
            </w:pPr>
            <w:r>
              <w:rPr>
                <w:rFonts w:ascii="Arial" w:cs="Arial" w:eastAsia="Arial" w:hAnsi="Arial"/>
                <w:sz w:val="18"/>
                <w:szCs w:val="18"/>
                <w:color w:val="auto"/>
              </w:rPr>
              <w:t>Net (loss) income attributable to common shares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(79,056)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192,236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Impact on if-converted dilutive securities</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Weighted-average shares for dilutive earnings per common share</w:t>
            </w: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Dilutive earnings (loss) per common share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For the three months ended March 31, 2020, 28,867,703 potential common shares related to the Exchangeable Notes and 747,274 non-participating securities were excluded from the computation of earnings per share, as their effect would have been anti-dilutive. For the three months ended March 31, 2019, 261,543 non-participating securities were excluded from the computation of diluted earnings per share, as the performance conditions were not met.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four reportable segments in addition to our corporate operations, which include: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business,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color w:val="auto"/>
        </w:rPr>
        <w:t>: Represents the operations of our towers business, Uniti Towers, through which we acquire and construct tower and tower-related real estate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lease space on communications towers to wireless service providers and other tenants in the United States. On April 2, 2019, the Company completed the sale of LATAM and no longer has on-going operations in Latin America. On May 23, 2019, the Company completed the sale of substantially all of its ground lease business located across the United States. In February 2020, we entered into a definitive agreement to sell 486 of our U.S. towers located across 32 states for total cash consideration of approximately $190 million, subject to adjustments. </w:t>
      </w:r>
      <w:r>
        <w:rPr>
          <w:rFonts w:ascii="Arial" w:cs="Arial" w:eastAsia="Arial" w:hAnsi="Arial"/>
          <w:sz w:val="17"/>
          <w:szCs w:val="17"/>
          <w:u w:val="single" w:color="auto"/>
          <w:color w:val="0000EE"/>
        </w:rPr>
        <w:t>See Note 5</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-153035</wp:posOffset>
            </wp:positionV>
            <wp:extent cx="2540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 the Consumer CLEC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Spin-Off was reported as an integrated operation within Windstream. Talk America provides local telephone, high-speed internet and long distance services to customers in the eastern and central United States. We have commenced a wind down of our Consumer CLEC business, which we estimate will be completed during the second quarter of 2020.</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Management evaluates the performance of each segment using Adjusted EBITDA, which is a segment performance measure we define as net income determined in accordance with GAAP, before interest expense, provision for income taxes, depreciation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amortization, stock-based compensation expense, the impact, which may be recurring in nature, of transaction and integration related expenses, costs associated with Windstream’s bankruptcy, costs associated with litigation claims made against us, and costs associated with the implementation of our new enterprise resource planning system, the write off of unamortized deferred financing costs, costs incurred as a result of the early repayment of debt, gains or losses on dispositions,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months ended March 31, 2020 and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Three Months Ended March 31, 2020</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Fiber Infrastructure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Consumer CLEC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Reportable</w:t>
            </w:r>
          </w:p>
        </w:tc>
        <w:tc>
          <w:tcPr>
            <w:tcW w:w="0" w:type="dxa"/>
            <w:vAlign w:val="bottom"/>
          </w:tcPr>
          <w:p>
            <w:pPr>
              <w:spacing w:after="0"/>
              <w:rPr>
                <w:sz w:val="1"/>
                <w:szCs w:val="1"/>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184,352</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3,720</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266,162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181,879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27,541</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940" w:type="dxa"/>
            <w:vAlign w:val="bottom"/>
            <w:gridSpan w:val="3"/>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(7,715)</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3"/>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54,622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86,121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3"/>
            <w:vMerge w:val="restart"/>
          </w:tcPr>
          <w:p>
            <w:pPr>
              <w:ind w:left="14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3"/>
          </w:tcPr>
          <w:p>
            <w:pPr>
              <w:ind w:left="140"/>
              <w:spacing w:after="0"/>
              <w:rPr>
                <w:sz w:val="20"/>
                <w:szCs w:val="20"/>
                <w:color w:val="auto"/>
              </w:rPr>
            </w:pPr>
            <w:r>
              <w:rPr>
                <w:rFonts w:ascii="Arial" w:cs="Arial" w:eastAsia="Arial" w:hAnsi="Arial"/>
                <w:sz w:val="18"/>
                <w:szCs w:val="18"/>
                <w:color w:val="auto"/>
                <w:w w:val="94"/>
              </w:rPr>
              <w:t>Transaction related and 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3"/>
            <w:vMerge w:val="restart"/>
          </w:tcPr>
          <w:p>
            <w:pPr>
              <w:ind w:left="140"/>
              <w:spacing w:after="0"/>
              <w:rPr>
                <w:sz w:val="20"/>
                <w:szCs w:val="20"/>
                <w:color w:val="auto"/>
              </w:rPr>
            </w:pPr>
            <w:r>
              <w:rPr>
                <w:rFonts w:ascii="Arial" w:cs="Arial" w:eastAsia="Arial" w:hAnsi="Arial"/>
                <w:sz w:val="18"/>
                <w:szCs w:val="18"/>
                <w:color w:val="auto"/>
              </w:rPr>
              <w:t>costs</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Income tax benefit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w w:val="94"/>
              </w:rPr>
              <w:t>Three Months Ended March 31, 2019</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w w:val="98"/>
              </w:rPr>
              <w:t>Subtotal of</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7"/>
              </w:rPr>
              <w:t>Fiber Infrastructure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2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8"/>
              </w:rPr>
              <w:t>Consumer CLEC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Reportable</w:t>
            </w:r>
          </w:p>
        </w:tc>
        <w:tc>
          <w:tcPr>
            <w:tcW w:w="0" w:type="dxa"/>
            <w:vAlign w:val="bottom"/>
          </w:tcPr>
          <w:p>
            <w:pPr>
              <w:spacing w:after="0"/>
              <w:rPr>
                <w:sz w:val="1"/>
                <w:szCs w:val="1"/>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176,083</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76,833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261,031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174,751</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646</w:t>
            </w:r>
          </w:p>
        </w:tc>
        <w:tc>
          <w:tcPr>
            <w:tcW w:w="8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(5,447)</w:t>
            </w:r>
          </w:p>
        </w:tc>
        <w:tc>
          <w:tcPr>
            <w:tcW w:w="26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200,275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73,754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28,258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86"/>
              </w:rPr>
              <w:t>346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103,827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3"/>
            <w:vMerge w:val="restart"/>
          </w:tcPr>
          <w:p>
            <w:pPr>
              <w:ind w:left="14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5"/>
        </w:trPr>
        <w:tc>
          <w:tcPr>
            <w:tcW w:w="2380" w:type="dxa"/>
            <w:vAlign w:val="bottom"/>
            <w:gridSpan w:val="3"/>
          </w:tcPr>
          <w:p>
            <w:pPr>
              <w:ind w:left="140"/>
              <w:spacing w:after="0"/>
              <w:rPr>
                <w:sz w:val="20"/>
                <w:szCs w:val="20"/>
                <w:color w:val="auto"/>
              </w:rPr>
            </w:pPr>
            <w:r>
              <w:rPr>
                <w:rFonts w:ascii="Arial" w:cs="Arial" w:eastAsia="Arial" w:hAnsi="Arial"/>
                <w:sz w:val="18"/>
                <w:szCs w:val="18"/>
                <w:color w:val="auto"/>
                <w:w w:val="94"/>
              </w:rPr>
              <w:t>Transaction related and 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3"/>
            <w:vMerge w:val="restart"/>
          </w:tcPr>
          <w:p>
            <w:pPr>
              <w:ind w:left="140"/>
              <w:spacing w:after="0"/>
              <w:rPr>
                <w:sz w:val="20"/>
                <w:szCs w:val="20"/>
                <w:color w:val="auto"/>
              </w:rPr>
            </w:pPr>
            <w:r>
              <w:rPr>
                <w:rFonts w:ascii="Arial" w:cs="Arial" w:eastAsia="Arial" w:hAnsi="Arial"/>
                <w:sz w:val="18"/>
                <w:szCs w:val="18"/>
                <w:color w:val="auto"/>
              </w:rPr>
              <w:t>costs</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FF0FC"/>
            </w:tcBorders>
            <w:gridSpan w:val="3"/>
          </w:tcPr>
          <w:p>
            <w:pPr>
              <w:ind w:left="140"/>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 If Windstream assumes the Separation and Distribution Agreement and/or the Master Lease in bankruptcy, it would be obligated to honor all indemnification claims arising under such agreement. If the Separation and Distribution Agreement and or the Master Lease are rejected in Windstream’s bankruptcy, any claims on the applicable indemnity would be treated as unsecured claims, and, if that were to occur, there can be no assurance we would receive any related indemnification payments from Windstream in connection with the applicable indemnity claims.</w:t>
      </w:r>
    </w:p>
    <w:p>
      <w:pPr>
        <w:spacing w:after="0" w:line="18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On July 25, 2019, in connection with Windstream’s bankruptcy, Windstream Holdings and Windstream Services, LLC (“Windstream Services”) filed a complaint with the U.S. Bankruptcy Court for the Southern District of New York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 As further described below, an adverse determination in the adversary proceeding with Windstream could materially adversely affect our results of operations, liquidity and financial condition and our status as a REIT.</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Rejection</w:t>
      </w:r>
      <w:r>
        <w:rPr>
          <w:rFonts w:ascii="Arial" w:cs="Arial" w:eastAsia="Arial" w:hAnsi="Arial"/>
          <w:sz w:val="17"/>
          <w:szCs w:val="17"/>
          <w:color w:val="auto"/>
        </w:rPr>
        <w:t>. In bankruptcy, Windstream has the option to assume or reject the Master Lease. Because the Master Lease is a single indivisible Master Lease</w:t>
      </w:r>
      <w:r>
        <w:rPr>
          <w:rFonts w:ascii="Arial" w:cs="Arial" w:eastAsia="Arial" w:hAnsi="Arial"/>
          <w:sz w:val="17"/>
          <w:szCs w:val="17"/>
          <w:i w:val="1"/>
          <w:iCs w:val="1"/>
          <w:color w:val="auto"/>
        </w:rPr>
        <w:t xml:space="preserve"> </w:t>
      </w:r>
      <w:r>
        <w:rPr>
          <w:rFonts w:ascii="Arial" w:cs="Arial" w:eastAsia="Arial" w:hAnsi="Arial"/>
          <w:sz w:val="17"/>
          <w:szCs w:val="17"/>
          <w:color w:val="auto"/>
        </w:rPr>
        <w:t>with a single rent payment, it must be assumed or rejected in whole and cannot be sub-divided by facility or market.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we believe Windstream would require approval from the applicable PUC and the FCC to cease providing service in those markets. As a result, although we can provide no assurances, we believe the probability of Windstream rejecting the Master Lease in bankruptcy to be remote. A rejection of the Master Lease, or even a temporary disruption in payments to us, would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our debt service obligations and could otherwise affect our ability to maintain REIT status.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rejection of the Master Lease by Windstream could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 An acceleration of debt under our senior secured credit facilities due to an uncured “event of default” under our Credit Agreement would also result in an “event of default” under the terms of our outstanding notes. Such an “event of default” would give the holders of the applicable debt obligation the right to accelerate our repayment obligations relating to such debt.</w:t>
      </w:r>
    </w:p>
    <w:p>
      <w:pPr>
        <w:spacing w:after="0" w:line="1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Master Lease contains no provision that contemplates renegotiation of the lease and the bankruptcy court has no ability to unilaterally reset the rent or terms of the lease. In addition, our Credit Agreement prohibits us from amending the Master Lease in a manner that, among other provisions, pro forma for any such amendment, would result in our consolidated secured leverage ratio exceeding 5.00 to 1.00, and management has no intention to enter into a lease amendment that would violate our debt covenants. However, it is difficult to predict what could occur in Windstream’s bankruptcy restructuring, including as a result of the adversary proceeding brought by Windstream related to the Master Lease if the Settlement is not implemented.</w:t>
      </w:r>
    </w:p>
    <w:p>
      <w:pPr>
        <w:spacing w:after="0" w:line="16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Recharacterization / Pending Master Lease Litigation</w:t>
      </w:r>
      <w:r>
        <w:rPr>
          <w:rFonts w:ascii="Arial" w:cs="Arial" w:eastAsia="Arial" w:hAnsi="Arial"/>
          <w:sz w:val="18"/>
          <w:szCs w:val="18"/>
          <w:color w:val="auto"/>
        </w:rPr>
        <w:t>. On July 25, 2019, in connection with Windstream’s bankruptcy, Windstream Holdings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Windstream Services filed a complaint with the U.S. Bankruptcy Court for the Southern District of New York against Uniti and certain of its affiliates, alleging¸ among other things, that (1) the Master Lease should be recharacterized as a financing arrangement, (2) rent payments and tenant capital improvements made by Windstream under the Master Lease since at least the third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quarter of 2017 constitute constructive fraudulent transfers, (3) the Master Lease is a lease of personal property and (4) Uniti has breached its non-competition obligations to Windstream under the Master Lease, each of which allegations is discussed in more detail below. As described above, the trial for the recharacterization claim has been stayed.</w:t>
      </w:r>
    </w:p>
    <w:p>
      <w:pPr>
        <w:spacing w:after="0" w:line="18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u w:val="single" w:color="auto"/>
          <w:color w:val="auto"/>
        </w:rPr>
        <w:t>Recharacterization</w:t>
      </w:r>
      <w:r>
        <w:rPr>
          <w:rFonts w:ascii="Arial" w:cs="Arial" w:eastAsia="Arial" w:hAnsi="Arial"/>
          <w:sz w:val="16"/>
          <w:szCs w:val="16"/>
          <w:color w:val="auto"/>
        </w:rPr>
        <w:t>. Windstream asserts that the Master Lease should be recharacterized as a financing arrangement. If the Master Lease were recharacterized as a financing arrangement, Windstream has argued that Windstream should be deemed the true owner of the property subject to the Master Lease, and Uniti should be treated as a creditor of Windstream rather than as a landlord. In evaluating a recharacterization claim, the Bankruptcy Court will look to assess, among other things, the “economic realities” of the transaction and may reach conclusions notwithstanding positions previously taken by Windstream or Uniti as to the nature of the Master Lease, whether publicly or otherwise. In assessing claims for recharacterization of a transaction involving a lease, bankruptcy courts have previously considered such factors as (i) whether the lessor retains residual value at the termination of the lease,</w:t>
      </w:r>
    </w:p>
    <w:p>
      <w:pPr>
        <w:spacing w:after="0" w:line="4" w:lineRule="exact"/>
        <w:rPr>
          <w:sz w:val="20"/>
          <w:szCs w:val="20"/>
          <w:color w:val="auto"/>
        </w:rPr>
      </w:pPr>
    </w:p>
    <w:p>
      <w:pPr>
        <w:ind w:right="220" w:firstLine="8"/>
        <w:spacing w:after="0" w:line="288"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“rental” payments were calculated to compensate the lessor for the use of the property, or were structured for another purpose, such as providing a specific return on investment, (iii) whether in a sale-leaseback transaction the purchase price charged for the assets related to the fair market value of the assets or a substantially different amount, such as the amount of financing required by the lessee, (iv) whether the property was purchased specifically for the lessee’s use, (v) whether structuring the transaction as a lease conveyed tax advantages for the parties, and (vi) who bears the risk and benefits of ownership, including whether the lessee retains obligations typically associated with ownership, such as responsibility for property taxes and insurance. Because any determination by the Bankruptcy Court will involve complex factual and legal analysis, including with respect to the factors described above, we cannot provide any assurances as to how the Bankruptcy Court may rule on these issues.</w:t>
      </w:r>
    </w:p>
    <w:p>
      <w:pPr>
        <w:spacing w:after="0" w:line="16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Were the Bankruptcy Court to hold that the Master Lease should be recharacterized as a financing arrangement, it could significantly affect or even eliminate current payments to us under the Master Lease and could significantly affect the ultimate treatment of our claims (including potentially through changing our status to that of a creditor that would share in creditor recoveries from the estate rather than receive rent payments). The Bankruptcy Court could determine that Windstream is the true owner of the property subject to the Master Lease, and we have argued that such property would be deemed to be owned by Windstream Holdings as the counterparty to the Master Lease and that Uniti would have a claim against Windstream Holdings that is secured by such property. Windstream has argued that such property would instead be owned by the operating subsidiaries that previously held it and that our claims would be against Windstream Holdings as the counterparty to the Master Lease. In such an event, the Bankruptcy Court would also determine if our claims are secured by an interest in the leased property. If the Bankruptcy Court were to determine that our claims are not secured by an interest in the leased property, our claims could be unsecured and structurally subordinated to the claims of creditors at Windstream Holdings’ subsidiaries, including Windstream Services. Windstream Services is the issuer of substantially all of Windstream’s debt obligations and certain of its operating subsidiaries guarantee such debt obligations. Were we to be treated as an unsecured creditor of Windstream Holdings, we would not be able to recover any value from Windstream Services or such other operating subsidiaries until all of their respective debt obligations have been satisfied and, in such event, the notes and the guarantees of the notes would only be secured on a first-priority basis by certain of our assets that do not constitute the property subject to the Master Lease. In the event of such an adverse determination, our ability to meet our debt and other obligations could be materially impaired. In addition, recharacterization of the Master Lease as a financing arrangement, depending on the findings of fact and law of, and remedies applied by, the Bankruptcy Court, could affect the U.S. federal income tax treatment of the Master Lease, our status as a REIT (see in Part I, Item 1A "Risk Factors" of our Annual Report on Form 10-K for the year ended December 31, 2019—Risks Related to the Status of Uniti as a REIT) and could materially adversely affect our consolidated results of operations, liquidity, and financial condition.</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Constructive Fraudulent Transfer</w:t>
      </w:r>
      <w:r>
        <w:rPr>
          <w:rFonts w:ascii="Arial" w:cs="Arial" w:eastAsia="Arial" w:hAnsi="Arial"/>
          <w:sz w:val="16"/>
          <w:szCs w:val="16"/>
          <w:color w:val="auto"/>
        </w:rPr>
        <w:t>. Windstream alleges that rent payments and tenant capital improvements made by Windstream under the Master Lease since at least the third quarter of 2017 constitute constructive fraudulent transfers. If the constructive fraudulent transfer claim were successful, Uniti may be required to repay Windstream the amount of rent payments made by Windstream above fair market rent as determined by the Bankruptcy Court and the aggregate amount of all tenant capital improvements made by Windstream, in each case since the date on which the Bankruptcy Court found Windstream to have been insolvent. In its complaint in the adversary proceeding, Windstream alleges that it has paid approximately $366 million for tenant capital improvements under the Master Lease from the fourth quarter of 2017 through November 2019, in addition to making substantial rent payments. As any such calculation of fair market rent and any resulting damages would be a fact-intensive inquiry, it is not possible to provide a likely range of damages at this time, but any such damages award could materially adversely affect our consolidated results of operations, liquidity,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Master Lease for Personal Property</w:t>
      </w:r>
      <w:r>
        <w:rPr>
          <w:rFonts w:ascii="Arial" w:cs="Arial" w:eastAsia="Arial" w:hAnsi="Arial"/>
          <w:sz w:val="16"/>
          <w:szCs w:val="16"/>
          <w:color w:val="auto"/>
        </w:rPr>
        <w:t>. Windstream alleges that the Master Lease is a lease of personal property. If the Master Lease were determined to be a lease of personal property, the deadline for Windstream Holdings to assume or reject the Master Lease would be the confirmation of its plan of reorganization by the Bankruptcy Court, which would extend the deadline that would otherwise be applicable under the bankruptcy code if the Master Lease were treated as a lease of real property, and Windstream could seek from the Bankruptcy Court relief from its current performance obligations during the bankruptcy case. In addition, if the Master Lease were determined to be a lease of personal property, this could also impact our status as a REIT if the Internal Revenue Service were to determine that our gross income is not sufficiently derived from real property. On January 21, 2020, Windstream agreed to stay, without prejudice, its action seeking a determination that the Master Lease is a lease of personal property.</w:t>
      </w:r>
    </w:p>
    <w:p>
      <w:pPr>
        <w:spacing w:after="0" w:line="16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u w:val="single" w:color="auto"/>
          <w:color w:val="auto"/>
        </w:rPr>
        <w:t>Breach of Contract</w:t>
      </w:r>
      <w:r>
        <w:rPr>
          <w:rFonts w:ascii="Arial" w:cs="Arial" w:eastAsia="Arial" w:hAnsi="Arial"/>
          <w:sz w:val="18"/>
          <w:szCs w:val="18"/>
          <w:color w:val="auto"/>
        </w:rPr>
        <w:t>. Windstream alleges that Uniti has breached its non-competition obligations to Windstream under the Master Lease and that Windstream is entitled to damages and/or an abatement of rent as a result of such breach, although no damages amount has been asserted. We believe this claim is without merit and in any event do not believe damages would be material.</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Mediation</w:t>
      </w:r>
      <w:r>
        <w:rPr>
          <w:rFonts w:ascii="Arial" w:cs="Arial" w:eastAsia="Arial" w:hAnsi="Arial"/>
          <w:sz w:val="18"/>
          <w:szCs w:val="18"/>
          <w:color w:val="auto"/>
        </w:rPr>
        <w:t>. Uniti, Windstream and Windstream’s creditors engaged in mediation in the Windstream bankruptcy to resolve claims brought by Windstream</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Uniti, which culminated in the March 2, 2020 announcement of the Settlement. On May 8, 2020, the U.S. Bankruptcy Court for the Southern District of New York approved the Settlement.</w:t>
      </w:r>
    </w:p>
    <w:p>
      <w:pPr>
        <w:spacing w:after="0" w:line="18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Pursuant to the Settlement, Uniti and Windstream will agree to mutual releases with respect to any and all liability related to any claims and causes of action between them, including those relating to Windstream’s Chapter 11 proceedings and the Master Lease. Under the Settlement, Uniti will agree to make a $400 million cash payment to Windstream in equal installments over 20 consecutive quarters beginning the first month after Windstream’s emergence from bankruptcy at an annual interest rate of 9%, and Uniti may prepay any installments falling due on or after the first anniversary of the Settlement’s effective date (resulting in total payments ranging from $432-$490 million). Uniti will also transfer the proceeds from the sale of its common stock described below to Windstream. In exchange, Windstream will transfer to Uniti certain dark fiber indefeasible rights of use (“IRU”) contracts and will grant exclusive rights to 1.8 million fiber strand miles leased by Windstream that is either unutilized or utilized for the dark fiber IRUs being transferred. Uniti will be required to pay Windstream $350 per route mile on any fiber strand miles that are sold above and beyond the fiber strand miles currently being utilized in connection with such dark fiber IRUs. In addition, Uniti will acquire certain Windstream-owned assets, including certain fiber IRU contracts.</w:t>
      </w:r>
    </w:p>
    <w:p>
      <w:pPr>
        <w:spacing w:after="0" w:line="18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Windstream and Uniti will also agree to bifurcate the Master Lease into two structurally similar, but independent, agreements to govern the ILEC and CLEC facilities, respectively. Certain copper CLEC assets will be governed under the New Lease relating to the ILEC facilities. The initial aggregate annual rent under the New Leases will be equal to the annual rent under the Master Lease currently in effect. Each of Windstream Holdings, Inc., Windstream Services, LLC, and certain subsidiaries and/or newly formed affiliated entities will become parties to the New Leases. The New Leases will contain cross-guarantees and cross-default provisions, which will remain effective as long as Windstream or an affiliate is a tenant under one of the New Leases. In addition, the New Leases will be amended to require that Windstream maintain certain financial covenants and to permit Uniti to transfer its rights and obligations and otherwise monetize or encumber the New Leases so long as it does not transfer interests to a Windstream competitor.</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the Settlement, Uniti will agree to fund up to an aggregate $1.75 billion in growth capital improvements in long-term fiber and related assets in certain ILEC and CLEC properties. Growth Capital Improvements will exclude maintenance or repair expenditures and expenditures toward fiber replacement in excess of $70 million per year and will be subject to Uniti’s approval based on underwriting standards to be included in the New Leases. Annual commitments by Uniti for the Growth Capital Improvements will comprise: $125 million in 2020; $225 million per year in 2021 through 2024; $175 million per year in 2025 and 2026; and $125 million per year in 2027 through 2029. Windstream will be entitled to reimbursement for any cumulative Growth Capital Improvements it incurs in excess of the foregoing annual amounts from the commitment amounts in a subsequent period. On the first anniversary of an installment of funding for a Growth Capital Improvement, the annual base rent payable by Windstream will increase by an amount equal to 8.0% of such installment of funding. The Rent Rate will thereafter increase to 100.5% of the prior Rent Rate in subsequent years.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Settlement, if Windstream is not in compliance with the terms and conditions of the New Leases, Uniti will not be required to fund Growth Capital Improvements. In the event Uniti defaults or otherwise fails to timely satisfy its obligations under the New Leases and Windstream is in compliance with the terms of the New Leases, then Windstream has the right to deduct from the subsequent rent payment or payments, amounts otherwise owed to Windstream.</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Settlement, Uniti also entered into binding letters of intent on March 2, 2020 with certain first lien creditors of Windstream, pursuant to which Uniti will sell an aggregate of 38,633,470 shares of Uniti common stock, par value $0.0001 per share, at $6.33 per share, which represents the closing price of Uniti common stock on the date when an agreement in principle of the basic outline of the Settlement was first reached (the “Settlement Common Stock”). Uniti will transfer the proceeds from the sale of the Settlement Common Stock to Windstream as additional settlement consideration. The issuance and sale of the Settlement Common Stock will be made in reliance upon the exemption from registration requirements pursuant to Section 4(a)(2) of the Securities Act of 1933, as amended. Certain recipients of the Settlement Common Stock will be subject to a one-year lock up, and all recipients will be subject to a customary standstill agreement. No recipient will receive any governance rights in connection with the issuance.</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Finally, on March 2, 2020, Uniti, Windstream and certain of Windstream’s creditors entered into a Plan Support Agreement. Pursuant to the Plan Support Agreement, the Parties agreed to support the Settlement and the approval of a plan of reorganization for Windstream on the terms and subject to the conditions described therein. The Plan Support Agreement is terminable by the Parties upon the occurrence of certain specified termination events, including, among other things, (i) the failure by Windstream to timely appeal any order by the bankruptcy court denying the Settlement or any order overturning an order approving the Settlement on appeal, and (ii) the issuance by a regulatory authority of an order enjoining, or the commencement of an action that could be reasonably expected to enjoin, material portions of the settlement or substantial consummation of the Settlement (subject to a 10 day cure period).</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Settlement is subject to finalizing and executing definitive documentation, the receipt of certain regulatory approvals and other conditions precedent, including Uniti’s receipt of satisfactory “true lease” opinions confirming that the New Leases are “true leases” for U.S. federal income tax purposes. Following satisfaction of all such conditions precedent, consummation of the Settlement will occur on the earlier of Windstream’s emergence from bankruptcy and February 28, 2021. All litigation between Windstream and Uniti, including matters referenced herein, is stayed while the parties implement the Settlement.</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While the Windstream Master Lease litigation is currently stayed, it is difficult to predict what could occur in Windstream’s bankruptcy restructuring. However, any adverse determination or judicial decision on one or more of the claims against us could materially adversely affect our consolidated results of operations, liquidity, and financial condition or, in certain circumstances, cause us to file for voluntary Chapter 11 protection. The Settlement, if effectuated, would result in mutual releases with respect to any and all liability related to any claims and causes of action that currently exist between Uniti and Windstream. As of the date of this Quarterly Report on Form 10-Q, we are unable to determine what, if any, portion of the consideration to be paid to Windstream would be classified as settlement of litigation, and therefore, we have not recorded any liabilities associated with these claims in our Condensed Consolidated Balance Sheet. However, we could incur a loss related to the Settlement in future periods.</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but no decision has been issued.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9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Ibrahim E. Safadi, Phil Queder and Michael Avery filed separate putative class actions in the U.S. District Court for the Eastern District of Arkansas against the Company and certain of our officers on October 25, 2019, December 6, 2019, and December 23, 2019, respectively, alleging violations of the federal securities laws (the “Shareholder Actions”). The Shareholder Actions seek to represent investors who acquired the Company’s securities between April 20, 2015 and February 15, 2019 (in the case of the Safadi and Queder actions) and April 20, 2015 and June 24, 2019 (in the case of the Avery action). The Shareholder Actions assert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Shareholder Actions seek class certification, unspecified monetary damages, costs and attorneys’ fees and other relief.</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On March 12, 2020, the U.S. District Court for the Eastern District of Arkansas consolidated the Shareholder Actions and appointed lead plaintiffs and lead counsel in the consolidated cases under the caption </w:t>
      </w:r>
      <w:r>
        <w:rPr>
          <w:rFonts w:ascii="Arial" w:cs="Arial" w:eastAsia="Arial" w:hAnsi="Arial"/>
          <w:sz w:val="17"/>
          <w:szCs w:val="17"/>
          <w:i w:val="1"/>
          <w:iCs w:val="1"/>
          <w:color w:val="auto"/>
        </w:rPr>
        <w:t>In re Uniti Group Inc. Securities Litigation</w:t>
      </w:r>
      <w:r>
        <w:rPr>
          <w:rFonts w:ascii="Arial" w:cs="Arial" w:eastAsia="Arial" w:hAnsi="Arial"/>
          <w:sz w:val="17"/>
          <w:szCs w:val="17"/>
          <w:color w:val="auto"/>
        </w:rPr>
        <w:t>.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 as of March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u w:val="single" w:color="auto"/>
          <w:color w:val="auto"/>
        </w:rPr>
        <w:t>Growth Capital Expenditures</w:t>
      </w:r>
      <w:r>
        <w:rPr>
          <w:rFonts w:ascii="Arial" w:cs="Arial" w:eastAsia="Arial" w:hAnsi="Arial"/>
          <w:sz w:val="18"/>
          <w:szCs w:val="18"/>
          <w:color w:val="auto"/>
        </w:rPr>
        <w:t>. We have the right, but not the obligation, to fund growth capital expenditures in certain of our lease arrangements where we are the lessor. As of March 31, 2020, the Company has committed to fund approximately $7.5 million of growth capital expenditures over the next twelve months.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income by component is as follows for the three months ended March 31, 2020 and 2019:</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71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r>
      <w:tr>
        <w:trPr>
          <w:trHeight w:val="223"/>
        </w:trPr>
        <w:tc>
          <w:tcPr>
            <w:tcW w:w="6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flow hedge changes in fair value (loss) gain:</w:t>
            </w: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(23,442)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30,042</w:t>
            </w:r>
          </w:p>
        </w:tc>
        <w:tc>
          <w:tcPr>
            <w:tcW w:w="100" w:type="dxa"/>
            <w:vAlign w:val="bottom"/>
          </w:tcPr>
          <w:p>
            <w:pPr>
              <w:spacing w:after="0"/>
              <w:rPr>
                <w:sz w:val="19"/>
                <w:szCs w:val="19"/>
                <w:color w:val="auto"/>
              </w:rPr>
            </w:pPr>
          </w:p>
        </w:tc>
      </w:tr>
      <w:tr>
        <w:trPr>
          <w:trHeight w:val="229"/>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4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(7,713)</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(19,626)</w:t>
            </w:r>
          </w:p>
        </w:tc>
      </w:tr>
      <w:tr>
        <w:trPr>
          <w:trHeight w:val="229"/>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(2,060)</w:t>
            </w:r>
          </w:p>
        </w:tc>
      </w:tr>
      <w:tr>
        <w:trPr>
          <w:trHeight w:val="223"/>
        </w:trPr>
        <w:tc>
          <w:tcPr>
            <w:tcW w:w="714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(30,478)</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Less: Other comprehensive loss attributable to noncontrolling interest</w:t>
            </w:r>
          </w:p>
        </w:tc>
        <w:tc>
          <w:tcPr>
            <w:tcW w:w="4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r>
      <w:tr>
        <w:trPr>
          <w:trHeight w:val="223"/>
        </w:trPr>
        <w:tc>
          <w:tcPr>
            <w:tcW w:w="714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140" w:type="dxa"/>
            <w:vAlign w:val="bottom"/>
            <w:gridSpan w:val="2"/>
          </w:tcPr>
          <w:p>
            <w:pPr>
              <w:spacing w:after="0"/>
              <w:rPr>
                <w:sz w:val="20"/>
                <w:szCs w:val="20"/>
                <w:color w:val="auto"/>
              </w:rPr>
            </w:pPr>
            <w:r>
              <w:rPr>
                <w:rFonts w:ascii="Arial" w:cs="Arial" w:eastAsia="Arial" w:hAnsi="Arial"/>
                <w:sz w:val="18"/>
                <w:szCs w:val="18"/>
                <w:color w:val="auto"/>
              </w:rPr>
              <w:t>Interest rate swap termination:</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Translation adjustments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r>
      <w:tr>
        <w:trPr>
          <w:trHeight w:val="229"/>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Balance at end of period</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r>
      <w:tr>
        <w:trPr>
          <w:trHeight w:val="229"/>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Accumulated other comprehensive (loss) income at end of period</w:t>
            </w: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(28,717)</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May </w:t>
      </w:r>
      <w:r>
        <w:rPr>
          <w:rFonts w:ascii="Arial" w:cs="Arial" w:eastAsia="Arial" w:hAnsi="Arial"/>
          <w:sz w:val="18"/>
          <w:szCs w:val="18"/>
          <w:color w:val="212529"/>
        </w:rPr>
        <w:t>2020, we</w:t>
      </w:r>
      <w:r>
        <w:rPr>
          <w:rFonts w:ascii="Arial" w:cs="Arial" w:eastAsia="Arial" w:hAnsi="Arial"/>
          <w:sz w:val="18"/>
          <w:szCs w:val="18"/>
          <w:color w:val="auto"/>
        </w:rPr>
        <w:t xml:space="preserve"> renegotiated the terms of the sale of our U.S. towers, which is subject to finalizing definitive documentation and various closing conditions. As contemplated, we will sell </w:t>
      </w:r>
      <w:r>
        <w:rPr>
          <w:rFonts w:ascii="Arial" w:cs="Arial" w:eastAsia="Arial" w:hAnsi="Arial"/>
          <w:sz w:val="18"/>
          <w:szCs w:val="18"/>
          <w:color w:val="212529"/>
        </w:rPr>
        <w:t>90%</w:t>
      </w:r>
      <w:r>
        <w:rPr>
          <w:rFonts w:ascii="Arial" w:cs="Arial" w:eastAsia="Arial" w:hAnsi="Arial"/>
          <w:sz w:val="18"/>
          <w:szCs w:val="18"/>
          <w:color w:val="auto"/>
        </w:rPr>
        <w:t xml:space="preserve"> of the U.S. towers business, including approximately 486 of our U.S. towers located across 32 states, to Melody Investment Advisors (“Melody”) for approximately </w:t>
      </w:r>
      <w:r>
        <w:rPr>
          <w:rFonts w:ascii="Arial" w:cs="Arial" w:eastAsia="Arial" w:hAnsi="Arial"/>
          <w:sz w:val="18"/>
          <w:szCs w:val="18"/>
          <w:color w:val="212529"/>
        </w:rPr>
        <w:t>$220.0 million,</w:t>
      </w:r>
      <w:r>
        <w:rPr>
          <w:rFonts w:ascii="Arial" w:cs="Arial" w:eastAsia="Arial" w:hAnsi="Arial"/>
          <w:sz w:val="18"/>
          <w:szCs w:val="18"/>
          <w:color w:val="auto"/>
        </w:rPr>
        <w:t xml:space="preserve"> subject to adjustments. Uniti will retain a </w:t>
      </w:r>
      <w:r>
        <w:rPr>
          <w:rFonts w:ascii="Arial" w:cs="Arial" w:eastAsia="Arial" w:hAnsi="Arial"/>
          <w:sz w:val="18"/>
          <w:szCs w:val="18"/>
          <w:color w:val="212529"/>
        </w:rPr>
        <w:t>10</w:t>
      </w:r>
      <w:r>
        <w:rPr>
          <w:rFonts w:ascii="Arial" w:cs="Arial" w:eastAsia="Arial" w:hAnsi="Arial"/>
          <w:sz w:val="18"/>
          <w:szCs w:val="18"/>
          <w:color w:val="auto"/>
        </w:rPr>
        <w:t>% investment interest through an affiliate of Melody, and receive incremental earn-out payments for each additional tower completed in 2020.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months ended March 31, 2020. This discussion should be read in conjunction with the accompanying Condensed Consolidated Financial Statements, and the notes thereto set forth in Part I, Item 1 of this Quarterly Report on Form 10-Q and our Annual Report on Form 10-K for the year ended December 31, 2019, filed with the Securities and Exchange Commission (the “SEC”) on March 12,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6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6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certain aspects of our towers business,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March 31, 2020, we are the sole general partner of the Operating Partnership and own approximately 98.2% of the partnership interests in the Operating Partnership. In addition, beginning on December 31, 2019, we undertook a series of transactions, including the issuance by one of our subsidiaries of convertible preferred stock to third parties with an aggregate liquidation value of $125,000, to permit us to hold certain of our assets indirectly through on of our subsidiaries taxed as a REIT, which will also facilitate future acquisition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firstLine="8"/>
        <w:spacing w:after="0" w:line="252"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 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 including through operating company/property company (“OpCo-PropCo”) structures.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u w:val="single" w:color="auto"/>
          <w:color w:val="auto"/>
        </w:rPr>
        <w:t>Leasing Segment</w:t>
      </w:r>
      <w:r>
        <w:rPr>
          <w:rFonts w:ascii="Arial" w:cs="Arial" w:eastAsia="Arial" w:hAnsi="Arial"/>
          <w:sz w:val="16"/>
          <w:szCs w:val="16"/>
          <w:color w:val="auto"/>
        </w:rPr>
        <w:t>: Represents the results from our leasing business, Uniti Leasing, which is engaged in the acquisition of mission-critical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leasing them to anchor customers on either an exclusive or shared-tenant basis. Uniti Leasing is a component of our REIT operations.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Towers Segment</w:t>
      </w:r>
      <w:r>
        <w:rPr>
          <w:rFonts w:ascii="Arial" w:cs="Arial" w:eastAsia="Arial" w:hAnsi="Arial"/>
          <w:sz w:val="18"/>
          <w:szCs w:val="18"/>
          <w:color w:val="auto"/>
        </w:rPr>
        <w:t>: Represents the operations of our towers business, Uniti Towers, through which we acquire and construct tower and tower-related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and lease space on communications towers to wireless service providers and other tenants in the United States. On April 2, 2019, the Company completed the sale of Uniti Towers’ Latin American business and no longer has on-going operations in Latin America. On May 23, 2019, the Company completed the sale of substantially all of its ground lease business located across the United States. Portions of our towers business are a component of our REIT operations, while the remainder is owned and operated by our TRSs. Refer to “Significant Business Developments” below regarding the announced sale of U.S. tower assets.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 the Consumer CLEC Business that prior to the Spin-Off</w:t>
      </w:r>
      <w:r>
        <w:rPr>
          <w:rFonts w:ascii="Arial" w:cs="Arial" w:eastAsia="Arial" w:hAnsi="Arial"/>
          <w:sz w:val="18"/>
          <w:szCs w:val="18"/>
          <w:i w:val="1"/>
          <w:iCs w:val="1"/>
          <w:color w:val="auto"/>
        </w:rPr>
        <w:t xml:space="preserve"> </w:t>
      </w:r>
      <w:r>
        <w:rPr>
          <w:rFonts w:ascii="Arial" w:cs="Arial" w:eastAsia="Arial" w:hAnsi="Arial"/>
          <w:sz w:val="18"/>
          <w:szCs w:val="18"/>
          <w:color w:val="auto"/>
        </w:rPr>
        <w:t>was reported as an integrated operation within Windstream. Talk America provides local telephone, high-speed internet and long-distance services to customers in the eastern and central United States. We have commenced a wind down of our Consumer CLEC business, which we estimate will be completed during the second quarter of 2020.</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evaluate the performance of each segment based on Adjusted EBITDA, which is a segment performance measure we define as net income determined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GAAP, before interest expense, provision for income taxes, depreciation and amortization, stock-based compensation expense,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impact, which may be recurring in nature, of transaction and integration related expenses, the write off of unamortized deferred financing costs, costs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incurred as a result of the early repayment of debt, changes in the fair value of contingent consideration and financial instruments, and other similar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items.  For more information on Adjusted EBITDA, see “Non-GAAP Financial Measures.” Detailed information about our segments can be found in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 to our accompanying Condensed Consolidated Financial Statements contained in Part I, Item 1 of this Quarterly Report on 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2019, an outbreak of a new strain of coronavirus (“COVID-19”) began in Wuhan, Hubei Province, China.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World Health Organization declared COVID-19 a pandemic. The COVID-19 pandemic has negatively impacted the global economy, disrupted global supply chains and created significant volatility and disruption of financial markets. We continue to monitor developments associated with the COVID-19 pandemic and its related impact on our business and results of operations.</w:t>
      </w:r>
    </w:p>
    <w:p>
      <w:pPr>
        <w:spacing w:after="0" w:line="18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 xml:space="preserve">On March 19, 2020, the Department of Homeland Security’s Cybersecurity and Infrastructure Security Agency (“CISA”) issued its </w:t>
      </w:r>
      <w:r>
        <w:rPr>
          <w:rFonts w:ascii="Arial" w:cs="Arial" w:eastAsia="Arial" w:hAnsi="Arial"/>
          <w:sz w:val="18"/>
          <w:szCs w:val="18"/>
          <w:i w:val="1"/>
          <w:iCs w:val="1"/>
          <w:color w:val="auto"/>
        </w:rPr>
        <w:t>Memorandum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Identification of Essential Critical Infrastructure Workers During COVID-19 Response </w:t>
      </w:r>
      <w:r>
        <w:rPr>
          <w:rFonts w:ascii="Arial" w:cs="Arial" w:eastAsia="Arial" w:hAnsi="Arial"/>
          <w:sz w:val="18"/>
          <w:szCs w:val="18"/>
          <w:color w:val="auto"/>
        </w:rPr>
        <w:t>(the “Memorandum”). The Memorandum categorizes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and information technology sectors, sectors in which Uniti operates, as part of 16 critical infrastructure sectors that must remain operational during the COVID-19 pandemic.</w:t>
      </w:r>
    </w:p>
    <w:p>
      <w:pPr>
        <w:spacing w:after="0" w:line="18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first priority remains the health and safety of our employees, customers and other business partners. We have been actively monitoring and following government recommendations as we adjust business practices and standard operating procedures to ensure the protection of team members and ensure the continuity of our business. As of the date of this quarterly report on Form 10-Q, we have not experienced significant disruptions in our operations or network performance, nor have we received significant requests for payment relief from our customers. However, there can be no assurance that circumstances will not change in light of the COVID-19 pandemic or that the pandemic will not have a material adverse impact on our business. We may incur increases in operating costs and/or a decrease in productivity as a result of travel bans and social distancing efforts. Such efforts may also delay construction activities and/or require our vendors and contractors to incur additional costs that may be passed onto us. In addition, we may experience delays in permitting activities due to the shutdown of local permitting authorities. Furthermore, if there is a prolonged closure of businesses, we may experience an adverse impact on the timing of installations in our enterprise and wholesale customer segments at Uniti Fiber, or we may receive requests for payment relief from our customers, both of which would impact our ability to recognize revenue.</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is a stimulus bill that includes lending facilities to large and small business, expands unemployment benefits and implements individual and business tax changes. We expect the CARES Act will reduce the limitation on deduction of business interest at certain of our taxable subsidiaries for 2019 and 2020, which will increase net operating loss. Otherwise, we do not currently expect the CARES Act to have a material impact on our tax position. In addition, certain of our customers may benefit from the relief provided by the CARES Act, and we have directed those customers to consider utilizing such relief as they weather the impact from COVID-19.</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Windstream Bankruptcy Filing.</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its bankruptcy filing described below, Windstream was involved in litigation with an entity who acquired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a “debtor in possession” under supervision of the Bankruptcy Court.</w:t>
      </w:r>
    </w:p>
    <w:p>
      <w:pPr>
        <w:spacing w:after="0" w:line="1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u w:val="single" w:color="auto"/>
          <w:color w:val="auto"/>
        </w:rPr>
        <w:t>Windstream Litigation and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first half of 2019, Windstream’s chief executive officer stated that Windstream was evaluating all</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as part of the Chapter 11 reorganization process regarding the Master Lease, including renegotiation, recharacterization and rejection of the Master Lease. As further described below, on July 25, 2019, in connection with Windstream’s bankruptcy, Windstream Holdings and Windstream Services filed a complaint with the U.S. Bankruptcy Court for the Southern District of New York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2, 2020, Uniti and Windstream jointly announced that they had reached an agreement in principle (the “Settlement”) to resolve any and all claims and causes of action that have been or may be asserted against Uniti by Windstream, including all litigation brought by Windstream and certain of its creditors in the context of Windstream’s bankruptcy. On May 8, 2020, the U.S. Bankruptcy Court for the Southern District of New York approved the Settlement.</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Pursuant to the Settlement, Uniti and Windstream will agree to mutual releases with respect to any and all liability related to any claims and causes of action between them, including those relating to Windstream’s Chapter 11 proceedings and the Master Lease. Under the Settlement, Uniti will agree to make a $400 million cash payment to Windstream in equal installments over 20 consecutive quarters beginning the first month after Windstream’s emergence from bankruptcy at an annual interest rate of 9%, and Uniti may prepay any installments falling due on or after the first anniversary of the Settlement’s effective date (resulting in total payments ranging from $432-$490 million). Uniti will also transfer the proceeds from the sale of its common stock described below to Windstream. In exchange, Windstream will transfer to Uniti certain dark fiber IRU contracts (that currently generate approximately $21 million in annual operating income before depreciation and amortization) and will grant exclusive rights to 1.8 million fiber strand miles leased by Windstream that is either unutilized or utilized for the dark fiber IRUs being transferred. Uniti will be required to pay Windstream $350 per route mile on any fiber strand miles that are sold above and beyond the fiber strand miles currently being utilized in connection with such dark fiber IRUs. In addition, Uniti will acquire certain Windstream-owned assets, including certain fiber IRU contracts generating $8 million of annual operating income before depreciation and amortization and 0.4 million fiber strand miles covering approximately 3,900 route miles, in exchange for $40.0 million in cash and a 20-year IRU for such strands.</w:t>
      </w:r>
    </w:p>
    <w:p>
      <w:pPr>
        <w:spacing w:after="0" w:line="17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Windstream and Uniti will also agree to bifurcate the Master Lease into two structurally similar, but independent, agreements to govern the ILEC and CLEC facilities, respectively. Certain copper CLEC assets will be governed under the New Lease relating to the ILEC facilities. The initial aggregate annual rent under the New Leases will be equal to the annual rent under the Master Lease currently in effect. Each of Windstream Holdings, Inc., Windstream Services, LLC, and certain subsidiaries and/or newly formed affiliated entities will become parties to the New Leases. The New Leases will contain cross-guarantees and cross-default provisions, which will remain effective as long as Windstream or an affiliate is a tenant under one of the New Leases. In addition, the New Leases will be amended to require that Windstream maintain certain financial covenants and to permit Uniti to transfer its rights and obligations and otherwise monetize or encumber the New Leases so long as it does not transfer interests to a Windstream competitor.</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the Settlement, Uniti will agree to fund up to an aggregate $1.75 billion in growth capital improvements in long-term fiber and related assets in certain ILEC and CLEC properties. Growth Capital Improvements will exclude maintenance or repair expenditures and expenditures toward fiber replacement in excess of $70 million per year and will be subject to Uniti’s approval based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underwriting standards to be included in the New Leases. Annual commitments by Uniti for the Growth Capital Improvements will comprise: $125 million in 2020; $225 million per year in 2021 through 2024; $175 million per year in 2025 and 2026; and $125 million per year in 2027 through 2029. Windstream will be entitled to reimbursement for any cumulative Growth Capital Improvements it incurs in excess of the foregoing annual amounts from the commitment amounts in a subsequent period. On the first anniversary of an installment of funding for a Growth Capital Improvement, the annual base rent payable by Windstream will increase by an amount equal to 8.0% of such installment of funding. The Rent Rate will thereafter increase to 100.5% of the prior Rent Rate in subsequent years.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Settlement, if Windstream is not in compliance with the terms and conditions of the New Leases, Uniti will not be required to fund Growth Capital Improvements. In the event Uniti defaults or otherwise fails to timely satisfy its obligations under the New Leases and Windstream is in compliance with the terms of the New Leases, then Windstream has the right to deduct from the subsequent rent payment or payments, amounts otherwise owed to Windstream.</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Settlement, Uniti also entered into binding letters of intent on March 2, 2020 with certain first lien creditors of Windstream, pursuant to which Uniti will sell an aggregate of 38,633,470 shares of Uniti common stock, par value $0.0001 per share, at $6.33 per share, which represents the closing price of Uniti common stock on the date when an agreement in principle of the basic outline of the Settlement was first reached (the “Settlement Common Stock”). Uniti will transfer the proceeds from the sale of the Settlement Common Stock to Windstream as additional settlement consideration. The issuance and sale of the Settlement Common Stock will be made in reliance upon the exemption from registration requirements pursuant to Section 4(a)(2) of the Securities Act of 1933, as amended. Certain recipients of the Settlement Common Stock will be subject to a one-year lock up, and all recipients will be subject to a customary standstill agreement. No recipient will receive any governance rights in connection with the issuance.</w:t>
      </w:r>
    </w:p>
    <w:p>
      <w:pPr>
        <w:spacing w:after="0" w:line="16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Finally, on March 2, 2020, Uniti, Windstream and certain of Windstream’s creditors entered into a Plan Support Agreement. Pursuant to the Plan Support Agreement, the Parties agreed to support the Settlement and the approval of a plan of reorganization for Windstream on the terms and subject to the conditions described therein. The Plan Support Agreement is terminable by the Parties upon the occurrence of certain specified termination events, including, among other things, (i) the failure by Windstream to timely appeal any order by the bankruptcy court denying the Settlement or any order overturning an order approving the Settlement on appeal, and (ii) the issuance by a regulatory authority of an order enjoining, or the commencement of an action that could be reasonably expected to enjoin, material portions of the settlement or substantial consummation of the Settlement (subject to a 10 day cure period).</w:t>
      </w:r>
    </w:p>
    <w:p>
      <w:pPr>
        <w:spacing w:after="0" w:line="19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Settlement is subject to finalizing and executing definitive documentation, the receipt of certain regulatory approvals and other conditions precedent, including Uniti’s receipt of satisfactory “true lease” opinions confirming that the New Leases are “true leases” for U.S. federal income tax purposes. Following satisfaction of all such conditions precedent, consummation of the Settlement will occur on the earlier of Windstream’s emergence from bankruptcy and February 28, 2021. All litigation between Windstream and Uniti is stayed while the parties implement the Settlement.</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If we are unable to consummate the Settlement, Windstream could continue its litigation. </w:t>
      </w:r>
      <w:r>
        <w:rPr>
          <w:rFonts w:ascii="Arial" w:cs="Arial" w:eastAsia="Arial" w:hAnsi="Arial"/>
          <w:sz w:val="18"/>
          <w:szCs w:val="18"/>
          <w:color w:val="212529"/>
        </w:rPr>
        <w:t>See Part II, Item 1 “Legal Proceedings.”</w:t>
      </w:r>
      <w:r>
        <w:rPr>
          <w:rFonts w:ascii="Arial" w:cs="Arial" w:eastAsia="Arial" w:hAnsi="Arial"/>
          <w:sz w:val="18"/>
          <w:szCs w:val="18"/>
          <w:color w:val="auto"/>
        </w:rPr>
        <w:t xml:space="preserve"> If that occurs, it is difficult to predict what could occur in Windstream’s bankruptcy restructuring. However, any adverse determination or judicial decision on one or more of the claims against us could materially adversely affect our consolidated results of operations, liquidity, and financial condition or, in certain circumstances, cause us to file for voluntary Chapter 11 protection.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u w:val="single" w:color="auto"/>
          <w:color w:val="auto"/>
        </w:rPr>
        <w:t>Going Concern.</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conditions and events which raise substantial doubt about our ability to continue as a going concern, and in its opinion on our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financial statements, PricewaterhouseCoopers LLP (“PwC”), the independent registered public accounting firm for our fiscal 2019 audit, expressed substantial doubt as to whether we could continue as a going concern during the one year period following the date those financial statements were issued as a result of Windstream’s bankruptcy petition, the bankruptcy’s potential uncertain effects on the Master Lease, and uncertainties surrounding the satisfaction of conditions required for our Settlement with Windstream to be effectuated. Our financial statements do not include any adjustments that may result from the outcome of this uncertainty. If the Settlement is not implemented, we expect Windstream will continue to perform on the Master Lease and believe it is unlikely that Windstream will reject the Master Lease because the Master Lease is central to Windstream’s operations. We also believe that it is unlikely that a court will determine that the Master Lease should be recharacterized as a financing transaction, that the Master Lease is a lease of personal property, or that rent payments and tenant capital improvements made by Windstream under the Master Lease since at least the third quarter of 2017 constitute constructive fraudulent transfers. We have reduced our dividend and may reduce our capital expenditures, as well as seek external funding in order to sustain our operations. The failure to provide 2019 audited financial statements without a going concern opinion to the lenders under our Credit Agreement by March 31, 2020 would have constituted a breach of the covenants and an immediate event of default under our Credit Agreement, unless waived by our lenders. If an event of default were to have occurred under our Credit Agreement, the Credit Agreement’s administrative agent could have declared all outstanding loans immediately due and payable. Such an acceleration would have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triggered cross-default provisions within the indentures governing our senior notes and thereby would have entitled the trustee and noteholders to accelerate the repayment of the senior notes.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to our Credit Agreement. See “—Amendments to Credit Agreement” below.</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Secured Notes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On February 10, 2020, the Operating Partnership, CSL Capital, LLC, Uniti Group Finance 2019 Inc. and Uniti Fiber, as co-issuers, issued $2.25 billion aggregate principal amount of 7.875% senior secured notes due 2025 (the “2025 Secured Notes”) at an issue prices of 100% of par value. The issuers used the proceeds from the offering to repay all $2.05 billion of outstanding term loans under our senior secured credit facilities and to repay approximately $156.7 million of revolving loans (and terminated related commitments of approximately $157.6 million).</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u w:val="single" w:color="auto"/>
          <w:color w:val="auto"/>
        </w:rPr>
        <w:t>Amendments to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February 10, 2020, we received a limited waiver from our lenders under our Credit Agreement, waiving an event of</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related solely to the receipt of a going concern opinion from our auditors for our 2019 audited financial statements. The limited waiver was issued in connection with the sixth amendment (the “Sixth Amendment”) to our Credit Agreement. In addition to the restrictions imposed by the fourth amendment (the “Fourth Amendment”) to our Credit Agreement entered into March 18, 2019,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 See Note 10 to our accompanying Condensed Consolidated Financial Statements contained in Part I, Item 1 of this Quarterly Report on Form 10-Q.</w:t>
      </w:r>
    </w:p>
    <w:p>
      <w:pPr>
        <w:spacing w:after="0" w:line="18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i w:val="1"/>
          <w:iCs w:val="1"/>
          <w:u w:val="single" w:color="auto"/>
          <w:color w:val="auto"/>
        </w:rPr>
        <w:t>Sale of U.S. Tower Assets.</w:t>
      </w:r>
      <w:r>
        <w:rPr>
          <w:rFonts w:ascii="Arial" w:cs="Arial" w:eastAsia="Arial" w:hAnsi="Arial"/>
          <w:sz w:val="16"/>
          <w:szCs w:val="16"/>
          <w:i w:val="1"/>
          <w:iCs w:val="1"/>
          <w:color w:val="auto"/>
        </w:rPr>
        <w:t xml:space="preserve"> </w:t>
      </w:r>
      <w:r>
        <w:rPr>
          <w:rFonts w:ascii="Arial" w:cs="Arial" w:eastAsia="Arial" w:hAnsi="Arial"/>
          <w:sz w:val="16"/>
          <w:szCs w:val="16"/>
          <w:color w:val="212529"/>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May 2020, we renegotiated the terms of the sale of our U.S. towers, which is subject to finalizing definitive documentation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various closing conditions. As contemplated, we will sell 90% of the U.S. towers business, including approximately 486 of our U.S. towers located across 32 states, to Melody Investment Advisors (“Melody”) for approximately $220 million, subject to adjustments. Uniti will retain a 10% investment interest through an affiliate of Melody, and receive incremental earn-out payments for each additional tower completed in 2020.</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u w:val="single" w:color="auto"/>
          <w:color w:val="auto"/>
        </w:rPr>
        <w:t>Consumer CLEC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23, 2019, Windstream provided notice to Uniti of its termination of (i) the Wholesale Master Services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Windstream Communications, Inc. and Talk America, (ii) the Master Services Agreement between Windstream Services, LLC and Talk America, and (iii) the Billing and Remittance Agreement between Windstream Services, LLC and CSL National, LP, each dated April 24, 2015 (collectively the “Agreements”). Under the Agreements, Windstream provides us transport, provisioning, repair and billing and collection services necessary to operate our Consumer CLEC Business. We currently do not have the infrastructure necessary to perform these services in the absence of the Agreements. We have evaluated the costs of building out the required infrastructure and have determined that incurring such costs would not be economically feasible. Furthermore, we have evaluated potential strategic alternatives with respect to the Consumer CLEC Business, including retaining other vendors to perform the services currently provided under the Agreements, and an outright sale of all or parts of the business, but have not identified viable alternatives. As a result, we have commenced a wind down of our Consumer CLEC Business, which includes customer notifications and terminations. We anticipate that the business will be completely wound down during the second quarter of 2020. The termination of the Agreements is effective April 20, 2020; however, we have entered into a short-term arrangement with Windstream to provide the necessary services until the business is completely wound down. The subsidiaries comprising our Consumer CLEC Business are direct subsidiaries of Uniti Group Inc. and are not subsidiaries of the Operating Partnership, which is a primary obligor and/or guarantor under our Credit Agreement and our outstanding notes, and do not guarantee such debt. Other than the assets and liabilities and results related to the Consumer CLEC Business, which are immaterial, the financial condition and results of operations of the Operating Partnership and Uniti Group Inc. are identical in all material respects.</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u w:val="single" w:color="auto"/>
          <w:color w:val="auto"/>
        </w:rPr>
        <w:t>Change in Auditor.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conclusion of a process managed by the Company’s Audit Committee, on March 16, 2020, the Company dismissed PwC</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Company’s independent registered public accounting firm and appointed KPMG LLP as the Company’s independent registered public accounting firm beginning with the year ending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w w:val="99"/>
              </w:rPr>
              <w:t>Three Months Ended March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23"/>
        </w:trPr>
        <w:tc>
          <w:tcPr>
            <w:tcW w:w="5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184,352</w:t>
            </w:r>
          </w:p>
        </w:tc>
        <w:tc>
          <w:tcPr>
            <w:tcW w:w="3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69.2%</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176,083</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29.1%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3,720</w:t>
            </w:r>
          </w:p>
        </w:tc>
        <w:tc>
          <w:tcPr>
            <w:tcW w:w="3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5,080</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266,162</w:t>
            </w:r>
          </w:p>
        </w:tc>
        <w:tc>
          <w:tcPr>
            <w:tcW w:w="3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261,031</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178,393</w:t>
            </w:r>
          </w:p>
        </w:tc>
        <w:tc>
          <w:tcPr>
            <w:tcW w:w="3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67.0%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84,458</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86,121</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32.4%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103,827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27,133</w:t>
            </w:r>
          </w:p>
        </w:tc>
        <w:tc>
          <w:tcPr>
            <w:tcW w:w="3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24,226</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40,310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15.1%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15,972</w:t>
            </w:r>
          </w:p>
        </w:tc>
        <w:tc>
          <w:tcPr>
            <w:tcW w:w="3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(3,113)</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351,004</w:t>
            </w:r>
          </w:p>
        </w:tc>
        <w:tc>
          <w:tcPr>
            <w:tcW w:w="3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131.9%</w:t>
            </w:r>
          </w:p>
        </w:tc>
        <w:tc>
          <w:tcPr>
            <w:tcW w:w="3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254,485</w:t>
            </w:r>
          </w:p>
        </w:tc>
        <w:tc>
          <w:tcPr>
            <w:tcW w:w="3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97.5%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(84,842)</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(31.9%)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(4,576)</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4,054</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(30.2%)</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(1,413)</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(78,853)</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(29.6%)</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(656)</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(745)</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(29.7%)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set forth, for the three months ended March 31, 2020 and 2019, revenues, Adjusted EBITDA and net (loss) income of our reportable segments: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Three Months Ended March 31, 2020</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5"/>
              </w:rPr>
              <w:t>Fiber Infrastructure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Towers</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184,352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683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181,879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27,541</w:t>
            </w:r>
          </w:p>
        </w:tc>
        <w:tc>
          <w:tcPr>
            <w:tcW w:w="4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(7,715)</w:t>
            </w: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Depreciation and</w:t>
            </w:r>
          </w:p>
        </w:tc>
        <w:tc>
          <w:tcPr>
            <w:tcW w:w="2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54,622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30,061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99"/>
              </w:rPr>
              <w:t>594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86,121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2"/>
            <w:vMerge w:val="restart"/>
          </w:tcPr>
          <w:p>
            <w:pPr>
              <w:ind w:left="1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140"/>
              <w:spacing w:after="0"/>
              <w:rPr>
                <w:sz w:val="20"/>
                <w:szCs w:val="20"/>
                <w:color w:val="auto"/>
              </w:rPr>
            </w:pPr>
            <w:r>
              <w:rPr>
                <w:rFonts w:ascii="Arial" w:cs="Arial" w:eastAsia="Arial" w:hAnsi="Arial"/>
                <w:sz w:val="18"/>
                <w:szCs w:val="18"/>
                <w:color w:val="auto"/>
                <w:w w:val="94"/>
              </w:rPr>
              <w:t>Transaction related and other</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2"/>
            <w:vMerge w:val="restart"/>
          </w:tcPr>
          <w:p>
            <w:pPr>
              <w:ind w:left="140"/>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Subtotal of</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5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Fiber Infrastructure</w:t>
            </w:r>
          </w:p>
        </w:tc>
        <w:tc>
          <w:tcPr>
            <w:tcW w:w="240" w:type="dxa"/>
            <w:vAlign w:val="bottom"/>
            <w:vMerge w:val="restart"/>
          </w:tcPr>
          <w:p>
            <w:pPr>
              <w:spacing w:after="0"/>
              <w:rPr>
                <w:sz w:val="12"/>
                <w:szCs w:val="12"/>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Towers</w:t>
            </w:r>
          </w:p>
        </w:tc>
        <w:tc>
          <w:tcPr>
            <w:tcW w:w="240" w:type="dxa"/>
            <w:vAlign w:val="bottom"/>
            <w:vMerge w:val="restart"/>
          </w:tcPr>
          <w:p>
            <w:pPr>
              <w:spacing w:after="0"/>
              <w:rPr>
                <w:sz w:val="12"/>
                <w:szCs w:val="12"/>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240" w:type="dxa"/>
            <w:vAlign w:val="bottom"/>
            <w:vMerge w:val="restart"/>
          </w:tcPr>
          <w:p>
            <w:pPr>
              <w:spacing w:after="0"/>
              <w:rPr>
                <w:sz w:val="12"/>
                <w:szCs w:val="12"/>
                <w:color w:val="auto"/>
              </w:rPr>
            </w:pP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tabs>
          <w:tab w:leader="none" w:pos="240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263"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income,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Transaction related and other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expense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Operating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Leasing: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Fiber strand miles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Copper strand miles</w:t>
      </w:r>
    </w:p>
    <w:p>
      <w:pPr>
        <w:spacing w:after="0" w:line="23" w:lineRule="exact"/>
        <w:rPr>
          <w:sz w:val="20"/>
          <w:szCs w:val="20"/>
          <w:color w:val="auto"/>
        </w:rPr>
      </w:pPr>
    </w:p>
    <w:p>
      <w:pPr>
        <w:ind w:left="500" w:right="420" w:hanging="245"/>
        <w:spacing w:after="0" w:line="299" w:lineRule="auto"/>
        <w:rPr>
          <w:sz w:val="20"/>
          <w:szCs w:val="20"/>
          <w:color w:val="auto"/>
        </w:rPr>
      </w:pPr>
      <w:r>
        <w:rPr>
          <w:rFonts w:ascii="Arial" w:cs="Arial" w:eastAsia="Arial" w:hAnsi="Arial"/>
          <w:sz w:val="16"/>
          <w:szCs w:val="16"/>
          <w:color w:val="auto"/>
        </w:rPr>
        <w:t>Fiber Infrastructure: Fiber strand miles Customer connections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Towers:</w:t>
      </w:r>
    </w:p>
    <w:p>
      <w:pPr>
        <w:spacing w:after="0" w:line="23" w:lineRule="exact"/>
        <w:rPr>
          <w:sz w:val="20"/>
          <w:szCs w:val="20"/>
          <w:color w:val="auto"/>
        </w:rPr>
      </w:pPr>
    </w:p>
    <w:p>
      <w:pPr>
        <w:ind w:left="500" w:right="460"/>
        <w:spacing w:after="0" w:line="307" w:lineRule="auto"/>
        <w:rPr>
          <w:sz w:val="20"/>
          <w:szCs w:val="20"/>
          <w:color w:val="auto"/>
        </w:rPr>
      </w:pPr>
      <w:r>
        <w:rPr>
          <w:rFonts w:ascii="Arial" w:cs="Arial" w:eastAsia="Arial" w:hAnsi="Arial"/>
          <w:sz w:val="16"/>
          <w:szCs w:val="16"/>
          <w:color w:val="auto"/>
        </w:rPr>
        <w:t>United States towers Latin America towers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 towers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Consumer CLEC:</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connections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176,083</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76,833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5,080</w:t>
            </w:r>
          </w:p>
        </w:tc>
        <w:tc>
          <w:tcPr>
            <w:tcW w:w="3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3,035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261,031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174,751</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30,000</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(5,447)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200,275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84,458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73,754</w:t>
            </w:r>
          </w:p>
        </w:tc>
        <w:tc>
          <w:tcPr>
            <w:tcW w:w="66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28,258</w:t>
            </w: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1,414</w:t>
            </w:r>
          </w:p>
        </w:tc>
        <w:tc>
          <w:tcPr>
            <w:tcW w:w="3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103,827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4"/>
            <w:vMerge w:val="restart"/>
          </w:tcPr>
          <w:p>
            <w:pPr>
              <w:jc w:val="center"/>
              <w:ind w:right="200"/>
              <w:spacing w:after="0"/>
              <w:rPr>
                <w:sz w:val="20"/>
                <w:szCs w:val="20"/>
                <w:color w:val="auto"/>
              </w:rPr>
            </w:pPr>
            <w:r>
              <w:rPr>
                <w:rFonts w:ascii="Arial" w:cs="Arial" w:eastAsia="Arial" w:hAnsi="Arial"/>
                <w:sz w:val="18"/>
                <w:szCs w:val="18"/>
                <w:b w:val="1"/>
                <w:bCs w:val="1"/>
                <w:color w:val="auto"/>
                <w:w w:val="92"/>
              </w:rPr>
              <w:t>Operating Metrics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1"/>
              </w:rPr>
              <w:t>As of March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 Increase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681"/>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3,900,000</w:t>
            </w: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0"/>
              </w:rPr>
              <w:t>10.3%</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215,000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7"/>
              </w:rPr>
              <w:t>7.0%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1,800,000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0"/>
              </w:rPr>
              <w:t>13.9%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18,850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0"/>
              </w:rPr>
              <w:t>17.6%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0"/>
              </w:rPr>
              <w:t>39.5%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(100.0%)</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(29.8%)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21,555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1"/>
              </w:rPr>
              <w:t>(99.0%)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-4465320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-4173855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-3745230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-3316605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-3025140</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-1919605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-1619885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-1328420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-1036320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-745490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-453390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-145415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480"/>
            <w:col w:w="8240"/>
          </w:cols>
          <w:pgMar w:left="320" w:top="125"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944"/>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1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184,352</w:t>
            </w:r>
          </w:p>
        </w:tc>
        <w:tc>
          <w:tcPr>
            <w:tcW w:w="1320" w:type="dxa"/>
            <w:vAlign w:val="bottom"/>
            <w:gridSpan w:val="3"/>
          </w:tcPr>
          <w:p>
            <w:pPr>
              <w:jc w:val="center"/>
              <w:ind w:left="174"/>
              <w:spacing w:after="0"/>
              <w:rPr>
                <w:sz w:val="20"/>
                <w:szCs w:val="20"/>
                <w:color w:val="auto"/>
              </w:rPr>
            </w:pPr>
            <w:r>
              <w:rPr>
                <w:rFonts w:ascii="Arial" w:cs="Arial" w:eastAsia="Arial" w:hAnsi="Arial"/>
                <w:sz w:val="18"/>
                <w:szCs w:val="18"/>
                <w:color w:val="auto"/>
                <w:w w:val="90"/>
              </w:rPr>
              <w:t>69.2%</w:t>
            </w:r>
          </w:p>
        </w:tc>
        <w:tc>
          <w:tcPr>
            <w:tcW w:w="6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176,083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1320" w:type="dxa"/>
            <w:vAlign w:val="bottom"/>
            <w:gridSpan w:val="3"/>
            <w:shd w:val="clear" w:color="auto" w:fill="CFF0FC"/>
          </w:tcPr>
          <w:p>
            <w:pPr>
              <w:jc w:val="center"/>
              <w:ind w:left="174"/>
              <w:spacing w:after="0"/>
              <w:rPr>
                <w:sz w:val="20"/>
                <w:szCs w:val="20"/>
                <w:color w:val="auto"/>
              </w:rPr>
            </w:pPr>
            <w:r>
              <w:rPr>
                <w:rFonts w:ascii="Arial" w:cs="Arial" w:eastAsia="Arial" w:hAnsi="Arial"/>
                <w:sz w:val="18"/>
                <w:szCs w:val="18"/>
                <w:color w:val="auto"/>
                <w:w w:val="90"/>
              </w:rPr>
              <w:t>29.1%</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76,833</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3,720</w:t>
            </w:r>
          </w:p>
        </w:tc>
        <w:tc>
          <w:tcPr>
            <w:tcW w:w="1320" w:type="dxa"/>
            <w:vAlign w:val="bottom"/>
            <w:gridSpan w:val="3"/>
          </w:tcPr>
          <w:p>
            <w:pPr>
              <w:jc w:val="center"/>
              <w:ind w:left="174"/>
              <w:spacing w:after="0"/>
              <w:rPr>
                <w:sz w:val="20"/>
                <w:szCs w:val="20"/>
                <w:color w:val="auto"/>
              </w:rPr>
            </w:pPr>
            <w:r>
              <w:rPr>
                <w:rFonts w:ascii="Arial" w:cs="Arial" w:eastAsia="Arial" w:hAnsi="Arial"/>
                <w:sz w:val="18"/>
                <w:szCs w:val="18"/>
                <w:color w:val="auto"/>
                <w:w w:val="92"/>
              </w:rPr>
              <w:t>1.4%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320" w:type="dxa"/>
            <w:vAlign w:val="bottom"/>
            <w:gridSpan w:val="3"/>
            <w:shd w:val="clear" w:color="auto" w:fill="CFF0FC"/>
          </w:tcPr>
          <w:p>
            <w:pPr>
              <w:jc w:val="center"/>
              <w:ind w:left="174"/>
              <w:spacing w:after="0"/>
              <w:rPr>
                <w:sz w:val="20"/>
                <w:szCs w:val="20"/>
                <w:color w:val="auto"/>
              </w:rPr>
            </w:pPr>
            <w:r>
              <w:rPr>
                <w:rFonts w:ascii="Arial" w:cs="Arial" w:eastAsia="Arial" w:hAnsi="Arial"/>
                <w:sz w:val="18"/>
                <w:szCs w:val="18"/>
                <w:color w:val="auto"/>
                <w:w w:val="92"/>
              </w:rPr>
              <w:t>0.3%</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266,162</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261,031</w:t>
            </w:r>
          </w:p>
        </w:tc>
        <w:tc>
          <w:tcPr>
            <w:tcW w:w="2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our Distribution Systems to Windstream Holdings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Lease. Under the Master Lease, Windstream Holdings is responsible for the costs related to operating the Distribution Systems, including property taxes, insurance, and maintenance and repair costs. As a result, we do not record 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obligation related to the payment of property taxes, as Windstream makes direct payments to the taxing authorities. The Master Lease has an initial term of 15 years with four 5-year renewal options and encompasses properties located in 29 states. Annual cash rent under the Master Lease is currently $657 million and is subject to an annual escalation of 0.5% each May through the initial term. The rent for the first year of each renewal term will be an amount agreed to by us and Windstream. While the agreement requires that the renewal rent be “Fair Market Rent,” Windstream has publicly stated that it believes the renewal Fair Market Rent pursuant to the agreement will be much lower than our expectations; if we are unable to agree, the renewal Fair Market Rent will be determined by an independent appraisal process. Commencing with the second year of each renewal term, the renewal rent will increase at an escalation rate of 0.5%. In addition, if we fund any capital improvements requested by Windstream, the rent will be increased to account for such funding. Due to the uncertainties surrounding Windstream’s operations and liquidity and current bankruptcy proceedings, the Master Lease is currently accounted for on a cash basis in accordance with Accounting Standards Codification 842, Leases, until such time that there is more certainty regarding Windstream’s decision to assume or reject the Master Lease.</w:t>
      </w:r>
    </w:p>
    <w:p>
      <w:pPr>
        <w:spacing w:after="0" w:line="18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Windstream Master Lease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TCI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4.5%</w:t>
            </w:r>
          </w:p>
        </w:tc>
        <w:tc>
          <w:tcPr>
            <w:tcW w:w="6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Rent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89.5%</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94.0%</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 triple-net leasing and IRU arrangements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6.0%</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Leasing revenues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4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increase in TCI revenue is attributable to continued investment by Windstream in TCIs. Windstream invested $36.4 million in TCIs during the three months ended March 31, 2020, bringing the total amount invested by Windstream since the inception of the Master Lease to $808.2 million as of March 31, 2020. As of March 31, 2019, Windstream had invested a total of $636.8 million in such improvements. For the three months ended March 31, 2020, we recognized $11.1 million of leasing revenues from non-Windstream triple-net leasing and dark fiber indefeasible rights of use (“IRU”) arrangements, including $5.5 million of revenue related to the Bluebird transaction that closed on August 30, 2019. For the three months ended March 31, 2019, we recognized $5.2 million from non-Windstream triple-net leasing and dark fiber IRU arrangements. The increase in non-Windstream related revenues is due to the timing of closing sale-leaseback transactions.</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maintain our status as a REIT and service debt if Windstream were to reject the Master Lease in bankruptcy, default under the Master Lease, succeed in its claims against us or otherwise experiences operating or liquidity difficulties and becomes unable to generate sufficient cash to make payments to us. In recent years, Windstream has experienced annual declines in its total revenue, sales and cash flow, has had its credit ratings downgraded by nationally recognized credit rating agencies multiple times over the past 12 months and, on February 25, 2019, filed voluntary petitions for relief under Chapter 11 of the Bankruptcy Code in the U.S. Bankruptcy Court for the Southern District of New York.</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Windstream’s stock is quoted on the OTC Markets under the ticker symbol “WINMQ.” Windstream is subject to the periodic filing requirements of the Securities Exchange Act of 1934, as amended, but Windstream is not current in its reporting obligations. Windstream filings can be found at www.sec.gov. Windstream filings are not incorporated by reference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March 31, 2020 and 2019 consisted of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Lit backhaul services</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28,192</w:t>
            </w:r>
          </w:p>
        </w:tc>
        <w:tc>
          <w:tcPr>
            <w:tcW w:w="1440" w:type="dxa"/>
            <w:vAlign w:val="bottom"/>
            <w:gridSpan w:val="2"/>
          </w:tcPr>
          <w:p>
            <w:pPr>
              <w:jc w:val="center"/>
              <w:ind w:left="173"/>
              <w:spacing w:after="0"/>
              <w:rPr>
                <w:sz w:val="20"/>
                <w:szCs w:val="20"/>
                <w:color w:val="auto"/>
              </w:rPr>
            </w:pPr>
            <w:r>
              <w:rPr>
                <w:rFonts w:ascii="Arial" w:cs="Arial" w:eastAsia="Arial" w:hAnsi="Arial"/>
                <w:sz w:val="18"/>
                <w:szCs w:val="18"/>
                <w:color w:val="auto"/>
                <w:w w:val="90"/>
              </w:rPr>
              <w:t>36.5%</w:t>
            </w:r>
          </w:p>
        </w:tc>
        <w:tc>
          <w:tcPr>
            <w:tcW w:w="3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32,205</w:t>
            </w:r>
          </w:p>
        </w:tc>
        <w:tc>
          <w:tcPr>
            <w:tcW w:w="1460" w:type="dxa"/>
            <w:vAlign w:val="bottom"/>
            <w:gridSpan w:val="2"/>
          </w:tcPr>
          <w:p>
            <w:pPr>
              <w:jc w:val="center"/>
              <w:ind w:left="193"/>
              <w:spacing w:after="0"/>
              <w:rPr>
                <w:sz w:val="20"/>
                <w:szCs w:val="20"/>
                <w:color w:val="auto"/>
              </w:rPr>
            </w:pPr>
            <w:r>
              <w:rPr>
                <w:rFonts w:ascii="Arial" w:cs="Arial" w:eastAsia="Arial" w:hAnsi="Arial"/>
                <w:sz w:val="18"/>
                <w:szCs w:val="18"/>
                <w:color w:val="auto"/>
                <w:w w:val="90"/>
              </w:rPr>
              <w:t>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19,258</w:t>
            </w:r>
          </w:p>
        </w:tc>
        <w:tc>
          <w:tcPr>
            <w:tcW w:w="1440" w:type="dxa"/>
            <w:vAlign w:val="bottom"/>
            <w:gridSpan w:val="2"/>
            <w:shd w:val="clear" w:color="auto" w:fill="CFF0FC"/>
          </w:tcPr>
          <w:p>
            <w:pPr>
              <w:jc w:val="center"/>
              <w:ind w:left="173"/>
              <w:spacing w:after="0"/>
              <w:rPr>
                <w:sz w:val="20"/>
                <w:szCs w:val="20"/>
                <w:color w:val="auto"/>
              </w:rPr>
            </w:pPr>
            <w:r>
              <w:rPr>
                <w:rFonts w:ascii="Arial" w:cs="Arial" w:eastAsia="Arial" w:hAnsi="Arial"/>
                <w:sz w:val="18"/>
                <w:szCs w:val="18"/>
                <w:color w:val="auto"/>
                <w:w w:val="90"/>
              </w:rPr>
              <w:t>24.9%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16,729</w:t>
            </w:r>
          </w:p>
        </w:tc>
        <w:tc>
          <w:tcPr>
            <w:tcW w:w="1460" w:type="dxa"/>
            <w:vAlign w:val="bottom"/>
            <w:gridSpan w:val="2"/>
            <w:shd w:val="clear" w:color="auto" w:fill="CFF0FC"/>
          </w:tcPr>
          <w:p>
            <w:pPr>
              <w:jc w:val="center"/>
              <w:ind w:left="193"/>
              <w:spacing w:after="0"/>
              <w:rPr>
                <w:sz w:val="20"/>
                <w:szCs w:val="20"/>
                <w:color w:val="auto"/>
              </w:rPr>
            </w:pPr>
            <w:r>
              <w:rPr>
                <w:rFonts w:ascii="Arial" w:cs="Arial" w:eastAsia="Arial" w:hAnsi="Arial"/>
                <w:sz w:val="18"/>
                <w:szCs w:val="18"/>
                <w:color w:val="auto"/>
                <w:w w:val="90"/>
              </w:rPr>
              <w:t>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E-Rate and government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20,937</w:t>
            </w:r>
          </w:p>
        </w:tc>
        <w:tc>
          <w:tcPr>
            <w:tcW w:w="1440" w:type="dxa"/>
            <w:vAlign w:val="bottom"/>
            <w:gridSpan w:val="2"/>
          </w:tcPr>
          <w:p>
            <w:pPr>
              <w:jc w:val="center"/>
              <w:ind w:left="173"/>
              <w:spacing w:after="0"/>
              <w:rPr>
                <w:sz w:val="20"/>
                <w:szCs w:val="20"/>
                <w:color w:val="auto"/>
              </w:rPr>
            </w:pPr>
            <w:r>
              <w:rPr>
                <w:rFonts w:ascii="Arial" w:cs="Arial" w:eastAsia="Arial" w:hAnsi="Arial"/>
                <w:sz w:val="18"/>
                <w:szCs w:val="18"/>
                <w:color w:val="auto"/>
                <w:w w:val="90"/>
              </w:rPr>
              <w:t>27.0%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21,995</w:t>
            </w:r>
          </w:p>
        </w:tc>
        <w:tc>
          <w:tcPr>
            <w:tcW w:w="1460" w:type="dxa"/>
            <w:vAlign w:val="bottom"/>
            <w:gridSpan w:val="2"/>
          </w:tcPr>
          <w:p>
            <w:pPr>
              <w:jc w:val="center"/>
              <w:ind w:left="193"/>
              <w:spacing w:after="0"/>
              <w:rPr>
                <w:sz w:val="20"/>
                <w:szCs w:val="20"/>
                <w:color w:val="auto"/>
              </w:rPr>
            </w:pPr>
            <w:r>
              <w:rPr>
                <w:rFonts w:ascii="Arial" w:cs="Arial" w:eastAsia="Arial" w:hAnsi="Arial"/>
                <w:sz w:val="18"/>
                <w:szCs w:val="18"/>
                <w:color w:val="auto"/>
                <w:w w:val="90"/>
              </w:rPr>
              <w:t>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1440" w:type="dxa"/>
            <w:vAlign w:val="bottom"/>
            <w:gridSpan w:val="2"/>
            <w:shd w:val="clear" w:color="auto" w:fill="CFF0FC"/>
          </w:tcPr>
          <w:p>
            <w:pPr>
              <w:jc w:val="center"/>
              <w:ind w:left="173"/>
              <w:spacing w:after="0"/>
              <w:rPr>
                <w:sz w:val="20"/>
                <w:szCs w:val="20"/>
                <w:color w:val="auto"/>
              </w:rPr>
            </w:pPr>
            <w:r>
              <w:rPr>
                <w:rFonts w:ascii="Arial" w:cs="Arial" w:eastAsia="Arial" w:hAnsi="Arial"/>
                <w:sz w:val="18"/>
                <w:szCs w:val="18"/>
                <w:color w:val="auto"/>
                <w:w w:val="90"/>
              </w:rPr>
              <w:t>10.9%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1460" w:type="dxa"/>
            <w:vAlign w:val="bottom"/>
            <w:gridSpan w:val="2"/>
            <w:shd w:val="clear" w:color="auto" w:fill="CFF0FC"/>
          </w:tcPr>
          <w:p>
            <w:pPr>
              <w:jc w:val="center"/>
              <w:ind w:left="193"/>
              <w:spacing w:after="0"/>
              <w:rPr>
                <w:sz w:val="20"/>
                <w:szCs w:val="20"/>
                <w:color w:val="auto"/>
              </w:rPr>
            </w:pPr>
            <w:r>
              <w:rPr>
                <w:rFonts w:ascii="Arial" w:cs="Arial" w:eastAsia="Arial" w:hAnsi="Arial"/>
                <w:sz w:val="18"/>
                <w:szCs w:val="18"/>
                <w:color w:val="auto"/>
                <w:w w:val="92"/>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Other services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w:t>
            </w:r>
          </w:p>
        </w:tc>
        <w:tc>
          <w:tcPr>
            <w:tcW w:w="1440" w:type="dxa"/>
            <w:vAlign w:val="bottom"/>
            <w:gridSpan w:val="2"/>
          </w:tcPr>
          <w:p>
            <w:pPr>
              <w:jc w:val="center"/>
              <w:ind w:left="173"/>
              <w:spacing w:after="0"/>
              <w:rPr>
                <w:sz w:val="20"/>
                <w:szCs w:val="20"/>
                <w:color w:val="auto"/>
              </w:rPr>
            </w:pPr>
            <w:r>
              <w:rPr>
                <w:rFonts w:ascii="Arial" w:cs="Arial" w:eastAsia="Arial" w:hAnsi="Arial"/>
                <w:sz w:val="18"/>
                <w:szCs w:val="18"/>
                <w:color w:val="auto"/>
                <w:w w:val="92"/>
              </w:rPr>
              <w:t>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w:t>
            </w:r>
          </w:p>
        </w:tc>
        <w:tc>
          <w:tcPr>
            <w:tcW w:w="1460" w:type="dxa"/>
            <w:vAlign w:val="bottom"/>
            <w:gridSpan w:val="2"/>
          </w:tcPr>
          <w:p>
            <w:pPr>
              <w:jc w:val="center"/>
              <w:ind w:left="193"/>
              <w:spacing w:after="0"/>
              <w:rPr>
                <w:sz w:val="20"/>
                <w:szCs w:val="20"/>
                <w:color w:val="auto"/>
              </w:rPr>
            </w:pPr>
            <w:r>
              <w:rPr>
                <w:rFonts w:ascii="Arial" w:cs="Arial" w:eastAsia="Arial" w:hAnsi="Arial"/>
                <w:sz w:val="18"/>
                <w:szCs w:val="18"/>
                <w:color w:val="auto"/>
                <w:w w:val="92"/>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three months ended March 31, 2020, Fiber Infrastructure revenues totaled $77.4 million as compared to $76.8 million for the three months ended March 31, 2019. The increase is primarily attributable to increased customer connections. At March 31, 2020 we had approximately 22,175 customer connections, up from 18,850 customer connections at March 31, 2019.</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March 31, 2020, we recognized $3.7 million of revenue from the Towers business, compared to $5.1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2019. For three months ended March 31, 2020, we completed the construction of 31 towers in the U.S. At March 31, 2020, the Uniti Towers’ domestic portfolio consisted of 703 wireless communications towers located in 34 states across the eastern and central regions in the United States, an increase from 504 domestic wireless communications towers at March 31, 2019. The decrease in revenues is driven by the April 2, 2019 sale of Uniti Towers’ Latin America operations which contributed $2.5 million of revenue for the three months ended March 31, 2019.</w:t>
      </w:r>
    </w:p>
    <w:p>
      <w:pPr>
        <w:spacing w:after="0" w:line="16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i w:val="1"/>
          <w:iCs w:val="1"/>
          <w:u w:val="single" w:color="auto"/>
          <w:color w:val="auto"/>
        </w:rPr>
        <w:t>Consumer CLEC</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March 31, 2020, we recognized $0.7 million of revenue from the Consumer CLEC Business,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$3.0 million for the three months ended March 31, 2019. The decrease is primarily attributable to a loss of customers during the period. We served approximately 226 customers as of March 31, 2020, a 99% decrease from the approximately 21,555 customers served at March 31, 2019. The decrease in customers is due to the commenced wind down of our Consumer CLEC business, which includes customer terminations. An acceleration of the decline in revenue is a result of these efforts. We estimate that the wind down will be completed during the second quarter of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60" w:type="dxa"/>
            <w:vAlign w:val="bottom"/>
          </w:tcPr>
          <w:p>
            <w:pPr>
              <w:spacing w:after="0"/>
              <w:rPr>
                <w:sz w:val="20"/>
                <w:szCs w:val="20"/>
                <w:color w:val="auto"/>
              </w:rPr>
            </w:pPr>
          </w:p>
        </w:tc>
        <w:tc>
          <w:tcPr>
            <w:tcW w:w="4200" w:type="dxa"/>
            <w:vAlign w:val="bottom"/>
            <w:gridSpan w:val="9"/>
            <w:vMerge w:val="restart"/>
          </w:tcPr>
          <w:p>
            <w:pPr>
              <w:jc w:val="right"/>
              <w:ind w:right="10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0" w:type="dxa"/>
            <w:vAlign w:val="bottom"/>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b w:val="1"/>
                <w:bCs w:val="1"/>
                <w:color w:val="auto"/>
              </w:rPr>
              <w:t>Cash:</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27,771</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(10,371)</w:t>
            </w:r>
          </w:p>
        </w:tc>
        <w:tc>
          <w:tcPr>
            <w:tcW w:w="0" w:type="dxa"/>
            <w:vAlign w:val="bottom"/>
          </w:tcPr>
          <w:p>
            <w:pPr>
              <w:spacing w:after="0"/>
              <w:rPr>
                <w:sz w:val="1"/>
                <w:szCs w:val="1"/>
                <w:color w:val="auto"/>
              </w:rPr>
            </w:pPr>
          </w:p>
        </w:tc>
      </w:tr>
      <w:tr>
        <w:trPr>
          <w:trHeight w:val="230"/>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Senior secured notes - 6.00% and 7.875%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32,367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Senior unsecured notes - 4.00%, 7.125%, and 8.25%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6780" w:type="dxa"/>
            <w:vAlign w:val="bottom"/>
            <w:gridSpan w:val="2"/>
          </w:tcPr>
          <w:p>
            <w:pPr>
              <w:ind w:left="500"/>
              <w:spacing w:after="0"/>
              <w:rPr>
                <w:sz w:val="20"/>
                <w:szCs w:val="20"/>
                <w:color w:val="auto"/>
              </w:rPr>
            </w:pPr>
            <w:r>
              <w:rPr>
                <w:rFonts w:ascii="Arial" w:cs="Arial" w:eastAsia="Arial" w:hAnsi="Arial"/>
                <w:sz w:val="18"/>
                <w:szCs w:val="18"/>
                <w:color w:val="auto"/>
              </w:rPr>
              <w:t>Total cash interest</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95,496</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Non-cash:</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Write off of deferred financing costs and debt discount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73,895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(706)</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non-cash interest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82,897</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620"/>
              <w:spacing w:after="0"/>
              <w:rPr>
                <w:sz w:val="20"/>
                <w:szCs w:val="20"/>
                <w:color w:val="auto"/>
              </w:rPr>
            </w:pPr>
            <w:r>
              <w:rPr>
                <w:rFonts w:ascii="Arial" w:cs="Arial" w:eastAsia="Arial" w:hAnsi="Arial"/>
                <w:sz w:val="18"/>
                <w:szCs w:val="18"/>
                <w:color w:val="auto"/>
              </w:rPr>
              <w:t>Total interest expense,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178,393</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Swapped to fixed rate. See Note 8</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Interest expense for the three months ended March 31, 2020 increased $93.9 million compared to the three months ended March 31, 2019. The increase is due to (i) the write-off of unamortized deferred financing costs and debt discount related to the repayment of the senior secured term loan B and terminated commitments of the revolving loans of $72.5 million and $1.4 million, respectively, and (ii) cash interest expense of $24.1 million related to the 2025 Secured Notes, partially offset by a decrease of $10.4 million in cash interest expense related to the repayment of senior secured term loan 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60" w:type="dxa"/>
            <w:vAlign w:val="bottom"/>
            <w:gridSpan w:val="6"/>
            <w:vMerge w:val="restart"/>
          </w:tcPr>
          <w:p>
            <w:pPr>
              <w:ind w:left="240"/>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54,622</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20.5%</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73,754</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30,061</w:t>
            </w:r>
          </w:p>
        </w:tc>
        <w:tc>
          <w:tcPr>
            <w:tcW w:w="134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0"/>
              </w:rPr>
              <w:t>11.4%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28,258</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3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depreciation and amortization expense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86,121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three months ended March 31, 2020 totaled $86.1 million, which included $77.8 million of depreciation expense and $8.3 million of amortization expense. Charges for depreciation and amortization for the three months ended March 31, 2019 totaled $103.8 million, which included $97.5 million of depreciation expense and $6.3 million of amortization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964"/>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61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1,733</w:t>
            </w:r>
          </w:p>
        </w:tc>
        <w:tc>
          <w:tcPr>
            <w:tcW w:w="1320" w:type="dxa"/>
            <w:vAlign w:val="bottom"/>
            <w:gridSpan w:val="2"/>
          </w:tcPr>
          <w:p>
            <w:pPr>
              <w:jc w:val="center"/>
              <w:ind w:left="173"/>
              <w:spacing w:after="0"/>
              <w:rPr>
                <w:sz w:val="20"/>
                <w:szCs w:val="20"/>
                <w:color w:val="auto"/>
              </w:rPr>
            </w:pPr>
            <w:r>
              <w:rPr>
                <w:rFonts w:ascii="Arial" w:cs="Arial" w:eastAsia="Arial" w:hAnsi="Arial"/>
                <w:sz w:val="18"/>
                <w:szCs w:val="18"/>
                <w:color w:val="auto"/>
                <w:w w:val="92"/>
              </w:rPr>
              <w:t>0.7%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13,855</w:t>
            </w:r>
          </w:p>
        </w:tc>
        <w:tc>
          <w:tcPr>
            <w:tcW w:w="1320" w:type="dxa"/>
            <w:vAlign w:val="bottom"/>
            <w:gridSpan w:val="2"/>
            <w:shd w:val="clear" w:color="auto" w:fill="CFF0FC"/>
          </w:tcPr>
          <w:p>
            <w:pPr>
              <w:jc w:val="center"/>
              <w:ind w:left="173"/>
              <w:spacing w:after="0"/>
              <w:rPr>
                <w:sz w:val="20"/>
                <w:szCs w:val="20"/>
                <w:color w:val="auto"/>
              </w:rPr>
            </w:pPr>
            <w:r>
              <w:rPr>
                <w:rFonts w:ascii="Arial" w:cs="Arial" w:eastAsia="Arial" w:hAnsi="Arial"/>
                <w:sz w:val="18"/>
                <w:szCs w:val="18"/>
                <w:color w:val="auto"/>
                <w:w w:val="92"/>
              </w:rPr>
              <w:t>5.3%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1,612</w:t>
            </w:r>
          </w:p>
        </w:tc>
        <w:tc>
          <w:tcPr>
            <w:tcW w:w="1320" w:type="dxa"/>
            <w:vAlign w:val="bottom"/>
            <w:gridSpan w:val="2"/>
          </w:tcPr>
          <w:p>
            <w:pPr>
              <w:jc w:val="center"/>
              <w:ind w:left="173"/>
              <w:spacing w:after="0"/>
              <w:rPr>
                <w:sz w:val="20"/>
                <w:szCs w:val="20"/>
                <w:color w:val="auto"/>
              </w:rPr>
            </w:pPr>
            <w:r>
              <w:rPr>
                <w:rFonts w:ascii="Arial" w:cs="Arial" w:eastAsia="Arial" w:hAnsi="Arial"/>
                <w:sz w:val="18"/>
                <w:szCs w:val="18"/>
                <w:color w:val="auto"/>
                <w:w w:val="92"/>
              </w:rPr>
              <w:t>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FF0FC"/>
          </w:tcPr>
          <w:p>
            <w:pPr>
              <w:jc w:val="center"/>
              <w:ind w:left="173"/>
              <w:spacing w:after="0"/>
              <w:rPr>
                <w:sz w:val="20"/>
                <w:szCs w:val="20"/>
                <w:color w:val="auto"/>
              </w:rPr>
            </w:pPr>
            <w:r>
              <w:rPr>
                <w:rFonts w:ascii="Arial" w:cs="Arial" w:eastAsia="Arial" w:hAnsi="Arial"/>
                <w:sz w:val="18"/>
                <w:szCs w:val="18"/>
                <w:color w:val="auto"/>
                <w:w w:val="92"/>
              </w:rPr>
              <w:t>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9,882</w:t>
            </w:r>
          </w:p>
        </w:tc>
        <w:tc>
          <w:tcPr>
            <w:tcW w:w="1320" w:type="dxa"/>
            <w:vAlign w:val="bottom"/>
            <w:gridSpan w:val="2"/>
          </w:tcPr>
          <w:p>
            <w:pPr>
              <w:jc w:val="center"/>
              <w:ind w:left="173"/>
              <w:spacing w:after="0"/>
              <w:rPr>
                <w:sz w:val="20"/>
                <w:szCs w:val="20"/>
                <w:color w:val="auto"/>
              </w:rPr>
            </w:pPr>
            <w:r>
              <w:rPr>
                <w:rFonts w:ascii="Arial" w:cs="Arial" w:eastAsia="Arial" w:hAnsi="Arial"/>
                <w:sz w:val="18"/>
                <w:szCs w:val="18"/>
                <w:color w:val="auto"/>
                <w:w w:val="92"/>
              </w:rPr>
              <w:t>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three months ended March 31, 2020, general and administrative costs totaled $27.1 million, which includes $3.0 million of stock-based compensation. For the three months ended March 31, 2019, general and administrative costs totaled $24.2 million, which included $1.9 million of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Operating expense for the three months ended March 31, 2020, totaled $40.3 million compared to $38.4 million for the three months ended March 31, 2019, which was attributable to the increase in Fiber Infrastructure operating expenses discussed below. Operating expense for our reportable segments for the three months ended March 31, 2020 and 2019 consisted of the following: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11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118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0" w:type="dxa"/>
            <w:vAlign w:val="bottom"/>
          </w:tcPr>
          <w:p>
            <w:pPr>
              <w:spacing w:after="0"/>
              <w:rPr>
                <w:sz w:val="12"/>
                <w:szCs w:val="12"/>
                <w:color w:val="auto"/>
              </w:rPr>
            </w:pPr>
          </w:p>
        </w:tc>
        <w:tc>
          <w:tcPr>
            <w:tcW w:w="9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36,586</w:t>
            </w:r>
          </w:p>
        </w:tc>
        <w:tc>
          <w:tcPr>
            <w:tcW w:w="140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13.7%</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32,973</w:t>
            </w:r>
          </w:p>
        </w:tc>
        <w:tc>
          <w:tcPr>
            <w:tcW w:w="16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4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16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CLEC</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w:t>
            </w:r>
          </w:p>
        </w:tc>
        <w:tc>
          <w:tcPr>
            <w:tcW w:w="140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0.2%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2,389</w:t>
            </w:r>
          </w:p>
        </w:tc>
        <w:tc>
          <w:tcPr>
            <w:tcW w:w="168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4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6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40,310</w:t>
            </w: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15.1%</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38,418</w:t>
            </w:r>
          </w:p>
        </w:tc>
        <w:tc>
          <w:tcPr>
            <w:tcW w:w="3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March 31, 2020, Fiber Infrastructure operating expenses totaled $36.6 million as compared to $33.0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March 31, 2019. Operating expense consists of network related costs, such as dark fiber and tower rents, and lit service and maintenance expense. In addition, costs associated with our construction activities are presented within operating expenses.</w:t>
      </w:r>
    </w:p>
    <w:p>
      <w:pPr>
        <w:spacing w:after="0" w:line="16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i w:val="1"/>
          <w:iCs w:val="1"/>
          <w:color w:val="auto"/>
        </w:rPr>
        <w:t xml:space="preserve"> </w:t>
      </w:r>
      <w:r>
        <w:rPr>
          <w:rFonts w:ascii="Arial" w:cs="Arial" w:eastAsia="Arial" w:hAnsi="Arial"/>
          <w:sz w:val="16"/>
          <w:szCs w:val="16"/>
          <w:color w:val="auto"/>
        </w:rPr>
        <w:t>– Our Towers segment operating expense primarily consists of ground rent, some or all of which may be passed to our tenants, as well as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taxes, regulatory fees and maintenance and repairs expenses. Operating expenses were $2.3 million and $2.7 million for the three months ended March 31, 2020 and 2019, respectively. The decrease in expenses is primarily attributable to the April 2, 2019 sale of Uniti Towers’ Latin American business.</w:t>
      </w:r>
    </w:p>
    <w:p>
      <w:pPr>
        <w:spacing w:after="0" w:line="1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Expense associated with the Consumer CLEC Business is primarily attributable to the Wholesale Agreement and the Master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entered into between us and Windstream in connection with the Spin-Off, and includes costs arising under the interconnection agreements with other telecommunication carriers. Expense associated with the Wholesale Agreement and Master Services Agreement for the three months ended March 31, 2020 totaled $0.2 million and $0.1 million, respectively, and expense associated with the Wholesale Agreement and Master Services Agreement for the three months ended March 31, 2019 totaled $1.7 million and $0.2 million, respectively. The decrease in expense is a direct result of a decrease in customers served, as these expenses are largely variable in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three months ended March 31, 2020, we incurred $16.0 million of transaction related and other costs, compared to $6.7 million of such costs during the three months ended March 31, 2019. The increase is primarily related to $13.0 million of total costs associated with the costs related to the Windstream bankruptcy during the quarter.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recorded income tax (benefit) expense recorded for the three months ended March 31, 2020 and 2019, respectively, is related to the tax impact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 March 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31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3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35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(4,584)</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Cancellation of debt income (REIT)</w:t>
            </w:r>
          </w:p>
        </w:tc>
        <w:tc>
          <w:tcPr>
            <w:tcW w:w="3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60"/>
              <w:spacing w:after="0"/>
              <w:rPr>
                <w:sz w:val="20"/>
                <w:szCs w:val="20"/>
                <w:color w:val="auto"/>
              </w:rPr>
            </w:pPr>
            <w:r>
              <w:rPr>
                <w:rFonts w:ascii="Arial" w:cs="Arial" w:eastAsia="Arial" w:hAnsi="Arial"/>
                <w:sz w:val="18"/>
                <w:szCs w:val="18"/>
                <w:color w:val="auto"/>
              </w:rPr>
              <w:t>Total income tax (benefit) expense</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100" w:type="dxa"/>
            <w:vAlign w:val="bottom"/>
            <w:vMerge w:val="restart"/>
          </w:tcPr>
          <w:p>
            <w:pPr>
              <w:jc w:val="right"/>
              <w:ind w:right="167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new enterprise resource planning system (collectively, “Transaction Related and Other Costs”), the write-off of unamortized deferred financing costs, costs incurred as a result of the early repayment of debt, gains or losses on dispositions, changes in the fair value of contingent consideration and financial instruments, and other similar or infrequent items (although we may not have had such charges in the periods presented).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We compute FFO in accordance with NAREIT’s definition.</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defines AFFO as FFO excluding (i) Transaction Related and Other Costs; (ii) Windstream bankruptcy and litigation related expenses; (iii)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and (iv) the impact, which may be recurring in nature, of the write-off of unamortized deferred financing fees, additional costs incurred as a result of early repayment of debt, taxes associated with tax basis cancellation of debt, gains or losses on dispositions, changes in the fair value of contingent consideration and financial instruments and similar or infrequent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6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(loss) income to EBITDA and Adjusted EBITDA and of our net (loss) income attributable to common shareholders to FFO and AFFO for the three months ended March 31, 2020 and 2019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6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87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86,121</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178,393</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19"/>
                <w:szCs w:val="19"/>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(4,576)</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179,672</w:t>
            </w:r>
          </w:p>
        </w:tc>
        <w:tc>
          <w:tcPr>
            <w:tcW w:w="3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2,995</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and other costs</w:t>
            </w:r>
          </w:p>
        </w:tc>
        <w:tc>
          <w:tcPr>
            <w:tcW w:w="5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Other expense (income)</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3,075</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201,714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64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5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6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87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(79,056)</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63,952</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5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Participating securities share in FFO</w:t>
            </w:r>
          </w:p>
        </w:tc>
        <w:tc>
          <w:tcPr>
            <w:tcW w:w="520" w:type="dxa"/>
            <w:vAlign w:val="bottom"/>
          </w:tcPr>
          <w:p>
            <w:pPr>
              <w:spacing w:after="0"/>
              <w:rPr>
                <w:sz w:val="19"/>
                <w:szCs w:val="19"/>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9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52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(1,132)</w:t>
            </w:r>
          </w:p>
        </w:tc>
        <w:tc>
          <w:tcPr>
            <w:tcW w:w="9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(16,236)</w:t>
            </w: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 related and other costs</w:t>
            </w:r>
          </w:p>
        </w:tc>
        <w:tc>
          <w:tcPr>
            <w:tcW w:w="5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1,495</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deferred financing costs and debt discount</w:t>
            </w:r>
          </w:p>
        </w:tc>
        <w:tc>
          <w:tcPr>
            <w:tcW w:w="5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9,708</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Write off of deferred financing costs and debt discount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73,952</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based compensation</w:t>
            </w:r>
          </w:p>
        </w:tc>
        <w:tc>
          <w:tcPr>
            <w:tcW w:w="5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22,169</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Straight-line revenues</w:t>
            </w:r>
          </w:p>
        </w:tc>
        <w:tc>
          <w:tcPr>
            <w:tcW w:w="5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520" w:type="dxa"/>
            <w:vAlign w:val="bottom"/>
          </w:tcPr>
          <w:p>
            <w:pPr>
              <w:spacing w:after="0"/>
              <w:rPr>
                <w:sz w:val="19"/>
                <w:szCs w:val="19"/>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(1,108)</w:t>
            </w:r>
          </w:p>
        </w:tc>
        <w:tc>
          <w:tcPr>
            <w:tcW w:w="9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discount on convertible preferred stock</w:t>
            </w:r>
          </w:p>
        </w:tc>
        <w:tc>
          <w:tcPr>
            <w:tcW w:w="5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Cash taxes on tax basis cancellation of debt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(10,454)</w:t>
            </w:r>
          </w:p>
        </w:tc>
        <w:tc>
          <w:tcPr>
            <w:tcW w:w="9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(9,682)</w:t>
            </w: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520" w:type="dxa"/>
            <w:vAlign w:val="bottom"/>
          </w:tcPr>
          <w:p>
            <w:pPr>
              <w:spacing w:after="0"/>
              <w:rPr>
                <w:sz w:val="19"/>
                <w:szCs w:val="19"/>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96,580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principal liquidity needs are to fund operating expenses, meet debt service requirements, fund investment activities, including capital expenditures, and make dividend distributions. Our primary sources of liquidity and capital resources are cash on hand, cash provided by operating activities (primarily arising under the Master Lease with Windstream), available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March 31, 2020, we had cash and cash equivalents of $109.3 million and approximately $40.0 million of borrowing availability under our Revolving Credit Facility. Subsequent to March 31, 2020, there have been no material outlays of funds outside of our scheduled interest and dividend</w:t>
      </w:r>
    </w:p>
    <w:p>
      <w:pPr>
        <w:ind w:right="400"/>
        <w:spacing w:after="0" w:line="255" w:lineRule="auto"/>
        <w:rPr>
          <w:sz w:val="20"/>
          <w:szCs w:val="20"/>
          <w:color w:val="auto"/>
        </w:rPr>
      </w:pPr>
      <w:r>
        <w:rPr>
          <w:rFonts w:ascii="Arial" w:cs="Arial" w:eastAsia="Arial" w:hAnsi="Arial"/>
          <w:sz w:val="18"/>
          <w:szCs w:val="18"/>
          <w:color w:val="auto"/>
        </w:rPr>
        <w:t>payments. Availability under our Revolving Credit Facility is subject to various conditions, including a maximum secured leverage ratio of 5.0:1. In addition, if we incur debt under our Revolving Credit Facility or otherwise such that our total leverage ratio exceeds 6.5:1, our debt instruments would impose significant restrictions on our ability to pay dividends.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132,272</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188,902</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Cash provided by operating activities was $132.3 million and $188.9 million for the three months ended March 31, 2020 and 2019, respectively. Cash provided by operating activities is primarily attributable to our leasing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(4,210)</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capital expenditures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(75,093)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(79,458)</w:t>
            </w:r>
          </w:p>
        </w:tc>
      </w:tr>
      <w:tr>
        <w:trPr>
          <w:trHeight w:val="223"/>
        </w:trPr>
        <w:tc>
          <w:tcPr>
            <w:tcW w:w="76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(75,093)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(83,668)</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Cash used in investing activities was $75.1 million and $83.7 million for the three months ended March 31, 2020 and 2019, respectively, and is driven by capital expenditures, primarily related to our Uniti Fiber, Uniti Towers and Uniti Leasing business for deployment of network assets.</w:t>
      </w: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Repayment of senior secured term loan B</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(2,044,728)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debt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(5,270)</w:t>
            </w: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(42,519)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(110,348)</w:t>
            </w: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contingent consideration</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(7,086)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(8,170)</w:t>
            </w: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Distributions paid to noncontrolling interests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(2,479)</w:t>
            </w: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(196,700)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lease payments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(1,006)</w:t>
            </w: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Payments for financing costs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(47,775)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(36,191)</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issuance, net of costs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Proceeds from issuance of notes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program</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Net share settlement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(1,579)</w:t>
            </w:r>
          </w:p>
        </w:tc>
      </w:tr>
      <w:tr>
        <w:trPr>
          <w:trHeight w:val="223"/>
        </w:trPr>
        <w:tc>
          <w:tcPr>
            <w:tcW w:w="76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Cash used in financing activities was $90.7 million and $34.0 million for the three months ended March 31, 2020 and 2019, respectively. The increase of $56.7 million is primarily driven by the repayment of senior secured term loan B ($2.04 billion) and net payments under the Revolving Credit Facility ($196.7 million) for the three months ended March 31, 2020, compared to net borrowings of $109.0 million for the three months ended Mach 31,2019, partially offset by the proceeds from the issuance of the 2025 Secured Notes ($2.25 billion), a decrease of $67.8 million in dividends paid, where dividends of $0.22 and $0.60 were paid in the three months ended March 31, 2020 and 2019, respectively, and no proceeds under our at the market common stock offering programs for the three months ended March 31, 2020, compare to net proceeds of $21.6 million for the three months ended March 31 2019.</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February 10, 2020, the Operating Partnership, CSL Capital, LLC, Uniti Group Finance 2019 Inc. and Uniti Fiber, as co-issuers, issued $2.25 billion aggregate principal amount the 2025 Secured Notes. The issuers used the proceeds from the offering to repay all $2.05 billion of outstanding term loans under our senior secured credit facilities and to repay approximately $156.7 million of revolving loans (and terminated related commitments of approximately $157.6 million).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to our Credit Agreement. In addition to the restrictions imposed by the Fourth Amendment,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ranging from 3.75% to 4.25% or a eurodollar rate plus an applicable margin ranging from 4.75% to 5.25%, in each case, calculated in a customary manner and determined based on our consolidated secured leverage ratio. See note 10 to our accompanying Condensed Consolidated Financial Statements contained in Part I, Item 1 of this Quarterly Report on Form 10-Q.</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established an at the market common stock offering program (the “ATM Program”) to sell shares of common stock having an aggregate offering price of up to $250 million. As of March 31, 2020, we had approximately $117.1 million available for issuance under the ATM Program. The ATM Program is currently suspended following the June 15, 2019 expiration of our prior shelf registration statement.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anticipate continuing to invest in our network infrastructure across our Uniti Leasing, Uniti Fiber and Uniti Towers portfolios. We anticipate that we will partially finance these needs, as well as operating expenses (including our debt service obligations), from our cash on hand and cash flows provided by operating activities. As of March 31, 2020, we had $40 million in borrowing availability under our Revolving Credit Facility, however, we may need to access the capital markets to generate additional funds in an amount sufficient to fund our business operations, announced investment activities, capital expenditures, debt service and distributions to our shareholders. In light of the COVID-19 pandemic and its effects on the global economy and capital markets, we are closely monitoring the equity and debt markets and will seek to access them promptly if and when we determine market conditions are appropriate. Our debt covenants currently do not permit us to incur material additional debt. We will need to raise additional capital if the Settlement, which includes growth capital investments, with Windstream is effectuated.</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amount, nature and timing of any capital markets transactions will depend on: the impact the COVID-19 pandemic has on the global economy and capital markets, our operating performance and other circumstances, including uncertainty surrounding Windstream; our then-current commitments and obligations; the amount, nature and timing of our capital requirements; and any limitations imposed by our current credit arrangements.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7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light of the COVID-19 pandemic, recent developments and uncertainty surrounding Windstream and the effect of substantial doubt about our ability to continue as a going concern, as discussed in Note 2 to our accompanying Condensed Consolidated Financial Statements contained in Part I, Item 1 of this Quarterly Report on Form 10-Q and in Part I, Item 1A "Risk Factors" in our Annual Report on Form 10-K for the year ended December 31, 2019, until such time as the Settlement is approved and Windstream emerges from bankruptcy, we have taken measures, and may take further measures, to conserve cash as we anticipate that it will be more difficult for us to access the capital markets at attractive rates until such uncertainty is clarified.</w:t>
      </w:r>
    </w:p>
    <w:p>
      <w:pPr>
        <w:spacing w:after="0" w:line="16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Although management has concluded the probability of a rejection of the Master Lease to be remote (were the Settlement not implemented), and has noted the absence of any provision in the Master Lease that compels renegotiation of the lease and the lack of any ability of the bankruptcy court to unilaterally reset the rent or terms of the lease, it is difficult to predict what could occur in Windstream’s bankruptcy restructuring, including any judicial decisions in respect of claims against us by Windstream or its creditors. Accordingly, we may elect to suspend, delay or reduce success-based capital expenditures and further reduce dividend payments to conserve cash. However, because the Master Lease is essential to Windstream’s operations, absent any adverse determination in respect to Windstream’s claims against us, which we believe is unlikely, we expect that any disruption in payments by Windstream would likely be limited. Based on our analysis, and absent any adverse determination in respect to Windstream’s claims or disruptions in rent payments under the Master Lease, we believe that we have adequate liquidity to continue to fund our operations for twelve months after the issuance of the accompanying Condensed Consolidated Financial Statements included in Part I, Item 1 of this Quarterly Report on Form 10-Q. If our assumptions are incorrect, we could need additional sources of liquidity to fund our cash needs and cannot assure that we will obtain them. Should we fail to consummate the Settlement, a rejection by Windstream of the Master</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Lease, an adverse determination by a judge on Windstream’s claims against us, or Windstream’s inability or unwillingness to meet its rent and other obligations under the Master Lease could materially adversely affect our consolidated results of operations, liquidity, and financial condition, including our ability to service debt, comply with financial and other covenants and pay dividends to our stockholders as required to maintain our status as a REIT.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8"/>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w w:val="84"/>
              </w:rPr>
              <w:t>Success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Based</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Maintenance</w:t>
            </w:r>
          </w:p>
        </w:tc>
        <w:tc>
          <w:tcPr>
            <w:tcW w:w="26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Integration</w:t>
            </w:r>
          </w:p>
        </w:tc>
        <w:tc>
          <w:tcPr>
            <w:tcW w:w="1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Network</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51,659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54,885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and non-network</w:t>
            </w: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71,861</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Uniti Fiber and Uniti Towers portfolios, and expect that cash on hand and cash flows provided by operating activities will be sufficient to support these investments. We have the right, but not the obligation, to fund growth capital expenditures in certain of our lease arrangements where we are the lessor. As of March 31, 2020, the Company has committed to fund approximately $7.5 million of growth capital expenditures over the next twelve months.</w:t>
      </w:r>
    </w:p>
    <w:p>
      <w:pPr>
        <w:spacing w:after="0" w:line="19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In light of recent developments with Windstream and the COVID-19 pandemic, we may need to take measures to conserve cash, which may include a suspension, delay or reduction in success-based capital expenditures. We continually assess our capital expenditure plans in light of developments regarding the Windstream bankruptcy and the impact COVID-19 has on our business and that our tenants and customers.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Record Date</w:t>
            </w:r>
          </w:p>
        </w:tc>
      </w:tr>
      <w:tr>
        <w:trPr>
          <w:trHeight w:val="223"/>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2019 - December 31, 2019</w:t>
            </w:r>
          </w:p>
        </w:tc>
        <w:tc>
          <w:tcPr>
            <w:tcW w:w="12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31, 2019</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January 1, 2020 - March 31, 2020</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April 15, 2020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31, 2020</w:t>
            </w:r>
          </w:p>
        </w:tc>
      </w:tr>
      <w:tr>
        <w:trPr>
          <w:trHeight w:val="674"/>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right"/>
              <w:ind w:right="65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recent developments with Windstream and the COVID-19 pandemic, we may take further measures to conserve cash, which may include a suspension, delay or reduction in our dividend. In addition, during the pendency of Windstream’s bankruptcy, the Fourth Amendment to our Credit Agreement and our 2025 Secured Notes generally limit our ability to pay cash dividends in excess of 90% of our REIT taxable income, determined without regard to the dividends paid deduction and excluding any net capital gains.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u w:val="single" w:color="auto"/>
          <w:color w:val="auto"/>
        </w:rPr>
        <w:t>Goodwill</w:t>
      </w:r>
      <w:r>
        <w:rPr>
          <w:rFonts w:ascii="Arial" w:cs="Arial" w:eastAsia="Arial" w:hAnsi="Arial"/>
          <w:sz w:val="16"/>
          <w:szCs w:val="16"/>
          <w:color w:val="auto"/>
          <w:highlight w:val="white"/>
        </w:rPr>
        <w:t>–In December 2019, an outbreak of a new strain of coronavirus (“COVID-19”) began in Wuhan, Hubei Province, China. In March 2020, the</w:t>
      </w:r>
      <w:r>
        <w:rPr>
          <w:rFonts w:ascii="Arial" w:cs="Arial" w:eastAsia="Arial" w:hAnsi="Arial"/>
          <w:sz w:val="16"/>
          <w:szCs w:val="16"/>
          <w:color w:val="auto"/>
        </w:rPr>
        <w:t xml:space="preserve"> World Health Organization declared COVID-19 a pandemic. The COVID-19 pandemic has negatively impacted the global economy, disrupted global supply chains and created significant volatility and disruption of financial markets. In accordance with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we have considered events or circumstances resulting from the COVID-19 pandemic that may indicate whether it is more likely than not that the fair value of reporting unit is less than its carrying value. After consideration of such events or circumstances, including evaluating potential impacts on our judgements and estimates regarding our projected cash flows used in the determination of the estimated fair value of our Fiber reporting unit, we have determined that it is not more likely than not that the fair value of reporting unit is less than its carrying value; therefore, we have not performed an interim impairment analysis during the quarter. We will continue to monitor the impacts that the COVID-19 pandemic has on our business and may conclude that an interim impairment analysis is required in a future period, if we determine that the COVID-19 pandemic is negatively impacting our business.</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the date of this Quarterly Report on Form 10-Q, we have not experienced significant disruptions in our operations or network performance, incurred significant delays in our permitting process that would impact our timing of service installations, had disruptions or cost increases in our supply chain, nor have we received significant requests for payment relief from our customers as a result of the COVID-19 pandemic. Furthermore, as of the date of this Quarterly Report on Form 10-Q, we have not observed declines in acquisition multiples, which would impact estimated fair value of our Fiber reporting unit under the market approach, as it uses market data of comparable business and acquisition multiples paid in recent transactions to estimate fair value. As a result, we concluded that no triggering events were present and have not performed an interim impairment analysis during the quarter.</w:t>
      </w:r>
    </w:p>
    <w:p>
      <w:pPr>
        <w:spacing w:after="0" w:line="16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2019, filed with the SEC on March 12, 2020. As of March 31, 2020, there has been no material change to these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2019, filed with the SEC on March 12,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2019, filed with the SEC on March 12,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March 31, 2020, and based on this evaluation, our principal executive officer and principal financial officer concluded that our disclosure controls and procedures were not effective as of March 31, 2020, due to the material weakness in our internal control over financial reporting that was disclosed in our Annual Report on Form 10-K for the year ended December 31,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disclosed in “</w:t>
      </w:r>
      <w:r>
        <w:rPr>
          <w:rFonts w:ascii="Arial" w:cs="Arial" w:eastAsia="Arial" w:hAnsi="Arial"/>
          <w:sz w:val="17"/>
          <w:szCs w:val="17"/>
          <w:i w:val="1"/>
          <w:iCs w:val="1"/>
          <w:color w:val="auto"/>
        </w:rPr>
        <w:t>Part II. Item 9A. Controls and Procedures</w:t>
      </w:r>
      <w:r>
        <w:rPr>
          <w:rFonts w:ascii="Arial" w:cs="Arial" w:eastAsia="Arial" w:hAnsi="Arial"/>
          <w:sz w:val="17"/>
          <w:szCs w:val="17"/>
          <w:color w:val="auto"/>
        </w:rPr>
        <w:t>” in our Annual Report on Form 10-K for the year ended December 31, 2019, during the fourth quarter of 2019, we identified a material weakness in our internal control over financial reporting due to the following material weakness. We did not design or maintain effective controls over the identification and valuation of certain assets in the application of the acquisition method of accounting for asset acquisitions, including the determination of appropriate useful lives for certain assets. Specifically, our controls over the development and application of inputs, assumptions and calculations used in fair value measurements were not designed and operating effectively at an appropriate level of precision. As of March 31, 2020, management is continuing to implement the remediation plan as disclosed in “</w:t>
      </w:r>
      <w:r>
        <w:rPr>
          <w:rFonts w:ascii="Arial" w:cs="Arial" w:eastAsia="Arial" w:hAnsi="Arial"/>
          <w:sz w:val="17"/>
          <w:szCs w:val="17"/>
          <w:i w:val="1"/>
          <w:iCs w:val="1"/>
          <w:color w:val="auto"/>
        </w:rPr>
        <w:t>Part II. Item 9A. Controls and Procedures</w:t>
      </w:r>
      <w:r>
        <w:rPr>
          <w:rFonts w:ascii="Arial" w:cs="Arial" w:eastAsia="Arial" w:hAnsi="Arial"/>
          <w:sz w:val="17"/>
          <w:szCs w:val="17"/>
          <w:color w:val="auto"/>
        </w:rPr>
        <w:t>” in our Annual Report on Form 10-K for the year ended December 31, 2019, which is described below.</w:t>
      </w:r>
    </w:p>
    <w:p>
      <w:pPr>
        <w:spacing w:after="0" w:line="17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 13a-15(f) under the Exchange Act, that occurred during the quarter ended March 31, 2020 that have materially affected, or are reasonably likely to materially affect, our internal control over financial reporting, other than the changes made in response to the material weakness as described in more detail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Management is continuing to implement the remediation plan as disclosed in “</w:t>
      </w:r>
      <w:r>
        <w:rPr>
          <w:rFonts w:ascii="Arial" w:cs="Arial" w:eastAsia="Arial" w:hAnsi="Arial"/>
          <w:sz w:val="18"/>
          <w:szCs w:val="18"/>
          <w:i w:val="1"/>
          <w:iCs w:val="1"/>
          <w:color w:val="auto"/>
        </w:rPr>
        <w:t>Part II. Item 9A. Controls and Procedures</w:t>
      </w:r>
      <w:r>
        <w:rPr>
          <w:rFonts w:ascii="Arial" w:cs="Arial" w:eastAsia="Arial" w:hAnsi="Arial"/>
          <w:sz w:val="18"/>
          <w:szCs w:val="18"/>
          <w:color w:val="auto"/>
        </w:rPr>
        <w:t>” in our Annual Report on Form 10-K for the year ended December 31, 2019, to ensure that the deficiency contributing to the material weakness is remediated such that this control will operate effectively.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these actions, and the improvements we expect to achieve as a result, will effectively remediate the material weakness. However, the material weakness in our internal control over financial reporting will not be considered remediated until management has concluded, through testing, that this control is designed effectively. We expect that the remediation of this material weakness will be completed later in fiscal 2020.</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Bankruptcy Filing</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Prior to its bankruptcy filing described below, 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a “debtor in possession” under supervision of the Bankruptcy Court. See in Part I, Item 1A "Risk Factors" of our Annual Report on Form 10-K for the year ended December 31, 2019 for additional information concerning the impact Windstream’s bankruptcy may have on our operations and financial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Litigation and Settlement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first half of 2019, Windstream’s chief executive officer stated that Windstream was evaluating all options as part of the Chapter 11 reorganization process regarding the Master Lease, including renegotiation, recharacterization and rejection of the Master Lease. As further described below, on July 25, 2019, in connection with Windstream’s bankruptcy, Windstream Holdings and Windstream Services, LLC (“Windstream Services”) filed a complaint with the U.S. Bankruptcy Court for the Southern District of New York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Rejection</w:t>
      </w:r>
      <w:r>
        <w:rPr>
          <w:rFonts w:ascii="Arial" w:cs="Arial" w:eastAsia="Arial" w:hAnsi="Arial"/>
          <w:sz w:val="17"/>
          <w:szCs w:val="17"/>
          <w:color w:val="auto"/>
        </w:rPr>
        <w:t>. In bankruptcy, Windstream has the option to assume or reject the Master Lease. Because the Master Lease is a single indivisible Master Lease</w:t>
      </w:r>
      <w:r>
        <w:rPr>
          <w:rFonts w:ascii="Arial" w:cs="Arial" w:eastAsia="Arial" w:hAnsi="Arial"/>
          <w:sz w:val="17"/>
          <w:szCs w:val="17"/>
          <w:i w:val="1"/>
          <w:iCs w:val="1"/>
          <w:color w:val="auto"/>
        </w:rPr>
        <w:t xml:space="preserve"> </w:t>
      </w:r>
      <w:r>
        <w:rPr>
          <w:rFonts w:ascii="Arial" w:cs="Arial" w:eastAsia="Arial" w:hAnsi="Arial"/>
          <w:sz w:val="17"/>
          <w:szCs w:val="17"/>
          <w:color w:val="auto"/>
        </w:rPr>
        <w:t>with a single rent payment, it must be assumed or rejected in whole and cannot be sub-divided by facility or market.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we believe Windstream would require approval from the applicable PUC and the FCC to cease providing service in those markets. As a result, although we can provide no assurances, we believe the probability of Windstream rejecting the Master Lease in bankruptcy to be remote. A rejection of the Master Lease, or even a temporary disruption in payments to us, would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our debt service obligations and could otherwise affect our ability to maintain REIT status.</w:t>
      </w:r>
    </w:p>
    <w:p>
      <w:pPr>
        <w:spacing w:after="0" w:line="1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 rejection of the Master Lease by Windstream could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 An acceleration of debt under our senior secured credit facilities due to an uncured “event of default” under our Credit Agreement would also result in an “event of default” under the terms of our outstanding notes. Such an “event of default” would give the holders of the applicable debt obligation the right to accelerate our repayment obligations relating to such debt.</w:t>
      </w:r>
    </w:p>
    <w:p>
      <w:pPr>
        <w:spacing w:after="0" w:line="19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Master Lease contains no provision that compels renegotiation of the lease and the bankruptcy court has no ability to unilaterally reset the rent or terms of the lease. In addition, our Credit Agreement prohibits us from amending the Master Lease in a manner that, among other provisions, pro forma for any such amendment, would result in our consolidated secured leverage ratio exceeding 5.00 to 1.00, and management has no intention to enter into a lease amendment that would violate our debt covenants. However, it is difficult to predict what could occur in Windstream’s bankruptcy restructuring, including as a result of the adversary proceeding brought by Windstream related to the Master Lease if the Settlement is not implemented.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Mediation</w:t>
      </w:r>
      <w:r>
        <w:rPr>
          <w:rFonts w:ascii="Arial" w:cs="Arial" w:eastAsia="Arial" w:hAnsi="Arial"/>
          <w:sz w:val="18"/>
          <w:szCs w:val="18"/>
          <w:color w:val="auto"/>
        </w:rPr>
        <w:t>. Uniti, Windstream and Windstream’s creditors engaged in mediation in the Windstream bankruptcy to resolve claims brought by Windstream</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Uniti, which culminated in the March 2, 2020 announcement of the Settlement. On May 8, 2020, the U.S. Bankruptcy Court for the Southern District of New York approved the Settlement. The Settlement is subject to finalizing and executing definitive documentation, the receipt of certain regulatory approvals and other conditions precedent, including Uniti’s receipt of satisfactory “true lease” opinions confirming that the New Leases are “true leases” for U.S. federal income tax purposes. Following satisfaction of all such conditions precedent, consummation of the Settlement will occur on the earlier of Windstream’s emergence from bankruptcy and February 28, 2021. All litigation between Windstream and Uniti, including the matters referenced herein, is stayed while the parties implement the Settlement.</w:t>
      </w:r>
    </w:p>
    <w:p>
      <w:pPr>
        <w:spacing w:after="0" w:line="195"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i w:val="1"/>
          <w:iCs w:val="1"/>
          <w:color w:val="auto"/>
        </w:rPr>
        <w:t>Recharacterization / Pending Master Lease Litigation</w:t>
      </w:r>
      <w:r>
        <w:rPr>
          <w:rFonts w:ascii="Arial" w:cs="Arial" w:eastAsia="Arial" w:hAnsi="Arial"/>
          <w:sz w:val="16"/>
          <w:szCs w:val="16"/>
          <w:color w:val="auto"/>
        </w:rPr>
        <w:t>. On July 25, 2019, in connection with Windstream’s bankruptcy, Windstream Holdings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Windstream Services filed a complaint with the U.S. Bankruptcy Court for the Southern District of New York against Uniti and certain of its affiliates, alleging¸ among other things, that (1) the Master Lease should be recharacterized as a financing arrangement, (2) rent payments and tenant capital improvements made by Windstream under the Master Lease since at least the third quarter of 2017 constitute constructive fraudulent transfers, (3) the Master Lease is a lease of personal property and (4) Uniti has breached its non-competition obligations to Windstream under the Master Lease, each of which allegations is discussed in more detail below. As described above, the trial for the recharacterization claim has been stayed.</w:t>
      </w:r>
    </w:p>
    <w:p>
      <w:pPr>
        <w:spacing w:after="0" w:line="1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u w:val="single" w:color="auto"/>
          <w:color w:val="auto"/>
        </w:rPr>
        <w:t>Recharacterization</w:t>
      </w:r>
      <w:r>
        <w:rPr>
          <w:rFonts w:ascii="Arial" w:cs="Arial" w:eastAsia="Arial" w:hAnsi="Arial"/>
          <w:sz w:val="16"/>
          <w:szCs w:val="16"/>
          <w:color w:val="auto"/>
        </w:rPr>
        <w:t>. Windstream asserts that the Master Lease should be recharacterized as a financing arrangement. If the Master Lease were recharacterized as a financing arrangement, Windstream has argued that Windstream should be deemed the true owner of the property subject to the Master Lease, and Uniti should be treated as a creditor of Windstream rather than as a landlord. In evaluating a recharacterization claim, the Bankruptcy Court will look to assess, among other things, the “economic realities” of the transaction and may reach conclusions notwithstanding positions previously taken by Windstream or Uniti as to the nature of the Master Lease, whether publicly or otherwise. In assessing claims for recharacterization of a transaction involving a lease, bankruptcy courts have previously considered such factors as (i) whether the lessor retains residual value at the termination of the lease,</w:t>
      </w:r>
    </w:p>
    <w:p>
      <w:pPr>
        <w:spacing w:after="0" w:line="4" w:lineRule="exact"/>
        <w:rPr>
          <w:sz w:val="20"/>
          <w:szCs w:val="20"/>
          <w:color w:val="auto"/>
        </w:rPr>
      </w:pPr>
    </w:p>
    <w:p>
      <w:pPr>
        <w:ind w:right="200" w:firstLine="8"/>
        <w:spacing w:after="0" w:line="288"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“rental” payments were calculated to compensate the lessor for the use of the property, or were structured for another purpose, such as providing a specific return on investment, (iii) whether in a sale-leaseback transaction the purchase price charged for the assets related to the fair market value of the assets or a substantially different amount, such as the amount of financing required by the lessee, (iv) whether the property was purchased specifically for the lessee’s use, (v) whether structuring the transaction as a lease conveyed tax advantages for the parties, and (vi) who bears the risk and benefits of ownership, including whether the lessee retains obligations typically associated with ownership, such as responsibility for property taxes and insurance. Because any determination by the Bankruptcy Court will involve complex factual and legal analysis, including with respect to the factors described above, we cannot provide any assurances as to how the Bankruptcy Court may rule on these issues.</w:t>
      </w:r>
    </w:p>
    <w:p>
      <w:pPr>
        <w:spacing w:after="0" w:line="16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Were the Bankruptcy Court to hold that the Master Lease should be recharacterized as a financing arrangement, it could significantly affect or even eliminate current payments to us under the Master Lease and could significantly affect the ultimate treatment of our claims (including potentially through changing our status to that of a creditor that would share in creditor recoveries from the estate rather than receive rent payments). The Bankruptcy Court could determine that Windstream is the true owner of the property subject to the Master Lease, and we have argued that such property would be deemed to be owned by Windstream Holdings as the counterparty to the Master Lease and that Uniti would have a claim against Windstream Holdings that is secured by such property. Windstream has argued that such property would instead be owned by the operating subsidiaries that previously held it and that our claims would be against Windstream Holdings as the counterparty to the Master Lease. In such an event, the Bankruptcy Court would also determine if our claims are secured by an interest in the leased property. If the Bankruptcy Court were to determine that our claims are not secured by an interest in the leased property, our claims could be unsecured and structurally subordinated to the claims of creditors at Windstream Holdings’ subsidiaries, including Windstream Services. Windstream Services is the issuer of substantially all of Windstream’s debt obligations and certain of its operating subsidiaries guarantee such debt obligations. Were we to be treated as an unsecured creditor of Windstream Holdings, we would not be able to recover any value from Windstream Services or such other operating subsidiaries until all of their respective debt obligations have been satisfied and, in such event, the notes and the guarantees of the notes would only be secured on a first-priority basis by certain of our assets that do not constitute the property subject to the Master Lease. In the event of such an adverse determination, our ability to meet our debt and other obligations could be materially impaired. In addition, recharacterization of the Master Lease as a financing arrangement, depending on the findings of fact and law of, and remedies applied by, the Bankruptcy Court, could affect the U.S. federal income tax treatment of the Master Lease, our status as a REIT (see “See in Part I, Item 1A "Risk Factors" of our Annual Report on Form 10-K for the year ended December 31, 2019) and could materially adversely affect our consolidated results of operations, liquidity, and financial condition.</w:t>
      </w:r>
    </w:p>
    <w:p>
      <w:pPr>
        <w:spacing w:after="0" w:line="19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u w:val="single" w:color="auto"/>
          <w:color w:val="auto"/>
        </w:rPr>
        <w:t>Constructive Fraudulent Transfer</w:t>
      </w:r>
      <w:r>
        <w:rPr>
          <w:rFonts w:ascii="Arial" w:cs="Arial" w:eastAsia="Arial" w:hAnsi="Arial"/>
          <w:sz w:val="18"/>
          <w:szCs w:val="18"/>
          <w:color w:val="auto"/>
        </w:rPr>
        <w:t>. Windstream alleges that rent payments and tenant capital improvements made by Windstream under the Master Lease since at least the third quarter of 2017 constitute constructive fraudulent transfers. If the constructive fraudulent transfer claim were successful, Uniti may be required to repay Windstream the amount of rent payments made by Windstream above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fair market rent as determined by the Bankruptcy Court and the aggregate amount of all tenant capital improvements made by Windstream, in each case since the date on which the Bankruptcy Court found Windstream to have been insolvent. In its complaint in the adversary proceeding, Windstream alleges that it has paid approximately $366 million for tenant capital improvements under the Master Lease from the fourth quarter of 2017 through November 2019, in addition to making substantial rent payments. As any such calculation of fair market rent and any resulting damages would be a fact-intensive inquiry, it is not possible to provide a likely range of damages at this time, but any such damages award could materially adversely affect our consolidated results of operations, liquidity, and financial condition.</w:t>
      </w:r>
    </w:p>
    <w:p>
      <w:pPr>
        <w:spacing w:after="0" w:line="1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u w:val="single" w:color="auto"/>
          <w:color w:val="auto"/>
        </w:rPr>
        <w:t>Master Lease for Personal Property</w:t>
      </w:r>
      <w:r>
        <w:rPr>
          <w:rFonts w:ascii="Arial" w:cs="Arial" w:eastAsia="Arial" w:hAnsi="Arial"/>
          <w:sz w:val="17"/>
          <w:szCs w:val="17"/>
          <w:color w:val="auto"/>
        </w:rPr>
        <w:t>. Windstream alleges that the Master Lease is a lease of personal property. If the Master Lease were determined to be a lease of personal property, the deadline for Windstream Holdings to assume or reject the Master Lease would be the confirmation of its plan of reorganization by the Bankruptcy Court, which would extend the deadline that would otherwise be applicable under the bankruptcy code if the Master Lease were treated as a lease of real property, and Windstream could seek from the Bankruptcy Court relief from its current performance obligations during the bankruptcy case. In addition, if the Master Lease were determined to be a lease of personal property, this could also impact our status as a REIT if the IRS were to determine that our gross income is not sufficiently derived from real property. See in Part I, Item 1A "Risk Factors" of our Annual Report on Form 10-K for the year ended December 31, 2019— Risks Related to the Status of Uniti as a REIT. On January 21, 2020, Windstream agreed to stay, without prejudice, its action seeking a determination that the Master Lease is a lease of personal property.</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Breach of Contract</w:t>
      </w:r>
      <w:r>
        <w:rPr>
          <w:rFonts w:ascii="Arial" w:cs="Arial" w:eastAsia="Arial" w:hAnsi="Arial"/>
          <w:sz w:val="18"/>
          <w:szCs w:val="18"/>
          <w:color w:val="auto"/>
        </w:rPr>
        <w:t>. Windstream alleges that Uniti has breached its non-competition obligations to Windstream under the Master Lease and that Windstream is entitled to damages and/or an abatement of rent as a result of such breach, although no damages amount has been asserted. We believe this claim is without merit and in any event do not believe damages would be material.</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While the Windstream Master Lease litigation is currently stayed, it is difficult to predict what could occur in Windstream’s bankruptcy restructuring. However, any adverse determination or judicial decision on one or more of the claims against us could materially adversely affect our consolidated results of operations, liquidity, and financial condition or, in certain circumstances, cause us to file for voluntary Chapter 11 protection.</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July 3, 2019, SLF Holdings, LLC (“SLF”) filed a complaint against the Company, Uniti Fiber Holdings Inc.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w:t>
      </w:r>
      <w:r>
        <w:rPr>
          <w:rFonts w:ascii="Arial" w:cs="Arial" w:eastAsia="Arial" w:hAnsi="Arial"/>
          <w:sz w:val="19"/>
          <w:szCs w:val="19"/>
          <w:color w:val="auto"/>
        </w:rPr>
        <w:t>.</w:t>
      </w:r>
      <w:r>
        <w:rPr>
          <w:rFonts w:ascii="Arial" w:cs="Arial" w:eastAsia="Arial" w:hAnsi="Arial"/>
          <w:sz w:val="16"/>
          <w:szCs w:val="16"/>
          <w:color w:val="auto"/>
        </w:rPr>
        <w:t xml:space="preserve"> On November 18, 2019, SLF filed an amended complaint, adding allegations that Defendants also failed to fully disclose the risk that the Master Lease purportedly could be 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but no decision has been issued. We intend to defend this matter vigorously, and, because it is still in its preliminary stages, we have not yet determined what effect this lawsuit will have, if any, on our financial position or results of operations.</w:t>
      </w:r>
    </w:p>
    <w:p>
      <w:pPr>
        <w:spacing w:after="0" w:line="16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Ibrahim E. Safadi, Phil Queder and Michael Avery filed separate putative class actions in the U.S. District Court for the Eastern District of Arkansas against the Company and certain of our officers on October 25, 2019, December 6, 2019, and December 23, 2019, respectively, alleging violations of the federal securities laws (the “Shareholder Actions”). The Shareholder Actions seek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represent investors who acquired the Company’s securities between April 20, 2015 and February 15, 2019 (in the case of the Safadi and Queder actions) and April 20, 2015 and June 24, 2019 (in the case of the Avery action). The Shareholder Actions assert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Shareholder Actions seek class certification, unspecified monetary damages, costs and attorneys’ fees and other relief.</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On March 12, 2020, the U.S. District Court for the Eastern District of Arkansas consolidated the Shareholder Actions and appointed lead plaintiffs and lead counsel in the consolidated cases under the caption </w:t>
      </w:r>
      <w:r>
        <w:rPr>
          <w:rFonts w:ascii="Arial" w:cs="Arial" w:eastAsia="Arial" w:hAnsi="Arial"/>
          <w:sz w:val="17"/>
          <w:szCs w:val="17"/>
          <w:i w:val="1"/>
          <w:iCs w:val="1"/>
          <w:color w:val="auto"/>
        </w:rPr>
        <w:t>In re Uniti Group Inc. Securities Litigation</w:t>
      </w:r>
      <w:r>
        <w:rPr>
          <w:rFonts w:ascii="Arial" w:cs="Arial" w:eastAsia="Arial" w:hAnsi="Arial"/>
          <w:sz w:val="17"/>
          <w:szCs w:val="17"/>
          <w:color w:val="auto"/>
        </w:rPr>
        <w:t xml:space="preserve"> (Case No. 4:19-cv-00756 BSM).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 as of March 31,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have been no material changes to the risk factors affecting our business that were discussed in Part I, “Item 1A. Risk Factors” in our Annual Report on Form 10-K for the year ended December 31, 2019 filed with the SEC on March 12, 2020, except the following supplemental risk factors related to COVID-19 pandemic.</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disrupt the operation of our business resulting in adverse impacts to our financial condition, results of operations, and cash flow.</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Since being reported in December 2019 in Wuhan, Hubei Province, China, an outbreak of a new strain of coronavirus (“COVID-19”) has spread globally, including to every state in the United States. In March 2020, the World Health Organization declared COVID-19 a pandemic and the United States declared a national emergency. The COVID-19 pandemic has, and another pandemic in the future could, negatively impacted the global economy, disrupted global supply chains and created significant volatility and disruption of financial markets. Given the ongoing and dynamic nature of the circumstances, it is difficult to predict the impact of COVID-19 on us, and there is no guarantee that efforts by us, designed to address adverse impacts of COVID-19, will be effective.</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local governments in some of the markets in which we operate have mandated residents to stay at home and have temporarily closed businesses that are not considered essential. Although our businesses are considered essential, the current COVID-19 pandemic, or a future pandemic, could have material and adverse effects on our ability to successfully operate and on our financial condition, results of operations and cash flows due to, among other factors:</w:t>
      </w:r>
    </w:p>
    <w:p>
      <w:pPr>
        <w:spacing w:after="0" w:line="257" w:lineRule="exact"/>
        <w:rPr>
          <w:sz w:val="20"/>
          <w:szCs w:val="20"/>
          <w:color w:val="auto"/>
        </w:rPr>
      </w:pPr>
    </w:p>
    <w:p>
      <w:pPr>
        <w:ind w:left="800" w:hanging="374"/>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disruptions or delays in our operations or network performance, as well as network maintenance and construction, testing, supervisory and customer support activities, and inventory and supply procurement;</w:t>
      </w:r>
    </w:p>
    <w:p>
      <w:pPr>
        <w:spacing w:after="0" w:line="62" w:lineRule="exact"/>
        <w:rPr>
          <w:rFonts w:ascii="Arial" w:cs="Arial" w:eastAsia="Arial" w:hAnsi="Arial"/>
          <w:sz w:val="18"/>
          <w:szCs w:val="18"/>
          <w:color w:val="auto"/>
        </w:rPr>
      </w:pPr>
    </w:p>
    <w:p>
      <w:pPr>
        <w:ind w:left="800" w:hanging="374"/>
        <w:spacing w:after="0" w:line="308"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increases in operating costs, inventory shortages and/or a decrease in productivity related to travel bans and social distancing efforts that may delay construction activities or require our vendor and contractors to incur additional costs that may be passed onto us;</w:t>
      </w:r>
    </w:p>
    <w:p>
      <w:pPr>
        <w:spacing w:after="0" w:line="38" w:lineRule="exact"/>
        <w:rPr>
          <w:rFonts w:ascii="Arial" w:cs="Arial" w:eastAsia="Arial" w:hAnsi="Arial"/>
          <w:sz w:val="17"/>
          <w:szCs w:val="17"/>
          <w:color w:val="auto"/>
        </w:rPr>
      </w:pPr>
    </w:p>
    <w:p>
      <w:pPr>
        <w:ind w:left="800" w:hanging="37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permitting activities due to the shutdown of local permitting authorities;</w:t>
      </w:r>
    </w:p>
    <w:p>
      <w:pPr>
        <w:spacing w:after="0" w:line="117" w:lineRule="exact"/>
        <w:rPr>
          <w:rFonts w:ascii="Arial" w:cs="Arial" w:eastAsia="Arial" w:hAnsi="Arial"/>
          <w:sz w:val="18"/>
          <w:szCs w:val="18"/>
          <w:color w:val="auto"/>
        </w:rPr>
      </w:pPr>
    </w:p>
    <w:p>
      <w:pPr>
        <w:ind w:left="800" w:right="20" w:hanging="374"/>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deterioration in our ability to operate in affected areas or delays in the supply of products or services to us from vendors that are needed for our efficient operations could adversely affect our operations;</w:t>
      </w:r>
    </w:p>
    <w:p>
      <w:pPr>
        <w:spacing w:after="0" w:line="62" w:lineRule="exact"/>
        <w:rPr>
          <w:rFonts w:ascii="Arial" w:cs="Arial" w:eastAsia="Arial" w:hAnsi="Arial"/>
          <w:sz w:val="18"/>
          <w:szCs w:val="18"/>
          <w:color w:val="auto"/>
        </w:rPr>
      </w:pPr>
    </w:p>
    <w:p>
      <w:pPr>
        <w:ind w:left="800" w:hanging="37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impact on the timing of installs in our enterprise and wholesale customer segments at Uniti Fiber;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hanging="374"/>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general reduction in business and economic activity may severely impact our clients’ financial condition and liquidity and may cause them to be unable to meet their obligations to us in full, or at all, or to otherwise seek modifications of such obligations;</w:t>
      </w:r>
    </w:p>
    <w:p>
      <w:pPr>
        <w:spacing w:after="0" w:line="62" w:lineRule="exact"/>
        <w:rPr>
          <w:rFonts w:ascii="Arial" w:cs="Arial" w:eastAsia="Arial" w:hAnsi="Arial"/>
          <w:sz w:val="18"/>
          <w:szCs w:val="18"/>
          <w:color w:val="auto"/>
        </w:rPr>
      </w:pPr>
    </w:p>
    <w:p>
      <w:pPr>
        <w:jc w:val="both"/>
        <w:ind w:left="800" w:hanging="374"/>
        <w:spacing w:after="0" w:line="263"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or address existing and anticipated liabilities on a timely basis; and</w:t>
      </w:r>
    </w:p>
    <w:p>
      <w:pPr>
        <w:spacing w:after="0" w:line="75" w:lineRule="exact"/>
        <w:rPr>
          <w:rFonts w:ascii="Arial" w:cs="Arial" w:eastAsia="Arial" w:hAnsi="Arial"/>
          <w:sz w:val="18"/>
          <w:szCs w:val="18"/>
          <w:color w:val="auto"/>
        </w:rPr>
      </w:pPr>
    </w:p>
    <w:p>
      <w:pPr>
        <w:ind w:left="800" w:hanging="374"/>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personnel, particularly if a significant number of them are impacted, could result in a deterioration in our ability to ensure business continuity during a disruption.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implemented policies and procedures designed to mitigate the risk of adverse impacts of the COVID-19 pandemic, or a future pandemic, on our operations, but we may incur additional costs to ensure continuity of business operations caused by COVID-19, or other future pandemics, which could adversely affect our financial condition and results of operations. However, the extent of such impacts will depend on future developments, which are highly uncertain and cannot be predicted, including new information which may emerge concerning the severity of COVID-19 and actions taken to contain COVID-19 or its impact, among others.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COVID-19 pandemic may cause us to determine that our goodwill has become impaired and to incur impairment charges, which would negatively impact our operating results.</w:t>
      </w:r>
    </w:p>
    <w:p>
      <w:pPr>
        <w:spacing w:after="0" w:line="17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At March 31, 2020, we had $690.7 million of goodwill on our consolidated balance sheet. Goodwill represents the excess of cost over the fair value of net assets acquired in business combinations. Impairment may result from significant changes in the manner of use of the acquired assets, negative industry or economic trends and/or any changes in key assumptions regarding our fair value. In 2020, the COVID-19 pandemic and the precautionary measures instituted by governments and businesses to mitigate its spread, including travel restrictions and “shelter-in-place orders,” have contributed to a significant financial market volatility and a general slowdown of the global economy. The extent to which the fair value of net assets acquired in business combinations is ultimately impacted will depend on numerous evolving factors that are presently uncertain and which we may not be able to</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predict. Although we assess potential impairment of our goodwill on an annual basis, the impact of the COVID-19 pandemic may cause us to perform an interim analysis of our goodwill and cause us to report an impairment charge in the future, which could have a significant adverse impact on our reported earnings. For a discussion of our goodwill impairment testing, see “Note 2. Basis of Presentation and Summary of Significant Accounting Policies— Goodwill” in the notes to the Condensed Consolidated Financial Statements set forth in Part I, Item 1 of this Quarterly Report on Form 10-Q and “Critical Accounting Policies-Evaluation of Goodwill Impairment” in Part II, Item 7A-Management’s Discussion and Analysis of Financial Condition and Results of Operations of our 2019 Annual Report on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Sales of Equity Securities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connection with the Settlement, Uniti entered into binding letters of intent on March 2, 2020 with certain first lien creditors of Windstream, pursuant to which Uniti will sell an aggregate of 38,633,470 shares of Uniti common stock, par value $0.0001 per share, at $6.33 per share, which represents the closing price of Uniti common stock on the date when an agreement in principle of the basic outline of the Settlement was first reached (the “Settlement Common Stock”). Uniti will transfer the proceeds from the sale of the Settlement Common Stock to Windstream as additional settlement consideration. The issuance and sale of the Settlement Common Stock will be made in reliance upon the exemption from registration requirements pursuant to Section 4(a)(2) of the Securities Act of 1933, as amended. Certain recipients of the Settlement Common Stock will be subject to a one-year lock up, and all recipients will be subject to a customary standstill agreement. No recipient will receive any governance rights in connection with the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Average Price 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2020 to January 31, 2020</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14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February 1, 2020 to February 29, 2020</w:t>
            </w:r>
          </w:p>
        </w:tc>
        <w:tc>
          <w:tcPr>
            <w:tcW w:w="960" w:type="dxa"/>
            <w:vAlign w:val="bottom"/>
          </w:tcPr>
          <w:p>
            <w:pPr>
              <w:jc w:val="right"/>
              <w:spacing w:after="0"/>
              <w:rPr>
                <w:sz w:val="20"/>
                <w:szCs w:val="20"/>
                <w:color w:val="auto"/>
              </w:rPr>
            </w:pPr>
            <w:r>
              <w:rPr>
                <w:rFonts w:ascii="Arial" w:cs="Arial" w:eastAsia="Arial" w:hAnsi="Arial"/>
                <w:sz w:val="18"/>
                <w:szCs w:val="18"/>
                <w:color w:val="auto"/>
              </w:rPr>
              <w:t>48,807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1640" w:type="dxa"/>
            <w:vAlign w:val="bottom"/>
          </w:tcPr>
          <w:p>
            <w:pPr>
              <w:ind w:left="1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2020 to March 31, 2020</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FF0FC"/>
          </w:tcPr>
          <w:p>
            <w:pPr>
              <w:ind w:left="1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48,807</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16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8"/>
        <w:spacing w:after="0" w:line="252" w:lineRule="auto"/>
        <w:tabs>
          <w:tab w:leader="none" w:pos="193"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average price paid per share is the weighted-average of the fair market prices at which we calculated the number of shares withheld to cover tax withholdings for the employees.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220" w:type="dxa"/>
            <w:vAlign w:val="bottom"/>
            <w:gridSpan w:val="15"/>
          </w:tcPr>
          <w:p>
            <w:pPr>
              <w:ind w:left="3100"/>
              <w:spacing w:after="0"/>
              <w:rPr>
                <w:sz w:val="20"/>
                <w:szCs w:val="20"/>
                <w:color w:val="auto"/>
              </w:rPr>
            </w:pPr>
            <w:r>
              <w:rPr>
                <w:rFonts w:ascii="Arial" w:cs="Arial" w:eastAsia="Arial" w:hAnsi="Arial"/>
                <w:sz w:val="14"/>
                <w:szCs w:val="14"/>
                <w:b w:val="1"/>
                <w:bCs w:val="1"/>
                <w:color w:val="auto"/>
              </w:rPr>
              <w:t>Description</w:t>
            </w:r>
          </w:p>
        </w:tc>
      </w:tr>
      <w:tr>
        <w:trPr>
          <w:trHeight w:val="186"/>
        </w:trPr>
        <w:tc>
          <w:tcPr>
            <w:tcW w:w="12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9320" w:type="dxa"/>
            <w:vAlign w:val="bottom"/>
            <w:tcBorders>
              <w:bottom w:val="single" w:sz="8" w:color="0000EE"/>
            </w:tcBorders>
            <w:gridSpan w:val="9"/>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Indenture, dated as of February 10, 2020, among Uniti Group LP, Uniti Fiber Holdings Inc., Uniti Group Finance 2019 Inc., CSL</w:t>
              </w:r>
            </w:hyperlink>
          </w:p>
        </w:tc>
        <w:tc>
          <w:tcPr>
            <w:tcW w:w="300" w:type="dxa"/>
            <w:vAlign w:val="bottom"/>
            <w:gridSpan w:val="7"/>
          </w:tcPr>
          <w:p>
            <w:pPr>
              <w:spacing w:after="0"/>
              <w:rPr>
                <w:sz w:val="22"/>
                <w:szCs w:val="22"/>
                <w:color w:val="auto"/>
              </w:rPr>
            </w:pPr>
          </w:p>
        </w:tc>
      </w:tr>
      <w:tr>
        <w:trPr>
          <w:trHeight w:val="196"/>
        </w:trPr>
        <w:tc>
          <w:tcPr>
            <w:tcW w:w="1200" w:type="dxa"/>
            <w:vAlign w:val="bottom"/>
          </w:tcPr>
          <w:p>
            <w:pPr>
              <w:spacing w:after="0"/>
              <w:rPr>
                <w:sz w:val="17"/>
                <w:szCs w:val="17"/>
                <w:color w:val="auto"/>
              </w:rPr>
            </w:pPr>
          </w:p>
        </w:tc>
        <w:tc>
          <w:tcPr>
            <w:tcW w:w="95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Capital, LLC, the guarantors named therein, and Deutsche Bank Trust Company Americas, as trustee and collateral agent, governing</w:t>
              </w:r>
            </w:hyperlink>
          </w:p>
        </w:tc>
        <w:tc>
          <w:tcPr>
            <w:tcW w:w="4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95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the 7.875% Senior Secured Notes due 2025 (incorporated by reference to Exhibit 4.1 to the Company’s Current Report on Form 8-K</w:t>
              </w:r>
            </w:hyperlink>
          </w:p>
        </w:tc>
        <w:tc>
          <w:tcPr>
            <w:tcW w:w="6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filed with the SEC on February 10, 2020 (File No. 001-36708)).</w:t>
              </w:r>
            </w:hyperlink>
          </w:p>
        </w:tc>
        <w:tc>
          <w:tcPr>
            <w:tcW w:w="5000" w:type="dxa"/>
            <w:vAlign w:val="bottom"/>
            <w:gridSpan w:val="14"/>
          </w:tcPr>
          <w:p>
            <w:pPr>
              <w:spacing w:after="0"/>
              <w:rPr>
                <w:sz w:val="17"/>
                <w:szCs w:val="17"/>
                <w:color w:val="auto"/>
              </w:rPr>
            </w:pPr>
          </w:p>
        </w:tc>
      </w:tr>
      <w:tr>
        <w:trPr>
          <w:trHeight w:val="345"/>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9620" w:type="dxa"/>
            <w:vAlign w:val="bottom"/>
            <w:gridSpan w:val="16"/>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Form of 7.875% Senior Secured Notes due 2025 (included in Exhibit 4.1 above) (incorporated by reference to Exhibit 4.2 to the</w:t>
              </w:r>
            </w:hyperlink>
          </w:p>
        </w:tc>
      </w:tr>
      <w:tr>
        <w:trPr>
          <w:trHeight w:val="237"/>
        </w:trPr>
        <w:tc>
          <w:tcPr>
            <w:tcW w:w="1200" w:type="dxa"/>
            <w:vAlign w:val="bottom"/>
          </w:tcPr>
          <w:p>
            <w:pPr>
              <w:spacing w:after="0"/>
              <w:rPr>
                <w:sz w:val="20"/>
                <w:szCs w:val="20"/>
                <w:color w:val="auto"/>
              </w:rPr>
            </w:pPr>
          </w:p>
        </w:tc>
        <w:tc>
          <w:tcPr>
            <w:tcW w:w="922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Company’s Current Report on Form 8-K filed with the SEC on February 10, 2020 (File No. 001-36708)).</w:t>
              </w:r>
            </w:hyperlink>
          </w:p>
        </w:tc>
        <w:tc>
          <w:tcPr>
            <w:tcW w:w="400" w:type="dxa"/>
            <w:vAlign w:val="bottom"/>
            <w:gridSpan w:val="9"/>
          </w:tcPr>
          <w:p>
            <w:pPr>
              <w:spacing w:after="0"/>
              <w:rPr>
                <w:sz w:val="20"/>
                <w:szCs w:val="20"/>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9620" w:type="dxa"/>
            <w:vAlign w:val="bottom"/>
            <w:gridSpan w:val="16"/>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Amendment No. 6 and Limited Waiver to the Credit Agreement, dated as of February 10, 2020, among Uniti Group LP, Uniti Group</w:t>
              </w:r>
            </w:hyperlink>
          </w:p>
        </w:tc>
      </w:tr>
      <w:tr>
        <w:trPr>
          <w:trHeight w:val="196"/>
        </w:trPr>
        <w:tc>
          <w:tcPr>
            <w:tcW w:w="120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Finance 2019 Inc. and CSL Capital, LLC, as borrowers, the guarantor party thereto, the lenders party thereto, and Bank of America,</w:t>
              </w:r>
            </w:hyperlink>
          </w:p>
        </w:tc>
        <w:tc>
          <w:tcPr>
            <w:tcW w:w="40" w:type="dxa"/>
            <w:vAlign w:val="bottom"/>
            <w:tcBorders>
              <w:top w:val="single" w:sz="8" w:color="0000EE"/>
            </w:tcBorders>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93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N.A., as administrative agent and collateral agent (incorporated by reference to Exhibit 10.1 to the Company’s Current Report on</w:t>
              </w:r>
            </w:hyperlink>
          </w:p>
        </w:tc>
        <w:tc>
          <w:tcPr>
            <w:tcW w:w="320" w:type="dxa"/>
            <w:vAlign w:val="bottom"/>
            <w:gridSpan w:val="8"/>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3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Form 8-K filed with the SEC on February 10, 2020 (File No. 001-36708)).</w:t>
              </w:r>
            </w:hyperlink>
          </w:p>
        </w:tc>
        <w:tc>
          <w:tcPr>
            <w:tcW w:w="4240" w:type="dxa"/>
            <w:vAlign w:val="bottom"/>
            <w:gridSpan w:val="12"/>
          </w:tcPr>
          <w:p>
            <w:pPr>
              <w:spacing w:after="0"/>
              <w:rPr>
                <w:sz w:val="17"/>
                <w:szCs w:val="17"/>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8"/>
                <w:szCs w:val="18"/>
                <w:color w:val="212529"/>
              </w:rPr>
              <w:t>+</w:t>
            </w:r>
            <w:r>
              <w:rPr>
                <w:rFonts w:ascii="Arial" w:cs="Arial" w:eastAsia="Arial" w:hAnsi="Arial"/>
                <w:sz w:val="18"/>
                <w:szCs w:val="18"/>
                <w:color w:val="auto"/>
              </w:rPr>
              <w:t>*</w:t>
            </w:r>
          </w:p>
        </w:tc>
        <w:tc>
          <w:tcPr>
            <w:tcW w:w="9620" w:type="dxa"/>
            <w:vAlign w:val="bottom"/>
            <w:gridSpan w:val="16"/>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Uniti Group Inc. Annual Short Term Incentive Plan.</w:t>
              </w:r>
            </w:hyperlink>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10.3</w:t>
            </w:r>
          </w:p>
        </w:tc>
        <w:tc>
          <w:tcPr>
            <w:tcW w:w="9620" w:type="dxa"/>
            <w:vAlign w:val="bottom"/>
            <w:gridSpan w:val="16"/>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Plan Support Agreement dated as of March 2, 2020 (incorporated by reference to Exhibit 10.1 to the Company’s Current Report on</w:t>
              </w:r>
            </w:hyperlink>
          </w:p>
        </w:tc>
      </w:tr>
      <w:tr>
        <w:trPr>
          <w:trHeight w:val="196"/>
        </w:trPr>
        <w:tc>
          <w:tcPr>
            <w:tcW w:w="1200" w:type="dxa"/>
            <w:vAlign w:val="bottom"/>
          </w:tcPr>
          <w:p>
            <w:pPr>
              <w:spacing w:after="0"/>
              <w:rPr>
                <w:sz w:val="17"/>
                <w:szCs w:val="17"/>
                <w:color w:val="auto"/>
              </w:rPr>
            </w:pPr>
          </w:p>
        </w:tc>
        <w:tc>
          <w:tcPr>
            <w:tcW w:w="9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Form 8-K dated and filed with the SEC as of March 2, 2020 (File No. 001-36708)).</w:t>
              </w:r>
            </w:hyperlink>
          </w:p>
        </w:tc>
        <w:tc>
          <w:tcPr>
            <w:tcW w:w="180" w:type="dxa"/>
            <w:vAlign w:val="bottom"/>
            <w:gridSpan w:val="6"/>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tcBorders>
              <w:bottom w:val="single" w:sz="8" w:color="0000EE"/>
            </w:tcBorders>
            <w:gridSpan w:val="13"/>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binding Letter of Intent to purchase Settlement Common Stock (incorporated by reference to Exhibit 10.2 to the Company’s</w:t>
              </w:r>
            </w:hyperlink>
          </w:p>
        </w:tc>
        <w:tc>
          <w:tcPr>
            <w:tcW w:w="6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Current Report on Form 8-K dated and filed with the SEC as of March 2, 2020 (File No. 001-36708)).</w:t>
              </w:r>
            </w:hyperlink>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Principal Executive Officer Pursuant to Rules 13a-14(a) and 15d-14(a) under the Securities Exchange Act of 1934, as</w:t>
              </w:r>
            </w:hyperlink>
          </w:p>
        </w:tc>
      </w:tr>
      <w:tr>
        <w:trPr>
          <w:trHeight w:val="196"/>
        </w:trPr>
        <w:tc>
          <w:tcPr>
            <w:tcW w:w="120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Adopted 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4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Adopted 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9620" w:type="dxa"/>
            <w:vAlign w:val="bottom"/>
            <w:gridSpan w:val="16"/>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Certification of Principal Executive Officer Pursuant to 18 U.S.C. Section 1350, as Adopted Pursuant to Section 906 of the Sarbanes-</w:t>
              </w:r>
            </w:hyperlink>
          </w:p>
        </w:tc>
      </w:tr>
      <w:tr>
        <w:trPr>
          <w:trHeight w:val="196"/>
        </w:trPr>
        <w:tc>
          <w:tcPr>
            <w:tcW w:w="120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Oxley Act of 2002.</w:t>
              </w:r>
            </w:hyperlink>
          </w:p>
        </w:tc>
        <w:tc>
          <w:tcPr>
            <w:tcW w:w="820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6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Oxley Act of 2002.</w:t>
              </w:r>
            </w:hyperlink>
          </w:p>
        </w:tc>
        <w:tc>
          <w:tcPr>
            <w:tcW w:w="8220" w:type="dxa"/>
            <w:vAlign w:val="bottom"/>
            <w:gridSpan w:val="15"/>
          </w:tcPr>
          <w:p>
            <w:pPr>
              <w:spacing w:after="0"/>
              <w:rPr>
                <w:sz w:val="17"/>
                <w:szCs w:val="17"/>
                <w:color w:val="auto"/>
              </w:rPr>
            </w:pPr>
          </w:p>
        </w:tc>
      </w:tr>
      <w:tr>
        <w:trPr>
          <w:trHeight w:val="344"/>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9620" w:type="dxa"/>
            <w:vAlign w:val="bottom"/>
            <w:gridSpan w:val="16"/>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XBRL tags are</w:t>
            </w:r>
          </w:p>
        </w:tc>
      </w:tr>
      <w:tr>
        <w:trPr>
          <w:trHeight w:val="230"/>
        </w:trPr>
        <w:tc>
          <w:tcPr>
            <w:tcW w:w="1200" w:type="dxa"/>
            <w:vAlign w:val="bottom"/>
          </w:tcPr>
          <w:p>
            <w:pPr>
              <w:spacing w:after="0"/>
              <w:rPr>
                <w:sz w:val="20"/>
                <w:szCs w:val="20"/>
                <w:color w:val="auto"/>
              </w:rPr>
            </w:pPr>
          </w:p>
        </w:tc>
        <w:tc>
          <w:tcPr>
            <w:tcW w:w="962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96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96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96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96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96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9620" w:type="dxa"/>
            <w:vAlign w:val="bottom"/>
            <w:gridSpan w:val="1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540" w:right="5140" w:hanging="5532"/>
        <w:spacing w:after="0" w:line="940" w:lineRule="auto"/>
        <w:tabs>
          <w:tab w:leader="none" w:pos="513" w:val="left"/>
        </w:tabs>
        <w:numPr>
          <w:ilvl w:val="0"/>
          <w:numId w:val="17"/>
        </w:numPr>
        <w:rPr>
          <w:rFonts w:ascii="Arial" w:cs="Arial" w:eastAsia="Arial" w:hAnsi="Arial"/>
          <w:sz w:val="16"/>
          <w:szCs w:val="16"/>
          <w:color w:val="212529"/>
        </w:rPr>
      </w:pPr>
      <w:r>
        <w:rPr>
          <w:rFonts w:ascii="Arial" w:cs="Arial" w:eastAsia="Arial" w:hAnsi="Arial"/>
          <w:sz w:val="16"/>
          <w:szCs w:val="16"/>
          <w:color w:val="auto"/>
        </w:rPr>
        <w:t>Constitutes a management contract or compensation plan or arrangement.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UNITI GROUP INC.</w:t>
            </w:r>
          </w:p>
        </w:tc>
      </w:tr>
      <w:tr>
        <w:trPr>
          <w:trHeight w:val="47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Pr>
          <w:p>
            <w:pPr>
              <w:ind w:left="280"/>
              <w:spacing w:after="0"/>
              <w:rPr>
                <w:sz w:val="20"/>
                <w:szCs w:val="20"/>
                <w:color w:val="auto"/>
              </w:rPr>
            </w:pPr>
            <w:r>
              <w:rPr>
                <w:rFonts w:ascii="Arial" w:cs="Arial" w:eastAsia="Arial" w:hAnsi="Arial"/>
                <w:sz w:val="18"/>
                <w:szCs w:val="18"/>
                <w:color w:val="auto"/>
              </w:rPr>
              <w:t>May 11, 2020</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r>
      <w:tr>
        <w:trPr>
          <w:trHeight w:val="205"/>
        </w:trPr>
        <w:tc>
          <w:tcPr>
            <w:tcW w:w="6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5720" w:type="dxa"/>
            <w:vAlign w:val="bottom"/>
          </w:tcPr>
          <w:p>
            <w:pPr>
              <w:spacing w:after="0" w:line="205" w:lineRule="exact"/>
              <w:rPr>
                <w:sz w:val="20"/>
                <w:szCs w:val="20"/>
                <w:color w:val="auto"/>
              </w:rPr>
            </w:pPr>
            <w:r>
              <w:rPr>
                <w:rFonts w:ascii="Arial" w:cs="Arial" w:eastAsia="Arial" w:hAnsi="Arial"/>
                <w:sz w:val="18"/>
                <w:szCs w:val="18"/>
                <w:b w:val="1"/>
                <w:bCs w:val="1"/>
                <w:color w:val="auto"/>
              </w:rPr>
              <w:t>Mark A. Wallace</w:t>
            </w: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4"/>
        </w:trPr>
        <w:tc>
          <w:tcPr>
            <w:tcW w:w="6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Pr>
          <w:p>
            <w:pPr>
              <w:ind w:left="280"/>
              <w:spacing w:after="0"/>
              <w:rPr>
                <w:sz w:val="20"/>
                <w:szCs w:val="20"/>
                <w:color w:val="auto"/>
              </w:rPr>
            </w:pPr>
            <w:r>
              <w:rPr>
                <w:rFonts w:ascii="Arial" w:cs="Arial" w:eastAsia="Arial" w:hAnsi="Arial"/>
                <w:sz w:val="18"/>
                <w:szCs w:val="18"/>
                <w:color w:val="auto"/>
              </w:rPr>
              <w:t>May 11, 2020</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r>
      <w:tr>
        <w:trPr>
          <w:trHeight w:val="191"/>
        </w:trPr>
        <w:tc>
          <w:tcPr>
            <w:tcW w:w="6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720" w:type="dxa"/>
            <w:vAlign w:val="bottom"/>
          </w:tcPr>
          <w:p>
            <w:pPr>
              <w:spacing w:after="0" w:line="191" w:lineRule="exact"/>
              <w:rPr>
                <w:sz w:val="20"/>
                <w:szCs w:val="20"/>
                <w:color w:val="auto"/>
              </w:rPr>
            </w:pPr>
            <w:r>
              <w:rPr>
                <w:rFonts w:ascii="Arial" w:cs="Arial" w:eastAsia="Arial" w:hAnsi="Arial"/>
                <w:sz w:val="18"/>
                <w:szCs w:val="18"/>
                <w:b w:val="1"/>
                <w:bCs w:val="1"/>
                <w:color w:val="auto"/>
              </w:rPr>
              <w:t>Blake Schuhmacher</w:t>
            </w: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Senior Vice President – Chief Accounting Officer</w:t>
            </w:r>
          </w:p>
        </w:tc>
      </w:tr>
      <w:tr>
        <w:trPr>
          <w:trHeight w:val="234"/>
        </w:trPr>
        <w:tc>
          <w:tcPr>
            <w:tcW w:w="6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125" w:right="37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SHORT-TERM INCENTIVE PLAN</w:t>
      </w:r>
    </w:p>
    <w:p>
      <w:pPr>
        <w:spacing w:after="0" w:line="207"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b w:val="1"/>
          <w:bCs w:val="1"/>
          <w:color w:val="auto"/>
        </w:rPr>
        <w:t>Section 1. Purpose of the Plan</w:t>
      </w:r>
      <w:r>
        <w:rPr>
          <w:rFonts w:ascii="Arial" w:cs="Arial" w:eastAsia="Arial" w:hAnsi="Arial"/>
          <w:sz w:val="18"/>
          <w:szCs w:val="18"/>
          <w:color w:val="auto"/>
        </w:rPr>
        <w:t>. The purpose of this Annual Short-Term Incentive Plan (this “</w:t>
      </w:r>
      <w:r>
        <w:rPr>
          <w:rFonts w:ascii="Arial" w:cs="Arial" w:eastAsia="Arial" w:hAnsi="Arial"/>
          <w:sz w:val="18"/>
          <w:szCs w:val="18"/>
          <w:u w:val="single" w:color="auto"/>
          <w:color w:val="auto"/>
        </w:rPr>
        <w:t>Plan</w:t>
      </w:r>
      <w:r>
        <w:rPr>
          <w:rFonts w:ascii="Arial" w:cs="Arial" w:eastAsia="Arial" w:hAnsi="Arial"/>
          <w:sz w:val="18"/>
          <w:szCs w:val="18"/>
          <w:color w:val="auto"/>
        </w:rPr>
        <w:t>”) is to motivate the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and other key employees of Uniti Group Inc., a Maryland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to assist the Corporation in attracting and retaining qualified officers, consultants and other key employees, and to promote the alignment of such persons’ interests with those of the Corporation’s stockholders. The Compensation Committee of the Board of Directors approved the terms of this Plan on March 4, 2020.</w:t>
      </w:r>
    </w:p>
    <w:p>
      <w:pPr>
        <w:spacing w:after="0" w:line="151" w:lineRule="exact"/>
        <w:rPr>
          <w:sz w:val="20"/>
          <w:szCs w:val="20"/>
          <w:color w:val="auto"/>
        </w:rPr>
      </w:pPr>
    </w:p>
    <w:p>
      <w:pPr>
        <w:ind w:right="60" w:firstLine="864"/>
        <w:spacing w:after="0" w:line="267" w:lineRule="auto"/>
        <w:rPr>
          <w:sz w:val="20"/>
          <w:szCs w:val="20"/>
          <w:color w:val="auto"/>
        </w:rPr>
      </w:pPr>
      <w:r>
        <w:rPr>
          <w:rFonts w:ascii="Arial" w:cs="Arial" w:eastAsia="Arial" w:hAnsi="Arial"/>
          <w:sz w:val="20"/>
          <w:szCs w:val="20"/>
          <w:b w:val="1"/>
          <w:bCs w:val="1"/>
          <w:color w:val="auto"/>
        </w:rPr>
        <w:t>Section 2. Definitions</w:t>
      </w:r>
      <w:r>
        <w:rPr>
          <w:rFonts w:ascii="Arial" w:cs="Arial" w:eastAsia="Arial" w:hAnsi="Arial"/>
          <w:sz w:val="20"/>
          <w:szCs w:val="20"/>
          <w:color w:val="auto"/>
        </w:rPr>
        <w:t>. The following words and phrases shall have the following meanings unless a different meaning is plainly</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the context:</w:t>
      </w:r>
    </w:p>
    <w:p>
      <w:pPr>
        <w:sectPr>
          <w:pgSz w:w="11900" w:h="16838" w:orient="portrait"/>
          <w:cols w:equalWidth="0" w:num="1">
            <w:col w:w="11240"/>
          </w:cols>
          <w:pgMar w:left="320" w:top="346" w:right="339" w:bottom="1440" w:gutter="0" w:footer="0" w:header="0"/>
        </w:sectPr>
      </w:pP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w:t>
      </w:r>
      <w:r>
        <w:rPr>
          <w:rFonts w:ascii="Arial" w:cs="Arial" w:eastAsia="Arial" w:hAnsi="Arial"/>
          <w:sz w:val="16"/>
          <w:szCs w:val="16"/>
          <w:color w:val="auto"/>
        </w:rPr>
        <w:t>” means any Short-Term Incentive Bonus granted under this Plan.</w:t>
      </w:r>
    </w:p>
    <w:p>
      <w:pPr>
        <w:spacing w:after="0" w:line="222" w:lineRule="exact"/>
        <w:rPr>
          <w:sz w:val="20"/>
          <w:szCs w:val="20"/>
          <w:color w:val="auto"/>
        </w:rPr>
      </w:pPr>
    </w:p>
    <w:p>
      <w:pPr>
        <w:sectPr>
          <w:pgSz w:w="11900" w:h="16838" w:orient="portrait"/>
          <w:cols w:equalWidth="0" w:num="2">
            <w:col w:w="3120" w:space="720"/>
            <w:col w:w="7400"/>
          </w:cols>
          <w:pgMar w:left="320" w:top="346" w:right="339" w:bottom="1440" w:gutter="0" w:footer="0" w:header="0"/>
          <w:type w:val="continuous"/>
        </w:sectPr>
      </w:pPr>
    </w:p>
    <w:p>
      <w:pPr>
        <w:spacing w:after="0" w:line="3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Corporation.</w:t>
      </w:r>
    </w:p>
    <w:p>
      <w:pPr>
        <w:spacing w:after="0" w:line="211" w:lineRule="exact"/>
        <w:rPr>
          <w:sz w:val="20"/>
          <w:szCs w:val="20"/>
          <w:color w:val="auto"/>
        </w:rPr>
      </w:pPr>
    </w:p>
    <w:p>
      <w:pPr>
        <w:sectPr>
          <w:pgSz w:w="11900" w:h="16838" w:orient="portrait"/>
          <w:cols w:equalWidth="0" w:num="2">
            <w:col w:w="3120" w:space="720"/>
            <w:col w:w="7400"/>
          </w:cols>
          <w:pgMar w:left="320" w:top="346" w:right="339" w:bottom="1440" w:gutter="0" w:footer="0" w:header="0"/>
          <w:type w:val="continuous"/>
        </w:sectPr>
      </w:pP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w:t>
      </w:r>
    </w:p>
    <w:p>
      <w:pPr>
        <w:spacing w:after="0" w:line="222" w:lineRule="exact"/>
        <w:rPr>
          <w:sz w:val="20"/>
          <w:szCs w:val="20"/>
          <w:color w:val="auto"/>
        </w:rPr>
      </w:pPr>
    </w:p>
    <w:p>
      <w:pPr>
        <w:sectPr>
          <w:pgSz w:w="11900" w:h="16838" w:orient="portrait"/>
          <w:cols w:equalWidth="0" w:num="2">
            <w:col w:w="3120" w:space="720"/>
            <w:col w:w="7400"/>
          </w:cols>
          <w:pgMar w:left="320" w:top="346" w:right="339" w:bottom="1440" w:gutter="0" w:footer="0" w:header="0"/>
          <w:type w:val="continuous"/>
        </w:sectPr>
      </w:pPr>
    </w:p>
    <w:p>
      <w:pPr>
        <w:spacing w:after="0" w:line="39"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(d)</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administer this Plan.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which has been appointed to</w:t>
      </w:r>
    </w:p>
    <w:p>
      <w:pPr>
        <w:spacing w:after="0" w:line="445" w:lineRule="exact"/>
        <w:rPr>
          <w:sz w:val="20"/>
          <w:szCs w:val="20"/>
          <w:color w:val="auto"/>
        </w:rPr>
      </w:pPr>
    </w:p>
    <w:p>
      <w:pPr>
        <w:sectPr>
          <w:pgSz w:w="11900" w:h="16838" w:orient="portrait"/>
          <w:cols w:equalWidth="0" w:num="2">
            <w:col w:w="3120" w:space="720"/>
            <w:col w:w="7400"/>
          </w:cols>
          <w:pgMar w:left="320" w:top="346" w:right="339" w:bottom="1440" w:gutter="0" w:footer="0" w:header="0"/>
          <w:type w:val="continuous"/>
        </w:sectPr>
      </w:pPr>
    </w:p>
    <w:p>
      <w:pPr>
        <w:spacing w:after="0" w:line="4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(e)</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subsidiary thereof.</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means Uniti Group Inc., a Maryland corporation, and any direct or indirect</w:t>
      </w:r>
    </w:p>
    <w:p>
      <w:pPr>
        <w:spacing w:after="0" w:line="422" w:lineRule="exact"/>
        <w:rPr>
          <w:sz w:val="20"/>
          <w:szCs w:val="20"/>
          <w:color w:val="auto"/>
        </w:rPr>
      </w:pPr>
    </w:p>
    <w:p>
      <w:pPr>
        <w:sectPr>
          <w:pgSz w:w="11900" w:h="16838" w:orient="portrait"/>
          <w:cols w:equalWidth="0" w:num="2">
            <w:col w:w="3120" w:space="720"/>
            <w:col w:w="7400"/>
          </w:cols>
          <w:pgMar w:left="320" w:top="346" w:right="339" w:bottom="1440" w:gutter="0" w:footer="0" w:header="0"/>
          <w:type w:val="continuous"/>
        </w:sectPr>
      </w:pPr>
    </w:p>
    <w:p>
      <w:pPr>
        <w:spacing w:after="0" w:line="46" w:lineRule="exact"/>
        <w:rPr>
          <w:sz w:val="20"/>
          <w:szCs w:val="20"/>
          <w:color w:val="auto"/>
        </w:rPr>
      </w:pPr>
    </w:p>
    <w:p>
      <w:pPr>
        <w:ind w:left="880" w:right="60" w:firstLine="797"/>
        <w:spacing w:after="0" w:line="260" w:lineRule="auto"/>
        <w:rPr>
          <w:sz w:val="20"/>
          <w:szCs w:val="20"/>
          <w:color w:val="auto"/>
        </w:rPr>
      </w:pPr>
      <w:r>
        <w:rPr>
          <w:rFonts w:ascii="Arial" w:cs="Arial" w:eastAsia="Arial" w:hAnsi="Arial"/>
          <w:sz w:val="20"/>
          <w:szCs w:val="20"/>
          <w:color w:val="auto"/>
        </w:rPr>
        <w:t>(f) “</w:t>
      </w:r>
      <w:r>
        <w:rPr>
          <w:rFonts w:ascii="Arial" w:cs="Arial" w:eastAsia="Arial" w:hAnsi="Arial"/>
          <w:sz w:val="20"/>
          <w:szCs w:val="20"/>
          <w:i w:val="1"/>
          <w:iCs w:val="1"/>
          <w:color w:val="auto"/>
        </w:rPr>
        <w:t>Eligible Participant</w:t>
      </w:r>
      <w:r>
        <w:rPr>
          <w:rFonts w:ascii="Arial" w:cs="Arial" w:eastAsia="Arial" w:hAnsi="Arial"/>
          <w:sz w:val="20"/>
          <w:szCs w:val="20"/>
          <w:color w:val="auto"/>
        </w:rPr>
        <w:t>” means a person who is selected by the Committee to participate in this Plan and who is at the time an officer, consultant or other key employee of the Corporation.</w:t>
      </w:r>
    </w:p>
    <w:p>
      <w:pPr>
        <w:spacing w:after="0" w:line="177" w:lineRule="exact"/>
        <w:rPr>
          <w:sz w:val="20"/>
          <w:szCs w:val="20"/>
          <w:color w:val="auto"/>
        </w:rPr>
      </w:pPr>
    </w:p>
    <w:p>
      <w:pPr>
        <w:ind w:left="880" w:right="140" w:firstLine="797"/>
        <w:spacing w:after="0" w:line="240" w:lineRule="exact"/>
        <w:rPr>
          <w:sz w:val="20"/>
          <w:szCs w:val="20"/>
          <w:color w:val="auto"/>
        </w:rPr>
      </w:pPr>
      <w:r>
        <w:rPr>
          <w:rFonts w:ascii="Arial" w:cs="Arial" w:eastAsia="Arial" w:hAnsi="Arial"/>
          <w:sz w:val="20"/>
          <w:szCs w:val="20"/>
          <w:color w:val="auto"/>
        </w:rPr>
        <w:t>(g) “</w:t>
      </w:r>
      <w:r>
        <w:rPr>
          <w:rFonts w:ascii="Arial" w:cs="Arial" w:eastAsia="Arial" w:hAnsi="Arial"/>
          <w:sz w:val="20"/>
          <w:szCs w:val="20"/>
          <w:i w:val="1"/>
          <w:iCs w:val="1"/>
          <w:color w:val="auto"/>
        </w:rPr>
        <w:t>Employee</w:t>
      </w:r>
      <w:r>
        <w:rPr>
          <w:rFonts w:ascii="Arial" w:cs="Arial" w:eastAsia="Arial" w:hAnsi="Arial"/>
          <w:sz w:val="20"/>
          <w:szCs w:val="20"/>
          <w:color w:val="auto"/>
        </w:rPr>
        <w:t>” means an individual who is an employee of the Corporation who is reported on the payroll records as a common</w:t>
      </w:r>
      <w:r>
        <w:rPr>
          <w:rFonts w:ascii="MS PGothic" w:cs="MS PGothic" w:eastAsia="MS PGothic" w:hAnsi="MS PGothic"/>
          <w:sz w:val="20"/>
          <w:szCs w:val="20"/>
          <w:color w:val="auto"/>
        </w:rPr>
        <w:t>‑</w:t>
      </w:r>
      <w:r>
        <w:rPr>
          <w:rFonts w:ascii="Arial" w:cs="Arial" w:eastAsia="Arial" w:hAnsi="Arial"/>
          <w:sz w:val="20"/>
          <w:szCs w:val="20"/>
          <w:color w:val="auto"/>
        </w:rPr>
        <w:t>law employee.</w:t>
      </w:r>
    </w:p>
    <w:p>
      <w:pPr>
        <w:spacing w:after="0" w:line="196" w:lineRule="exact"/>
        <w:rPr>
          <w:sz w:val="20"/>
          <w:szCs w:val="20"/>
          <w:color w:val="auto"/>
        </w:rPr>
      </w:pPr>
    </w:p>
    <w:p>
      <w:pPr>
        <w:ind w:left="1660"/>
        <w:spacing w:after="0"/>
        <w:tabs>
          <w:tab w:leader="none" w:pos="382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Evidence of Award</w:t>
      </w:r>
      <w:r>
        <w:rPr>
          <w:rFonts w:ascii="Arial" w:cs="Arial" w:eastAsia="Arial" w:hAnsi="Arial"/>
          <w:sz w:val="18"/>
          <w:szCs w:val="18"/>
          <w:color w:val="auto"/>
        </w:rPr>
        <w:t>” means an agreement, certificate, resolution or other type of form of</w:t>
      </w:r>
    </w:p>
    <w:p>
      <w:pPr>
        <w:sectPr>
          <w:pgSz w:w="11900" w:h="16838" w:orient="portrait"/>
          <w:cols w:equalWidth="0" w:num="1">
            <w:col w:w="11240"/>
          </w:cols>
          <w:pgMar w:left="320" w:top="346" w:right="339" w:bottom="1440" w:gutter="0" w:footer="0" w:header="0"/>
          <w:type w:val="continuous"/>
        </w:sectPr>
      </w:pPr>
    </w:p>
    <w:p>
      <w:pPr>
        <w:spacing w:after="0" w:line="43" w:lineRule="exact"/>
        <w:rPr>
          <w:sz w:val="20"/>
          <w:szCs w:val="20"/>
          <w:color w:val="auto"/>
        </w:rPr>
      </w:pPr>
    </w:p>
    <w:p>
      <w:pPr>
        <w:ind w:left="880" w:right="120"/>
        <w:spacing w:after="0" w:line="239" w:lineRule="auto"/>
        <w:rPr>
          <w:sz w:val="20"/>
          <w:szCs w:val="20"/>
          <w:color w:val="auto"/>
        </w:rPr>
      </w:pPr>
      <w:r>
        <w:rPr>
          <w:rFonts w:ascii="Arial" w:cs="Arial" w:eastAsia="Arial" w:hAnsi="Arial"/>
          <w:sz w:val="20"/>
          <w:szCs w:val="20"/>
          <w:color w:val="auto"/>
        </w:rPr>
        <w:t>writing or other evidence approved by the Committee which sets forth the terms and conditions of a Short-Term Incentive Bonus. An Evidence of Award may be in an electronic medium, and, with the approval of the Committee, need not be signed by a representative of the Corporation or an Eligible Participant.</w:t>
      </w:r>
    </w:p>
    <w:p>
      <w:pPr>
        <w:spacing w:after="0" w:line="197" w:lineRule="exact"/>
        <w:rPr>
          <w:sz w:val="20"/>
          <w:szCs w:val="20"/>
          <w:color w:val="auto"/>
        </w:rPr>
      </w:pPr>
    </w:p>
    <w:p>
      <w:pPr>
        <w:ind w:left="880" w:right="100" w:firstLine="797"/>
        <w:spacing w:after="0" w:line="257" w:lineRule="auto"/>
        <w:rPr>
          <w:sz w:val="20"/>
          <w:szCs w:val="20"/>
          <w:color w:val="auto"/>
        </w:rPr>
      </w:pPr>
      <w:r>
        <w:rPr>
          <w:rFonts w:ascii="Arial" w:cs="Arial" w:eastAsia="Arial" w:hAnsi="Arial"/>
          <w:sz w:val="19"/>
          <w:szCs w:val="19"/>
          <w:color w:val="auto"/>
        </w:rPr>
        <w:t>(i) “</w:t>
      </w:r>
      <w:r>
        <w:rPr>
          <w:rFonts w:ascii="Arial" w:cs="Arial" w:eastAsia="Arial" w:hAnsi="Arial"/>
          <w:sz w:val="19"/>
          <w:szCs w:val="19"/>
          <w:i w:val="1"/>
          <w:iCs w:val="1"/>
          <w:color w:val="auto"/>
        </w:rPr>
        <w:t>Performance Criteria</w:t>
      </w:r>
      <w:r>
        <w:rPr>
          <w:rFonts w:ascii="Arial" w:cs="Arial" w:eastAsia="Arial" w:hAnsi="Arial"/>
          <w:sz w:val="19"/>
          <w:szCs w:val="19"/>
          <w:color w:val="auto"/>
        </w:rPr>
        <w:t>” means the performance criteria upon which the Performance Goals for a particular Performance Period are based, which may include any of the following, any of which can be based on a consolidated, division, department, line of business, subsidiary or other business unit or per share basis: revenues; annualized revenues; normalized revenues; revenue diversification; monthly recurring revenues; accounts receivable; monthly accounts receivable; sales bookings; weighted average revenue per unit; earnings from operations; operating income; earnings before or after interest and taxes; operating income before or after interest and taxes; operating profit, net operating profit or controllable operating profit; net income; cash flow; earnings per share; net debt or other measure of debt levels; debt to capital ratio; leverage ratio; coverage ratio; economic value added; return on total capital; return on</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4819-5808-7744.9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64" w:name="page65"/>
    <w:bookmarkEnd w:id="64"/>
    <w:p>
      <w:pPr>
        <w:ind w:left="880"/>
        <w:spacing w:after="0" w:line="269" w:lineRule="auto"/>
        <w:rPr>
          <w:sz w:val="20"/>
          <w:szCs w:val="20"/>
          <w:color w:val="auto"/>
        </w:rPr>
      </w:pPr>
      <w:r>
        <w:rPr>
          <w:rFonts w:ascii="Arial" w:cs="Arial" w:eastAsia="Arial" w:hAnsi="Arial"/>
          <w:sz w:val="18"/>
          <w:szCs w:val="18"/>
          <w:color w:val="auto"/>
        </w:rPr>
        <w:t>invested capital; return on equity or average shareholder equity; return on assets; total return to stockholders; growth in stockholder value relative to the moving average of the S&amp;P 500 Index or a peer group index; earnings before or after interest, taxes, depreciation, amortization or extraordinary or special items (EBITDA); adjusted EBITDA; annualized adjusted EBITDA; normalized adjusted EBITDA; EBITDA diversification; operating income before or after interest, taxes, depreciation, amortization or extraordinary or special items; return on investment; free cash flow; cash flow return on investment (discounted or otherwise); return on operating revenue; net cash provided by operations; funds from operations; adjusted funds from operations; normalized adjusted funds from operations; stand-alone REIT normalized adjusted funds from operations; cash flow in excess of cost of capital; operating margin; operating expenses; operating expense as a percentage of revenue; overhead or gross expense management; profit margin; contribution margin; stock price and/or strategic business criteria consisting of one or more objectives based on meeting specified capital markets; credit rating; capital market transactions; stakeholder engagements; corporate development; acquisitions or divestitures consummated; product development; strategic partnering; strategic plan development and implementation; research and development; return on research and development; technology development programs; market penetration; geographic business expansion goals (e.g., opening of new offices in new geographic areas); infrastructure support programs; cost targets; customer satisfaction; quality improvements; contract awards or backlog; strategic plan development and implementation; succession plan development and implementation; gross or net additional customers; average customer life; market share or customer indicators; employee satisfaction; management of employment practices and employee benefits; supervision of litigation and information technology; and any other performance criteria as may be selected by the Committee and any combination of the foregoing.</w:t>
      </w:r>
    </w:p>
    <w:p>
      <w:pPr>
        <w:spacing w:after="0" w:line="171" w:lineRule="exact"/>
        <w:rPr>
          <w:sz w:val="20"/>
          <w:szCs w:val="20"/>
          <w:color w:val="auto"/>
        </w:rPr>
      </w:pPr>
    </w:p>
    <w:p>
      <w:pPr>
        <w:ind w:left="880" w:right="100" w:firstLine="797"/>
        <w:spacing w:after="0" w:line="250" w:lineRule="auto"/>
        <w:rPr>
          <w:sz w:val="20"/>
          <w:szCs w:val="20"/>
          <w:color w:val="auto"/>
        </w:rPr>
      </w:pPr>
      <w:r>
        <w:rPr>
          <w:rFonts w:ascii="Arial" w:cs="Arial" w:eastAsia="Arial" w:hAnsi="Arial"/>
          <w:sz w:val="20"/>
          <w:szCs w:val="20"/>
          <w:color w:val="auto"/>
        </w:rPr>
        <w:t>(j) “</w:t>
      </w:r>
      <w:r>
        <w:rPr>
          <w:rFonts w:ascii="Arial" w:cs="Arial" w:eastAsia="Arial" w:hAnsi="Arial"/>
          <w:sz w:val="20"/>
          <w:szCs w:val="20"/>
          <w:i w:val="1"/>
          <w:iCs w:val="1"/>
          <w:color w:val="auto"/>
        </w:rPr>
        <w:t>Performance Goals</w:t>
      </w:r>
      <w:r>
        <w:rPr>
          <w:rFonts w:ascii="Arial" w:cs="Arial" w:eastAsia="Arial" w:hAnsi="Arial"/>
          <w:sz w:val="20"/>
          <w:szCs w:val="20"/>
          <w:color w:val="auto"/>
        </w:rPr>
        <w:t>” means the goals selected by the Committee, in its discretion, to be applicable to an Eligible Participant for a Performance Period. Performance Goals shall be based upon one or more Performance Criteria.</w:t>
      </w:r>
    </w:p>
    <w:p>
      <w:pPr>
        <w:spacing w:after="0" w:line="186" w:lineRule="exact"/>
        <w:rPr>
          <w:sz w:val="20"/>
          <w:szCs w:val="20"/>
          <w:color w:val="auto"/>
        </w:rPr>
      </w:pPr>
    </w:p>
    <w:p>
      <w:pPr>
        <w:ind w:left="880" w:right="340" w:firstLine="797"/>
        <w:spacing w:after="0" w:line="260" w:lineRule="auto"/>
        <w:rPr>
          <w:sz w:val="20"/>
          <w:szCs w:val="20"/>
          <w:color w:val="auto"/>
        </w:rPr>
      </w:pPr>
      <w:r>
        <w:rPr>
          <w:rFonts w:ascii="Arial" w:cs="Arial" w:eastAsia="Arial" w:hAnsi="Arial"/>
          <w:sz w:val="20"/>
          <w:szCs w:val="20"/>
          <w:color w:val="auto"/>
        </w:rPr>
        <w:t>(k) “</w:t>
      </w:r>
      <w:r>
        <w:rPr>
          <w:rFonts w:ascii="Arial" w:cs="Arial" w:eastAsia="Arial" w:hAnsi="Arial"/>
          <w:sz w:val="20"/>
          <w:szCs w:val="20"/>
          <w:i w:val="1"/>
          <w:iCs w:val="1"/>
          <w:color w:val="auto"/>
        </w:rPr>
        <w:t>Performance Period</w:t>
      </w:r>
      <w:r>
        <w:rPr>
          <w:rFonts w:ascii="Arial" w:cs="Arial" w:eastAsia="Arial" w:hAnsi="Arial"/>
          <w:sz w:val="20"/>
          <w:szCs w:val="20"/>
          <w:color w:val="auto"/>
        </w:rPr>
        <w:t>” means the period for which performance is calculated and which, unless otherwise indicated by the Committee, will be the calendar year.</w:t>
      </w:r>
    </w:p>
    <w:p>
      <w:pPr>
        <w:sectPr>
          <w:pgSz w:w="11900" w:h="16838" w:orient="portrait"/>
          <w:cols w:equalWidth="0" w:num="1">
            <w:col w:w="11200"/>
          </w:cols>
          <w:pgMar w:left="320" w:top="352" w:right="379" w:bottom="1440" w:gutter="0" w:footer="0" w:header="0"/>
        </w:sectPr>
      </w:pPr>
    </w:p>
    <w:p>
      <w:pPr>
        <w:spacing w:after="0" w:line="177"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Annual Short-Term Incentive Plan of the Corporation.</w:t>
      </w:r>
    </w:p>
    <w:p>
      <w:pPr>
        <w:spacing w:after="0" w:line="222" w:lineRule="exact"/>
        <w:rPr>
          <w:sz w:val="20"/>
          <w:szCs w:val="20"/>
          <w:color w:val="auto"/>
        </w:rPr>
      </w:pPr>
    </w:p>
    <w:p>
      <w:pPr>
        <w:sectPr>
          <w:pgSz w:w="11900" w:h="16838" w:orient="portrait"/>
          <w:cols w:equalWidth="0" w:num="2">
            <w:col w:w="3080" w:space="720"/>
            <w:col w:w="7400"/>
          </w:cols>
          <w:pgMar w:left="320" w:top="352" w:right="379" w:bottom="1440" w:gutter="0" w:footer="0" w:header="0"/>
          <w:type w:val="continuous"/>
        </w:sectPr>
      </w:pPr>
    </w:p>
    <w:p>
      <w:pPr>
        <w:spacing w:after="0" w:line="16" w:lineRule="exact"/>
        <w:rPr>
          <w:sz w:val="20"/>
          <w:szCs w:val="20"/>
          <w:color w:val="auto"/>
        </w:rPr>
      </w:pPr>
    </w:p>
    <w:p>
      <w:pPr>
        <w:ind w:left="880" w:right="380" w:firstLine="797"/>
        <w:spacing w:after="0" w:line="260" w:lineRule="auto"/>
        <w:rPr>
          <w:sz w:val="20"/>
          <w:szCs w:val="20"/>
          <w:color w:val="auto"/>
        </w:rPr>
      </w:pPr>
      <w:r>
        <w:rPr>
          <w:rFonts w:ascii="Arial" w:cs="Arial" w:eastAsia="Arial" w:hAnsi="Arial"/>
          <w:sz w:val="20"/>
          <w:szCs w:val="20"/>
          <w:color w:val="auto"/>
        </w:rPr>
        <w:t>(m) “</w:t>
      </w:r>
      <w:r>
        <w:rPr>
          <w:rFonts w:ascii="Arial" w:cs="Arial" w:eastAsia="Arial" w:hAnsi="Arial"/>
          <w:sz w:val="20"/>
          <w:szCs w:val="20"/>
          <w:i w:val="1"/>
          <w:iCs w:val="1"/>
          <w:color w:val="auto"/>
        </w:rPr>
        <w:t>Short-Term Incentive Bonus</w:t>
      </w:r>
      <w:r>
        <w:rPr>
          <w:rFonts w:ascii="Arial" w:cs="Arial" w:eastAsia="Arial" w:hAnsi="Arial"/>
          <w:sz w:val="20"/>
          <w:szCs w:val="20"/>
          <w:color w:val="auto"/>
        </w:rPr>
        <w:t>” means the incentive compensation granted to an Eligible Participant pursuant to Section 4 of this Plan.</w:t>
      </w:r>
    </w:p>
    <w:p>
      <w:pPr>
        <w:spacing w:after="0" w:line="177" w:lineRule="exact"/>
        <w:rPr>
          <w:sz w:val="20"/>
          <w:szCs w:val="20"/>
          <w:color w:val="auto"/>
        </w:rPr>
      </w:pPr>
    </w:p>
    <w:p>
      <w:pPr>
        <w:ind w:left="1660"/>
        <w:spacing w:after="0"/>
        <w:tabs>
          <w:tab w:leader="none" w:pos="382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corporation, partnership or other legal entity in which at least 50% of</w:t>
      </w:r>
    </w:p>
    <w:p>
      <w:pPr>
        <w:sectPr>
          <w:pgSz w:w="11900" w:h="16838" w:orient="portrait"/>
          <w:cols w:equalWidth="0" w:num="1">
            <w:col w:w="11200"/>
          </w:cols>
          <w:pgMar w:left="320" w:top="352" w:right="379" w:bottom="1440" w:gutter="0" w:footer="0" w:header="0"/>
          <w:type w:val="continuous"/>
        </w:sectPr>
      </w:pPr>
    </w:p>
    <w:p>
      <w:pPr>
        <w:spacing w:after="0" w:line="43" w:lineRule="exact"/>
        <w:rPr>
          <w:sz w:val="20"/>
          <w:szCs w:val="20"/>
          <w:color w:val="auto"/>
        </w:rPr>
      </w:pPr>
    </w:p>
    <w:p>
      <w:pPr>
        <w:ind w:left="880" w:right="20"/>
        <w:spacing w:after="0" w:line="239" w:lineRule="auto"/>
        <w:rPr>
          <w:sz w:val="20"/>
          <w:szCs w:val="20"/>
          <w:color w:val="auto"/>
        </w:rPr>
      </w:pPr>
      <w:r>
        <w:rPr>
          <w:rFonts w:ascii="Arial" w:cs="Arial" w:eastAsia="Arial" w:hAnsi="Arial"/>
          <w:sz w:val="20"/>
          <w:szCs w:val="20"/>
          <w:color w:val="auto"/>
        </w:rPr>
        <w:t>the total combined voting power of all classes of stock or membership or partnership interests which is owned by the Corporation, either directly or through one or more other Subsidiaries.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Section 3. Administration</w:t>
      </w:r>
      <w:r>
        <w:rPr>
          <w:rFonts w:ascii="Arial" w:cs="Arial" w:eastAsia="Arial" w:hAnsi="Arial"/>
          <w:sz w:val="18"/>
          <w:szCs w:val="18"/>
          <w:color w:val="auto"/>
        </w:rPr>
        <w:t>.  This Plan will be administered by the Committee.  In addition to any other powers granted to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Committee, the Committee will have the following powers:</w:t>
      </w:r>
    </w:p>
    <w:p>
      <w:pPr>
        <w:sectPr>
          <w:pgSz w:w="11900" w:h="16838" w:orient="portrait"/>
          <w:cols w:equalWidth="0" w:num="1">
            <w:col w:w="11200"/>
          </w:cols>
          <w:pgMar w:left="320" w:top="352" w:right="379" w:bottom="1440" w:gutter="0" w:footer="0" w:header="0"/>
          <w:type w:val="continuous"/>
        </w:sectPr>
      </w:pPr>
    </w:p>
    <w:p>
      <w:pPr>
        <w:spacing w:after="0" w:line="20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determine the persons who shall be Eligible Participants;</w:t>
      </w:r>
    </w:p>
    <w:p>
      <w:pPr>
        <w:spacing w:after="0" w:line="222" w:lineRule="exact"/>
        <w:rPr>
          <w:sz w:val="20"/>
          <w:szCs w:val="20"/>
          <w:color w:val="auto"/>
        </w:rPr>
      </w:pPr>
    </w:p>
    <w:p>
      <w:pPr>
        <w:sectPr>
          <w:pgSz w:w="11900" w:h="16838" w:orient="portrait"/>
          <w:cols w:equalWidth="0" w:num="2">
            <w:col w:w="3120" w:space="720"/>
            <w:col w:w="7360"/>
          </w:cols>
          <w:pgMar w:left="320" w:top="352" w:right="379" w:bottom="1440" w:gutter="0" w:footer="0" w:header="0"/>
          <w:type w:val="continuous"/>
        </w:sectPr>
      </w:pPr>
    </w:p>
    <w:p>
      <w:pPr>
        <w:spacing w:after="0" w:line="39" w:lineRule="exact"/>
        <w:rPr>
          <w:sz w:val="20"/>
          <w:szCs w:val="20"/>
          <w:color w:val="auto"/>
        </w:rPr>
      </w:pPr>
    </w:p>
    <w:p>
      <w:pPr>
        <w:ind w:left="1660"/>
        <w:spacing w:after="0"/>
        <w:tabs>
          <w:tab w:leader="none" w:pos="38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to determine whether and to what extent Short-Term Incentive Bonuses are to be granted</w:t>
      </w:r>
    </w:p>
    <w:p>
      <w:pPr>
        <w:sectPr>
          <w:pgSz w:w="11900" w:h="16838" w:orient="portrait"/>
          <w:cols w:equalWidth="0" w:num="1">
            <w:col w:w="11200"/>
          </w:cols>
          <w:pgMar w:left="320" w:top="352" w:right="379" w:bottom="1440" w:gutter="0" w:footer="0" w:header="0"/>
          <w:type w:val="continuous"/>
        </w:sectPr>
      </w:pPr>
    </w:p>
    <w:p>
      <w:pPr>
        <w:spacing w:after="0" w:line="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this Plan to Eligible Participants;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4819-5808-7744.9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type w:val="continuous"/>
        </w:sectPr>
      </w:pPr>
    </w:p>
    <w:bookmarkStart w:id="65" w:name="page66"/>
    <w:bookmarkEnd w:id="65"/>
    <w:p>
      <w:pPr>
        <w:ind w:left="1660"/>
        <w:spacing w:after="0"/>
        <w:rPr>
          <w:sz w:val="20"/>
          <w:szCs w:val="20"/>
          <w:color w:val="auto"/>
        </w:rPr>
      </w:pPr>
      <w:r>
        <w:rPr>
          <w:rFonts w:ascii="Arial" w:cs="Arial" w:eastAsia="Arial" w:hAnsi="Arial"/>
          <w:sz w:val="20"/>
          <w:szCs w:val="20"/>
          <w:color w:val="auto"/>
        </w:rPr>
        <w:t>(c)</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Performance Goals;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determine whether and to what extent Short-Term Incentive Bonuses are to be subject to</w:t>
      </w:r>
    </w:p>
    <w:p>
      <w:pPr>
        <w:spacing w:after="0" w:line="445" w:lineRule="exact"/>
        <w:rPr>
          <w:sz w:val="20"/>
          <w:szCs w:val="20"/>
          <w:color w:val="auto"/>
        </w:rPr>
      </w:pPr>
    </w:p>
    <w:p>
      <w:pPr>
        <w:sectPr>
          <w:pgSz w:w="11900" w:h="16838" w:orient="portrait"/>
          <w:cols w:equalWidth="0" w:num="2">
            <w:col w:w="3120" w:space="720"/>
            <w:col w:w="7400"/>
          </w:cols>
          <w:pgMar w:left="320" w:top="352" w:right="339" w:bottom="1440" w:gutter="0" w:footer="0" w:header="0"/>
        </w:sectPr>
      </w:pPr>
    </w:p>
    <w:p>
      <w:pPr>
        <w:spacing w:after="0" w:line="46" w:lineRule="exact"/>
        <w:rPr>
          <w:sz w:val="20"/>
          <w:szCs w:val="20"/>
          <w:color w:val="auto"/>
        </w:rPr>
      </w:pPr>
    </w:p>
    <w:p>
      <w:pPr>
        <w:ind w:left="880" w:right="260" w:firstLine="797"/>
        <w:spacing w:after="0" w:line="260" w:lineRule="auto"/>
        <w:rPr>
          <w:sz w:val="20"/>
          <w:szCs w:val="20"/>
          <w:color w:val="auto"/>
        </w:rPr>
      </w:pPr>
      <w:r>
        <w:rPr>
          <w:rFonts w:ascii="Arial" w:cs="Arial" w:eastAsia="Arial" w:hAnsi="Arial"/>
          <w:sz w:val="20"/>
          <w:szCs w:val="20"/>
          <w:color w:val="auto"/>
        </w:rPr>
        <w:t>(d) to determine the applicable Performance Goals that govern Short-Term Incentive Bonuses awarded for any Performance Period, if applicable;</w:t>
      </w:r>
    </w:p>
    <w:p>
      <w:pPr>
        <w:spacing w:after="0" w:line="177" w:lineRule="exact"/>
        <w:rPr>
          <w:sz w:val="20"/>
          <w:szCs w:val="20"/>
          <w:color w:val="auto"/>
        </w:rPr>
      </w:pPr>
    </w:p>
    <w:p>
      <w:pPr>
        <w:ind w:left="880" w:right="580" w:firstLine="797"/>
        <w:spacing w:after="0" w:line="240" w:lineRule="exact"/>
        <w:rPr>
          <w:sz w:val="20"/>
          <w:szCs w:val="20"/>
          <w:color w:val="auto"/>
        </w:rPr>
      </w:pPr>
      <w:r>
        <w:rPr>
          <w:rFonts w:ascii="Arial" w:cs="Arial" w:eastAsia="Arial" w:hAnsi="Arial"/>
          <w:sz w:val="20"/>
          <w:szCs w:val="20"/>
          <w:color w:val="auto"/>
        </w:rPr>
        <w:t>(e) to determine whether the Performance Goals required to receive Short</w:t>
      </w:r>
      <w:r>
        <w:rPr>
          <w:rFonts w:ascii="MS PGothic" w:cs="MS PGothic" w:eastAsia="MS PGothic" w:hAnsi="MS PGothic"/>
          <w:sz w:val="20"/>
          <w:szCs w:val="20"/>
          <w:color w:val="auto"/>
        </w:rPr>
        <w:t>‑</w:t>
      </w:r>
      <w:r>
        <w:rPr>
          <w:rFonts w:ascii="Arial" w:cs="Arial" w:eastAsia="Arial" w:hAnsi="Arial"/>
          <w:sz w:val="20"/>
          <w:szCs w:val="20"/>
          <w:color w:val="auto"/>
        </w:rPr>
        <w:t>Term Incentive Bonuses have been satisfied and to what extent they have been satisfied, if applicable;</w:t>
      </w:r>
    </w:p>
    <w:p>
      <w:pPr>
        <w:sectPr>
          <w:pgSz w:w="11900" w:h="16838" w:orient="portrait"/>
          <w:cols w:equalWidth="0" w:num="1">
            <w:col w:w="11240"/>
          </w:cols>
          <w:pgMar w:left="320" w:top="352" w:right="339" w:bottom="1440" w:gutter="0" w:footer="0" w:header="0"/>
          <w:type w:val="continuous"/>
        </w:sectPr>
      </w:pPr>
    </w:p>
    <w:p>
      <w:pPr>
        <w:spacing w:after="0" w:line="19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to construe and interpret this Plan or any Evidence of Award;</w:t>
      </w:r>
    </w:p>
    <w:p>
      <w:pPr>
        <w:spacing w:after="0" w:line="245" w:lineRule="exact"/>
        <w:rPr>
          <w:sz w:val="20"/>
          <w:szCs w:val="20"/>
          <w:color w:val="auto"/>
        </w:rPr>
      </w:pPr>
    </w:p>
    <w:p>
      <w:pPr>
        <w:sectPr>
          <w:pgSz w:w="11900" w:h="16838" w:orient="portrait"/>
          <w:cols w:equalWidth="0" w:num="2">
            <w:col w:w="3100" w:space="720"/>
            <w:col w:w="7420"/>
          </w:cols>
          <w:pgMar w:left="320" w:top="352" w:right="339" w:bottom="1440" w:gutter="0" w:footer="0" w:header="0"/>
          <w:type w:val="continuous"/>
        </w:sectPr>
      </w:pPr>
    </w:p>
    <w:p>
      <w:pPr>
        <w:spacing w:after="0" w:line="16" w:lineRule="exact"/>
        <w:rPr>
          <w:sz w:val="20"/>
          <w:szCs w:val="20"/>
          <w:color w:val="auto"/>
        </w:rPr>
      </w:pPr>
    </w:p>
    <w:p>
      <w:pPr>
        <w:ind w:left="1660"/>
        <w:spacing w:after="0" w:line="184" w:lineRule="exact"/>
        <w:tabs>
          <w:tab w:leader="none" w:pos="3820" w:val="left"/>
        </w:tabs>
        <w:rPr>
          <w:sz w:val="20"/>
          <w:szCs w:val="20"/>
          <w:color w:val="auto"/>
        </w:rPr>
      </w:pPr>
      <w:r>
        <w:rPr>
          <w:rFonts w:ascii="Arial" w:cs="Arial" w:eastAsia="Arial" w:hAnsi="Arial"/>
          <w:sz w:val="16"/>
          <w:szCs w:val="16"/>
          <w:color w:val="auto"/>
        </w:rPr>
        <w:t>(g)</w:t>
      </w:r>
      <w:r>
        <w:rPr>
          <w:sz w:val="20"/>
          <w:szCs w:val="20"/>
          <w:color w:val="auto"/>
        </w:rPr>
        <w:tab/>
      </w:r>
      <w:r>
        <w:rPr>
          <w:rFonts w:ascii="Arial" w:cs="Arial" w:eastAsia="Arial" w:hAnsi="Arial"/>
          <w:sz w:val="16"/>
          <w:szCs w:val="16"/>
          <w:color w:val="auto"/>
        </w:rPr>
        <w:t>to require, at the time Short</w:t>
      </w:r>
      <w:r>
        <w:rPr>
          <w:rFonts w:ascii="MS PGothic" w:cs="MS PGothic" w:eastAsia="MS PGothic" w:hAnsi="MS PGothic"/>
          <w:sz w:val="16"/>
          <w:szCs w:val="16"/>
          <w:color w:val="auto"/>
        </w:rPr>
        <w:t>‑</w:t>
      </w:r>
      <w:r>
        <w:rPr>
          <w:rFonts w:ascii="Arial" w:cs="Arial" w:eastAsia="Arial" w:hAnsi="Arial"/>
          <w:sz w:val="16"/>
          <w:szCs w:val="16"/>
          <w:color w:val="auto"/>
        </w:rPr>
        <w:t>Term Incentive Bonuses are to be paid, the making of any</w:t>
      </w:r>
    </w:p>
    <w:p>
      <w:pPr>
        <w:sectPr>
          <w:pgSz w:w="11900" w:h="16838" w:orient="portrait"/>
          <w:cols w:equalWidth="0" w:num="1">
            <w:col w:w="11240"/>
          </w:cols>
          <w:pgMar w:left="320" w:top="352" w:right="339" w:bottom="1440" w:gutter="0" w:footer="0" w:header="0"/>
          <w:type w:val="continuous"/>
        </w:sectPr>
      </w:pPr>
    </w:p>
    <w:p>
      <w:pPr>
        <w:spacing w:after="0" w:line="66" w:lineRule="exact"/>
        <w:rPr>
          <w:sz w:val="20"/>
          <w:szCs w:val="20"/>
          <w:color w:val="auto"/>
        </w:rPr>
      </w:pPr>
    </w:p>
    <w:p>
      <w:pPr>
        <w:ind w:left="880" w:right="240"/>
        <w:spacing w:after="0" w:line="264" w:lineRule="auto"/>
        <w:rPr>
          <w:sz w:val="20"/>
          <w:szCs w:val="20"/>
          <w:color w:val="auto"/>
        </w:rPr>
      </w:pPr>
      <w:r>
        <w:rPr>
          <w:rFonts w:ascii="Arial" w:cs="Arial" w:eastAsia="Arial" w:hAnsi="Arial"/>
          <w:sz w:val="19"/>
          <w:szCs w:val="19"/>
          <w:color w:val="auto"/>
        </w:rPr>
        <w:t>representations or agreements that the Committee may deem necessary or advisable in order for the Corporation to comply with the securities laws of the United States of America or of any state or any rule or regulation thereunder;</w:t>
      </w:r>
    </w:p>
    <w:p>
      <w:pPr>
        <w:sectPr>
          <w:pgSz w:w="11900" w:h="16838" w:orient="portrait"/>
          <w:cols w:equalWidth="0" w:num="1">
            <w:col w:w="11240"/>
          </w:cols>
          <w:pgMar w:left="320" w:top="352" w:right="339" w:bottom="1440" w:gutter="0" w:footer="0" w:header="0"/>
          <w:type w:val="continuous"/>
        </w:sectPr>
      </w:pPr>
    </w:p>
    <w:p>
      <w:pPr>
        <w:spacing w:after="0" w:line="17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provide for satisfaction of an Eligible Participant’s tax liabilities arising in connection with</w:t>
      </w:r>
    </w:p>
    <w:p>
      <w:pPr>
        <w:spacing w:after="0" w:line="43" w:lineRule="exact"/>
        <w:rPr>
          <w:sz w:val="20"/>
          <w:szCs w:val="20"/>
          <w:color w:val="auto"/>
        </w:rPr>
      </w:pPr>
    </w:p>
    <w:p>
      <w:pPr>
        <w:sectPr>
          <w:pgSz w:w="11900" w:h="16838" w:orient="portrait"/>
          <w:cols w:equalWidth="0" w:num="2">
            <w:col w:w="3120" w:space="720"/>
            <w:col w:w="7400"/>
          </w:cols>
          <w:pgMar w:left="320" w:top="352" w:right="33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this Plan;</w:t>
      </w:r>
    </w:p>
    <w:p>
      <w:pPr>
        <w:sectPr>
          <w:pgSz w:w="11900" w:h="16838" w:orient="portrait"/>
          <w:cols w:equalWidth="0" w:num="1">
            <w:col w:w="11240"/>
          </w:cols>
          <w:pgMar w:left="320" w:top="352" w:right="339" w:bottom="1440" w:gutter="0" w:footer="0" w:header="0"/>
          <w:type w:val="continuous"/>
        </w:sectPr>
      </w:pPr>
    </w:p>
    <w:p>
      <w:pPr>
        <w:spacing w:after="0" w:line="24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establish, amend or rescind any rules and regulations relating to the Plan; and</w:t>
      </w:r>
    </w:p>
    <w:p>
      <w:pPr>
        <w:spacing w:after="0" w:line="245" w:lineRule="exact"/>
        <w:rPr>
          <w:sz w:val="20"/>
          <w:szCs w:val="20"/>
          <w:color w:val="auto"/>
        </w:rPr>
      </w:pPr>
    </w:p>
    <w:p>
      <w:pPr>
        <w:sectPr>
          <w:pgSz w:w="11900" w:h="16838" w:orient="portrait"/>
          <w:cols w:equalWidth="0" w:num="2">
            <w:col w:w="3080" w:space="720"/>
            <w:col w:w="7440"/>
          </w:cols>
          <w:pgMar w:left="320" w:top="352" w:right="339" w:bottom="1440" w:gutter="0" w:footer="0" w:header="0"/>
          <w:type w:val="continuous"/>
        </w:sectPr>
      </w:pPr>
    </w:p>
    <w:p>
      <w:pPr>
        <w:spacing w:after="0" w:line="1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(j)</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administration of this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make all other determinations and take all other actions necessary or advisable for the</w:t>
      </w:r>
    </w:p>
    <w:p>
      <w:pPr>
        <w:spacing w:after="0" w:line="468" w:lineRule="exact"/>
        <w:rPr>
          <w:sz w:val="20"/>
          <w:szCs w:val="20"/>
          <w:color w:val="auto"/>
        </w:rPr>
      </w:pPr>
    </w:p>
    <w:p>
      <w:pPr>
        <w:sectPr>
          <w:pgSz w:w="11900" w:h="16838" w:orient="portrait"/>
          <w:cols w:equalWidth="0" w:num="2">
            <w:col w:w="3080" w:space="720"/>
            <w:col w:w="7440"/>
          </w:cols>
          <w:pgMar w:left="320" w:top="352" w:right="339" w:bottom="1440" w:gutter="0" w:footer="0" w:header="0"/>
          <w:type w:val="continuous"/>
        </w:sectPr>
      </w:pPr>
    </w:p>
    <w:p>
      <w:pPr>
        <w:spacing w:after="0" w:line="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Any determinations or actions made or taken by the Committee pursuant to this Section 3 will be binding and final.</w:t>
      </w:r>
    </w:p>
    <w:p>
      <w:pPr>
        <w:spacing w:after="0" w:line="210" w:lineRule="exact"/>
        <w:rPr>
          <w:sz w:val="20"/>
          <w:szCs w:val="20"/>
          <w:color w:val="auto"/>
        </w:rPr>
      </w:pPr>
    </w:p>
    <w:p>
      <w:pPr>
        <w:ind w:right="240" w:firstLine="864"/>
        <w:spacing w:after="0" w:line="236" w:lineRule="exact"/>
        <w:rPr>
          <w:sz w:val="20"/>
          <w:szCs w:val="20"/>
          <w:color w:val="auto"/>
        </w:rPr>
      </w:pPr>
      <w:r>
        <w:rPr>
          <w:rFonts w:ascii="Arial" w:cs="Arial" w:eastAsia="Arial" w:hAnsi="Arial"/>
          <w:sz w:val="19"/>
          <w:szCs w:val="19"/>
          <w:b w:val="1"/>
          <w:bCs w:val="1"/>
          <w:color w:val="auto"/>
        </w:rPr>
        <w:t>Section 4. Short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Term Incentive Bonuses</w:t>
      </w:r>
      <w:r>
        <w:rPr>
          <w:rFonts w:ascii="Arial" w:cs="Arial" w:eastAsia="Arial" w:hAnsi="Arial"/>
          <w:sz w:val="19"/>
          <w:szCs w:val="19"/>
          <w:color w:val="auto"/>
        </w:rPr>
        <w:t>. Each year the Committee will establish Award opportunities for Eligible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Each Award shall be evidenced by an Evidence of Award, which shall contain such terms and provisions, consistent with this Plan, as the Committee may approve. Award opportunities shall be set as a percentage of base salary. The Committee may, but need not, establish Performance Goals for the determination of potential Short-Term Incentive Bonuses hereunder.</w:t>
      </w:r>
    </w:p>
    <w:p>
      <w:pPr>
        <w:spacing w:after="0" w:line="191" w:lineRule="exact"/>
        <w:rPr>
          <w:sz w:val="20"/>
          <w:szCs w:val="20"/>
          <w:color w:val="auto"/>
        </w:rPr>
      </w:pPr>
    </w:p>
    <w:p>
      <w:pPr>
        <w:ind w:right="60" w:firstLine="864"/>
        <w:spacing w:after="0" w:line="280" w:lineRule="auto"/>
        <w:rPr>
          <w:sz w:val="20"/>
          <w:szCs w:val="20"/>
          <w:color w:val="auto"/>
        </w:rPr>
      </w:pPr>
      <w:r>
        <w:rPr>
          <w:rFonts w:ascii="Arial" w:cs="Arial" w:eastAsia="Arial" w:hAnsi="Arial"/>
          <w:sz w:val="18"/>
          <w:szCs w:val="18"/>
          <w:b w:val="1"/>
          <w:bCs w:val="1"/>
          <w:color w:val="auto"/>
        </w:rPr>
        <w:t>Section 5. Payment of Awards</w:t>
      </w:r>
      <w:r>
        <w:rPr>
          <w:rFonts w:ascii="Arial" w:cs="Arial" w:eastAsia="Arial" w:hAnsi="Arial"/>
          <w:sz w:val="18"/>
          <w:szCs w:val="18"/>
          <w:color w:val="auto"/>
        </w:rPr>
        <w:t>. Unless otherwise provided in the applicable Evidence of Award, for Short-Term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Bonuses subject to Performance Goals, following the completion of each Performance Period, the Committee shall certify in writing whether the Performance Goals have been achieved during the specified Performance Period. As soon as practicable following the Committee’s determination for the applicable Performance Period, each Eligible Participant shall receive a cash lump sum payment of his or her Award, less required withholding. Payment of any other Award shall occur in accordance with the applicable Evidence of Award.</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Section 6. Termination or Amendment</w:t>
      </w:r>
      <w:r>
        <w:rPr>
          <w:rFonts w:ascii="Arial" w:cs="Arial" w:eastAsia="Arial" w:hAnsi="Arial"/>
          <w:sz w:val="20"/>
          <w:szCs w:val="20"/>
          <w:color w:val="auto"/>
        </w:rPr>
        <w:t>.  The Committee may amend or terminate this Plan in any respect at any</w:t>
      </w:r>
    </w:p>
    <w:p>
      <w:pPr>
        <w:spacing w:after="0" w:line="22" w:lineRule="exact"/>
        <w:rPr>
          <w:sz w:val="20"/>
          <w:szCs w:val="20"/>
          <w:color w:val="auto"/>
        </w:rPr>
      </w:pPr>
    </w:p>
    <w:p>
      <w:pPr>
        <w:ind w:right="160"/>
        <w:spacing w:after="0" w:line="230" w:lineRule="exact"/>
        <w:rPr>
          <w:sz w:val="20"/>
          <w:szCs w:val="20"/>
          <w:color w:val="auto"/>
        </w:rPr>
      </w:pPr>
      <w:r>
        <w:rPr>
          <w:rFonts w:ascii="Arial" w:cs="Arial" w:eastAsia="Arial" w:hAnsi="Arial"/>
          <w:sz w:val="20"/>
          <w:szCs w:val="20"/>
          <w:color w:val="auto"/>
        </w:rPr>
        <w:t>time. Committee approval must be accompanied by (a) stockholder approval in those cases in which amendment requires stockholder approval under applicable law or regulations or the requirements of the principal exchange or interdealer quotation system on which the shares of common stock of the Corporation are listed or quoted, and (b) affected Eligible Participant approval if the amendment or termination would adversely affect the holder’s rights under any outstanding grants or Awards. The Short</w:t>
      </w:r>
      <w:r>
        <w:rPr>
          <w:rFonts w:ascii="MS PGothic" w:cs="MS PGothic" w:eastAsia="MS PGothic" w:hAnsi="MS PGothic"/>
          <w:sz w:val="20"/>
          <w:szCs w:val="20"/>
          <w:color w:val="auto"/>
        </w:rPr>
        <w:t>‑</w:t>
      </w:r>
      <w:r>
        <w:rPr>
          <w:rFonts w:ascii="Arial" w:cs="Arial" w:eastAsia="Arial" w:hAnsi="Arial"/>
          <w:sz w:val="20"/>
          <w:szCs w:val="20"/>
          <w:color w:val="auto"/>
        </w:rPr>
        <w:t>Term Incentive Bonus provisions may be wholly or partially amended or otherwise modified, suspended or terminated at any time or from time to time by the Committee or the Board.</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4819-5808-7744.9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type w:val="continuous"/>
        </w:sectPr>
      </w:pPr>
    </w:p>
    <w:bookmarkStart w:id="66" w:name="page67"/>
    <w:bookmarkEnd w:id="66"/>
    <w:p>
      <w:pPr>
        <w:ind w:right="700" w:firstLine="864"/>
        <w:spacing w:after="0" w:line="267" w:lineRule="auto"/>
        <w:rPr>
          <w:sz w:val="20"/>
          <w:szCs w:val="20"/>
          <w:color w:val="auto"/>
        </w:rPr>
      </w:pPr>
      <w:r>
        <w:rPr>
          <w:rFonts w:ascii="Arial" w:cs="Arial" w:eastAsia="Arial" w:hAnsi="Arial"/>
          <w:sz w:val="20"/>
          <w:szCs w:val="20"/>
          <w:b w:val="1"/>
          <w:bCs w:val="1"/>
          <w:color w:val="auto"/>
        </w:rPr>
        <w:t>Section 7. Effectiveness of this Plan</w:t>
      </w:r>
      <w:r>
        <w:rPr>
          <w:rFonts w:ascii="Arial" w:cs="Arial" w:eastAsia="Arial" w:hAnsi="Arial"/>
          <w:sz w:val="20"/>
          <w:szCs w:val="20"/>
          <w:color w:val="auto"/>
        </w:rPr>
        <w:t>. This Plan is effective as of March 4, 2020, the date of adoption of this Plan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w:t>
      </w:r>
    </w:p>
    <w:p>
      <w:pPr>
        <w:spacing w:after="0" w:line="163" w:lineRule="exact"/>
        <w:rPr>
          <w:sz w:val="20"/>
          <w:szCs w:val="20"/>
          <w:color w:val="auto"/>
        </w:rPr>
      </w:pPr>
    </w:p>
    <w:p>
      <w:pPr>
        <w:ind w:right="120" w:firstLine="864"/>
        <w:spacing w:after="0" w:line="253" w:lineRule="auto"/>
        <w:rPr>
          <w:sz w:val="20"/>
          <w:szCs w:val="20"/>
          <w:color w:val="auto"/>
        </w:rPr>
      </w:pPr>
      <w:r>
        <w:rPr>
          <w:rFonts w:ascii="Arial" w:cs="Arial" w:eastAsia="Arial" w:hAnsi="Arial"/>
          <w:sz w:val="20"/>
          <w:szCs w:val="20"/>
          <w:b w:val="1"/>
          <w:bCs w:val="1"/>
          <w:color w:val="auto"/>
        </w:rPr>
        <w:t>Section 8. Term of this Plan</w:t>
      </w:r>
      <w:r>
        <w:rPr>
          <w:rFonts w:ascii="Arial" w:cs="Arial" w:eastAsia="Arial" w:hAnsi="Arial"/>
          <w:sz w:val="20"/>
          <w:szCs w:val="20"/>
          <w:color w:val="auto"/>
        </w:rPr>
        <w:t>. This Plan shall continue indefinitely until terminated by the Committee, and no Award(s)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made hereunder after such termination. Awards outstanding at the termination of the Plan will continue in accordance with their terms and will not be affected by such termination.</w:t>
      </w:r>
    </w:p>
    <w:p>
      <w:pPr>
        <w:spacing w:after="0" w:line="177" w:lineRule="exact"/>
        <w:rPr>
          <w:sz w:val="20"/>
          <w:szCs w:val="20"/>
          <w:color w:val="auto"/>
        </w:rPr>
      </w:pPr>
    </w:p>
    <w:p>
      <w:pPr>
        <w:ind w:right="80" w:firstLine="864"/>
        <w:spacing w:after="0" w:line="275" w:lineRule="auto"/>
        <w:rPr>
          <w:sz w:val="20"/>
          <w:szCs w:val="20"/>
          <w:color w:val="auto"/>
        </w:rPr>
      </w:pPr>
      <w:r>
        <w:rPr>
          <w:rFonts w:ascii="Arial" w:cs="Arial" w:eastAsia="Arial" w:hAnsi="Arial"/>
          <w:sz w:val="18"/>
          <w:szCs w:val="18"/>
          <w:b w:val="1"/>
          <w:bCs w:val="1"/>
          <w:color w:val="auto"/>
        </w:rPr>
        <w:t>Section 9. Indemnification of Committee</w:t>
      </w:r>
      <w:r>
        <w:rPr>
          <w:rFonts w:ascii="Arial" w:cs="Arial" w:eastAsia="Arial" w:hAnsi="Arial"/>
          <w:sz w:val="18"/>
          <w:szCs w:val="18"/>
          <w:color w:val="auto"/>
        </w:rPr>
        <w:t>. In addition to such other rights of indemnification as they may have as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or 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 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spacing w:after="0" w:line="162" w:lineRule="exact"/>
        <w:rPr>
          <w:sz w:val="20"/>
          <w:szCs w:val="20"/>
          <w:color w:val="auto"/>
        </w:rPr>
      </w:pPr>
    </w:p>
    <w:p>
      <w:pPr>
        <w:ind w:right="40" w:firstLine="864"/>
        <w:spacing w:after="0" w:line="257" w:lineRule="auto"/>
        <w:rPr>
          <w:sz w:val="20"/>
          <w:szCs w:val="20"/>
          <w:color w:val="auto"/>
        </w:rPr>
      </w:pPr>
      <w:r>
        <w:rPr>
          <w:rFonts w:ascii="Arial" w:cs="Arial" w:eastAsia="Arial" w:hAnsi="Arial"/>
          <w:sz w:val="19"/>
          <w:szCs w:val="19"/>
          <w:b w:val="1"/>
          <w:bCs w:val="1"/>
          <w:color w:val="auto"/>
        </w:rPr>
        <w:t xml:space="preserve">Section 10. Beneficiaries; Prohibition on Assignments. </w:t>
      </w:r>
      <w:r>
        <w:rPr>
          <w:rFonts w:ascii="Arial" w:cs="Arial" w:eastAsia="Arial" w:hAnsi="Arial"/>
          <w:sz w:val="19"/>
          <w:szCs w:val="19"/>
          <w:color w:val="auto"/>
        </w:rPr>
        <w:t>Each Eligible Participant may designate a beneficiary or beneficiaries</w:t>
      </w:r>
      <w:r>
        <w:rPr>
          <w:rFonts w:ascii="Arial" w:cs="Arial" w:eastAsia="Arial" w:hAnsi="Arial"/>
          <w:sz w:val="19"/>
          <w:szCs w:val="19"/>
          <w:b w:val="1"/>
          <w:bCs w:val="1"/>
          <w:color w:val="auto"/>
        </w:rPr>
        <w:t xml:space="preserve"> </w:t>
      </w:r>
      <w:r>
        <w:rPr>
          <w:rFonts w:ascii="Arial" w:cs="Arial" w:eastAsia="Arial" w:hAnsi="Arial"/>
          <w:sz w:val="19"/>
          <w:szCs w:val="19"/>
          <w:color w:val="auto"/>
        </w:rPr>
        <w:t>to receive, in the event of such Eligible Participant’s death, any Award amounts due to the Eligible Participant under the Plan. Each Eligible Participant shall have the right to revoke any such designation and to redesignate a beneficiary or beneficiaries by written notice to the Corporation to such effect. If any Eligible Participant dies without naming a beneficiary or if all the beneficiaries named by an Eligible Participant predecease the Eligible Participant, then any Award amounts due to the Eligible Participant shall be paid to the Eligible Participant’s estate. Prior to an Eligible Participant’s death, except as otherwise required by applicable law, any interest, benefit, payment, claim or right of such Eligible Participant under the Plan may not be sold, transferred, assigned, pledged, encumbered or hypothecated by the Eligible Participant and any such action will be null and void. During the lifetime of an Eligible Participant, payment of an Award shall only be made to the Eligible Participant.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Section 11. General Provisions</w:t>
      </w:r>
      <w:r>
        <w:rPr>
          <w:rFonts w:ascii="Arial" w:cs="Arial" w:eastAsia="Arial" w:hAnsi="Arial"/>
          <w:sz w:val="20"/>
          <w:szCs w:val="20"/>
          <w:color w:val="auto"/>
        </w:rPr>
        <w:t>.</w:t>
      </w:r>
    </w:p>
    <w:p>
      <w:pPr>
        <w:spacing w:after="0" w:line="222" w:lineRule="exact"/>
        <w:rPr>
          <w:sz w:val="20"/>
          <w:szCs w:val="20"/>
          <w:color w:val="auto"/>
        </w:rPr>
      </w:pPr>
    </w:p>
    <w:p>
      <w:pPr>
        <w:ind w:left="880" w:right="60" w:firstLine="797"/>
        <w:spacing w:after="0" w:line="250" w:lineRule="auto"/>
        <w:rPr>
          <w:sz w:val="20"/>
          <w:szCs w:val="20"/>
          <w:color w:val="auto"/>
        </w:rPr>
      </w:pPr>
      <w:r>
        <w:rPr>
          <w:rFonts w:ascii="Arial" w:cs="Arial" w:eastAsia="Arial" w:hAnsi="Arial"/>
          <w:sz w:val="20"/>
          <w:szCs w:val="20"/>
          <w:color w:val="auto"/>
        </w:rPr>
        <w:t>(a) The establishment of this Plan will not confer upon any Eligible Participant or Employee, any legal or equitable right against the Corporation, any Subsidiary or the Committee, except as expressly provided in this Plan or an employment or other agreement of the Eligible Participant, if any.</w:t>
      </w:r>
    </w:p>
    <w:p>
      <w:pPr>
        <w:spacing w:after="0" w:line="186" w:lineRule="exact"/>
        <w:rPr>
          <w:sz w:val="20"/>
          <w:szCs w:val="20"/>
          <w:color w:val="auto"/>
        </w:rPr>
      </w:pPr>
    </w:p>
    <w:p>
      <w:pPr>
        <w:ind w:left="880" w:right="100" w:firstLine="797"/>
        <w:spacing w:after="0" w:line="246" w:lineRule="auto"/>
        <w:rPr>
          <w:sz w:val="20"/>
          <w:szCs w:val="20"/>
          <w:color w:val="auto"/>
        </w:rPr>
      </w:pPr>
      <w:r>
        <w:rPr>
          <w:rFonts w:ascii="Arial" w:cs="Arial" w:eastAsia="Arial" w:hAnsi="Arial"/>
          <w:sz w:val="20"/>
          <w:szCs w:val="20"/>
          <w:color w:val="auto"/>
        </w:rPr>
        <w:t>(b) This Plan does not constitute inducement or consideration for the employment of any Employee, nor 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spacing w:after="0" w:line="191" w:lineRule="exact"/>
        <w:rPr>
          <w:sz w:val="20"/>
          <w:szCs w:val="20"/>
          <w:color w:val="auto"/>
        </w:rPr>
      </w:pPr>
    </w:p>
    <w:p>
      <w:pPr>
        <w:ind w:left="880" w:firstLine="797"/>
        <w:spacing w:after="0" w:line="287" w:lineRule="auto"/>
        <w:rPr>
          <w:sz w:val="20"/>
          <w:szCs w:val="20"/>
          <w:color w:val="auto"/>
        </w:rPr>
      </w:pPr>
      <w:r>
        <w:rPr>
          <w:rFonts w:ascii="Arial" w:cs="Arial" w:eastAsia="Arial" w:hAnsi="Arial"/>
          <w:sz w:val="19"/>
          <w:szCs w:val="19"/>
          <w:color w:val="auto"/>
        </w:rPr>
        <w:t>(c) The interests of any Employee under this Plan are not subject to the claims of creditors of the Employee or any beneficiary and may not, in any way, be assigned, alienated or encumbered except as otherwise provided herein.</w:t>
      </w:r>
    </w:p>
    <w:p>
      <w:pPr>
        <w:spacing w:after="0" w:line="152" w:lineRule="exact"/>
        <w:rPr>
          <w:sz w:val="20"/>
          <w:szCs w:val="20"/>
          <w:color w:val="auto"/>
        </w:rPr>
      </w:pPr>
    </w:p>
    <w:p>
      <w:pPr>
        <w:ind w:left="880" w:right="80" w:firstLine="797"/>
        <w:spacing w:after="0" w:line="246" w:lineRule="auto"/>
        <w:rPr>
          <w:sz w:val="20"/>
          <w:szCs w:val="20"/>
          <w:color w:val="auto"/>
        </w:rPr>
      </w:pPr>
      <w:r>
        <w:rPr>
          <w:rFonts w:ascii="Arial" w:cs="Arial" w:eastAsia="Arial" w:hAnsi="Arial"/>
          <w:sz w:val="20"/>
          <w:szCs w:val="20"/>
          <w:color w:val="auto"/>
        </w:rPr>
        <w:t>(d) The Committee, in its sole discretion, may reduce any amounts otherwise payable to any Eligible Participant in order to satisfy any liabilities owed to the Corporation or any of its Subsidiaries by the Eligible Participant, but only to the extent any such offset complies with the requirements of Section 409A of the Code and the guidance issued thereunder.</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4819-5808-7744.9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67" w:name="page68"/>
    <w:bookmarkEnd w:id="67"/>
    <w:p>
      <w:pPr>
        <w:ind w:left="880" w:right="20" w:firstLine="797"/>
        <w:spacing w:after="0" w:line="260" w:lineRule="auto"/>
        <w:rPr>
          <w:sz w:val="20"/>
          <w:szCs w:val="20"/>
          <w:color w:val="auto"/>
        </w:rPr>
      </w:pPr>
      <w:r>
        <w:rPr>
          <w:rFonts w:ascii="Arial" w:cs="Arial" w:eastAsia="Arial" w:hAnsi="Arial"/>
          <w:sz w:val="20"/>
          <w:szCs w:val="20"/>
          <w:color w:val="auto"/>
        </w:rPr>
        <w:t>(e) Any Awards made hereunder shall be subject to the clawback policy adopted by the Board or a committee of the Board, as such policy may be amended from time to time.</w:t>
      </w:r>
    </w:p>
    <w:p>
      <w:pPr>
        <w:spacing w:after="0" w:line="177" w:lineRule="exact"/>
        <w:rPr>
          <w:sz w:val="20"/>
          <w:szCs w:val="20"/>
          <w:color w:val="auto"/>
        </w:rPr>
      </w:pPr>
    </w:p>
    <w:p>
      <w:pPr>
        <w:ind w:left="1660"/>
        <w:spacing w:after="0"/>
        <w:tabs>
          <w:tab w:leader="none" w:pos="380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color w:val="auto"/>
        </w:rPr>
        <w:t>The Corporation may withhold any federal, state or local taxes required with respect to any</w:t>
      </w:r>
    </w:p>
    <w:p>
      <w:pPr>
        <w:spacing w:after="0" w:line="39" w:lineRule="exact"/>
        <w:rPr>
          <w:sz w:val="20"/>
          <w:szCs w:val="20"/>
          <w:color w:val="auto"/>
        </w:rPr>
      </w:pPr>
    </w:p>
    <w:p>
      <w:pPr>
        <w:ind w:left="880" w:right="20"/>
        <w:spacing w:after="0" w:line="241" w:lineRule="auto"/>
        <w:rPr>
          <w:sz w:val="20"/>
          <w:szCs w:val="20"/>
          <w:color w:val="auto"/>
        </w:rPr>
      </w:pPr>
      <w:r>
        <w:rPr>
          <w:rFonts w:ascii="Arial" w:cs="Arial" w:eastAsia="Arial" w:hAnsi="Arial"/>
          <w:sz w:val="20"/>
          <w:szCs w:val="20"/>
          <w:color w:val="auto"/>
        </w:rPr>
        <w:t>distribution under this Plan. The Employee shall take whatever action the Committee deems appropriate with respect to withholding of taxes, including, but not limited to, the Employee remitting to the Corporation any taxes required to be withheld by the Corporation under federal, state or local law as a result of the distribution.</w:t>
      </w:r>
    </w:p>
    <w:p>
      <w:pPr>
        <w:spacing w:after="0" w:line="196" w:lineRule="exact"/>
        <w:rPr>
          <w:sz w:val="20"/>
          <w:szCs w:val="20"/>
          <w:color w:val="auto"/>
        </w:rPr>
      </w:pPr>
    </w:p>
    <w:p>
      <w:pPr>
        <w:ind w:left="880" w:firstLine="797"/>
        <w:spacing w:after="0" w:line="291" w:lineRule="auto"/>
        <w:rPr>
          <w:sz w:val="20"/>
          <w:szCs w:val="20"/>
          <w:color w:val="auto"/>
        </w:rPr>
      </w:pPr>
      <w:r>
        <w:rPr>
          <w:rFonts w:ascii="Arial" w:cs="Arial" w:eastAsia="Arial" w:hAnsi="Arial"/>
          <w:sz w:val="18"/>
          <w:szCs w:val="18"/>
          <w:color w:val="auto"/>
        </w:rPr>
        <w:t>(g) Notwithstanding anything contained herein to the contrary, this Plan shall be administered and operated in accordance with any applicable laws and regulations, including, but not limited to, Section 409A of the Code. The Corporation reserves the right to amend this Plan at any time in order for this Plan to comply with any such laws and regulations.</w:t>
      </w:r>
    </w:p>
    <w:p>
      <w:pPr>
        <w:sectPr>
          <w:pgSz w:w="11900" w:h="16838" w:orient="portrait"/>
          <w:cols w:equalWidth="0" w:num="1">
            <w:col w:w="11220"/>
          </w:cols>
          <w:pgMar w:left="320" w:top="352" w:right="359" w:bottom="1440" w:gutter="0" w:footer="0" w:header="0"/>
        </w:sectPr>
      </w:pP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(h)</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Maryland.</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Plan will be governed, construed and administered in accordance with the laws of</w:t>
      </w:r>
    </w:p>
    <w:p>
      <w:pPr>
        <w:spacing w:after="0" w:line="468" w:lineRule="exact"/>
        <w:rPr>
          <w:sz w:val="20"/>
          <w:szCs w:val="20"/>
          <w:color w:val="auto"/>
        </w:rPr>
      </w:pPr>
    </w:p>
    <w:p>
      <w:pPr>
        <w:sectPr>
          <w:pgSz w:w="11900" w:h="16838" w:orient="portrait"/>
          <w:cols w:equalWidth="0" w:num="2">
            <w:col w:w="3120" w:space="720"/>
            <w:col w:w="7380"/>
          </w:cols>
          <w:pgMar w:left="320" w:top="352" w:right="359" w:bottom="1440" w:gutter="0" w:footer="0" w:header="0"/>
          <w:type w:val="continuous"/>
        </w:sectPr>
      </w:pPr>
    </w:p>
    <w:p>
      <w:pPr>
        <w:ind w:left="1660"/>
        <w:spacing w:after="0"/>
        <w:tabs>
          <w:tab w:leader="none" w:pos="37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If any provision of this Plan is held invalid or unenforceable, its invalidity or unenforceability</w:t>
      </w:r>
    </w:p>
    <w:p>
      <w:pPr>
        <w:sectPr>
          <w:pgSz w:w="11900" w:h="16838" w:orient="portrait"/>
          <w:cols w:equalWidth="0" w:num="1">
            <w:col w:w="11220"/>
          </w:cols>
          <w:pgMar w:left="320" w:top="352" w:right="359" w:bottom="1440" w:gutter="0" w:footer="0" w:header="0"/>
          <w:type w:val="continuous"/>
        </w:sectPr>
      </w:pPr>
    </w:p>
    <w:p>
      <w:pPr>
        <w:spacing w:after="0" w:line="43" w:lineRule="exact"/>
        <w:rPr>
          <w:sz w:val="20"/>
          <w:szCs w:val="20"/>
          <w:color w:val="auto"/>
        </w:rPr>
      </w:pPr>
    </w:p>
    <w:p>
      <w:pPr>
        <w:ind w:left="880" w:right="240"/>
        <w:spacing w:after="0" w:line="239" w:lineRule="auto"/>
        <w:rPr>
          <w:sz w:val="20"/>
          <w:szCs w:val="20"/>
          <w:color w:val="auto"/>
        </w:rPr>
      </w:pPr>
      <w:r>
        <w:rPr>
          <w:rFonts w:ascii="Arial" w:cs="Arial" w:eastAsia="Arial" w:hAnsi="Arial"/>
          <w:sz w:val="20"/>
          <w:szCs w:val="20"/>
          <w:color w:val="auto"/>
        </w:rPr>
        <w:t>shall not affect any other provisions of this Plan, and this Plan shall be construed and enforced as if such provision had not been included.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4819-5808-7744.9</w:t>
      </w:r>
    </w:p>
    <w:p>
      <w:pPr>
        <w:sectPr>
          <w:pgSz w:w="11900" w:h="16838" w:orient="portrait"/>
          <w:cols w:equalWidth="0" w:num="1">
            <w:col w:w="11220"/>
          </w:cols>
          <w:pgMar w:left="320" w:top="352" w:right="35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50"/>
        <w:spacing w:after="0" w:line="277"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4800" w:val="left"/>
          <w:tab w:leader="none" w:pos="72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25"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00" w:right="4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Mark A. Wallace</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5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March 31, 2020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March 31, 2020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9090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1."/>
      <w:numFmt w:val="lowerRoman"/>
      <w:start w:val="4"/>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lowerRoman"/>
      <w:start w:val="2"/>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lowerLetter"/>
      <w:start w:val="2"/>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99" Type="http://schemas.openxmlformats.org/officeDocument/2006/relationships/hyperlink" Target="http://www.sec.gov/Archives/edgar/data/1620280/000095010320002586/dp121198_ex0401.htm" TargetMode="External"/><Relationship Id="rId100" Type="http://schemas.openxmlformats.org/officeDocument/2006/relationships/hyperlink" Target="http://www.sec.gov/Archives/edgar/data/1620280/000095010320002586/dp121198_ex1001.htm" TargetMode="External"/><Relationship Id="rId101" Type="http://schemas.openxmlformats.org/officeDocument/2006/relationships/hyperlink" Target="http://www.sec.gov/Archives/edgar/data/1620280/000095010320003921/dp122645_ex1001.htm" TargetMode="External"/><Relationship Id="rId102" Type="http://schemas.openxmlformats.org/officeDocument/2006/relationships/hyperlink" Target="http://www.sec.gov/Archives/edgar/data/1620280/000095010320003921/dp122645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2020-05-11T16:14:41Z</dcterms:created>
  <dcterms:modified xsi:type="dcterms:W3CDTF">2020-05-11T16:14:41Z</dcterms:modified>
</cp:coreProperties>
</file>