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 to _______</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001-36708</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tbl>
      <w:tblPr>
        <w:tblW w:w="4408" w:type="dxa"/>
        <w:jc w:val="center"/>
        <w:tblInd w:w="0" w:type="dxa"/>
        <w:tblLayout w:type="fixed"/>
        <w:tblCellMar>
          <w:top w:w="28" w:type="dxa"/>
          <w:left w:w="28" w:type="dxa"/>
          <w:bottom w:w="28" w:type="dxa"/>
          <w:right w:w="28" w:type="dxa"/>
        </w:tblCellMar>
      </w:tblPr>
      <w:tblGrid>
        <w:gridCol w:w="1057"/>
        <w:gridCol w:w="929"/>
        <w:gridCol w:w="938"/>
        <w:gridCol w:w="433"/>
        <w:gridCol w:w="433"/>
        <w:gridCol w:w="618"/>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46-5230630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2101 Riverfront Drive, Suite A</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Little Rock, Arkansas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72202</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(501) 850-0820</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w:t>
      </w:r>
    </w:p>
    <w:p>
      <w:pPr>
        <w:pStyle w:val="TextBody"/>
        <w:bidi w:val="0"/>
        <w:spacing w:lineRule="auto" w:line="288" w:before="60" w:after="283"/>
        <w:ind w:left="0" w:right="0" w:firstLine="556"/>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26, 2024, the registrant had 240,257,455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w:t>
      </w:r>
      <w:r>
        <w:rPr>
          <w:color w:val="000000"/>
        </w:rPr>
        <w:t>”</w:t>
      </w:r>
      <w:r>
        <w:rPr>
          <w:rFonts w:ascii="Times New Roman;sans-serif" w:hAnsi="Times New Roman;sans-serif"/>
          <w:b w:val="false"/>
          <w:color w:val="000000"/>
          <w:sz w:val="20"/>
        </w:rPr>
        <w:t>); expectations regarding our potential Merger (as defined herein) with Windstream; the future prospects and financial health of Windstream; our expectations about our ability to maintain our status as a real estate investment trust (a “REIT”); our expectations regarding the refinancing of and interest expense on our new ABS Loan Facility; our expectations regarding the effect of tax-related legislation on our tax position; our expectations related to our ability to satisfy the requirements necessary to access the remaining capacity under our ABS Loan Facility (as defined below);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expectations regarding remediation of the material weakness in our internal control over financial reporting as discussed in Part I Item 4 of this Quarterly Report on Form 10-Q; and expectations regarding the payment of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Company’s and Windstream’s ability to consummate our Merger with Windstream on the expected terms or according to the anticipated timeline;</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risk that the Merger Agreement (as defined herein) may be modified or terminated prior to its expiration, that the conditions to our Merger with Windstream may not be satisfied or the occurrence of any event, change or other circumstances that could give rise to the termination of the Merger Agreement;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effect of the announcement of our Merger with Windstream on relationships with our customers, suppliers, vendors, employees and other stakeholders and our operating results and the operating results of Windstream;</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diversion of management’s time on issues related to our Merger with Windstream</w:t>
      </w:r>
      <w:r>
        <w:rPr>
          <w:rFonts w:ascii="Times New Roman;sans-serif" w:hAnsi="Times New Roman;sans-serif"/>
          <w:b w:val="false"/>
          <w:color w:val="000000"/>
          <w:sz w:val="20"/>
          <w:u w:val="single"/>
        </w:rPr>
        <w: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risk that we fail to fully realize the potential benefits, expected synergies, efficiencies and cost savings from our Merger with Windstream within the expected time period (if all all);</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legal proceedings that may be instituted against Uniti or Windstream following announcement of the Merger;</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the future prospects of our largest customer, Windstream, following its emergence from bankruptcy;</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adverse impacts of inflation and higher interest rates on our employees, our business, the business of our customers and other business partners and the global financial markets;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meet and/or perform their obligations under any contractual arrangements entered into with us, including master lease arrangements;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availability of and our ability to identify suitable acquisition opportunities and our ability to acquire and lease the respective properties on favorable terms or operate and integrate the acquired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generate sufficient cash flows to service our outstanding indebtedness and fund our capital funding commitments;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access debt and equity capital markets;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impact on our business or the business of our customers as a result of credit rating downgrades and fluctuating interest rates;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our ability to retain our key management personnel;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our ability to maintain our status as a REIT;</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changes in the U.S. tax law and other federal, state or local laws, whether or not specific to REITs;</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covenants in our debt agreements that may limit our operational flexibility;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possibility that we may experience equipment failures, natural disasters, cyber-attacks or terrorist attacks for which our insurance may not provide adequate coverage;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 xml:space="preserve">the risk that we fail to fully realize the potential benefits of or have difficulty in integrating the companies we acquire; </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other risks inherent in the communications industry and in the ownership of communications distribution systems, including potential liability relating to environmental matters and illiquidity of real estate investments; and</w:t>
      </w:r>
    </w:p>
    <w:p>
      <w:pPr>
        <w:pStyle w:val="TextBody"/>
        <w:bidi w:val="0"/>
        <w:spacing w:lineRule="auto" w:line="288" w:before="120" w:after="283"/>
        <w:ind w:left="0" w:right="0" w:hanging="720"/>
        <w:jc w:val="left"/>
        <w:rPr/>
      </w:pPr>
      <w:r>
        <w:rPr>
          <w:color w:val="000000"/>
        </w:rPr>
        <w:t>•</w:t>
      </w:r>
      <w:r>
        <w:rPr>
          <w:rFonts w:ascii="Times New Roman;sans-serif" w:hAnsi="Times New Roman;sans-serif"/>
          <w:b w:val="false"/>
          <w:color w:val="000000"/>
          <w:sz w:val="20"/>
        </w:rPr>
        <w:t>additional factors discussed in Part I, Item 2 “Management’s Discussion and Analysis of Financial Condition and Results of Operations” and Part II, Item 1A “Risk Factors” of this Quarterly Report on Form 10-Q and in Part I, Item 1A "Risk Factors" of our Annual Report on Form 10-K filed with the SEC</w:t>
      </w:r>
    </w:p>
    <w:p>
      <w:pPr>
        <w:pStyle w:val="TextBody"/>
        <w:bidi w:val="0"/>
        <w:spacing w:lineRule="auto" w:line="268" w:before="0" w:after="0"/>
        <w:jc w:val="left"/>
        <w:rPr/>
      </w:pPr>
      <w:r>
        <w:rPr>
          <w:rFonts w:ascii="Times New Roman;sans-serif" w:hAnsi="Times New Roman;sans-serif"/>
          <w:b w:val="false"/>
          <w:color w:val="000000"/>
          <w:sz w:val="20"/>
        </w:rPr>
        <w:t xml:space="preserve">on February 29, 2024, as amended by Amendment No. 1 and Amendment No. 2 thereto filed on Form 10-K/A with the SEC on </w:t>
      </w:r>
      <w:r>
        <w:rPr>
          <w:rFonts w:ascii="Times New Roman;sans-serif" w:hAnsi="Times New Roman;sans-serif"/>
          <w:b w:val="false"/>
          <w:color w:val="000000"/>
          <w:sz w:val="20"/>
          <w:shd w:fill="FFFFFF" w:val="clear"/>
        </w:rPr>
        <w:t xml:space="preserve">March 26, 2024 and March 27, 2024, </w:t>
      </w:r>
      <w:r>
        <w:rPr>
          <w:rFonts w:ascii="Times New Roman;sans-serif" w:hAnsi="Times New Roman;sans-serif"/>
          <w:b w:val="false"/>
          <w:color w:val="000000"/>
          <w:sz w:val="20"/>
        </w:rPr>
        <w:t>respectively as well as those described from time to time in our future reports filed with the U.S. Securities and Exchange Commission (the “SEC”).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
              <w:r>
                <w:rPr>
                  <w:rStyle w:val="InternetLink"/>
                  <w:rFonts w:ascii="Times New Roman;sans-serif" w:hAnsi="Times New Roman;sans-serif"/>
                  <w:b/>
                  <w:strike w:val="false"/>
                  <w:dstrike w:val="false"/>
                  <w:color w:val="000000"/>
                  <w:sz w:val="20"/>
                  <w:u w:val="none"/>
                  <w:effect w:val="none"/>
                </w:rPr>
                <w:t>PART 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
              <w:r>
                <w:rPr>
                  <w:rStyle w:val="InternetLink"/>
                  <w:rFonts w:ascii="Times New Roman;sans-serif" w:hAnsi="Times New Roman;sans-serif"/>
                  <w:b/>
                  <w:color w:val="0000FF"/>
                  <w:sz w:val="20"/>
                  <w:u w:val="single"/>
                </w:rPr>
                <w:t>FINANCIAL INFORMATION</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6">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6">
              <w:r>
                <w:rPr>
                  <w:rStyle w:val="InternetLink"/>
                  <w:rFonts w:ascii="Times New Roman;sans-serif" w:hAnsi="Times New Roman;sans-serif"/>
                  <w:b w:val="false"/>
                  <w:color w:val="0000FF"/>
                  <w:sz w:val="20"/>
                  <w:u w:val="single"/>
                </w:rPr>
                <w:t>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6">
              <w:r>
                <w:rPr>
                  <w:rStyle w:val="InternetLink"/>
                  <w:rFonts w:ascii="Times New Roman;sans-serif" w:hAnsi="Times New Roman;sans-serif"/>
                  <w:b w:val="false"/>
                  <w:strike w:val="false"/>
                  <w:dstrike w:val="false"/>
                  <w:color w:val="000000"/>
                  <w:sz w:val="20"/>
                  <w:u w:val="none"/>
                  <w:effect w:val="non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9">
              <w:r>
                <w:rPr>
                  <w:rStyle w:val="InternetLink"/>
                  <w:rFonts w:ascii="Times New Roman;sans-serif" w:hAnsi="Times New Roman;sans-serif"/>
                  <w:b w:val="false"/>
                  <w:color w:val="0000FF"/>
                  <w:sz w:val="20"/>
                  <w:u w:val="single"/>
                </w:rPr>
                <w:t>Condensed Consolidated Balance Sheets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9">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22">
              <w:r>
                <w:rPr>
                  <w:rStyle w:val="InternetLink"/>
                  <w:rFonts w:ascii="Times New Roman;sans-serif" w:hAnsi="Times New Roman;sans-serif"/>
                  <w:b w:val="false"/>
                  <w:color w:val="0000FF"/>
                  <w:sz w:val="20"/>
                  <w:u w:val="single"/>
                </w:rPr>
                <w:t>Condensed Consolidated Statements of Income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22">
              <w:r>
                <w:rPr>
                  <w:rStyle w:val="InternetLink"/>
                  <w:rFonts w:ascii="Times New Roman;sans-serif" w:hAnsi="Times New Roman;sans-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25">
              <w:r>
                <w:rPr>
                  <w:rStyle w:val="InternetLink"/>
                  <w:rFonts w:ascii="Times New Roman;sans-serif" w:hAnsi="Times New Roman;sans-serif"/>
                  <w:b w:val="false"/>
                  <w:color w:val="0000FF"/>
                  <w:sz w:val="20"/>
                  <w:u w:val="single"/>
                </w:rPr>
                <w:t>Condensed Consolidated Statements of Comprehensive Income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25">
              <w:r>
                <w:rPr>
                  <w:rStyle w:val="InternetLink"/>
                  <w:rFonts w:ascii="Times New Roman;sans-serif" w:hAnsi="Times New Roman;sans-serif"/>
                  <w:b w:val="false"/>
                  <w:strike w:val="false"/>
                  <w:dstrike w:val="false"/>
                  <w:color w:val="000000"/>
                  <w:sz w:val="20"/>
                  <w:u w:val="none"/>
                  <w:effect w:val="none"/>
                </w:rPr>
                <w:t>7</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28">
              <w:r>
                <w:rPr>
                  <w:rStyle w:val="InternetLink"/>
                  <w:rFonts w:ascii="Times New Roman;sans-serif" w:hAnsi="Times New Roman;sans-serif"/>
                  <w:b w:val="false"/>
                  <w:color w:val="0000FF"/>
                  <w:sz w:val="20"/>
                  <w:u w:val="single"/>
                </w:rPr>
                <w:t>Condensed Consolidated Statements of Shareholders’ Deficit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28">
              <w:r>
                <w:rPr>
                  <w:rStyle w:val="InternetLink"/>
                  <w:rFonts w:ascii="Times New Roman;sans-serif" w:hAnsi="Times New Roman;sans-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31">
              <w:r>
                <w:rPr>
                  <w:rStyle w:val="InternetLink"/>
                  <w:rFonts w:ascii="Times New Roman;sans-serif" w:hAnsi="Times New Roman;sans-serif"/>
                  <w:b w:val="false"/>
                  <w:color w:val="0000FF"/>
                  <w:sz w:val="20"/>
                  <w:u w:val="single"/>
                </w:rPr>
                <w:t>Condensed 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31">
              <w:r>
                <w:rPr>
                  <w:rStyle w:val="InternetLink"/>
                  <w:rFonts w:ascii="Times New Roman;sans-serif" w:hAnsi="Times New Roman;sans-serif"/>
                  <w:b w:val="false"/>
                  <w:strike w:val="false"/>
                  <w:dstrike w:val="false"/>
                  <w:color w:val="000000"/>
                  <w:sz w:val="20"/>
                  <w:u w:val="none"/>
                  <w:effect w:val="none"/>
                </w:rPr>
                <w:t>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pPr>
            <w:hyperlink w:anchor="i92a306ff12eb481981fddd6c55aa6e8a_34">
              <w:r>
                <w:rPr>
                  <w:rStyle w:val="InternetLink"/>
                  <w:rFonts w:ascii="Times New Roman;sans-serif" w:hAnsi="Times New Roman;sans-serif"/>
                  <w:b w:val="false"/>
                  <w:color w:val="0000FF"/>
                  <w:sz w:val="20"/>
                  <w:u w:val="single"/>
                </w:rPr>
                <w:t xml:space="preserve">Notes to Condensed Consolidated Financial Statements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34">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37">
              <w:r>
                <w:rPr>
                  <w:rStyle w:val="InternetLink"/>
                  <w:rFonts w:ascii="Times New Roman;sans-serif" w:hAnsi="Times New Roman;sans-serif"/>
                  <w:b w:val="false"/>
                  <w:strike w:val="false"/>
                  <w:dstrike w:val="false"/>
                  <w:color w:val="0000FF"/>
                  <w:sz w:val="20"/>
                  <w:u w:val="none"/>
                  <w:effect w:val="none"/>
                </w:rPr>
                <w:t>1.</w:t>
              </w:r>
            </w:hyperlink>
            <w:hyperlink w:anchor="i92a306ff12eb481981fddd6c55aa6e8a_37">
              <w:r>
                <w:rPr>
                  <w:rStyle w:val="InternetLink"/>
                  <w:rFonts w:ascii="Times New Roman;sans-serif" w:hAnsi="Times New Roman;sans-serif"/>
                  <w:b w:val="false"/>
                  <w:color w:val="0000FF"/>
                  <w:sz w:val="20"/>
                  <w:u w:val="single"/>
                </w:rPr>
                <w:t>Organization and Description of Business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37">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40">
              <w:r>
                <w:rPr>
                  <w:rStyle w:val="InternetLink"/>
                  <w:rFonts w:ascii="Times New Roman;sans-serif" w:hAnsi="Times New Roman;sans-serif"/>
                  <w:b w:val="false"/>
                  <w:strike w:val="false"/>
                  <w:dstrike w:val="false"/>
                  <w:color w:val="0000FF"/>
                  <w:sz w:val="20"/>
                  <w:u w:val="none"/>
                  <w:effect w:val="none"/>
                </w:rPr>
                <w:t>2.</w:t>
              </w:r>
            </w:hyperlink>
            <w:hyperlink w:anchor="i92a306ff12eb481981fddd6c55aa6e8a_40">
              <w:r>
                <w:rPr>
                  <w:rStyle w:val="InternetLink"/>
                  <w:rFonts w:ascii="Times New Roman;sans-serif" w:hAnsi="Times New Roman;sans-serif"/>
                  <w:b w:val="false"/>
                  <w:color w:val="0000FF"/>
                  <w:sz w:val="20"/>
                  <w:u w:val="single"/>
                </w:rPr>
                <w:t>Basis of Presentation and Summary of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40">
              <w:r>
                <w:rPr>
                  <w:rStyle w:val="InternetLink"/>
                  <w:rFonts w:ascii="Times New Roman;sans-serif" w:hAnsi="Times New Roman;sans-serif"/>
                  <w:b w:val="false"/>
                  <w:strike w:val="false"/>
                  <w:dstrike w:val="false"/>
                  <w:color w:val="000000"/>
                  <w:sz w:val="20"/>
                  <w:u w:val="none"/>
                  <w:effect w:val="none"/>
                </w:rPr>
                <w:t>11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43">
              <w:r>
                <w:rPr>
                  <w:rStyle w:val="InternetLink"/>
                  <w:rFonts w:ascii="Times New Roman;sans-serif" w:hAnsi="Times New Roman;sans-serif"/>
                  <w:b w:val="false"/>
                  <w:strike w:val="false"/>
                  <w:dstrike w:val="false"/>
                  <w:color w:val="0000FF"/>
                  <w:sz w:val="20"/>
                  <w:u w:val="none"/>
                  <w:effect w:val="none"/>
                </w:rPr>
                <w:t>3.</w:t>
              </w:r>
            </w:hyperlink>
            <w:hyperlink w:anchor="i92a306ff12eb481981fddd6c55aa6e8a_43">
              <w:r>
                <w:rPr>
                  <w:rStyle w:val="InternetLink"/>
                  <w:rFonts w:ascii="Times New Roman;sans-serif" w:hAnsi="Times New Roman;sans-serif"/>
                  <w:b w:val="false"/>
                  <w:color w:val="0000FF"/>
                  <w:sz w:val="20"/>
                  <w:u w:val="single"/>
                </w:rPr>
                <w:t>Revenues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43">
              <w:r>
                <w:rPr>
                  <w:rStyle w:val="InternetLink"/>
                  <w:rFonts w:ascii="Times New Roman;sans-serif" w:hAnsi="Times New Roman;sans-serif"/>
                  <w:b w:val="false"/>
                  <w:strike w:val="false"/>
                  <w:dstrike w:val="false"/>
                  <w:color w:val="000000"/>
                  <w:sz w:val="20"/>
                  <w:u w:val="none"/>
                  <w:effect w:val="none"/>
                </w:rPr>
                <w:t>13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46">
              <w:r>
                <w:rPr>
                  <w:rStyle w:val="InternetLink"/>
                  <w:rFonts w:ascii="Times New Roman;sans-serif" w:hAnsi="Times New Roman;sans-serif"/>
                  <w:b w:val="false"/>
                  <w:strike w:val="false"/>
                  <w:dstrike w:val="false"/>
                  <w:color w:val="0000FF"/>
                  <w:sz w:val="20"/>
                  <w:u w:val="none"/>
                  <w:effect w:val="none"/>
                </w:rPr>
                <w:t>4.</w:t>
              </w:r>
            </w:hyperlink>
            <w:hyperlink w:anchor="i92a306ff12eb481981fddd6c55aa6e8a_46">
              <w:r>
                <w:rPr>
                  <w:rStyle w:val="InternetLink"/>
                  <w:rFonts w:ascii="Times New Roman;sans-serif" w:hAnsi="Times New Roman;sans-serif"/>
                  <w:b w:val="false"/>
                  <w:color w:val="0000FF"/>
                  <w:sz w:val="20"/>
                  <w:u w:val="single"/>
                </w:rPr>
                <w:t>Leases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46">
              <w:r>
                <w:rPr>
                  <w:rStyle w:val="InternetLink"/>
                  <w:rFonts w:ascii="Times New Roman;sans-serif" w:hAnsi="Times New Roman;sans-serif"/>
                  <w:b w:val="false"/>
                  <w:strike w:val="false"/>
                  <w:dstrike w:val="false"/>
                  <w:color w:val="000000"/>
                  <w:sz w:val="20"/>
                  <w:u w:val="none"/>
                  <w:effect w:val="none"/>
                </w:rPr>
                <w:t>14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52">
              <w:r>
                <w:rPr>
                  <w:rStyle w:val="InternetLink"/>
                  <w:rFonts w:ascii="Times New Roman;sans-serif" w:hAnsi="Times New Roman;sans-serif"/>
                  <w:b w:val="false"/>
                  <w:strike w:val="false"/>
                  <w:dstrike w:val="false"/>
                  <w:color w:val="0000FF"/>
                  <w:sz w:val="20"/>
                  <w:u w:val="none"/>
                  <w:effect w:val="none"/>
                </w:rPr>
                <w:t>5.</w:t>
              </w:r>
            </w:hyperlink>
            <w:hyperlink w:anchor="i92a306ff12eb481981fddd6c55aa6e8a_52">
              <w:r>
                <w:rPr>
                  <w:rStyle w:val="InternetLink"/>
                  <w:rFonts w:ascii="Times New Roman;sans-serif" w:hAnsi="Times New Roman;sans-serif"/>
                  <w:b w:val="false"/>
                  <w:color w:val="0000FF"/>
                  <w:sz w:val="20"/>
                  <w:u w:val="single"/>
                </w:rPr>
                <w:t>Fair Value of Financial Instruments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52">
              <w:r>
                <w:rPr>
                  <w:rStyle w:val="InternetLink"/>
                  <w:rFonts w:ascii="Times New Roman;sans-serif" w:hAnsi="Times New Roman;sans-serif"/>
                  <w:b w:val="false"/>
                  <w:strike w:val="false"/>
                  <w:dstrike w:val="false"/>
                  <w:color w:val="000000"/>
                  <w:sz w:val="20"/>
                  <w:u w:val="none"/>
                  <w:effect w:val="none"/>
                </w:rPr>
                <w:t>16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55">
              <w:r>
                <w:rPr>
                  <w:rStyle w:val="InternetLink"/>
                  <w:rFonts w:ascii="Times New Roman;sans-serif" w:hAnsi="Times New Roman;sans-serif"/>
                  <w:b w:val="false"/>
                  <w:strike w:val="false"/>
                  <w:dstrike w:val="false"/>
                  <w:color w:val="0000FF"/>
                  <w:sz w:val="20"/>
                  <w:u w:val="none"/>
                  <w:effect w:val="none"/>
                </w:rPr>
                <w:t>6.</w:t>
              </w:r>
            </w:hyperlink>
            <w:hyperlink w:anchor="i92a306ff12eb481981fddd6c55aa6e8a_55">
              <w:r>
                <w:rPr>
                  <w:rStyle w:val="InternetLink"/>
                  <w:rFonts w:ascii="Times New Roman;sans-serif" w:hAnsi="Times New Roman;sans-serif"/>
                  <w:b w:val="false"/>
                  <w:color w:val="0000FF"/>
                  <w:sz w:val="20"/>
                  <w:u w:val="single"/>
                </w:rPr>
                <w:t>Property Plant and Equipment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55">
              <w:r>
                <w:rPr>
                  <w:rStyle w:val="InternetLink"/>
                  <w:rFonts w:ascii="Times New Roman;sans-serif" w:hAnsi="Times New Roman;sans-serif"/>
                  <w:b w:val="false"/>
                  <w:strike w:val="false"/>
                  <w:dstrike w:val="false"/>
                  <w:color w:val="000000"/>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58">
              <w:r>
                <w:rPr>
                  <w:rStyle w:val="InternetLink"/>
                  <w:rFonts w:ascii="Times New Roman;sans-serif" w:hAnsi="Times New Roman;sans-serif"/>
                  <w:b w:val="false"/>
                  <w:strike w:val="false"/>
                  <w:dstrike w:val="false"/>
                  <w:color w:val="0000FF"/>
                  <w:sz w:val="20"/>
                  <w:u w:val="none"/>
                  <w:effect w:val="none"/>
                </w:rPr>
                <w:t>7.</w:t>
              </w:r>
            </w:hyperlink>
            <w:hyperlink w:anchor="i92a306ff12eb481981fddd6c55aa6e8a_58">
              <w:r>
                <w:rPr>
                  <w:rStyle w:val="InternetLink"/>
                  <w:rFonts w:ascii="Times New Roman;sans-serif" w:hAnsi="Times New Roman;sans-serif"/>
                  <w:b w:val="false"/>
                  <w:color w:val="0000FF"/>
                  <w:sz w:val="20"/>
                  <w:u w:val="single"/>
                </w:rPr>
                <w:t>Derivative Instruments and Hedging Activities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58">
              <w:r>
                <w:rPr>
                  <w:rStyle w:val="InternetLink"/>
                  <w:rFonts w:ascii="Times New Roman;sans-serif" w:hAnsi="Times New Roman;sans-serif"/>
                  <w:b w:val="false"/>
                  <w:strike w:val="false"/>
                  <w:dstrike w:val="false"/>
                  <w:color w:val="000000"/>
                  <w:sz w:val="20"/>
                  <w:u w:val="none"/>
                  <w:effect w:val="none"/>
                </w:rPr>
                <w:t>18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61">
              <w:r>
                <w:rPr>
                  <w:rStyle w:val="InternetLink"/>
                  <w:rFonts w:ascii="Times New Roman;sans-serif" w:hAnsi="Times New Roman;sans-serif"/>
                  <w:b w:val="false"/>
                  <w:strike w:val="false"/>
                  <w:dstrike w:val="false"/>
                  <w:color w:val="0000FF"/>
                  <w:sz w:val="20"/>
                  <w:u w:val="none"/>
                  <w:effect w:val="none"/>
                </w:rPr>
                <w:t>8.</w:t>
              </w:r>
            </w:hyperlink>
            <w:hyperlink w:anchor="i92a306ff12eb481981fddd6c55aa6e8a_61">
              <w:r>
                <w:rPr>
                  <w:rStyle w:val="InternetLink"/>
                  <w:rFonts w:ascii="Times New Roman;sans-serif" w:hAnsi="Times New Roman;sans-serif"/>
                  <w:b w:val="false"/>
                  <w:color w:val="0000FF"/>
                  <w:sz w:val="20"/>
                  <w:u w:val="single"/>
                </w:rPr>
                <w:t>Goodwill and Intangible Assets and Liabilities</w:t>
              </w:r>
            </w:hyperlink>
            <w:hyperlink w:anchor="i92a306ff12eb481981fddd6c55aa6e8a_61">
              <w:r>
                <w:rPr>
                  <w:rStyle w:val="InternetLink"/>
                  <w:strike w:val="false"/>
                  <w:dstrike w:val="false"/>
                  <w:color w:val="0000FF"/>
                  <w:u w:val="none"/>
                  <w:effect w:val="none"/>
                </w:rPr>
                <w:t xml:space="preserve"> </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61">
              <w:r>
                <w:rPr>
                  <w:rStyle w:val="InternetLink"/>
                  <w:rFonts w:ascii="Times New Roman;sans-serif" w:hAnsi="Times New Roman;sans-serif"/>
                  <w:b w:val="false"/>
                  <w:strike w:val="false"/>
                  <w:dstrike w:val="false"/>
                  <w:color w:val="000000"/>
                  <w:sz w:val="20"/>
                  <w:u w:val="none"/>
                  <w:effect w:val="none"/>
                </w:rPr>
                <w:t>20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64">
              <w:r>
                <w:rPr>
                  <w:rStyle w:val="InternetLink"/>
                  <w:rFonts w:ascii="Times New Roman;sans-serif" w:hAnsi="Times New Roman;sans-serif"/>
                  <w:b w:val="false"/>
                  <w:strike w:val="false"/>
                  <w:dstrike w:val="false"/>
                  <w:color w:val="0000FF"/>
                  <w:sz w:val="20"/>
                  <w:u w:val="none"/>
                  <w:effect w:val="none"/>
                </w:rPr>
                <w:t>9.</w:t>
              </w:r>
            </w:hyperlink>
            <w:hyperlink w:anchor="i92a306ff12eb481981fddd6c55aa6e8a_64">
              <w:r>
                <w:rPr>
                  <w:rStyle w:val="InternetLink"/>
                  <w:rFonts w:ascii="Times New Roman;sans-serif" w:hAnsi="Times New Roman;sans-serif"/>
                  <w:b w:val="false"/>
                  <w:color w:val="0000FF"/>
                  <w:sz w:val="20"/>
                  <w:u w:val="single"/>
                </w:rPr>
                <w:t>Notes and Other Debt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64">
              <w:r>
                <w:rPr>
                  <w:rStyle w:val="InternetLink"/>
                  <w:rFonts w:ascii="Times New Roman;sans-serif" w:hAnsi="Times New Roman;sans-serif"/>
                  <w:b w:val="false"/>
                  <w:strike w:val="false"/>
                  <w:dstrike w:val="false"/>
                  <w:color w:val="000000"/>
                  <w:sz w:val="20"/>
                  <w:u w:val="none"/>
                  <w:effect w:val="none"/>
                </w:rPr>
                <w:t>21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70">
              <w:r>
                <w:rPr>
                  <w:rStyle w:val="InternetLink"/>
                  <w:rFonts w:ascii="Times New Roman;sans-serif" w:hAnsi="Times New Roman;sans-serif"/>
                  <w:b w:val="false"/>
                  <w:strike w:val="false"/>
                  <w:dstrike w:val="false"/>
                  <w:color w:val="0000FF"/>
                  <w:sz w:val="20"/>
                  <w:u w:val="none"/>
                  <w:effect w:val="none"/>
                </w:rPr>
                <w:t>10.</w:t>
              </w:r>
            </w:hyperlink>
            <w:hyperlink w:anchor="i92a306ff12eb481981fddd6c55aa6e8a_70">
              <w:r>
                <w:rPr>
                  <w:rStyle w:val="InternetLink"/>
                  <w:rFonts w:ascii="Times New Roman;sans-serif" w:hAnsi="Times New Roman;sans-serif"/>
                  <w:b w:val="false"/>
                  <w:color w:val="0000FF"/>
                  <w:sz w:val="20"/>
                  <w:u w:val="single"/>
                </w:rPr>
                <w:t>Earnings Per Share</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70">
              <w:r>
                <w:rPr>
                  <w:rStyle w:val="InternetLink"/>
                  <w:rFonts w:ascii="Times New Roman;sans-serif" w:hAnsi="Times New Roman;sans-serif"/>
                  <w:b w:val="false"/>
                  <w:strike w:val="false"/>
                  <w:dstrike w:val="false"/>
                  <w:color w:val="000000"/>
                  <w:sz w:val="20"/>
                  <w:u w:val="none"/>
                  <w:effect w:val="none"/>
                </w:rPr>
                <w:t>24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73">
              <w:r>
                <w:rPr>
                  <w:rStyle w:val="InternetLink"/>
                  <w:rFonts w:ascii="Times New Roman;sans-serif" w:hAnsi="Times New Roman;sans-serif"/>
                  <w:b w:val="false"/>
                  <w:strike w:val="false"/>
                  <w:dstrike w:val="false"/>
                  <w:color w:val="0000FF"/>
                  <w:sz w:val="20"/>
                  <w:u w:val="none"/>
                  <w:effect w:val="none"/>
                </w:rPr>
                <w:t>11.</w:t>
              </w:r>
            </w:hyperlink>
            <w:hyperlink w:anchor="i92a306ff12eb481981fddd6c55aa6e8a_73">
              <w:r>
                <w:rPr>
                  <w:rStyle w:val="InternetLink"/>
                  <w:rFonts w:ascii="Times New Roman;sans-serif" w:hAnsi="Times New Roman;sans-serif"/>
                  <w:b w:val="false"/>
                  <w:color w:val="0000FF"/>
                  <w:sz w:val="20"/>
                  <w:u w:val="single"/>
                </w:rPr>
                <w:t>Segment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73">
              <w:r>
                <w:rPr>
                  <w:rStyle w:val="InternetLink"/>
                  <w:rFonts w:ascii="Times New Roman;sans-serif" w:hAnsi="Times New Roman;sans-serif"/>
                  <w:b w:val="false"/>
                  <w:strike w:val="false"/>
                  <w:dstrike w:val="false"/>
                  <w:color w:val="000000"/>
                  <w:sz w:val="20"/>
                  <w:u w:val="none"/>
                  <w:effect w:val="none"/>
                </w:rPr>
                <w:t>26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76">
              <w:r>
                <w:rPr>
                  <w:rStyle w:val="InternetLink"/>
                  <w:rFonts w:ascii="Times New Roman;sans-serif" w:hAnsi="Times New Roman;sans-serif"/>
                  <w:b w:val="false"/>
                  <w:strike w:val="false"/>
                  <w:dstrike w:val="false"/>
                  <w:color w:val="0000FF"/>
                  <w:sz w:val="20"/>
                  <w:u w:val="none"/>
                  <w:effect w:val="none"/>
                </w:rPr>
                <w:t>12.</w:t>
              </w:r>
            </w:hyperlink>
            <w:hyperlink w:anchor="i92a306ff12eb481981fddd6c55aa6e8a_76">
              <w:r>
                <w:rPr>
                  <w:rStyle w:val="InternetLink"/>
                  <w:rFonts w:ascii="Times New Roman;sans-serif" w:hAnsi="Times New Roman;sans-serif"/>
                  <w:b w:val="false"/>
                  <w:color w:val="0000FF"/>
                  <w:sz w:val="20"/>
                  <w:u w:val="single"/>
                </w:rPr>
                <w:t>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76">
              <w:r>
                <w:rPr>
                  <w:rStyle w:val="InternetLink"/>
                  <w:rFonts w:ascii="Times New Roman;sans-serif" w:hAnsi="Times New Roman;sans-serif"/>
                  <w:b w:val="false"/>
                  <w:strike w:val="false"/>
                  <w:dstrike w:val="false"/>
                  <w:color w:val="000000"/>
                  <w:sz w:val="20"/>
                  <w:u w:val="none"/>
                  <w:effect w:val="none"/>
                </w:rPr>
                <w:t>28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79">
              <w:r>
                <w:rPr>
                  <w:rStyle w:val="InternetLink"/>
                  <w:rFonts w:ascii="Times New Roman;sans-serif" w:hAnsi="Times New Roman;sans-serif"/>
                  <w:b w:val="false"/>
                  <w:strike w:val="false"/>
                  <w:dstrike w:val="false"/>
                  <w:color w:val="0000FF"/>
                  <w:sz w:val="20"/>
                  <w:u w:val="none"/>
                  <w:effect w:val="none"/>
                </w:rPr>
                <w:t>13.</w:t>
              </w:r>
            </w:hyperlink>
            <w:hyperlink w:anchor="i92a306ff12eb481981fddd6c55aa6e8a_79">
              <w:r>
                <w:rPr>
                  <w:rStyle w:val="InternetLink"/>
                  <w:rFonts w:ascii="Times New Roman;sans-serif" w:hAnsi="Times New Roman;sans-serif"/>
                  <w:b w:val="false"/>
                  <w:color w:val="0000FF"/>
                  <w:sz w:val="20"/>
                  <w:u w:val="single"/>
                </w:rPr>
                <w:t>Accumulated Other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79">
              <w:r>
                <w:rPr>
                  <w:rStyle w:val="InternetLink"/>
                  <w:rFonts w:ascii="Times New Roman;sans-serif" w:hAnsi="Times New Roman;sans-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i92a306ff12eb481981fddd6c55aa6e8a_514">
              <w:r>
                <w:rPr>
                  <w:rStyle w:val="InternetLink"/>
                  <w:rFonts w:ascii="Times New Roman;sans-serif" w:hAnsi="Times New Roman;sans-serif"/>
                  <w:b w:val="false"/>
                  <w:strike w:val="false"/>
                  <w:dstrike w:val="false"/>
                  <w:color w:val="0000FF"/>
                  <w:sz w:val="20"/>
                  <w:u w:val="none"/>
                  <w:effect w:val="none"/>
                </w:rPr>
                <w:t>14.</w:t>
              </w:r>
            </w:hyperlink>
            <w:hyperlink w:anchor="i92a306ff12eb481981fddd6c55aa6e8a_514">
              <w:r>
                <w:rPr>
                  <w:rStyle w:val="InternetLink"/>
                  <w:rFonts w:ascii="Times New Roman;sans-serif" w:hAnsi="Times New Roman;sans-serif"/>
                  <w:b w:val="false"/>
                  <w:color w:val="0000FF"/>
                  <w:sz w:val="20"/>
                  <w:u w:val="single"/>
                </w:rPr>
                <w:t>Subsequent Events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514">
              <w:r>
                <w:rPr>
                  <w:rStyle w:val="InternetLink"/>
                  <w:rFonts w:ascii="Times New Roman;sans-serif" w:hAnsi="Times New Roman;sans-serif"/>
                  <w:b w:val="false"/>
                  <w:strike w:val="false"/>
                  <w:dstrike w:val="false"/>
                  <w:color w:val="000000"/>
                  <w:sz w:val="20"/>
                  <w:u w:val="none"/>
                  <w:effect w:val="none"/>
                </w:rPr>
                <w:t>29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82">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82">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92a306ff12eb481981fddd6c55aa6e8a_85">
              <w:r>
                <w:rPr>
                  <w:rStyle w:val="InternetLink"/>
                  <w:rFonts w:ascii="Times New Roman;sans-serif" w:hAnsi="Times New Roman;sans-serif"/>
                  <w:b w:val="false"/>
                  <w:strike w:val="false"/>
                  <w:dstrike w:val="false"/>
                  <w:color w:val="0000FF"/>
                  <w:sz w:val="20"/>
                  <w:u w:val="none"/>
                  <w:effect w:val="none"/>
                </w:rPr>
                <w:t>1.</w:t>
              </w:r>
            </w:hyperlink>
            <w:hyperlink w:anchor="i92a306ff12eb481981fddd6c55aa6e8a_85">
              <w:r>
                <w:rPr>
                  <w:rStyle w:val="InternetLink"/>
                  <w:rFonts w:ascii="Times New Roman;sans-serif" w:hAnsi="Times New Roman;sans-serif"/>
                  <w:b w:val="false"/>
                  <w:color w:val="0000FF"/>
                  <w:sz w:val="20"/>
                  <w:u w:val="single"/>
                </w:rPr>
                <w:t>Overview</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85">
              <w:r>
                <w:rPr>
                  <w:rStyle w:val="InternetLink"/>
                  <w:rFonts w:ascii="Times New Roman;sans-serif" w:hAnsi="Times New Roman;sans-serif"/>
                  <w:b w:val="false"/>
                  <w:strike w:val="false"/>
                  <w:dstrike w:val="false"/>
                  <w:color w:val="000000"/>
                  <w:sz w:val="20"/>
                  <w:u w:val="none"/>
                  <w:effect w:val="none"/>
                </w:rPr>
                <w:t>30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92a306ff12eb481981fddd6c55aa6e8a_88">
              <w:r>
                <w:rPr>
                  <w:rStyle w:val="InternetLink"/>
                  <w:rFonts w:ascii="Times New Roman;sans-serif" w:hAnsi="Times New Roman;sans-serif"/>
                  <w:b w:val="false"/>
                  <w:strike w:val="false"/>
                  <w:dstrike w:val="false"/>
                  <w:color w:val="0000FF"/>
                  <w:sz w:val="20"/>
                  <w:u w:val="none"/>
                  <w:effect w:val="none"/>
                </w:rPr>
                <w:t>2.</w:t>
              </w:r>
            </w:hyperlink>
            <w:hyperlink w:anchor="i92a306ff12eb481981fddd6c55aa6e8a_88">
              <w:r>
                <w:rPr>
                  <w:rStyle w:val="InternetLink"/>
                  <w:rFonts w:ascii="Times New Roman;sans-serif" w:hAnsi="Times New Roman;sans-serif"/>
                  <w:b w:val="false"/>
                  <w:color w:val="0000FF"/>
                  <w:sz w:val="20"/>
                  <w:u w:val="single"/>
                </w:rPr>
                <w:t>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88">
              <w:r>
                <w:rPr>
                  <w:rStyle w:val="InternetLink"/>
                  <w:rFonts w:ascii="Times New Roman;sans-serif" w:hAnsi="Times New Roman;sans-serif"/>
                  <w:b w:val="false"/>
                  <w:strike w:val="false"/>
                  <w:dstrike w:val="false"/>
                  <w:color w:val="000000"/>
                  <w:sz w:val="20"/>
                  <w:u w:val="none"/>
                  <w:effect w:val="none"/>
                </w:rPr>
                <w:t>34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92a306ff12eb481981fddd6c55aa6e8a_91">
              <w:r>
                <w:rPr>
                  <w:rStyle w:val="InternetLink"/>
                  <w:rFonts w:ascii="Times New Roman;sans-serif" w:hAnsi="Times New Roman;sans-serif"/>
                  <w:b w:val="false"/>
                  <w:strike w:val="false"/>
                  <w:dstrike w:val="false"/>
                  <w:color w:val="0000FF"/>
                  <w:sz w:val="20"/>
                  <w:u w:val="none"/>
                  <w:effect w:val="none"/>
                </w:rPr>
                <w:t>3.</w:t>
              </w:r>
            </w:hyperlink>
            <w:hyperlink w:anchor="i92a306ff12eb481981fddd6c55aa6e8a_91">
              <w:r>
                <w:rPr>
                  <w:rStyle w:val="InternetLink"/>
                  <w:rFonts w:ascii="Times New Roman;sans-serif" w:hAnsi="Times New Roman;sans-serif"/>
                  <w:b w:val="false"/>
                  <w:color w:val="0000FF"/>
                  <w:sz w:val="20"/>
                  <w:u w:val="single"/>
                </w:rPr>
                <w:t>Non-GAAP Financial Measures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91">
              <w:r>
                <w:rPr>
                  <w:rStyle w:val="InternetLink"/>
                  <w:rFonts w:ascii="Times New Roman;sans-serif" w:hAnsi="Times New Roman;sans-serif"/>
                  <w:b w:val="false"/>
                  <w:strike w:val="false"/>
                  <w:dstrike w:val="false"/>
                  <w:color w:val="000000"/>
                  <w:sz w:val="20"/>
                  <w:u w:val="none"/>
                  <w:effect w:val="none"/>
                </w:rPr>
                <w:t>41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92a306ff12eb481981fddd6c55aa6e8a_94">
              <w:r>
                <w:rPr>
                  <w:rStyle w:val="InternetLink"/>
                  <w:rFonts w:ascii="Times New Roman;sans-serif" w:hAnsi="Times New Roman;sans-serif"/>
                  <w:b w:val="false"/>
                  <w:strike w:val="false"/>
                  <w:dstrike w:val="false"/>
                  <w:color w:val="0000FF"/>
                  <w:sz w:val="20"/>
                  <w:u w:val="none"/>
                  <w:effect w:val="none"/>
                </w:rPr>
                <w:t>4.</w:t>
              </w:r>
            </w:hyperlink>
            <w:hyperlink w:anchor="i92a306ff12eb481981fddd6c55aa6e8a_94">
              <w:r>
                <w:rPr>
                  <w:rStyle w:val="InternetLink"/>
                  <w:rFonts w:ascii="Times New Roman;sans-serif" w:hAnsi="Times New Roman;sans-serif"/>
                  <w:b w:val="false"/>
                  <w:color w:val="0000FF"/>
                  <w:sz w:val="20"/>
                  <w:u w:val="single"/>
                </w:rPr>
                <w:t>Liquidity and Capital Resources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94">
              <w:r>
                <w:rPr>
                  <w:rStyle w:val="InternetLink"/>
                  <w:rFonts w:ascii="Times New Roman;sans-serif" w:hAnsi="Times New Roman;sans-serif"/>
                  <w:b w:val="false"/>
                  <w:strike w:val="false"/>
                  <w:dstrike w:val="false"/>
                  <w:color w:val="000000"/>
                  <w:sz w:val="20"/>
                  <w:u w:val="none"/>
                  <w:effect w:val="none"/>
                </w:rPr>
                <w:t>43</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09">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09">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09">
              <w:r>
                <w:rPr>
                  <w:rStyle w:val="InternetLink"/>
                  <w:rFonts w:ascii="Times New Roman;sans-serif" w:hAnsi="Times New Roman;sans-serif"/>
                  <w:b w:val="false"/>
                  <w:strike w:val="false"/>
                  <w:dstrike w:val="false"/>
                  <w:color w:val="000000"/>
                  <w:sz w:val="20"/>
                  <w:u w:val="none"/>
                  <w:effect w:val="none"/>
                </w:rPr>
                <w:t>48</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12">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12">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12">
              <w:r>
                <w:rPr>
                  <w:rStyle w:val="InternetLink"/>
                  <w:rFonts w:ascii="Times New Roman;sans-serif" w:hAnsi="Times New Roman;sans-serif"/>
                  <w:b w:val="false"/>
                  <w:strike w:val="false"/>
                  <w:dstrike w:val="false"/>
                  <w:color w:val="000000"/>
                  <w:sz w:val="20"/>
                  <w:u w:val="none"/>
                  <w:effect w:val="none"/>
                </w:rPr>
                <w:t>48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15">
              <w:r>
                <w:rPr>
                  <w:rStyle w:val="InternetLink"/>
                  <w:rFonts w:ascii="Times New Roman;sans-serif" w:hAnsi="Times New Roman;sans-serif"/>
                  <w:b/>
                  <w:strike w:val="false"/>
                  <w:dstrike w:val="false"/>
                  <w:color w:val="000000"/>
                  <w:sz w:val="20"/>
                  <w:u w:val="none"/>
                  <w:effect w:val="none"/>
                </w:rPr>
                <w:t>PART II.</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15">
              <w:r>
                <w:rPr>
                  <w:rStyle w:val="InternetLink"/>
                  <w:rFonts w:ascii="Times New Roman;sans-serif" w:hAnsi="Times New Roman;sans-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18">
              <w:r>
                <w:rPr>
                  <w:rStyle w:val="InternetLink"/>
                  <w:rFonts w:ascii="Times New Roman;sans-serif" w:hAnsi="Times New Roman;sans-serif"/>
                  <w:b w:val="false"/>
                  <w:strike w:val="false"/>
                  <w:dstrike w:val="false"/>
                  <w:color w:val="000000"/>
                  <w:sz w:val="20"/>
                  <w:u w:val="none"/>
                  <w:effect w:val="non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18">
              <w:r>
                <w:rPr>
                  <w:rStyle w:val="InternetLink"/>
                  <w:rFonts w:ascii="Times New Roman;sans-serif" w:hAnsi="Times New Roman;sans-serif"/>
                  <w:b w:val="false"/>
                  <w:color w:val="0000FF"/>
                  <w:sz w:val="20"/>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18">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21">
              <w:r>
                <w:rPr>
                  <w:rStyle w:val="InternetLink"/>
                  <w:rFonts w:ascii="Times New Roman;sans-serif" w:hAnsi="Times New Roman;sans-serif"/>
                  <w:b w:val="false"/>
                  <w:strike w:val="false"/>
                  <w:dstrike w:val="false"/>
                  <w:color w:val="000000"/>
                  <w:sz w:val="20"/>
                  <w:u w:val="none"/>
                  <w:effect w:val="non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21">
              <w:r>
                <w:rPr>
                  <w:rStyle w:val="InternetLink"/>
                  <w:rFonts w:ascii="Times New Roman;sans-serif" w:hAnsi="Times New Roman;sans-serif"/>
                  <w:b w:val="false"/>
                  <w:color w:val="0000FF"/>
                  <w:sz w:val="20"/>
                  <w:u w:val="single"/>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21">
              <w:r>
                <w:rPr>
                  <w:rStyle w:val="InternetLink"/>
                  <w:rFonts w:ascii="Times New Roman;sans-serif" w:hAnsi="Times New Roman;sans-serif"/>
                  <w:b w:val="false"/>
                  <w:strike w:val="false"/>
                  <w:dstrike w:val="false"/>
                  <w:color w:val="000000"/>
                  <w:sz w:val="20"/>
                  <w:u w:val="none"/>
                  <w:effect w:val="none"/>
                </w:rPr>
                <w:t>50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24">
              <w:r>
                <w:rPr>
                  <w:rStyle w:val="InternetLink"/>
                  <w:rFonts w:ascii="Times New Roman;sans-serif" w:hAnsi="Times New Roman;sans-serif"/>
                  <w:b w:val="false"/>
                  <w:strike w:val="false"/>
                  <w:dstrike w:val="false"/>
                  <w:color w:val="000000"/>
                  <w:sz w:val="20"/>
                  <w:u w:val="none"/>
                  <w:effect w:val="non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24">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24">
              <w:r>
                <w:rPr>
                  <w:rStyle w:val="InternetLink"/>
                  <w:rFonts w:ascii="Times New Roman;sans-serif" w:hAnsi="Times New Roman;sans-serif"/>
                  <w:b w:val="false"/>
                  <w:strike w:val="false"/>
                  <w:dstrike w:val="false"/>
                  <w:color w:val="000000"/>
                  <w:sz w:val="20"/>
                  <w:u w:val="none"/>
                  <w:effect w:val="none"/>
                </w:rPr>
                <w:t>60</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27">
              <w:r>
                <w:rPr>
                  <w:rStyle w:val="InternetLink"/>
                  <w:rFonts w:ascii="Times New Roman;sans-serif" w:hAnsi="Times New Roman;sans-serif"/>
                  <w:b w:val="false"/>
                  <w:strike w:val="false"/>
                  <w:dstrike w:val="false"/>
                  <w:color w:val="000000"/>
                  <w:sz w:val="20"/>
                  <w:u w:val="none"/>
                  <w:effect w:val="non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27">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27">
              <w:r>
                <w:rPr>
                  <w:rStyle w:val="InternetLink"/>
                  <w:rFonts w:ascii="Times New Roman;sans-serif" w:hAnsi="Times New Roman;sans-serif"/>
                  <w:b w:val="false"/>
                  <w:strike w:val="false"/>
                  <w:dstrike w:val="false"/>
                  <w:color w:val="000000"/>
                  <w:sz w:val="20"/>
                  <w:u w:val="none"/>
                  <w:effect w:val="non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0">
              <w:r>
                <w:rPr>
                  <w:rStyle w:val="InternetLink"/>
                  <w:rFonts w:ascii="Times New Roman;sans-serif" w:hAnsi="Times New Roman;sans-serif"/>
                  <w:b w:val="false"/>
                  <w:strike w:val="false"/>
                  <w:dstrike w:val="false"/>
                  <w:color w:val="000000"/>
                  <w:sz w:val="20"/>
                  <w:u w:val="none"/>
                  <w:effect w:val="non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0">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30">
              <w:r>
                <w:rPr>
                  <w:rStyle w:val="InternetLink"/>
                  <w:rFonts w:ascii="Times New Roman;sans-serif" w:hAnsi="Times New Roman;sans-serif"/>
                  <w:b w:val="false"/>
                  <w:strike w:val="false"/>
                  <w:dstrike w:val="false"/>
                  <w:color w:val="000000"/>
                  <w:sz w:val="20"/>
                  <w:u w:val="none"/>
                  <w:effect w:val="non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3">
              <w:r>
                <w:rPr>
                  <w:rStyle w:val="InternetLink"/>
                  <w:rFonts w:ascii="Times New Roman;sans-serif" w:hAnsi="Times New Roman;sans-serif"/>
                  <w:b w:val="false"/>
                  <w:strike w:val="false"/>
                  <w:dstrike w:val="false"/>
                  <w:color w:val="000000"/>
                  <w:sz w:val="20"/>
                  <w:u w:val="none"/>
                  <w:effect w:val="non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3">
              <w:r>
                <w:rPr>
                  <w:rStyle w:val="InternetLink"/>
                  <w:rFonts w:ascii="Times New Roman;sans-serif" w:hAnsi="Times New Roman;sans-serif"/>
                  <w:b w:val="false"/>
                  <w:color w:val="0000FF"/>
                  <w:sz w:val="20"/>
                  <w:u w:val="single"/>
                </w:rPr>
                <w:t>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33">
              <w:r>
                <w:rPr>
                  <w:rStyle w:val="InternetLink"/>
                  <w:rFonts w:ascii="Times New Roman;sans-serif" w:hAnsi="Times New Roman;sans-serif"/>
                  <w:b w:val="false"/>
                  <w:strike w:val="false"/>
                  <w:dstrike w:val="false"/>
                  <w:color w:val="000000"/>
                  <w:sz w:val="20"/>
                  <w:u w:val="none"/>
                  <w:effect w:val="none"/>
                </w:rPr>
                <w:t>61</w:t>
              </w:r>
            </w:hyperlink>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6">
              <w:r>
                <w:rPr>
                  <w:rStyle w:val="InternetLink"/>
                  <w:rFonts w:ascii="Times New Roman;sans-serif" w:hAnsi="Times New Roman;sans-serif"/>
                  <w:b w:val="false"/>
                  <w:strike w:val="false"/>
                  <w:dstrike w:val="false"/>
                  <w:color w:val="000000"/>
                  <w:sz w:val="20"/>
                  <w:u w:val="none"/>
                  <w:effect w:val="non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6">
              <w:r>
                <w:rPr>
                  <w:rStyle w:val="InternetLink"/>
                  <w:rFonts w:ascii="Times New Roman;sans-serif" w:hAnsi="Times New Roman;sans-serif"/>
                  <w:b w:val="false"/>
                  <w:color w:val="0000FF"/>
                  <w:sz w:val="20"/>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36">
              <w:r>
                <w:rPr>
                  <w:rStyle w:val="InternetLink"/>
                  <w:rFonts w:ascii="Times New Roman;sans-serif" w:hAnsi="Times New Roman;sans-serif"/>
                  <w:b w:val="false"/>
                  <w:strike w:val="false"/>
                  <w:dstrike w:val="false"/>
                  <w:color w:val="000000"/>
                  <w:sz w:val="20"/>
                  <w:u w:val="none"/>
                  <w:effect w:val="none"/>
                </w:rPr>
                <w:t>61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shd w:fill="FFFFFF" w:val="clear"/>
            <w:tcMar>
              <w:top w:w="0" w:type="dxa"/>
              <w:left w:w="0" w:type="dxa"/>
              <w:bottom w:w="0" w:type="dxa"/>
              <w:right w:w="0" w:type="dxa"/>
            </w:tcMar>
            <w:vAlign w:val="center"/>
          </w:tcPr>
          <w:p>
            <w:pPr>
              <w:pStyle w:val="TableContents"/>
              <w:bidi w:val="0"/>
              <w:spacing w:lineRule="auto" w:line="273" w:before="0" w:after="0"/>
              <w:jc w:val="left"/>
              <w:rPr/>
            </w:pPr>
            <w:hyperlink w:anchor="i92a306ff12eb481981fddd6c55aa6e8a_139">
              <w:r>
                <w:rPr>
                  <w:rStyle w:val="InternetLink"/>
                  <w:rFonts w:ascii="Times New Roman;sans-serif" w:hAnsi="Times New Roman;sans-serif"/>
                  <w:b w:val="false"/>
                  <w:color w:val="0000FF"/>
                  <w:sz w:val="20"/>
                  <w:u w:val="singl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pPr>
            <w:hyperlink w:anchor="i92a306ff12eb481981fddd6c55aa6e8a_139">
              <w:r>
                <w:rPr>
                  <w:rStyle w:val="InternetLink"/>
                  <w:rFonts w:ascii="Times New Roman;sans-serif" w:hAnsi="Times New Roman;sans-serif"/>
                  <w:b w:val="false"/>
                  <w:strike w:val="false"/>
                  <w:dstrike w:val="false"/>
                  <w:color w:val="000000"/>
                  <w:sz w:val="20"/>
                  <w:u w:val="none"/>
                  <w:effect w:val="none"/>
                </w:rPr>
                <w:t>63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69"/>
        <w:gridCol w:w="2173"/>
        <w:gridCol w:w="2180"/>
        <w:gridCol w:w="109"/>
        <w:gridCol w:w="109"/>
        <w:gridCol w:w="109"/>
        <w:gridCol w:w="203"/>
        <w:gridCol w:w="906"/>
        <w:gridCol w:w="112"/>
        <w:gridCol w:w="109"/>
        <w:gridCol w:w="109"/>
        <w:gridCol w:w="109"/>
        <w:gridCol w:w="225"/>
        <w:gridCol w:w="1002"/>
        <w:gridCol w:w="181"/>
      </w:tblGrid>
      <w:tr>
        <w:trPr/>
        <w:tc>
          <w:tcPr>
            <w:tcW w:w="2569"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4,042,485 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3,982,069 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62,264 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305,115 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Straight-line revenue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90,988 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118,117 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4,984,569 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5,025,129 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119,340 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payable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133,683 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1,227,454 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1,273,661 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other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5,660,696 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5,523,579 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7,462,052 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7,509,250 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50,000 shares authorized; no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500,000 shares authorized; issued and outstanding: 237,309 shares at March 31, 2024 and 236,559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1,223,983 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in excess of accumulated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(3,703,597)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(3,708,240)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Uniti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(2,479,757)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(2,486,392)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Cumulative non-voting convertible preferred stock, $0.01 par value, 6 shares authorized, 3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(2,477,483)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(2,484,121)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4,984,569 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5,025,129 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17"/>
        <w:gridCol w:w="2296"/>
        <w:gridCol w:w="2300"/>
        <w:gridCol w:w="109"/>
        <w:gridCol w:w="109"/>
        <w:gridCol w:w="109"/>
        <w:gridCol w:w="211"/>
        <w:gridCol w:w="826"/>
        <w:gridCol w:w="109"/>
        <w:gridCol w:w="109"/>
        <w:gridCol w:w="109"/>
        <w:gridCol w:w="109"/>
        <w:gridCol w:w="211"/>
        <w:gridCol w:w="826"/>
        <w:gridCol w:w="155"/>
      </w:tblGrid>
      <w:tr>
        <w:trPr/>
        <w:tc>
          <w:tcPr>
            <w:tcW w:w="2617"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2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96" w:type="dxa"/>
        <w:jc w:val="center"/>
        <w:tblInd w:w="0" w:type="dxa"/>
        <w:tblLayout w:type="fixed"/>
        <w:tblCellMar>
          <w:top w:w="28" w:type="dxa"/>
          <w:left w:w="28" w:type="dxa"/>
          <w:bottom w:w="28" w:type="dxa"/>
          <w:right w:w="28" w:type="dxa"/>
        </w:tblCellMar>
      </w:tblPr>
      <w:tblGrid>
        <w:gridCol w:w="2038"/>
        <w:gridCol w:w="1795"/>
        <w:gridCol w:w="1807"/>
        <w:gridCol w:w="109"/>
        <w:gridCol w:w="109"/>
        <w:gridCol w:w="109"/>
        <w:gridCol w:w="211"/>
        <w:gridCol w:w="721"/>
        <w:gridCol w:w="109"/>
        <w:gridCol w:w="109"/>
        <w:gridCol w:w="109"/>
        <w:gridCol w:w="109"/>
        <w:gridCol w:w="211"/>
        <w:gridCol w:w="79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6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4788" w:type="dxa"/>
        <w:jc w:val="center"/>
        <w:tblInd w:w="0" w:type="dxa"/>
        <w:tblLayout w:type="fixed"/>
        <w:tblCellMar>
          <w:top w:w="28" w:type="dxa"/>
          <w:left w:w="28" w:type="dxa"/>
          <w:bottom w:w="28" w:type="dxa"/>
          <w:right w:w="28" w:type="dxa"/>
        </w:tblCellMar>
      </w:tblPr>
      <w:tblGrid>
        <w:gridCol w:w="548"/>
        <w:gridCol w:w="311"/>
        <w:gridCol w:w="312"/>
        <w:gridCol w:w="109"/>
        <w:gridCol w:w="109"/>
        <w:gridCol w:w="109"/>
        <w:gridCol w:w="203"/>
        <w:gridCol w:w="203"/>
        <w:gridCol w:w="186"/>
        <w:gridCol w:w="109"/>
        <w:gridCol w:w="109"/>
        <w:gridCol w:w="109"/>
        <w:gridCol w:w="196"/>
        <w:gridCol w:w="406"/>
        <w:gridCol w:w="109"/>
        <w:gridCol w:w="109"/>
        <w:gridCol w:w="109"/>
        <w:gridCol w:w="109"/>
        <w:gridCol w:w="525"/>
        <w:gridCol w:w="526"/>
        <w:gridCol w:w="186"/>
        <w:gridCol w:w="109"/>
        <w:gridCol w:w="109"/>
        <w:gridCol w:w="109"/>
        <w:gridCol w:w="208"/>
        <w:gridCol w:w="351"/>
        <w:gridCol w:w="117"/>
        <w:gridCol w:w="109"/>
        <w:gridCol w:w="109"/>
        <w:gridCol w:w="109"/>
        <w:gridCol w:w="196"/>
        <w:gridCol w:w="871"/>
        <w:gridCol w:w="109"/>
        <w:gridCol w:w="109"/>
        <w:gridCol w:w="109"/>
        <w:gridCol w:w="109"/>
        <w:gridCol w:w="326"/>
        <w:gridCol w:w="677"/>
        <w:gridCol w:w="183"/>
        <w:gridCol w:w="109"/>
        <w:gridCol w:w="109"/>
        <w:gridCol w:w="109"/>
        <w:gridCol w:w="196"/>
        <w:gridCol w:w="886"/>
        <w:gridCol w:w="109"/>
        <w:gridCol w:w="109"/>
        <w:gridCol w:w="109"/>
        <w:gridCol w:w="109"/>
        <w:gridCol w:w="266"/>
        <w:gridCol w:w="756"/>
        <w:gridCol w:w="149"/>
        <w:gridCol w:w="109"/>
        <w:gridCol w:w="109"/>
        <w:gridCol w:w="109"/>
        <w:gridCol w:w="316"/>
        <w:gridCol w:w="679"/>
        <w:gridCol w:w="176"/>
        <w:gridCol w:w="109"/>
        <w:gridCol w:w="109"/>
        <w:gridCol w:w="109"/>
        <w:gridCol w:w="196"/>
        <w:gridCol w:w="88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0" w:type="dxa"/>
            <w:gridSpan w:val="57"/>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three months ended March 31, </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w:t>
              <w:br/>
              <w:t>Comprehensive</w:t>
              <w:br/>
              <w:t>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Distributions in</w:t>
              <w:br/>
              <w:t>Excess of</w:t>
              <w:br/>
              <w:t>Accumulated</w:t>
              <w:br/>
              <w:t>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OP Units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Noncontrolling</w:t>
              <w:br/>
              <w:t>Interest - Non-</w:t>
              <w:br/>
              <w:t>voting Preferred</w:t>
              <w:b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Shareholders'</w:t>
              <w:br/>
              <w:t>Deficit</w:t>
            </w:r>
          </w:p>
        </w:tc>
      </w:tr>
      <w:tr>
        <w:trPr/>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235,829,485 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530,861 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236,427,250 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(2,324,175)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236,558,601 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(3,708,240)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(2,484,121)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dividends declared ($0.15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related to tax withholding for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667,051 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237,308,699 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(3,703,597)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(2,477,483)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99" w:type="dxa"/>
        <w:jc w:val="center"/>
        <w:tblInd w:w="0" w:type="dxa"/>
        <w:tblLayout w:type="fixed"/>
        <w:tblCellMar>
          <w:top w:w="28" w:type="dxa"/>
          <w:left w:w="28" w:type="dxa"/>
          <w:bottom w:w="28" w:type="dxa"/>
          <w:right w:w="28" w:type="dxa"/>
        </w:tblCellMar>
      </w:tblPr>
      <w:tblGrid>
        <w:gridCol w:w="2603"/>
        <w:gridCol w:w="2283"/>
        <w:gridCol w:w="2314"/>
        <w:gridCol w:w="109"/>
        <w:gridCol w:w="109"/>
        <w:gridCol w:w="109"/>
        <w:gridCol w:w="211"/>
        <w:gridCol w:w="721"/>
        <w:gridCol w:w="109"/>
        <w:gridCol w:w="109"/>
        <w:gridCol w:w="109"/>
        <w:gridCol w:w="109"/>
        <w:gridCol w:w="220"/>
        <w:gridCol w:w="830"/>
        <w:gridCol w:w="154"/>
      </w:tblGrid>
      <w:tr>
        <w:trPr/>
        <w:tc>
          <w:tcPr>
            <w:tcW w:w="260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72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7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of cumulative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8346" w:type="dxa"/>
        <w:jc w:val="center"/>
        <w:tblInd w:w="0" w:type="dxa"/>
        <w:tblLayout w:type="fixed"/>
        <w:tblCellMar>
          <w:top w:w="28" w:type="dxa"/>
          <w:left w:w="28" w:type="dxa"/>
          <w:bottom w:w="28" w:type="dxa"/>
          <w:right w:w="28" w:type="dxa"/>
        </w:tblCellMar>
      </w:tblPr>
      <w:tblGrid>
        <w:gridCol w:w="2014"/>
        <w:gridCol w:w="1773"/>
        <w:gridCol w:w="1778"/>
        <w:gridCol w:w="109"/>
        <w:gridCol w:w="109"/>
        <w:gridCol w:w="109"/>
        <w:gridCol w:w="211"/>
        <w:gridCol w:w="721"/>
        <w:gridCol w:w="109"/>
        <w:gridCol w:w="109"/>
        <w:gridCol w:w="109"/>
        <w:gridCol w:w="109"/>
        <w:gridCol w:w="211"/>
        <w:gridCol w:w="721"/>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acquired but not yet paid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capital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Uniti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Description of Business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March 31, 2024, we are the sole general partner of the Operating Partnership and own approximately 99.96% of the partnership interests in the Operating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2. Basis of Presentation and Summary of Significant Accounting Policies</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Times New Roman;sans-serif" w:hAnsi="Times New Roman;sans-serif"/>
          <w:b w:val="false"/>
          <w:i/>
          <w:color w:val="000000"/>
          <w:sz w:val="20"/>
        </w:rPr>
        <w:t>Consolidation</w:t>
      </w:r>
      <w:r>
        <w:rPr>
          <w:color w:val="000000"/>
        </w:rPr>
        <w:t xml:space="preserve"> </w:t>
      </w:r>
      <w:r>
        <w:rPr>
          <w:rFonts w:ascii="Times New Roman;sans-serif" w:hAnsi="Times New Roman;sans-serif"/>
          <w:b w:val="false"/>
          <w:color w:val="000000"/>
          <w:sz w:val="20"/>
        </w:rPr>
        <w:t>(“ASC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pStyle w:val="TextBody"/>
        <w:bidi w:val="0"/>
        <w:spacing w:lineRule="auto" w:line="288" w:before="240" w:after="283"/>
        <w:jc w:val="left"/>
        <w:rPr/>
      </w:pPr>
      <w:r>
        <w:rPr>
          <w:rFonts w:ascii="Times New Roman;sans-serif" w:hAnsi="Times New Roman;sans-serif"/>
          <w:b w:val="false"/>
          <w:color w:val="000000"/>
          <w:sz w:val="20"/>
        </w:rPr>
        <w:t xml:space="preserve">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w:t>
      </w:r>
      <w:r>
        <w:rPr>
          <w:rFonts w:ascii="Times New Roman;sans-serif" w:hAnsi="Times New Roman;sans-serif"/>
          <w:b w:val="false"/>
          <w:color w:val="000000"/>
          <w:sz w:val="20"/>
          <w:shd w:fill="FFFFFF" w:val="clear"/>
        </w:rPr>
        <w:t>February 29, 2024</w:t>
      </w:r>
      <w:r>
        <w:rPr>
          <w:rFonts w:ascii="Times New Roman;sans-serif" w:hAnsi="Times New Roman;sans-serif"/>
          <w:b w:val="false"/>
          <w:color w:val="000000"/>
          <w:sz w:val="20"/>
        </w:rPr>
        <w:t xml:space="preserve">, as amended by Amendment No. 1 and Amendment No. 2 thereto filed on Form 10-K/A with the SEC on </w:t>
      </w:r>
      <w:r>
        <w:rPr>
          <w:rFonts w:ascii="Times New Roman;sans-serif" w:hAnsi="Times New Roman;sans-serif"/>
          <w:b w:val="false"/>
          <w:color w:val="000000"/>
          <w:sz w:val="20"/>
          <w:shd w:fill="FFFFFF" w:val="clear"/>
        </w:rPr>
        <w:t>March 26, 2024 and March 27, 2024</w:t>
      </w:r>
      <w:r>
        <w:rPr>
          <w:rFonts w:ascii="Arial;sans-serif" w:hAnsi="Arial;sans-serif"/>
          <w:b w:val="false"/>
          <w:color w:val="000000"/>
          <w:sz w:val="24"/>
        </w:rPr>
        <w:t xml:space="preserve">, </w:t>
      </w:r>
      <w:r>
        <w:rPr>
          <w:rFonts w:ascii="Times New Roman;sans-serif" w:hAnsi="Times New Roman;sans-serif"/>
          <w:b w:val="false"/>
          <w:color w:val="000000"/>
          <w:sz w:val="20"/>
        </w:rPr>
        <w:t>respectively</w:t>
      </w:r>
      <w:r>
        <w:rPr>
          <w:color w:val="000000"/>
        </w:rPr>
        <w:t xml:space="preserve"> </w:t>
      </w:r>
      <w:r>
        <w:rPr>
          <w:rFonts w:ascii="Times New Roman;sans-serif" w:hAnsi="Times New Roman;sans-serif"/>
          <w:b w:val="false"/>
          <w:color w:val="000000"/>
          <w:sz w:val="20"/>
        </w:rPr>
        <w:t xml:space="preserve">(the “Annual Report”). Accordingly, significant accounting policies and other disclosures normally provided have been omitted from the accompanying Condensed Consolidated Financial Statements and related notes since such items are disclosed in our Annual Report. </w:t>
      </w:r>
    </w:p>
    <w:p>
      <w:pPr>
        <w:pStyle w:val="TextBody"/>
        <w:bidi w:val="0"/>
        <w:spacing w:lineRule="auto" w:line="288" w:before="240" w:after="283"/>
        <w:jc w:val="left"/>
        <w:rPr/>
      </w:pPr>
      <w:r>
        <w:rPr>
          <w:rFonts w:ascii="Times New Roman;sans-serif" w:hAnsi="Times New Roman;sans-serif"/>
          <w:b w:val="false"/>
          <w:color w:val="000000"/>
          <w:sz w:val="20"/>
          <w:u w:val="single"/>
        </w:rPr>
        <w:t>Restricted Cash and Cash Equivalents</w:t>
      </w:r>
      <w:r>
        <w:rPr>
          <w:color w:val="000000"/>
        </w:rPr>
        <w:t>—</w:t>
      </w:r>
      <w:r>
        <w:rPr>
          <w:rFonts w:ascii="Times New Roman;sans-serif" w:hAnsi="Times New Roman;sans-serif"/>
          <w:b w:val="false"/>
          <w:color w:val="000000"/>
          <w:sz w:val="20"/>
        </w:rPr>
        <w:t>Restricted cash and cash equivalents represent funds that are restricted for an obligation under the ABS Loan Facility (</w:t>
      </w:r>
      <w:hyperlink w:anchor="i92a306ff12eb481981fddd6c55aa6e8a_64">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 to maintain three months of interest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cash equivalents and restricted cash and cash equivalents within the Condensed Consolidated Balance Sheets to the total cash and cash equivalents and restricted cash and cash equivalents within the Condensed Consolidated Statements of Cash Flows.</w:t>
      </w:r>
    </w:p>
    <w:tbl>
      <w:tblPr>
        <w:tblW w:w="7673" w:type="dxa"/>
        <w:jc w:val="left"/>
        <w:tblInd w:w="0" w:type="dxa"/>
        <w:tblLayout w:type="fixed"/>
        <w:tblCellMar>
          <w:top w:w="28" w:type="dxa"/>
          <w:left w:w="28" w:type="dxa"/>
          <w:bottom w:w="28" w:type="dxa"/>
          <w:right w:w="28" w:type="dxa"/>
        </w:tblCellMar>
      </w:tblPr>
      <w:tblGrid>
        <w:gridCol w:w="1745"/>
        <w:gridCol w:w="1531"/>
        <w:gridCol w:w="1554"/>
        <w:gridCol w:w="109"/>
        <w:gridCol w:w="109"/>
        <w:gridCol w:w="109"/>
        <w:gridCol w:w="222"/>
        <w:gridCol w:w="759"/>
        <w:gridCol w:w="114"/>
        <w:gridCol w:w="109"/>
        <w:gridCol w:w="109"/>
        <w:gridCol w:w="109"/>
        <w:gridCol w:w="212"/>
        <w:gridCol w:w="727"/>
        <w:gridCol w:w="155"/>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2023</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u w:val="single"/>
          <w:shd w:fill="FFFFFF" w:val="clear"/>
        </w:rPr>
        <w:t>Concentration of Credit Risks</w:t>
      </w:r>
      <w:r>
        <w:rPr>
          <w:color w:val="000000"/>
          <w:shd w:fill="FFFFFF" w:val="clear"/>
        </w:rPr>
        <w:t>—</w:t>
      </w:r>
      <w:r>
        <w:rPr>
          <w:rFonts w:ascii="Times New Roman;sans-serif" w:hAnsi="Times New Roman;sans-serif"/>
          <w:b w:val="false"/>
          <w:color w:val="000000"/>
          <w:sz w:val="20"/>
          <w:shd w:fill="FFFFFF" w:val="clear"/>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68.8% and 66.0% of our revenue for the three months ended March 31, 2024 and 2023,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Recently Issued Accounting Pronouncements Not Yet Adopted</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In November 2023, the FASB issued Accounting Standards Update ("ASU") 2023-07, </w:t>
      </w:r>
      <w:r>
        <w:rPr>
          <w:rFonts w:ascii="Times New Roman;sans-serif" w:hAnsi="Times New Roman;sans-serif"/>
          <w:b w:val="false"/>
          <w:i/>
          <w:color w:val="000000"/>
          <w:sz w:val="20"/>
          <w:shd w:fill="FFFFFF" w:val="clear"/>
        </w:rPr>
        <w:t xml:space="preserve">Segment Reporting—Improvements to Reportable Segment Disclosures </w:t>
      </w:r>
      <w:r>
        <w:rPr>
          <w:rFonts w:ascii="Times New Roman;sans-serif" w:hAnsi="Times New Roman;sans-serif"/>
          <w:b w:val="false"/>
          <w:color w:val="000000"/>
          <w:sz w:val="20"/>
          <w:shd w:fill="FFFFFF" w:val="clear"/>
        </w:rPr>
        <w:t>("ASU 2023-07"), which requires incremental disclosures related to reportable segments. Specifically, the ASU requires disclosure of significant segment expense categories and amounts for each reportable segment. The ASU is effective for fiscal years beginning after December 15, 2023, and interim periods in fiscal years beginning after December 15, 2024, with early adoption permitted. The Company is currently evaluating this guidance to determine the impact it will have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Note 3. Revenues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Disaggregation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revenues disaggregated by revenue stream.</w:t>
      </w:r>
    </w:p>
    <w:tbl>
      <w:tblPr>
        <w:tblW w:w="7326" w:type="dxa"/>
        <w:jc w:val="center"/>
        <w:tblInd w:w="0" w:type="dxa"/>
        <w:tblLayout w:type="fixed"/>
        <w:tblCellMar>
          <w:top w:w="28" w:type="dxa"/>
          <w:left w:w="28" w:type="dxa"/>
          <w:bottom w:w="28" w:type="dxa"/>
          <w:right w:w="28" w:type="dxa"/>
        </w:tblCellMar>
      </w:tblPr>
      <w:tblGrid>
        <w:gridCol w:w="1567"/>
        <w:gridCol w:w="1378"/>
        <w:gridCol w:w="1390"/>
        <w:gridCol w:w="109"/>
        <w:gridCol w:w="109"/>
        <w:gridCol w:w="109"/>
        <w:gridCol w:w="211"/>
        <w:gridCol w:w="826"/>
        <w:gridCol w:w="109"/>
        <w:gridCol w:w="109"/>
        <w:gridCol w:w="109"/>
        <w:gridCol w:w="109"/>
        <w:gridCol w:w="211"/>
        <w:gridCol w:w="82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 by revenue stream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accounted for under leasing guidance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accounted for under leasing guidance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lease receivables were $24.2 million and $22.0 million, respectively, and receivables from contracts with customers were $21.1 million and $18.8 million, respectively.</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Contract Assets (Unbilled Revenue) and Liabilities (Deferred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months ended March 31, 2024, we recognized revenues of $1.3 million which were included in the December 31, 2023 contract liabilities balance.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accounted for under ASC 606.</w:t>
      </w:r>
    </w:p>
    <w:tbl>
      <w:tblPr>
        <w:tblW w:w="6054" w:type="dxa"/>
        <w:jc w:val="center"/>
        <w:tblInd w:w="0" w:type="dxa"/>
        <w:tblLayout w:type="fixed"/>
        <w:tblCellMar>
          <w:top w:w="28" w:type="dxa"/>
          <w:left w:w="28" w:type="dxa"/>
          <w:bottom w:w="28" w:type="dxa"/>
          <w:right w:w="28" w:type="dxa"/>
        </w:tblCellMar>
      </w:tblPr>
      <w:tblGrid>
        <w:gridCol w:w="938"/>
        <w:gridCol w:w="826"/>
        <w:gridCol w:w="831"/>
        <w:gridCol w:w="109"/>
        <w:gridCol w:w="109"/>
        <w:gridCol w:w="109"/>
        <w:gridCol w:w="385"/>
        <w:gridCol w:w="660"/>
        <w:gridCol w:w="200"/>
        <w:gridCol w:w="109"/>
        <w:gridCol w:w="109"/>
        <w:gridCol w:w="109"/>
        <w:gridCol w:w="303"/>
        <w:gridCol w:w="1036"/>
        <w:gridCol w:w="22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Transaction Price Allocated to Remaining Performance Obligations</w:t>
      </w:r>
    </w:p>
    <w:p>
      <w:pPr>
        <w:pStyle w:val="TextBody"/>
        <w:bidi w:val="0"/>
        <w:spacing w:lineRule="auto" w:line="288" w:before="240" w:after="283"/>
        <w:jc w:val="left"/>
        <w:rPr/>
      </w:pPr>
      <w:r>
        <w:rPr>
          <w:rFonts w:ascii="Times New Roman;sans-serif" w:hAnsi="Times New Roman;sans-serif"/>
          <w:b w:val="false"/>
          <w:color w:val="000000"/>
          <w:sz w:val="20"/>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March 31, 2024, our future revenues (i.e., transaction price related to remaining performance obligations) under contract accounted for under ASC 606 totaled $627.1 million, of which $564.6 million is related to contracts that are currently being invoiced and have an average remaining contract term of 3.3 years, while $62.5 million represents our backlog for sales bookings which have yet to be installed and have an average contract term of</w:t>
      </w:r>
      <w:r>
        <w:rPr>
          <w:color w:val="000000"/>
        </w:rPr>
        <w:t xml:space="preserve"> </w:t>
      </w:r>
      <w:r>
        <w:rPr>
          <w:rFonts w:ascii="Times New Roman;sans-serif" w:hAnsi="Times New Roman;sans-serif"/>
          <w:b w:val="false"/>
          <w:color w:val="000000"/>
          <w:sz w:val="20"/>
        </w:rPr>
        <w:t>5.0 years.</w:t>
      </w:r>
      <w:r>
        <w:rPr>
          <w:color w:val="000000"/>
        </w:rPr>
        <w:t xml:space="preserve"> </w:t>
      </w:r>
      <w:r>
        <w:rPr>
          <w:rFonts w:ascii="Times New Roman;sans-serif" w:hAnsi="Times New Roman;sans-serif"/>
          <w:b w:val="false"/>
          <w:color w:val="000000"/>
          <w:sz w:val="20"/>
        </w:rPr>
        <w:t>We do not disclose the value of unsatisfied performance obligations for contracts that have an original expected duration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Lessor Accounting</w:t>
      </w:r>
    </w:p>
    <w:p>
      <w:pPr>
        <w:pStyle w:val="TextBody"/>
        <w:bidi w:val="0"/>
        <w:spacing w:lineRule="auto" w:line="288" w:before="240" w:after="283"/>
        <w:jc w:val="left"/>
        <w:rPr/>
      </w:pPr>
      <w:r>
        <w:rPr>
          <w:rFonts w:ascii="Times New Roman;sans-serif" w:hAnsi="Times New Roman;sans-serif"/>
          <w:b w:val="false"/>
          <w:color w:val="000000"/>
          <w:sz w:val="20"/>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for the three months ended March 31, 2024 and 2023 respectively, are as follows:</w:t>
      </w:r>
    </w:p>
    <w:tbl>
      <w:tblPr>
        <w:tblW w:w="5675" w:type="dxa"/>
        <w:jc w:val="center"/>
        <w:tblInd w:w="0" w:type="dxa"/>
        <w:tblLayout w:type="fixed"/>
        <w:tblCellMar>
          <w:top w:w="28" w:type="dxa"/>
          <w:left w:w="28" w:type="dxa"/>
          <w:bottom w:w="28" w:type="dxa"/>
          <w:right w:w="28" w:type="dxa"/>
        </w:tblCellMar>
      </w:tblPr>
      <w:tblGrid>
        <w:gridCol w:w="971"/>
        <w:gridCol w:w="851"/>
        <w:gridCol w:w="862"/>
        <w:gridCol w:w="109"/>
        <w:gridCol w:w="109"/>
        <w:gridCol w:w="109"/>
        <w:gridCol w:w="211"/>
        <w:gridCol w:w="826"/>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income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Lease payments to be received under non-cancellable operating leases where we are the lessor for the remainder of the lease terms as of March 31, 2024 are as follows:</w:t>
      </w:r>
    </w:p>
    <w:tbl>
      <w:tblPr>
        <w:tblW w:w="9130" w:type="dxa"/>
        <w:jc w:val="center"/>
        <w:tblInd w:w="0" w:type="dxa"/>
        <w:tblLayout w:type="fixed"/>
        <w:tblCellMar>
          <w:top w:w="28" w:type="dxa"/>
          <w:left w:w="28" w:type="dxa"/>
          <w:bottom w:w="28" w:type="dxa"/>
          <w:right w:w="28" w:type="dxa"/>
        </w:tblCellMar>
      </w:tblPr>
      <w:tblGrid>
        <w:gridCol w:w="1788"/>
        <w:gridCol w:w="1503"/>
        <w:gridCol w:w="1518"/>
        <w:gridCol w:w="266"/>
        <w:gridCol w:w="266"/>
        <w:gridCol w:w="266"/>
        <w:gridCol w:w="553"/>
        <w:gridCol w:w="2566"/>
        <w:gridCol w:w="404"/>
      </w:tblGrid>
      <w:tr>
        <w:trPr/>
        <w:tc>
          <w:tcPr>
            <w:tcW w:w="178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8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2024⁽¹⁾</w:t>
            </w:r>
          </w:p>
        </w:tc>
      </w:tr>
      <w:tr>
        <w:trPr/>
        <w:tc>
          <w:tcPr>
            <w:tcW w:w="4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602,886 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823,403 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826,155 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827,029 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827,652 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1,535,465 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receivables</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5,442,590 </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130" w:type="dxa"/>
            <w:gridSpan w:val="9"/>
            <w:tcBorders/>
            <w:shd w:fill="FFFFFF" w:val="clear"/>
            <w:tcMar>
              <w:top w:w="0" w:type="dxa"/>
              <w:left w:w="0" w:type="dxa"/>
              <w:bottom w:w="0" w:type="dxa"/>
              <w:right w:w="0" w:type="dxa"/>
            </w:tcMar>
            <w:vAlign w:val="center"/>
          </w:tcPr>
          <w:p>
            <w:pPr>
              <w:pStyle w:val="TableContents"/>
              <w:bidi w:val="0"/>
              <w:spacing w:lineRule="auto" w:line="276" w:before="15"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future minimum lease payments to be received include $4.6 billion relating to the Windstream Leases.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underlying assets under operating leases where we are the lessor are summarized as follows:</w:t>
      </w:r>
    </w:p>
    <w:tbl>
      <w:tblPr>
        <w:tblW w:w="7260" w:type="dxa"/>
        <w:jc w:val="center"/>
        <w:tblInd w:w="0" w:type="dxa"/>
        <w:tblLayout w:type="fixed"/>
        <w:tblCellMar>
          <w:top w:w="28" w:type="dxa"/>
          <w:left w:w="28" w:type="dxa"/>
          <w:bottom w:w="28" w:type="dxa"/>
          <w:right w:w="28" w:type="dxa"/>
        </w:tblCellMar>
      </w:tblPr>
      <w:tblGrid>
        <w:gridCol w:w="1361"/>
        <w:gridCol w:w="1195"/>
        <w:gridCol w:w="1209"/>
        <w:gridCol w:w="109"/>
        <w:gridCol w:w="109"/>
        <w:gridCol w:w="109"/>
        <w:gridCol w:w="211"/>
        <w:gridCol w:w="976"/>
        <w:gridCol w:w="109"/>
        <w:gridCol w:w="109"/>
        <w:gridCol w:w="109"/>
        <w:gridCol w:w="109"/>
        <w:gridCol w:w="243"/>
        <w:gridCol w:w="1125"/>
        <w:gridCol w:w="177"/>
      </w:tblGrid>
      <w:tr>
        <w:trPr/>
        <w:tc>
          <w:tcPr>
            <w:tcW w:w="136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3,862,635 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8,726,684 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8,628,671 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(5,690,066)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assets under operating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2,938,605 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underlying assets under operating leases where we are the lessor for the three months ended March 31, 2024 and 2023, respectively, is summarized as follows:</w:t>
      </w:r>
    </w:p>
    <w:tbl>
      <w:tblPr>
        <w:tblW w:w="8240" w:type="dxa"/>
        <w:jc w:val="center"/>
        <w:tblInd w:w="0" w:type="dxa"/>
        <w:tblLayout w:type="fixed"/>
        <w:tblCellMar>
          <w:top w:w="28" w:type="dxa"/>
          <w:left w:w="28" w:type="dxa"/>
          <w:bottom w:w="28" w:type="dxa"/>
          <w:right w:w="28" w:type="dxa"/>
        </w:tblCellMar>
      </w:tblPr>
      <w:tblGrid>
        <w:gridCol w:w="1972"/>
        <w:gridCol w:w="1734"/>
        <w:gridCol w:w="1753"/>
        <w:gridCol w:w="109"/>
        <w:gridCol w:w="109"/>
        <w:gridCol w:w="109"/>
        <w:gridCol w:w="211"/>
        <w:gridCol w:w="721"/>
        <w:gridCol w:w="109"/>
        <w:gridCol w:w="109"/>
        <w:gridCol w:w="109"/>
        <w:gridCol w:w="109"/>
        <w:gridCol w:w="211"/>
        <w:gridCol w:w="721"/>
        <w:gridCol w:w="15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underlying assets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Accounting</w:t>
      </w:r>
    </w:p>
    <w:p>
      <w:pPr>
        <w:pStyle w:val="TextBody"/>
        <w:bidi w:val="0"/>
        <w:spacing w:lineRule="auto" w:line="288" w:before="240" w:after="283"/>
        <w:jc w:val="left"/>
        <w:rPr/>
      </w:pPr>
      <w:r>
        <w:rPr>
          <w:rFonts w:ascii="Times New Roman;sans-serif" w:hAnsi="Times New Roman;sans-serif"/>
          <w:b w:val="false"/>
          <w:color w:val="000000"/>
          <w:sz w:val="20"/>
        </w:rPr>
        <w:t>We have commitments under operating leases for communications towers, ground space, colocation space, dark fiber and buildings. We also have finance leases for dark fiber and automobiles. Our leases have initial lease terms ranging from less than one year to 30 years, most of which include options to extend or renew the leases for less than one year to 20 years</w:t>
      </w:r>
      <w:r>
        <w:rPr>
          <w:rFonts w:ascii="Arial;sans-serif" w:hAnsi="Arial;sans-serif"/>
          <w:b w:val="false"/>
          <w:color w:val="000000"/>
          <w:sz w:val="24"/>
        </w:rPr>
        <w:t>,</w:t>
      </w:r>
      <w:r>
        <w:rPr>
          <w:color w:val="000000"/>
        </w:rPr>
        <w:t xml:space="preserve"> </w:t>
      </w:r>
      <w:r>
        <w:rPr>
          <w:rFonts w:ascii="Times New Roman;sans-serif" w:hAnsi="Times New Roman;sans-serif"/>
          <w:b w:val="false"/>
          <w:color w:val="000000"/>
          <w:sz w:val="20"/>
        </w:rPr>
        <w:t>and some of which may include options to terminate the leases within one to six months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Certain lease agreements contain provisions for future rent increases. Payments due under the lease contracts include fixed payments plus, for some of our leases, variable payments.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have short term lease commitments amounting to approximately $4.0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lease payments under non-cancellable leases as of March 31, 2024 are as follows:</w:t>
      </w:r>
    </w:p>
    <w:tbl>
      <w:tblPr>
        <w:tblW w:w="6322" w:type="dxa"/>
        <w:jc w:val="center"/>
        <w:tblInd w:w="0" w:type="dxa"/>
        <w:tblLayout w:type="fixed"/>
        <w:tblCellMar>
          <w:top w:w="28" w:type="dxa"/>
          <w:left w:w="28" w:type="dxa"/>
          <w:bottom w:w="28" w:type="dxa"/>
          <w:right w:w="28" w:type="dxa"/>
        </w:tblCellMar>
      </w:tblPr>
      <w:tblGrid>
        <w:gridCol w:w="1110"/>
        <w:gridCol w:w="933"/>
        <w:gridCol w:w="941"/>
        <w:gridCol w:w="109"/>
        <w:gridCol w:w="109"/>
        <w:gridCol w:w="109"/>
        <w:gridCol w:w="259"/>
        <w:gridCol w:w="1017"/>
        <w:gridCol w:w="134"/>
        <w:gridCol w:w="109"/>
        <w:gridCol w:w="109"/>
        <w:gridCol w:w="109"/>
        <w:gridCol w:w="247"/>
        <w:gridCol w:w="847"/>
        <w:gridCol w:w="180"/>
      </w:tblGrid>
      <w:tr>
        <w:trPr/>
        <w:tc>
          <w:tcPr>
            <w:tcW w:w="11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Operating Leases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Finance Leases </w:t>
            </w:r>
          </w:p>
        </w:tc>
      </w:tr>
      <w:tr>
        <w:trPr/>
        <w:tc>
          <w:tcPr>
            <w:tcW w:w="298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161,463 </w:t>
            </w:r>
          </w:p>
        </w:tc>
        <w:tc>
          <w:tcPr>
            <w:tcW w:w="13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26,160 </w:t>
            </w:r>
          </w:p>
        </w:tc>
        <w:tc>
          <w:tcPr>
            <w:tcW w:w="1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81,778 </w:t>
            </w:r>
          </w:p>
        </w:tc>
        <w:tc>
          <w:tcPr>
            <w:tcW w:w="1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18,473 </w:t>
            </w:r>
          </w:p>
        </w:tc>
        <w:tc>
          <w:tcPr>
            <w:tcW w:w="18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Fair Value of Financial Instruments</w:t>
      </w:r>
    </w:p>
    <w:p>
      <w:pPr>
        <w:pStyle w:val="TextBody"/>
        <w:bidi w:val="0"/>
        <w:spacing w:lineRule="auto" w:line="288" w:before="240" w:after="283"/>
        <w:jc w:val="left"/>
        <w:rPr/>
      </w:pPr>
      <w:r>
        <w:rPr>
          <w:rFonts w:ascii="Times New Roman;sans-serif" w:hAnsi="Times New Roman;sans-serif"/>
          <w:b w:val="false"/>
          <w:color w:val="000000"/>
          <w:sz w:val="20"/>
        </w:rPr>
        <w:t xml:space="preserve">FASB ASC 820, </w:t>
      </w:r>
      <w:r>
        <w:rPr>
          <w:rFonts w:ascii="Times New Roman;sans-serif" w:hAnsi="Times New Roman;sans-serif"/>
          <w:b w:val="false"/>
          <w:i/>
          <w:color w:val="000000"/>
          <w:sz w:val="20"/>
        </w:rPr>
        <w:t>Fair Value</w:t>
      </w:r>
      <w:r>
        <w:rPr>
          <w:color w:val="000000"/>
        </w:rPr>
        <w:t xml:space="preserve"> </w:t>
      </w:r>
      <w:r>
        <w:rPr>
          <w:rFonts w:ascii="Times New Roman;sans-serif" w:hAnsi="Times New Roman;sans-serif"/>
          <w:b w:val="false"/>
          <w:i/>
          <w:color w:val="000000"/>
          <w:sz w:val="20"/>
        </w:rPr>
        <w:t>Measurements</w:t>
      </w:r>
      <w:r>
        <w:rPr>
          <w:rFonts w:ascii="Times New Roman;sans-serif" w:hAnsi="Times New Roman;sans-serif"/>
          <w:b w:val="false"/>
          <w:color w:val="000000"/>
          <w:sz w:val="20"/>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pStyle w:val="TextBody"/>
        <w:bidi w:val="0"/>
        <w:spacing w:lineRule="auto" w:line="288" w:before="120" w:after="283"/>
        <w:jc w:val="left"/>
        <w:rPr/>
      </w:pPr>
      <w:r>
        <w:rPr>
          <w:rFonts w:ascii="Times New Roman;sans-serif" w:hAnsi="Times New Roman;sans-serif"/>
          <w:b/>
          <w:i/>
          <w:color w:val="000000"/>
          <w:sz w:val="20"/>
        </w:rPr>
        <w:t>Level 1</w:t>
      </w:r>
      <w:r>
        <w:rPr>
          <w:color w:val="000000"/>
        </w:rPr>
        <w:t xml:space="preserve"> – </w:t>
      </w:r>
      <w:r>
        <w:rPr>
          <w:rFonts w:ascii="Times New Roman;sans-serif" w:hAnsi="Times New Roman;sans-serif"/>
          <w:b w:val="false"/>
          <w:color w:val="000000"/>
          <w:sz w:val="20"/>
        </w:rPr>
        <w:t>Quoted prices (unadjusted) in active markets for identical assets or liabilities that the reporting entity can access at the assessment date;</w:t>
      </w:r>
    </w:p>
    <w:p>
      <w:pPr>
        <w:pStyle w:val="TextBody"/>
        <w:bidi w:val="0"/>
        <w:spacing w:lineRule="auto" w:line="288" w:before="120" w:after="283"/>
        <w:jc w:val="left"/>
        <w:rPr/>
      </w:pPr>
      <w:r>
        <w:rPr>
          <w:rFonts w:ascii="Times New Roman;sans-serif" w:hAnsi="Times New Roman;sans-serif"/>
          <w:b/>
          <w:i/>
          <w:color w:val="000000"/>
          <w:sz w:val="20"/>
        </w:rPr>
        <w:t>Level 2</w:t>
      </w:r>
      <w:r>
        <w:rPr>
          <w:color w:val="000000"/>
        </w:rPr>
        <w:t xml:space="preserve"> – </w:t>
      </w:r>
      <w:r>
        <w:rPr>
          <w:rFonts w:ascii="Times New Roman;sans-serif" w:hAnsi="Times New Roman;sans-serif"/>
          <w:b w:val="false"/>
          <w:color w:val="000000"/>
          <w:sz w:val="20"/>
        </w:rPr>
        <w:t>Inputs other than quoted prices included within Level 1 that are observable for the asset or liability, either directly or indirectly; and</w:t>
      </w:r>
    </w:p>
    <w:p>
      <w:pPr>
        <w:pStyle w:val="TextBody"/>
        <w:bidi w:val="0"/>
        <w:spacing w:lineRule="auto" w:line="288" w:before="120" w:after="283"/>
        <w:jc w:val="left"/>
        <w:rPr/>
      </w:pPr>
      <w:r>
        <w:rPr>
          <w:rFonts w:ascii="Times New Roman;sans-serif" w:hAnsi="Times New Roman;sans-serif"/>
          <w:b/>
          <w:i/>
          <w:color w:val="000000"/>
          <w:sz w:val="20"/>
        </w:rPr>
        <w:t>Level 3</w:t>
      </w:r>
      <w:r>
        <w:rPr>
          <w:color w:val="000000"/>
        </w:rPr>
        <w:t xml:space="preserve"> – </w:t>
      </w:r>
      <w:r>
        <w:rPr>
          <w:rFonts w:ascii="Times New Roman;sans-serif" w:hAnsi="Times New Roman;sans-serif"/>
          <w:b w:val="false"/>
          <w:color w:val="000000"/>
          <w:sz w:val="20"/>
        </w:rPr>
        <w:t>Unobservable inputs for the asset or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consist of cash and cash equivalents, accounts and other receivables, our outstanding notes and other debt, settlement payable, interest and dividends payable.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our financial instruments at March 31, 2024 and December 31, 2023:</w:t>
      </w:r>
    </w:p>
    <w:tbl>
      <w:tblPr>
        <w:tblW w:w="10205" w:type="dxa"/>
        <w:jc w:val="center"/>
        <w:tblInd w:w="0" w:type="dxa"/>
        <w:tblLayout w:type="fixed"/>
        <w:tblCellMar>
          <w:top w:w="28" w:type="dxa"/>
          <w:left w:w="28" w:type="dxa"/>
          <w:bottom w:w="28" w:type="dxa"/>
          <w:right w:w="28" w:type="dxa"/>
        </w:tblCellMar>
      </w:tblPr>
      <w:tblGrid>
        <w:gridCol w:w="1326"/>
        <w:gridCol w:w="980"/>
        <w:gridCol w:w="986"/>
        <w:gridCol w:w="109"/>
        <w:gridCol w:w="109"/>
        <w:gridCol w:w="109"/>
        <w:gridCol w:w="211"/>
        <w:gridCol w:w="976"/>
        <w:gridCol w:w="109"/>
        <w:gridCol w:w="109"/>
        <w:gridCol w:w="109"/>
        <w:gridCol w:w="109"/>
        <w:gridCol w:w="334"/>
        <w:gridCol w:w="644"/>
        <w:gridCol w:w="172"/>
        <w:gridCol w:w="109"/>
        <w:gridCol w:w="109"/>
        <w:gridCol w:w="109"/>
        <w:gridCol w:w="274"/>
        <w:gridCol w:w="1270"/>
        <w:gridCol w:w="141"/>
        <w:gridCol w:w="109"/>
        <w:gridCol w:w="109"/>
        <w:gridCol w:w="109"/>
        <w:gridCol w:w="401"/>
        <w:gridCol w:w="772"/>
        <w:gridCol w:w="301"/>
      </w:tblGrid>
      <w:tr>
        <w:trPr/>
        <w:tc>
          <w:tcPr>
            <w:tcW w:w="132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Prices with Other Observable </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3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- 10.50%, due 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2,696,343 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859,509 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Loan Facility, variable rate, due September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September 24,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5,504,115 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329"/>
        <w:gridCol w:w="985"/>
        <w:gridCol w:w="990"/>
        <w:gridCol w:w="109"/>
        <w:gridCol w:w="109"/>
        <w:gridCol w:w="109"/>
        <w:gridCol w:w="211"/>
        <w:gridCol w:w="976"/>
        <w:gridCol w:w="109"/>
        <w:gridCol w:w="109"/>
        <w:gridCol w:w="109"/>
        <w:gridCol w:w="109"/>
        <w:gridCol w:w="335"/>
        <w:gridCol w:w="645"/>
        <w:gridCol w:w="173"/>
        <w:gridCol w:w="109"/>
        <w:gridCol w:w="109"/>
        <w:gridCol w:w="109"/>
        <w:gridCol w:w="271"/>
        <w:gridCol w:w="1258"/>
        <w:gridCol w:w="140"/>
        <w:gridCol w:w="109"/>
        <w:gridCol w:w="109"/>
        <w:gridCol w:w="109"/>
        <w:gridCol w:w="402"/>
        <w:gridCol w:w="773"/>
        <w:gridCol w:w="300"/>
      </w:tblGrid>
      <w:tr>
        <w:trPr/>
        <w:tc>
          <w:tcPr>
            <w:tcW w:w="132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33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Markets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Prices with Other Observable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Prices with Unobservable</w:t>
              <w:br/>
              <w:t>Inputs (Level 3)</w:t>
            </w:r>
          </w:p>
        </w:tc>
      </w:tr>
      <w:tr>
        <w:trPr/>
        <w:tc>
          <w:tcPr>
            <w:tcW w:w="3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- 7.875%, due 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2,624,596 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 due February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revolving credit facility, variable rate, due December 10, 2024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5,188,025 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accounts and other receivables, and accounts, interest and dividends payable approximate fair values due to the short-term nature of these financial instruments.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principal balance of our outstanding notes and other debt was $5.76 billion at March 31, 2024, with a fair value of $5.36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Uniti is required to make $490.1 million of cash payments to Windstream in equal installments over 20 consecutive quarters beginning October 2020 (the “Settlement Payable”). </w:t>
      </w:r>
      <w:hyperlink w:anchor="i92a306ff12eb481981fddd6c55aa6e8a_76">
        <w:r>
          <w:rPr>
            <w:rStyle w:val="InternetLink"/>
            <w:rFonts w:ascii="Times New Roman;sans-serif" w:hAnsi="Times New Roman;sans-serif"/>
            <w:b w:val="false"/>
            <w:color w:val="0000FF"/>
            <w:sz w:val="20"/>
            <w:u w:val="single"/>
          </w:rPr>
          <w:t>See Note 12</w:t>
        </w:r>
      </w:hyperlink>
      <w:r>
        <w:rPr>
          <w:rFonts w:ascii="Times New Roman;sans-serif" w:hAnsi="Times New Roman;sans-serif"/>
          <w:b w:val="false"/>
          <w:color w:val="000000"/>
          <w:sz w:val="20"/>
          <w:shd w:fill="FFFFFF" w:val="clear"/>
        </w:rPr>
        <w:t xml:space="preserve">. The Settlement Payable was initially recorded at fair value, using the present value of future cash flows. The future cash flows are discounted using discount rate input based on observable market data. Accordingly, we classify inputs used as Level 2 in the fair value hierarchy. As of March 31, 2024, the remaining Settlement Payable is $141.0 million and is reported on our Condensed Consolidated Balance Sheets. </w:t>
      </w:r>
      <w:r>
        <w:rPr>
          <w:rFonts w:ascii="Times New Roman;sans-serif" w:hAnsi="Times New Roman;sans-serif"/>
          <w:b w:val="false"/>
          <w:color w:val="000000"/>
          <w:sz w:val="20"/>
        </w:rPr>
        <w:t>There have been no changes in the valuation methodologies used since the initial recording.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6. Property, Plant and Equipment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property, plant and equipment is as follows:</w:t>
      </w:r>
    </w:p>
    <w:tbl>
      <w:tblPr>
        <w:tblW w:w="8156" w:type="dxa"/>
        <w:jc w:val="center"/>
        <w:tblInd w:w="0" w:type="dxa"/>
        <w:tblLayout w:type="fixed"/>
        <w:tblCellMar>
          <w:top w:w="28" w:type="dxa"/>
          <w:left w:w="28" w:type="dxa"/>
          <w:bottom w:w="28" w:type="dxa"/>
          <w:right w:w="28" w:type="dxa"/>
        </w:tblCellMar>
      </w:tblPr>
      <w:tblGrid>
        <w:gridCol w:w="1051"/>
        <w:gridCol w:w="924"/>
        <w:gridCol w:w="935"/>
        <w:gridCol w:w="109"/>
        <w:gridCol w:w="109"/>
        <w:gridCol w:w="109"/>
        <w:gridCol w:w="474"/>
        <w:gridCol w:w="474"/>
        <w:gridCol w:w="476"/>
        <w:gridCol w:w="109"/>
        <w:gridCol w:w="109"/>
        <w:gridCol w:w="109"/>
        <w:gridCol w:w="211"/>
        <w:gridCol w:w="976"/>
        <w:gridCol w:w="109"/>
        <w:gridCol w:w="109"/>
        <w:gridCol w:w="109"/>
        <w:gridCol w:w="109"/>
        <w:gridCol w:w="243"/>
        <w:gridCol w:w="1125"/>
        <w:gridCol w:w="177"/>
      </w:tblGrid>
      <w:tr>
        <w:trPr/>
        <w:tc>
          <w:tcPr>
            <w:tcW w:w="10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Depreciable Lives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Indefinite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3 - 40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4,835,623 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5 - 7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460,463 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3,974,410 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15 - 20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3 - 7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10,201,409 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(6,219,340)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3,982,069 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See our Annual Report for property, plant and equipment accounting policies.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March 31, 2024 and 2023 was $70.1 million and $69.3 million, respectively.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CableSouth Transaction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we acquired certain fiber assets from CableSouth Media, LLC (“CableSouth”) and leased back certain of those acquired assets to CableSouth pursuant to a triple-net lease.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"CableSouth Transaction"). The Company completed the CableSouth Transaction on January 31, 2024 and recorded a $19 million</w:t>
      </w:r>
      <w:r>
        <w:rPr>
          <w:color w:val="000000"/>
        </w:rPr>
        <w:t xml:space="preserve"> </w:t>
      </w:r>
      <w:r>
        <w:rPr>
          <w:rFonts w:ascii="Times New Roman;sans-serif" w:hAnsi="Times New Roman;sans-serif"/>
          <w:b w:val="false"/>
          <w:color w:val="000000"/>
          <w:sz w:val="20"/>
        </w:rPr>
        <w:t>gain on sale of real estate in our Condensed Consolidated Statements of Income (Loss).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CableSouth Transaction is included in the results of the Uniti Leasing segment, and because the sale does not represent a strategic shift that will have a major effect on operations and financial results, it does not qualify for presentation as a discontinued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Derivative Instruments and Hedging Activities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 </w:t>
      </w:r>
    </w:p>
    <w:p>
      <w:pPr>
        <w:pStyle w:val="TextBody"/>
        <w:bidi w:val="0"/>
        <w:spacing w:lineRule="auto" w:line="256" w:before="0" w:after="0"/>
        <w:jc w:val="left"/>
        <w:rPr/>
      </w:pPr>
      <w:r>
        <w:rPr>
          <w:rFonts w:ascii="Times New Roman;sans-serif" w:hAnsi="Times New Roman;sans-serif"/>
          <w:b w:val="false"/>
          <w:color w:val="000000"/>
          <w:sz w:val="20"/>
        </w:rPr>
        <w:t xml:space="preserve">On March 1, 2024, the Company entered into an interest rate cap agreement (the "ABS Loan Interest Rate Cap") related to the ABS Loan Facility (as defined in </w:t>
      </w:r>
      <w:hyperlink w:anchor="i92a306ff12eb481981fddd6c55aa6e8a_64">
        <w:r>
          <w:rPr>
            <w:rStyle w:val="InternetLink"/>
            <w:rFonts w:ascii="Times New Roman;sans-serif" w:hAnsi="Times New Roman;sans-serif"/>
            <w:b w:val="false"/>
            <w:color w:val="0000FF"/>
            <w:sz w:val="20"/>
            <w:u w:val="single"/>
          </w:rPr>
          <w:t>Note 9</w:t>
        </w:r>
      </w:hyperlink>
      <w:r>
        <w:rPr>
          <w:rFonts w:ascii="Times New Roman;sans-serif" w:hAnsi="Times New Roman;sans-serif"/>
          <w:b w:val="false"/>
          <w:color w:val="000000"/>
          <w:sz w:val="20"/>
        </w:rPr>
        <w:t xml:space="preserve">). This interest rate cap was designated as a cash flow hedge, has a notional value of $275.0 million, and effectively caps the 1-month term secured overnight financing rate ("SOFR ") at 4.50%.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 xml:space="preserve">The following table presents the fair value of the Company’s derivatives designated as hedging instruments as of March 31, 2024 and March 31,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9154" w:type="dxa"/>
        <w:jc w:val="left"/>
        <w:tblInd w:w="0" w:type="dxa"/>
        <w:tblLayout w:type="fixed"/>
        <w:tblCellMar>
          <w:top w:w="28" w:type="dxa"/>
          <w:left w:w="28" w:type="dxa"/>
          <w:bottom w:w="28" w:type="dxa"/>
          <w:right w:w="28" w:type="dxa"/>
        </w:tblCellMar>
      </w:tblPr>
      <w:tblGrid>
        <w:gridCol w:w="531"/>
        <w:gridCol w:w="468"/>
        <w:gridCol w:w="471"/>
        <w:gridCol w:w="109"/>
        <w:gridCol w:w="109"/>
        <w:gridCol w:w="109"/>
        <w:gridCol w:w="1299"/>
        <w:gridCol w:w="1299"/>
        <w:gridCol w:w="1302"/>
        <w:gridCol w:w="109"/>
        <w:gridCol w:w="109"/>
        <w:gridCol w:w="109"/>
        <w:gridCol w:w="284"/>
        <w:gridCol w:w="829"/>
        <w:gridCol w:w="146"/>
        <w:gridCol w:w="109"/>
        <w:gridCol w:w="109"/>
        <w:gridCol w:w="109"/>
        <w:gridCol w:w="422"/>
        <w:gridCol w:w="812"/>
        <w:gridCol w:w="31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Location on Condensed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effects of the Company’s derivative financial instrument on the Condensed Consolidated Statements of Income (Loss) for the periods presented: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25"/>
        <w:gridCol w:w="2280"/>
        <w:gridCol w:w="2308"/>
        <w:gridCol w:w="109"/>
        <w:gridCol w:w="109"/>
        <w:gridCol w:w="109"/>
        <w:gridCol w:w="211"/>
        <w:gridCol w:w="826"/>
        <w:gridCol w:w="109"/>
        <w:gridCol w:w="109"/>
        <w:gridCol w:w="109"/>
        <w:gridCol w:w="109"/>
        <w:gridCol w:w="211"/>
        <w:gridCol w:w="826"/>
        <w:gridCol w:w="155"/>
      </w:tblGrid>
      <w:tr>
        <w:trPr/>
        <w:tc>
          <w:tcPr>
            <w:tcW w:w="262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in Cash Flow Hedging Relationships (Interest Rate Caps)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gain (loss) recognized on derivative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gain (loss) reclassified from Accumulated Other Comprehensive Income into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of Interest Expense Presented in the Consolidated Income Statements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pPr>
      <w:r>
        <w:rPr>
          <w:rFonts w:ascii="Times New Roman;sans-serif" w:hAnsi="Times New Roman;sans-serif"/>
          <w:b w:val="false"/>
          <w:color w:val="000000"/>
          <w:sz w:val="20"/>
        </w:rPr>
        <w:t>The company estimates that an additional $0.4 million will be reclassified from accumulated other comprehensive income as a decrease to interest expense over the next twelve months</w:t>
      </w:r>
      <w:r>
        <w:rPr>
          <w:rFonts w:ascii="Times New Roman;sans-serif" w:hAnsi="Times New Roman;sans-serif"/>
          <w:b w:val="false"/>
          <w:color w:val="000000"/>
          <w:sz w:val="22"/>
        </w:rPr>
        <w:t>.</w:t>
      </w:r>
      <w:r>
        <w:rPr>
          <w:rFonts w:ascii="Times New Roman;sans-serif" w:hAnsi="Times New Roman;sans-serif"/>
          <w:b w:val="false"/>
          <w:color w:val="000000"/>
          <w:sz w:val="20"/>
        </w:rPr>
        <w:br/>
        <w:br/>
      </w:r>
      <w:r>
        <w:rPr>
          <w:rFonts w:ascii="Times New Roman;sans-serif" w:hAnsi="Times New Roman;sans-serif"/>
          <w:b w:val="false"/>
          <w:i/>
          <w:color w:val="000000"/>
          <w:sz w:val="20"/>
          <w:u w:val="single"/>
        </w:rPr>
        <w:t>Exchangeable Notes Hedge Transactions</w:t>
      </w:r>
    </w:p>
    <w:p>
      <w:pPr>
        <w:pStyle w:val="TextBody"/>
        <w:bidi w:val="0"/>
        <w:spacing w:lineRule="auto" w:line="288" w:before="240" w:after="283"/>
        <w:jc w:val="left"/>
        <w:rPr/>
      </w:pPr>
      <w:r>
        <w:rPr>
          <w:rFonts w:ascii="Times New Roman;sans-serif" w:hAnsi="Times New Roman;sans-serif"/>
          <w:b w:val="false"/>
          <w:color w:val="000000"/>
          <w:sz w:val="20"/>
        </w:rPr>
        <w:t xml:space="preserve">On June 25, 2019, concurrently with the pricing of the 4.00% Exchangeable Notes due June 15, 2024 (the "Exchangeable Notes"), and on June 27, 2019, concurrently with the exercise by the </w:t>
      </w:r>
      <w:r>
        <w:rPr>
          <w:rFonts w:ascii="Times New Roman;sans-serif" w:hAnsi="Times New Roman;sans-serif"/>
          <w:b w:val="false"/>
          <w:color w:val="000000"/>
          <w:sz w:val="20"/>
          <w:shd w:fill="FFFFFF" w:val="clear"/>
        </w:rPr>
        <w:t>initial purchasers involved in the offering of the Exchangeable Notes (the “Initial Purchasers”)</w:t>
      </w:r>
      <w:r>
        <w:rPr>
          <w:color w:val="000000"/>
        </w:rPr>
        <w:t xml:space="preserve"> </w:t>
      </w:r>
      <w:r>
        <w:rPr>
          <w:rFonts w:ascii="Times New Roman;sans-serif" w:hAnsi="Times New Roman;sans-serif"/>
          <w:b w:val="false"/>
          <w:color w:val="000000"/>
          <w:sz w:val="20"/>
        </w:rPr>
        <w:t xml:space="preserve">of their option to purchase additional Exchangeable Notes, Uniti Fiber Holdings Inc., the issuer of the Exchangeable Notes, entered into </w:t>
      </w:r>
      <w:r>
        <w:rPr>
          <w:rFonts w:ascii="Times New Roman;sans-serif" w:hAnsi="Times New Roman;sans-serif"/>
          <w:b w:val="false"/>
          <w:color w:val="000000"/>
          <w:sz w:val="20"/>
          <w:shd w:fill="FFFFFF" w:val="clear"/>
        </w:rPr>
        <w:t>exchangeable note hedge transactions with respect to the Company’s common stock (</w:t>
      </w:r>
      <w:r>
        <w:rPr>
          <w:rFonts w:ascii="Times New Roman;sans-serif" w:hAnsi="Times New Roman;sans-serif"/>
          <w:b w:val="false"/>
          <w:color w:val="000000"/>
          <w:sz w:val="20"/>
        </w:rPr>
        <w:t xml:space="preserve">the “Note Hedge Transactions”) with certain </w:t>
      </w:r>
      <w:r>
        <w:rPr>
          <w:rFonts w:ascii="Times New Roman;sans-serif" w:hAnsi="Times New Roman;sans-serif"/>
          <w:b w:val="false"/>
          <w:color w:val="000000"/>
          <w:sz w:val="20"/>
          <w:shd w:fill="FFFFFF" w:val="clear"/>
        </w:rPr>
        <w:t>of the Initial Purchasers or their respective affiliates (collectively, the “Counterparties”)</w:t>
      </w:r>
      <w:r>
        <w:rPr>
          <w:rFonts w:ascii="Times New Roman;sans-serif" w:hAnsi="Times New Roman;sans-serif"/>
          <w:b w:val="false"/>
          <w:color w:val="000000"/>
          <w:sz w:val="20"/>
        </w:rPr>
        <w:t>.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 </w:t>
      </w:r>
    </w:p>
    <w:p>
      <w:pPr>
        <w:pStyle w:val="TextBody"/>
        <w:bidi w:val="0"/>
        <w:spacing w:lineRule="auto" w:line="288" w:before="24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Warrant Transactions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initial maximum number of shares of the Company’s common stock that could be issued pursuant to the Warrants was approximately 55.5 million. The maximum number of shares of the Company's common stock that could be issued pursuant to the Warrants has subsequently decreased due to the partial unwind agreements that the Company entered into with the Counterparties in connection with each repurchase of Exchangeable Notes.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 </w:t>
        <w:br/>
        <w:br/>
      </w:r>
      <w:r>
        <w:rPr>
          <w:rFonts w:ascii="Times New Roman;sans-serif" w:hAnsi="Times New Roman;sans-serif"/>
          <w:b w:val="false"/>
          <w:i/>
          <w:color w:val="000000"/>
          <w:sz w:val="20"/>
        </w:rPr>
        <w:t>Capped Call Transactions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2022, in connection with the pricing of the 7.50% Convertible 2027 Notes due December 1, 2027 (the "Convertible 2027 Notes"), the Company entered into privately negotiated capped call transactions (the “Capped Calls”) with certain financial institutions at a cost of $21.1 million. The Capped Calls cover the same number of shares of the Company’s common stock that initially underlie the Convertible 2027 Notes in the aggregate. By entering into the Capped Calls, the Company expects to reduce the potential dilution to its common stock (or, in the event a conversion of the Convertible 2027 Notes is settled in cash, to reduce its cash payment obligation) in the event that at the time of conversion of the Convertible 2027 Notes its common stock price exceeds the conversion price of the Convertible 2027 Notes. The cap price of the Capped Calls will initially be $10.63 per share of common stock, which represents a premium of 75% over the last reported sale price of the Company’s common stock of $6.075 per share on December 7, 2022 and is subject to customary anti-dilution adjustments substantially similar to those applicable to the Convertible 2027 Notes. The Company used approximately $21.1 million of the net proceeds from the offering of the Convertible 2027 Notes to pay for the cost of the Capped Calls. The Capped Calls meet the criteria for classification in equity, are not remeasured each reporting period and are included as a reduction to additional paid-in-capital within stockholders’ equity.</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Additionally on December 7, 2022, in connection with the Company’s repurchase of the Exchangeable Notes, the Company entered into partial unwind agreements (the “Unwind Agreements”) with the Counterparties to unwind a portion of the Note Hedge Transactions and the Warrants described above (collectively, the “Unwind Transactions”). In connection with the Unwind Transactions, the Company received cash as a termination payment for the portion of the Note Hedge Transactions that were unwound, and the Company delivered cash as a termination payment in respect of the portion of the Warrants that were unwound. The amount of cash that was received, which was approximately $1.2 million, and the amount of cash that was delivered to the Counterparties, which was approximately $0.5 million, were based generally on the termination values of the unwound portions of such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Goodwill and Intangible Assets and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occurring during the three months ended March 31, 2024 are as follows:</w:t>
      </w:r>
    </w:p>
    <w:tbl>
      <w:tblPr>
        <w:tblW w:w="7865" w:type="dxa"/>
        <w:jc w:val="center"/>
        <w:tblInd w:w="0" w:type="dxa"/>
        <w:tblLayout w:type="fixed"/>
        <w:tblCellMar>
          <w:top w:w="28" w:type="dxa"/>
          <w:left w:w="28" w:type="dxa"/>
          <w:bottom w:w="28" w:type="dxa"/>
          <w:right w:w="28" w:type="dxa"/>
        </w:tblCellMar>
      </w:tblPr>
      <w:tblGrid>
        <w:gridCol w:w="1763"/>
        <w:gridCol w:w="1551"/>
        <w:gridCol w:w="1560"/>
        <w:gridCol w:w="109"/>
        <w:gridCol w:w="109"/>
        <w:gridCol w:w="109"/>
        <w:gridCol w:w="211"/>
        <w:gridCol w:w="826"/>
        <w:gridCol w:w="109"/>
        <w:gridCol w:w="109"/>
        <w:gridCol w:w="109"/>
        <w:gridCol w:w="109"/>
        <w:gridCol w:w="211"/>
        <w:gridCol w:w="826"/>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charges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8787" w:type="dxa"/>
        <w:jc w:val="center"/>
        <w:tblInd w:w="0" w:type="dxa"/>
        <w:tblLayout w:type="fixed"/>
        <w:tblCellMar>
          <w:top w:w="28" w:type="dxa"/>
          <w:left w:w="28" w:type="dxa"/>
          <w:bottom w:w="28" w:type="dxa"/>
          <w:right w:w="28" w:type="dxa"/>
        </w:tblCellMar>
      </w:tblPr>
      <w:tblGrid>
        <w:gridCol w:w="976"/>
        <w:gridCol w:w="859"/>
        <w:gridCol w:w="865"/>
        <w:gridCol w:w="109"/>
        <w:gridCol w:w="109"/>
        <w:gridCol w:w="109"/>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Original</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 life intangible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Below-market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remaining weighted average amortization period of the Company’s intangible assets was 13.8 years, 4.5 years, and 26.5 years for customer lists, contracts, and underlying assets, respectively. As of March 31, 2024, the total remaining weighted average amortization period for total intangible assets was 13.3 years.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months ended March 31, 2024 and 2023 was $7.4 million and $7.4 million, respectively. Amortization expense is estimated to be $29.7 million for the full year of 2024, $29.7 million in 2025, $29.7 million in 2026, $29.7 million in 2027, and $28.1 million for 2028.</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amortization of below-market leases in revenue. Revenue related to the amortization of the below-market leases for the three months ended March 31, 2024 and 2023 was $2.7 million and $2.7 million, respectively. As of March 31, 2024, the remaining weighted average amortization period of the Company’s intangible liabilities was 15.8 years. Revenue due to the amortization of the below-market leases is estimated to be $10.7 million for the full year of 2024, $10.7 million in 2025, $10.7 million in 2026, $10.7 million in 2027, and $10.2 million in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9. Notes and Other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debt, including the senior secured credit facility and notes described below, are obligations of the Operating Partnership and/or certain of its subsidiaries as discussed below. The Company is, however, a guarantor of such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are as follows:</w:t>
      </w:r>
    </w:p>
    <w:tbl>
      <w:tblPr>
        <w:tblW w:w="10200" w:type="dxa"/>
        <w:jc w:val="center"/>
        <w:tblInd w:w="0" w:type="dxa"/>
        <w:tblLayout w:type="fixed"/>
        <w:tblCellMar>
          <w:top w:w="28" w:type="dxa"/>
          <w:left w:w="28" w:type="dxa"/>
          <w:bottom w:w="28" w:type="dxa"/>
          <w:right w:w="28" w:type="dxa"/>
        </w:tblCellMar>
      </w:tblPr>
      <w:tblGrid>
        <w:gridCol w:w="2426"/>
        <w:gridCol w:w="2133"/>
        <w:gridCol w:w="2146"/>
        <w:gridCol w:w="109"/>
        <w:gridCol w:w="109"/>
        <w:gridCol w:w="109"/>
        <w:gridCol w:w="211"/>
        <w:gridCol w:w="976"/>
        <w:gridCol w:w="109"/>
        <w:gridCol w:w="109"/>
        <w:gridCol w:w="109"/>
        <w:gridCol w:w="109"/>
        <w:gridCol w:w="243"/>
        <w:gridCol w:w="1125"/>
        <w:gridCol w:w="177"/>
      </w:tblGrid>
      <w:tr>
        <w:trPr/>
        <w:tc>
          <w:tcPr>
            <w:tcW w:w="242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70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5,757,442 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5,617,442 </w:t>
            </w:r>
          </w:p>
        </w:tc>
        <w:tc>
          <w:tcPr>
            <w:tcW w:w="17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premium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less unamortized discount, premium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5,660,696 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5,523,579 </w:t>
            </w:r>
          </w:p>
        </w:tc>
        <w:tc>
          <w:tcPr>
            <w:tcW w:w="177"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other debt at March 31, 2024 and December 31, 2023 consisted of the following:</w:t>
      </w:r>
    </w:p>
    <w:tbl>
      <w:tblPr>
        <w:tblW w:w="10205" w:type="dxa"/>
        <w:jc w:val="center"/>
        <w:tblInd w:w="0" w:type="dxa"/>
        <w:tblLayout w:type="fixed"/>
        <w:tblCellMar>
          <w:top w:w="28" w:type="dxa"/>
          <w:left w:w="28" w:type="dxa"/>
          <w:bottom w:w="28" w:type="dxa"/>
          <w:right w:w="28" w:type="dxa"/>
        </w:tblCellMar>
      </w:tblPr>
      <w:tblGrid>
        <w:gridCol w:w="1517"/>
        <w:gridCol w:w="1275"/>
        <w:gridCol w:w="1289"/>
        <w:gridCol w:w="109"/>
        <w:gridCol w:w="109"/>
        <w:gridCol w:w="109"/>
        <w:gridCol w:w="211"/>
        <w:gridCol w:w="976"/>
        <w:gridCol w:w="109"/>
        <w:gridCol w:w="109"/>
        <w:gridCol w:w="109"/>
        <w:gridCol w:w="109"/>
        <w:gridCol w:w="211"/>
        <w:gridCol w:w="768"/>
        <w:gridCol w:w="109"/>
        <w:gridCol w:w="109"/>
        <w:gridCol w:w="109"/>
        <w:gridCol w:w="109"/>
        <w:gridCol w:w="211"/>
        <w:gridCol w:w="976"/>
        <w:gridCol w:w="109"/>
        <w:gridCol w:w="109"/>
        <w:gridCol w:w="109"/>
        <w:gridCol w:w="109"/>
        <w:gridCol w:w="211"/>
        <w:gridCol w:w="768"/>
        <w:gridCol w:w="157"/>
      </w:tblGrid>
      <w:tr>
        <w:trPr/>
        <w:tc>
          <w:tcPr>
            <w:tcW w:w="151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Unamortized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Discount,</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Premium and</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Debt Issuance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Costs</w:t>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notes - 10.50% due February 15, 2028 </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11.06%)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- 4.75%, due April 15, 2028</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- 6.50%, due February 15, 2029</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 - 6.00% due January 15, 2030</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- 4.00%, due June 15, 2024</w:t>
            </w:r>
          </w:p>
          <w:p>
            <w:pPr>
              <w:pStyle w:val="TableContents"/>
              <w:bidi w:val="0"/>
              <w:spacing w:lineRule="auto" w:line="276"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- 7.50%, due December 1, 2027</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(discount is based on imputed interest rate of 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ABS Loan Facility, variable rate, due September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variable rate, due September 24,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At March 31, 2024, notes and other debt included the following: (i) $73.0 million under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as amended (the “Credit Agreement”); (ii) </w:t>
      </w:r>
      <w:r>
        <w:rPr>
          <w:rFonts w:ascii="Times New Roman;sans-serif" w:hAnsi="Times New Roman;sans-serif"/>
          <w:b w:val="false"/>
          <w:color w:val="000000"/>
          <w:sz w:val="20"/>
        </w:rPr>
        <w:t xml:space="preserve">$275.0 million under the bridge loan and security agreement (the "ABS Loan Agreement"), a multi-draw term loan facility dated February 23, 2024, entered into by and among Uniti Fiber Bridge Borrower LLC (the “ABS Bridge Borrower”), Uniti Fiber Bridge HoldCo LLC and Uniti Fiber GulfCo LLC (together, the “ABS Bridge Loan Parties”), each an indirect subsidiary of the Company, Wilmington Trust, National Association, as administrative agent, collateral agent, account bank and verification agent, Barclays Bank PLC, as facility agent, and the lenders identified therein; </w:t>
      </w:r>
      <w:r>
        <w:rPr>
          <w:rFonts w:ascii="Times New Roman;sans-serif" w:hAnsi="Times New Roman;sans-serif"/>
          <w:b w:val="false"/>
          <w:color w:val="000000"/>
          <w:sz w:val="20"/>
          <w:shd w:fill="FFFFFF" w:val="clear"/>
        </w:rPr>
        <w:t xml:space="preserve">(iii) </w:t>
      </w:r>
      <w:r>
        <w:rPr>
          <w:rFonts w:ascii="Times New Roman;sans-serif" w:hAnsi="Times New Roman;sans-serif"/>
          <w:b w:val="false"/>
          <w:color w:val="000000"/>
          <w:sz w:val="20"/>
        </w:rPr>
        <w:t>$2.6 billion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10.50% Senior Secured Notes due February 15, 2028 (the “February 2028 Secured Notes”); (iv) </w:t>
      </w:r>
      <w:r>
        <w:rPr>
          <w:rFonts w:ascii="Times New Roman;sans-serif" w:hAnsi="Times New Roman;sans-serif"/>
          <w:b w:val="false"/>
          <w:color w:val="000000"/>
          <w:sz w:val="20"/>
        </w:rPr>
        <w:t>$570.0 million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4.75% Senior Secured Notes due April 15, 2028 (the “April 2028 Secured Notes”); (v) </w:t>
      </w:r>
      <w:r>
        <w:rPr>
          <w:rFonts w:ascii="Times New Roman;sans-serif" w:hAnsi="Times New Roman;sans-serif"/>
          <w:b w:val="false"/>
          <w:color w:val="000000"/>
          <w:sz w:val="20"/>
        </w:rPr>
        <w:t>$1.1 billion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6.50% Senior Unsecured Notes due </w:t>
      </w:r>
      <w:r>
        <w:rPr>
          <w:rFonts w:ascii="Times New Roman;sans-serif" w:hAnsi="Times New Roman;sans-serif"/>
          <w:b w:val="false"/>
          <w:color w:val="000000"/>
          <w:sz w:val="20"/>
        </w:rPr>
        <w:t>February 15, 2029</w:t>
      </w:r>
      <w:r>
        <w:rPr>
          <w:color w:val="000000"/>
          <w:shd w:fill="FFFFFF" w:val="clear"/>
        </w:rPr>
        <w:t xml:space="preserve"> </w:t>
      </w:r>
      <w:r>
        <w:rPr>
          <w:rFonts w:ascii="Times New Roman;sans-serif" w:hAnsi="Times New Roman;sans-serif"/>
          <w:b w:val="false"/>
          <w:color w:val="000000"/>
          <w:sz w:val="20"/>
          <w:shd w:fill="FFFFFF" w:val="clear"/>
        </w:rPr>
        <w:t xml:space="preserve">(the “2029 Notes”); (vi) </w:t>
      </w:r>
      <w:r>
        <w:rPr>
          <w:rFonts w:ascii="Times New Roman;sans-serif" w:hAnsi="Times New Roman;sans-serif"/>
          <w:b w:val="false"/>
          <w:color w:val="000000"/>
          <w:sz w:val="20"/>
        </w:rPr>
        <w:t>$122.9 million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the Exchangeable Notes; (vii) </w:t>
      </w:r>
      <w:r>
        <w:rPr>
          <w:rFonts w:ascii="Times New Roman;sans-serif" w:hAnsi="Times New Roman;sans-serif"/>
          <w:b w:val="false"/>
          <w:color w:val="000000"/>
          <w:sz w:val="20"/>
        </w:rPr>
        <w:t>$700.0 million</w:t>
      </w:r>
      <w:r>
        <w:rPr>
          <w:color w:val="000000"/>
          <w:shd w:fill="FFFFFF" w:val="clear"/>
        </w:rPr>
        <w:t xml:space="preserve"> </w:t>
      </w:r>
      <w:r>
        <w:rPr>
          <w:rFonts w:ascii="Times New Roman;sans-serif" w:hAnsi="Times New Roman;sans-serif"/>
          <w:b w:val="false"/>
          <w:color w:val="000000"/>
          <w:sz w:val="20"/>
          <w:shd w:fill="FFFFFF" w:val="clear"/>
        </w:rPr>
        <w:t xml:space="preserve">aggregate principal amount of 6.00% Senior Secured Notes due </w:t>
      </w:r>
      <w:r>
        <w:rPr>
          <w:rFonts w:ascii="Times New Roman;sans-serif" w:hAnsi="Times New Roman;sans-serif"/>
          <w:b w:val="false"/>
          <w:color w:val="000000"/>
          <w:sz w:val="20"/>
        </w:rPr>
        <w:t>January 15, 2030</w:t>
      </w:r>
      <w:r>
        <w:rPr>
          <w:color w:val="000000"/>
          <w:shd w:fill="FFFFFF" w:val="clear"/>
        </w:rPr>
        <w:t xml:space="preserve"> </w:t>
      </w:r>
      <w:r>
        <w:rPr>
          <w:rFonts w:ascii="Times New Roman;sans-serif" w:hAnsi="Times New Roman;sans-serif"/>
          <w:b w:val="false"/>
          <w:color w:val="000000"/>
          <w:sz w:val="20"/>
          <w:shd w:fill="FFFFFF" w:val="clear"/>
        </w:rPr>
        <w:t xml:space="preserve">(the “2030 Notes”); and (viii) </w:t>
      </w:r>
      <w:r>
        <w:rPr>
          <w:rFonts w:ascii="Times New Roman;sans-serif" w:hAnsi="Times New Roman;sans-serif"/>
          <w:b w:val="false"/>
          <w:color w:val="000000"/>
          <w:sz w:val="20"/>
        </w:rPr>
        <w:t>$306.5 million</w:t>
      </w:r>
      <w:r>
        <w:rPr>
          <w:color w:val="000000"/>
          <w:shd w:fill="FFFFFF" w:val="clear"/>
        </w:rPr>
        <w:t xml:space="preserve"> </w:t>
      </w:r>
      <w:r>
        <w:rPr>
          <w:rFonts w:ascii="Times New Roman;sans-serif" w:hAnsi="Times New Roman;sans-serif"/>
          <w:b w:val="false"/>
          <w:color w:val="000000"/>
          <w:sz w:val="20"/>
          <w:shd w:fill="FFFFFF" w:val="clear"/>
        </w:rPr>
        <w:t>aggregate principal amount of Convertible 2027 Notes and, together with the February 2028 Secured Notes, April 2028 Secured Notes, 2029 Notes, 2030 Notes and the Exchangeable Notes, the "Notes"). T</w:t>
      </w:r>
      <w:r>
        <w:rPr>
          <w:rFonts w:ascii="Times New Roman;sans-serif" w:hAnsi="Times New Roman;sans-serif"/>
          <w:b w:val="false"/>
          <w:color w:val="000000"/>
          <w:sz w:val="20"/>
        </w:rPr>
        <w:t>he terms of the Notes are as described in the Company’s Annual Report on Form 10-K for the year ended December 31, 2023.</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Borrowers are party to the Credit Agreement, which provides for a $500 million revolving credit facility that will mature on September 24, 2027 (the “Revolving Credit Facility”) and provides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Borrowers are subject to customary covenants under the Credit Agreement, including an obligation to maintain a consolidated secured leverage ratio, as defined in the Credit Agreement, not to exceed 5.00 to 1.00. We are permitted,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2024, the Borrowers were in compliance with all of the covenants under the Credit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Secured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2023, the Operating Partnership, CSL Capital, LLC, Uniti Group Finance 2019 Inc. and Uniti Fiber Holdings Inc. (collectively, the “Issuers”) issued $2.6 billion aggregate principal amount of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of $2.25 billion for the 2025 Secured Notes with the trustee and satisfied and discharged their obligations with respect to the 2025 Secured Notes at such time. During the first quarter of 2023, we recorded $32.3 million of loss on the extinguishment of the 2025 Secured Notes within interest expense, net on the Condensed Consolidation Statements of Income (Loss), which includes $10.3 million of non-cash interest expense for the write off of the unamortized discount and deferred financing costs and $22.0 million of cash interest expense for the redemption premium.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Bridge Loan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2024, ABS Bridge Borrower and the other ABS Bridge Loan Parties entered the ABS Loan Agreement, which provides for a secured, multi-draw term loan facility of up to $350 million (the “ABS Loan Facility”). On March 1, 2024 (the “ABS Loan Closing Date”), the ABS Bridge Borrower made an initial drawing under the ABS Loan Facility in a principal amount of $275 million. Amounts borrowed under the ABS Loan Facility may not be reborrowed. Unless otherwise terminated pursuant to the terms of the ABS Loan Agreement, the ABS Loan Facility matures on the date that is 18 months from the ABS Loan Closing Date. The Company intends to refinance the ABS Loan Facility in full with proceeds from a long-term asset-backed securitized debt offering secured primarily by certain Uniti Fiber network assets.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outstanding under the ABS Loan Facility bear interest at a floating rate equal to, at the Company’s option, either (i) the one-month or three-month SOFR, plus a spread of 3.75% per annum or (ii) Base Rate (as defined in the ABS Loan Agreement), plus a spread of 2.75% per annum; provided that the spread will automatically increase to (a) 4.50% per annum in the case of loans bearing interest based on SOFR and 3.50% per annum in the case of loans bearing interest based on Base Rate, in each case to the extent outstanding on and after the date that is 12 months following the ABS Loan Closing Date and (b) 5.25% per annum in the case of loans bearing interest based on SOFR and 4.25% per annum in the case of loans bearing interest based on Base Rate, in each case to the extent outstanding on and after the date that is 15 months following the ABS Loan Closing Date. The Company capped SOFR interest expense at 4.50% for the duration of the ABS Loan Facility pursuant to the ABS Loan Interest Rate Cap (see Note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ABS Loan Facility, the Company formed Uniti Fiber ABS Parent LLC, an indirect subsidiary of the Company that qualifies as a bankruptcy-remote special purpose entity (“ABS Parent”), and directed the formation of the ABS Bridge Loan Parties, which are direct or indirect wholly-owned subsidiaries of ABS Parent. Each of the ABS Bridge Loan Parties is a special purpose, bankruptcy-remote, indirect subsidiary of the Company. The ABS Loan Facility is secured by equity in the ABS Bridge Borrower and substantially all of the assets of the ABS Bridge Loan Parties (subject to certain customary limited exceptions) and is non-recourse to the Company. Each of the ABS Bridge Loan Parties and ABS Parent was designated as an unrestricted subsidiary under the Credit Agreement and the applicable indentures governing the Company’s outstanding senior notes. The assets of the ABS Bridge Loan Parties will only be available for payment of the obligations arising under the ABS Loan Agreement and will not be available to pay any obligations or claims of the Company’s other creditors.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initial funding under the ABS Loan Facility on the ABS Loan Closing Date, the Company, directly or indirectly, (i) transferred certain Uniti Fiber non-regulated and interstate customer contracts and related equipment to the ABS Bridge Loan Parties and (ii) granted an indefeasible right of use in the related fiber network assets to such ABS Bridge Loan Parties. In addition, certain of the ABS Bridge Loan Parties entered into a management agreement (the “Management Agreement”) with Uniti Fiber Holdings Inc. (in its capacity as manager thereunder, the “Manager”), pursuant to which the Manager is responsible for servicing and administering the assets securing the ABS Loan Facility and is permitted to make reimbursable servicing advances in respect of the collateral securing the ABS Loan Facility under certain circumstances.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ABS Loan Agreement contains customary covenants limiting the ability of the ABS Bridge Loan Parties to: incur or guarantee additional indebtedness; pay dividends or distributions on, or redeem or repurchase, capital stock; make certain investments or other restricted payments; sell fiber network assets; enter into transactions with the Company and other affiliates; and create restrictions on the ability of the ABS Bridge Loan Parties to incur liens on their assets constituting collateral to secure obligations under the ABS Loan Agreement. These covenants are subject to a number of limitations, qualifications and exceptions. The ABS Loan Agreement also contains a maximum leverage financial maintenance covenant and customary events of default. </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Financing Cost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were incurred in connection with the issuance of the Notes and our entry into the Revolving Credit Facility and the ABS Loan Facility. These costs are amortized using the effective interest method over the term of the related indebtedness and are included in interest expense in our Condensed Consolidated Statements of Income. For the three months ended March 31, 2024 and 2023, we recognized $5.0 million and $4.8 million, respectively, of non-cash interest expense related to the amortization of deferred financing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10. Earnings Per Share</w:t>
      </w:r>
    </w:p>
    <w:p>
      <w:pPr>
        <w:pStyle w:val="TextBody"/>
        <w:bidi w:val="0"/>
        <w:spacing w:lineRule="auto" w:line="288" w:before="240" w:after="283"/>
        <w:jc w:val="left"/>
        <w:rPr/>
      </w:pPr>
      <w:r>
        <w:rPr>
          <w:rFonts w:ascii="Times New Roman;sans-serif" w:hAnsi="Times New Roman;sans-serif"/>
          <w:b w:val="false"/>
          <w:color w:val="000000"/>
          <w:sz w:val="20"/>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Times New Roman;sans-serif" w:hAnsi="Times New Roman;sans-serif"/>
          <w:b w:val="false"/>
          <w:i/>
          <w:color w:val="000000"/>
          <w:sz w:val="20"/>
        </w:rPr>
        <w:t>Earnings per Share</w:t>
      </w:r>
      <w:r>
        <w:rPr>
          <w:color w:val="000000"/>
        </w:rPr>
        <w:t xml:space="preserve"> </w:t>
      </w:r>
      <w:r>
        <w:rPr>
          <w:rFonts w:ascii="Times New Roman;sans-serif" w:hAnsi="Times New Roman;sans-serif"/>
          <w:b w:val="false"/>
          <w:color w:val="000000"/>
          <w:sz w:val="20"/>
        </w:rPr>
        <w:t>(“ASC 260”).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pStyle w:val="TextBody"/>
        <w:bidi w:val="0"/>
        <w:spacing w:lineRule="auto" w:line="288" w:before="240" w:after="283"/>
        <w:jc w:val="left"/>
        <w:rPr/>
      </w:pPr>
      <w:r>
        <w:rPr>
          <w:rFonts w:ascii="Times New Roman;sans-serif" w:hAnsi="Times New Roman;sans-serif"/>
          <w:b w:val="false"/>
          <w:color w:val="000000"/>
          <w:sz w:val="20"/>
        </w:rPr>
        <w:t>The dilutive effect of the Exchangeable Notes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i92a306ff12eb481981fddd6c55aa6e8a_58">
        <w:r>
          <w:rPr>
            <w:rStyle w:val="InternetLink"/>
            <w:rFonts w:ascii="Times New Roman;sans-serif" w:hAnsi="Times New Roman;sans-serif"/>
            <w:b w:val="false"/>
            <w:color w:val="0000FF"/>
            <w:sz w:val="20"/>
            <w:u w:val="single"/>
          </w:rPr>
          <w:t>see Note 7</w:t>
        </w:r>
      </w:hyperlink>
      <w:r>
        <w:rPr>
          <w:rFonts w:ascii="Times New Roman;sans-serif" w:hAnsi="Times New Roman;sans-serif"/>
          <w:b w:val="false"/>
          <w:color w:val="000000"/>
          <w:sz w:val="20"/>
        </w:rPr>
        <w:t>) is calculated using the treasury-stock method. During the three months ended March 31, 2024 and 2023, the Warrants were excluded from diluted shares outstanding because the exercise price exceeded the average market price of our common stock for the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computation of basic and diluted earnings per share under the two-class method:</w:t>
      </w:r>
    </w:p>
    <w:tbl>
      <w:tblPr>
        <w:tblW w:w="7220" w:type="dxa"/>
        <w:jc w:val="center"/>
        <w:tblInd w:w="0" w:type="dxa"/>
        <w:tblLayout w:type="fixed"/>
        <w:tblCellMar>
          <w:top w:w="28" w:type="dxa"/>
          <w:left w:w="28" w:type="dxa"/>
          <w:bottom w:w="28" w:type="dxa"/>
          <w:right w:w="28" w:type="dxa"/>
        </w:tblCellMar>
      </w:tblPr>
      <w:tblGrid>
        <w:gridCol w:w="1579"/>
        <w:gridCol w:w="1391"/>
        <w:gridCol w:w="1394"/>
        <w:gridCol w:w="109"/>
        <w:gridCol w:w="109"/>
        <w:gridCol w:w="109"/>
        <w:gridCol w:w="211"/>
        <w:gridCol w:w="721"/>
        <w:gridCol w:w="109"/>
        <w:gridCol w:w="109"/>
        <w:gridCol w:w="109"/>
        <w:gridCol w:w="109"/>
        <w:gridCol w:w="211"/>
        <w:gridCol w:w="796"/>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10" w:type="dxa"/>
        <w:jc w:val="center"/>
        <w:tblInd w:w="0" w:type="dxa"/>
        <w:tblLayout w:type="fixed"/>
        <w:tblCellMar>
          <w:top w:w="28" w:type="dxa"/>
          <w:left w:w="28" w:type="dxa"/>
          <w:bottom w:w="28" w:type="dxa"/>
          <w:right w:w="28" w:type="dxa"/>
        </w:tblCellMar>
      </w:tblPr>
      <w:tblGrid>
        <w:gridCol w:w="1937"/>
        <w:gridCol w:w="1707"/>
        <w:gridCol w:w="1710"/>
        <w:gridCol w:w="109"/>
        <w:gridCol w:w="109"/>
        <w:gridCol w:w="109"/>
        <w:gridCol w:w="211"/>
        <w:gridCol w:w="721"/>
        <w:gridCol w:w="109"/>
        <w:gridCol w:w="109"/>
        <w:gridCol w:w="109"/>
        <w:gridCol w:w="109"/>
        <w:gridCol w:w="211"/>
        <w:gridCol w:w="796"/>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non-participating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on if-converted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for dilutive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1,053,189 non-participating securities were excluded from the computation of earnings per share, as their performance conditions have not been met, and 54,748,359 potential common shares related to the Exchangeable Notes and the Convertible Notes were excluded from the computation of earnings per share,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11. Segment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who is our chief operating decision maker, manages our operations as two reportable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which is engaged in the acquisition and construction of mission-critical 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financial data related to our segments is presented below for the three months ended March 31, 2024 and 2023:</w:t>
      </w:r>
    </w:p>
    <w:tbl>
      <w:tblPr>
        <w:tblW w:w="10026" w:type="dxa"/>
        <w:jc w:val="left"/>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March 31, 2024, the Company has made payments totaling $337.9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2023, and are limited to $225 million per year in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three months ended March 31, 2024, Uniti reimbursed $131.3 million of Growth Capital Improvements, of which $104.5 million represented the reimbursement of capital improvements completed in 2023 that were previously classified as tenant funded capital improvements. As of the date of this Quarterly Report on Form 10-Q, we have reimbursed a total of $952.4 million of Growth Capital Improvements. Upon reimbursement, the Company reduced the unamortized portion of deferred revenue related to these capital improvements and capitalized the difference between the cash provided to Windstream and the unamortized deferred revenue as a lease incentive which will be amortized as a reduction to revenue over the initial term of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loans have been made under the Equipment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13. Accumulated Other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loss by component is as follows for the three months ended March 31, 2024 and 2023:</w:t>
      </w:r>
    </w:p>
    <w:tbl>
      <w:tblPr>
        <w:tblW w:w="9324" w:type="dxa"/>
        <w:jc w:val="center"/>
        <w:tblInd w:w="0" w:type="dxa"/>
        <w:tblLayout w:type="fixed"/>
        <w:tblCellMar>
          <w:top w:w="28" w:type="dxa"/>
          <w:left w:w="28" w:type="dxa"/>
          <w:bottom w:w="28" w:type="dxa"/>
          <w:right w:w="28" w:type="dxa"/>
        </w:tblCellMar>
      </w:tblPr>
      <w:tblGrid>
        <w:gridCol w:w="2369"/>
        <w:gridCol w:w="2086"/>
        <w:gridCol w:w="2099"/>
        <w:gridCol w:w="109"/>
        <w:gridCol w:w="109"/>
        <w:gridCol w:w="109"/>
        <w:gridCol w:w="263"/>
        <w:gridCol w:w="675"/>
        <w:gridCol w:w="136"/>
        <w:gridCol w:w="136"/>
        <w:gridCol w:w="136"/>
        <w:gridCol w:w="136"/>
        <w:gridCol w:w="263"/>
        <w:gridCol w:w="506"/>
        <w:gridCol w:w="192"/>
      </w:tblGrid>
      <w:tr>
        <w:trPr/>
        <w:tc>
          <w:tcPr>
            <w:tcW w:w="23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5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 attributable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Other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Proposed Merger with Windstream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2024, the Company entered into an Agreement and Plan of Merger with Windstream Holdings II, LLC (the “Merger Agreement”) providing for a combination of the Company and Windstream such that, following a pre-closing reorganization of Windstream and the merger of the Company into an entity formed in such reorganization (the "Merger"), both the Company and Windstream will be indirect wholly owned subsidiaries of a recently formed company that in the reorganization will become the parent company of Windstream (“New Uniti”). Following the Merger, the common stock of New Uniti (“New Uniti Common Stock”) is expected to be listed on the Nasdaq.</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intends to reunite Windstream’s business with the underlying fiber infrastructure owned by the Company to create a premier digital infrastructure company with a strong platform for value creation. Upon consummation of our Merger with Windstream, the board of directors of New Uniti will initially comprise nine members, including five directors to be appointed by Uniti. It is expected that Uniti’s existing officers will serve as initial officers of New Uniti.</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the issuance, subject to market conditions and other factors, of up to an aggregate principal amount of $300 million of secured debt, along with cash on hand.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is subject to customary closing conditions, including, among others, approval by our</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and receipt of required regulatory approvals, including the expiration or early termination of the waiting period under the Hart-Scott-Rodino Antitrust Improvements Act of 1976 (as amended) (the “HSR Act”) and the receipt of approvals from the Federal Communications Commission (the “FCC”) and certain state public utility commissions. We currently expect our Merger with Windstream to close in 2025.</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our Merger with Windstream, New Uniti will become an integrated telecommunications company. Initially, the legacy Uniti and Windstream organizational structures will remain separate, and the existing agreements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arrangements presently in effect between Uniti and Windstream, such as the Windstream Leases and the settlement agreement with Windstream, which requires Uniti to fund periodic settlement payments and reimburse Windstream for</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growth capital improvements, will remain in place. In addition, we have agreed to suspend dividend payments or other distributions until the consummation of the Merger, except for our dividend payable on June 28, 2024 and those dividends reasonably required for us or our subsidiaries to maintain our status as a REIT or to avoid the payment or imposition of income or excise tax, among other customary exceptions. All Windstream debt will remain obligations of Windstream and our debt obligations will remain as ours, with no cross-guarantees or credit support between the Company and Windstream. For a description of the Windstream Leases and the settlement agreement with Windstream, refer to “Liquidity and Capital Resources—Windstream Leases” within Part II, Item 7 Management’s Discussion and Analysis of Financial Condition and Results of Operations in our Annual Report. Finally, it is expected that, following consummation of the Merger, Uniti will cease to be a REIT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pPr>
      <w:r>
        <w:rPr>
          <w:rFonts w:ascii="Times New Roman;sans-serif" w:hAnsi="Times New Roman;sans-serif"/>
          <w:b w:val="false"/>
          <w:color w:val="000000"/>
          <w:sz w:val="20"/>
        </w:rPr>
        <w:t xml:space="preserve">The following management’s discussion and analysis of financial condition and results of operations describes the principal factors affecting the results of our operations, financial condition, and changes in financial condition for the three months ended March 31, 2024.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February 29, 2024, as amended by Amendment No. 1 and Amendment No. 2 thereto filed on Form 10-K/A with the SEC on March 26, 2024 and </w:t>
      </w:r>
      <w:r>
        <w:rPr>
          <w:rFonts w:ascii="Times New Roman;sans-serif" w:hAnsi="Times New Roman;sans-serif"/>
          <w:b w:val="false"/>
          <w:color w:val="000000"/>
          <w:sz w:val="20"/>
          <w:shd w:fill="FFFFFF" w:val="clear"/>
        </w:rPr>
        <w:t>March 27, 2024</w:t>
      </w:r>
      <w:r>
        <w:rPr>
          <w:rFonts w:ascii="Arial;sans-serif" w:hAnsi="Arial;sans-serif"/>
          <w:b w:val="false"/>
          <w:color w:val="000000"/>
          <w:sz w:val="24"/>
        </w:rPr>
        <w:t xml:space="preserve">, </w:t>
      </w:r>
      <w:r>
        <w:rPr>
          <w:rFonts w:ascii="Times New Roman;sans-serif" w:hAnsi="Times New Roman;sans-serif"/>
          <w:b w:val="false"/>
          <w:color w:val="000000"/>
          <w:sz w:val="20"/>
        </w:rPr>
        <w:t>respectively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Company Description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pStyle w:val="TextBody"/>
        <w:bidi w:val="0"/>
        <w:spacing w:lineRule="auto" w:line="288" w:before="240" w:after="283"/>
        <w:jc w:val="left"/>
        <w:rPr/>
      </w:pPr>
      <w:r>
        <w:rPr>
          <w:rFonts w:ascii="Times New Roman;sans-serif" w:hAnsi="Times New Roman;sans-serif"/>
          <w:b w:val="false"/>
          <w:color w:val="000000"/>
          <w:sz w:val="20"/>
        </w:rPr>
        <w:t xml:space="preserve">Uniti operates as a REIT for U.S. federal income tax purposes. As a REIT, the Company is generally not subject to U.S. federal income taxes on income generated by its REIT operations, which includes income derived from the </w:t>
      </w:r>
      <w:r>
        <w:rPr>
          <w:rFonts w:ascii="Times New Roman;sans-serif" w:hAnsi="Times New Roman;sans-serif"/>
          <w:b w:val="false"/>
          <w:color w:val="000000"/>
          <w:sz w:val="20"/>
          <w:shd w:fill="FFFFFF" w:val="clear"/>
        </w:rPr>
        <w:t>Windstream Leases</w:t>
      </w:r>
      <w:r>
        <w:rPr>
          <w:rFonts w:ascii="Times New Roman;sans-serif" w:hAnsi="Times New Roman;sans-serif"/>
          <w:b w:val="false"/>
          <w:color w:val="000000"/>
          <w:sz w:val="20"/>
        </w:rPr>
        <w:t>. We have elected to treat the subsidiaries through which we operate our fiber business, Uniti Fiber, and certain aspects of our leasing business, Uniti Leasing, as taxable REIT subsidiaries (“TRSs”). TRSs enable us to engage in activities that result in income that does not constitute qualifying income for a REIT. Our TRSs are subject to U.S. federal, state and local corporate income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March 31, 2024, we are the sole general partner of the Operating Partnership and own approximately 99.96% of the partnership interests in the Operating Partnership. In addition, we have undertaken a series of transactions to permit us to hold certain assets through subsidiaries that are taxed as REITs, which may also facilitate future acquisition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aim to grow and diversify our portfolio and tenant base by pursuing a range of transaction structures with communication service providers, including (i) 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240" w:after="283"/>
        <w:jc w:val="left"/>
        <w:rPr/>
      </w:pPr>
      <w:r>
        <w:rPr>
          <w:rFonts w:ascii="Times New Roman;sans-serif" w:hAnsi="Times New Roman;sans-serif"/>
          <w:b w:val="false"/>
          <w:color w:val="000000"/>
          <w:sz w:val="20"/>
        </w:rPr>
        <w:t>We manage our operations as</w:t>
      </w:r>
      <w:r>
        <w:rPr>
          <w:color w:val="000000"/>
          <w:shd w:fill="FFFFFF" w:val="clear"/>
        </w:rPr>
        <w:t xml:space="preserve">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reportable business segments, in addition to our corporate operations, which include:</w:t>
      </w:r>
    </w:p>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rFonts w:ascii="Times New Roman;sans-serif" w:hAnsi="Times New Roman;sans-serif"/>
          <w:b w:val="false"/>
          <w:color w:val="000000"/>
          <w:sz w:val="20"/>
        </w:rPr>
        <w:t>: Represents the operations of our leasing business, which is engaged in the acquisition and construction of mission-critical 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operated through TRSs.</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rFonts w:ascii="Times New Roman;sans-serif" w:hAnsi="Times New Roman;sans-serif"/>
          <w:b w:val="false"/>
          <w:color w:val="000000"/>
          <w:sz w:val="20"/>
        </w:rPr>
        <w:t>: Represents the operations of our fiber business, which is a leading provider of infrastructure solutions, including cell site backhaul and dark fiber, to the telecommunications industry.</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rFonts w:ascii="Times New Roman;sans-serif" w:hAnsi="Times New Roman;sans-serif"/>
          <w:b w:val="false"/>
          <w:color w:val="000000"/>
          <w:sz w:val="20"/>
        </w:rPr>
        <w:t xml:space="preserve">: Represents our corporate office and shared service functions. Certain costs and expenses, primarily related to headcount, information technology systems, insurance, professional fees and similar charges, that are directly attributable to operations of our business segments are allocated to the respective segments. </w:t>
      </w:r>
    </w:p>
    <w:p>
      <w:pPr>
        <w:pStyle w:val="TextBody"/>
        <w:bidi w:val="0"/>
        <w:spacing w:lineRule="auto" w:line="288" w:before="240" w:after="283"/>
        <w:jc w:val="left"/>
        <w:rPr/>
      </w:pPr>
      <w:r>
        <w:rPr>
          <w:rFonts w:ascii="Times New Roman;sans-serif" w:hAnsi="Times New Roman;sans-serif"/>
          <w:b w:val="false"/>
          <w:color w:val="000000"/>
          <w:sz w:val="20"/>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w:t>
      </w:r>
      <w:r>
        <w:rPr>
          <w:rFonts w:ascii="Times New Roman;sans-serif" w:hAnsi="Times New Roman;sans-serif"/>
          <w:b w:val="false"/>
          <w:color w:val="000000"/>
          <w:sz w:val="20"/>
          <w:shd w:fill="FFFFFF" w:val="clear"/>
        </w:rPr>
        <w:t xml:space="preserve">. For more information on Adjusted EBITDA, see “Non-GAAP Financial Measures.” </w:t>
      </w:r>
      <w:r>
        <w:rPr>
          <w:rFonts w:ascii="Times New Roman;sans-serif" w:hAnsi="Times New Roman;sans-serif"/>
          <w:b w:val="false"/>
          <w:color w:val="000000"/>
          <w:sz w:val="20"/>
        </w:rPr>
        <w:t>Detailed information about our segments can be found in Note 11 to our accompanying Condensed Consolidated Financial Statements contained in Part I, Item 1 of this Quarterly Report on Form 10-Q.</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Significant Business Developments</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Our Proposed Merger with Windstream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2024, the Company entered into an Agreement and Plan of Merger with Windstream Holdings II, LLC (the “Merger Agreement”) providing for a combination of the Company and Windstream such that, following a pre-closing reorganization of Windstream and the merger of the Company into an entity formed in such reorganization (the "Merger"), both the Company and Windstream will be indirect wholly owned subsidiaries of a recently formed company that in the reorganization will become the parent company of Windstream (“New Uniti”). Following the Merger, the common stock of New Uniti (“New Uniti Common Stock”) is expected to be listed on the Nasdaq.</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Merger intends to reunite Windstream’s business with the underlying fiber infrastructure owned by the Company to create a premier digital infrastructure company with a strong platform for value creation. Upon consummation of our Merger with Windstream, the board of directors of New Uniti will initially comprise nine members, including five directors to be appointed by Uniti. It is expected that Uniti’s existing officers will serve as initial officers of New Uniti.</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the issuance, subject to market conditions and other factors, of up to an aggregate principal amount of $300 million of secured debt, along with cash on hand.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is subject to customary closing conditions, including, among others, approval by our</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and receipt of required regulatory approvals, including the expiration or early termination of the waiting period under the HSR Act and the receipt of approvals from the FCC and certain state public utility commissions. We currently expect our Merger with Windstream to close in 2025.</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summary of the Merger Agreement and the transactions contemplated thereby does not purport to be complete and is qualified in its entirety by reference to the terms and conditions of the Merger Agreement, a copy of which is attached as Exhibit 2.1 to the Company’s Current Report on Form 8-K, filed on May 3,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our Merger with Windstream,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 Windstream, which requires Uniti to fund periodic settlement payments and reimburse Windstream for certain growth capital improvements, will remain in place. In addition, we have agreed to suspend dividend payments or other distributions until the consummation of the Merger, except for our dividend payable on June 28, 2024 and those dividends reasonably required for us or our subsidiaries to maintain our status as a REIT or to avoid the payment or imposition of income or excise tax, among other customary exceptions. All Windstream debt will remain obligations of Windstream and our debt obligations will remain as ours, with no cross-guarantees or credit support between the Company and Windstream. For a description of the Windstream Leases and the settlement agreement with Windstream, refer to “Liquidity and Capital Resources—Windstream Leases” within Part II, Item 7 Management’s Discussion and Analysis of Financial Condition and Results of Operations in our Annual Report. Finally, it is expected that, following consummation of the Merger, Uniti will cease to be a REIT for U.S. federal income tax purposes.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“Risk Factors” for additional information about our merger with Windstream.</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Asset-Backed Bridge Loan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2024, Uniti Fiber Bridge Borrower LLC (the “ABS Bridge Borrower”), Uniti Fiber Bridge HoldCo LLC and Uniti Fiber GulfCo LLC (together, the “ABS Bridge Loan Parties”), each an indirect subsidiary of the Company, entered into a bridge loan and security agreement, dated as of February 23, 2024 (the “ABS Loan Agreement”).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ABS Loan Agreement provides for a secured, multi-draw term loan facility of up to $350 million (the “ABS Loan Facility”). As of March 31, 2024, an aggregate of $275 million principal amount of loans under the ABS Loan Facility had been drawn.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ABS Loan Facility, the Company formed Uniti Fiber ABS Parent LLC, an indirect subsidiary that qualifies as a bankruptcy-remote special purpose entity (“ABS Parent”), and directed the formation of the ABS Bridge Loan Parties, which are direct or indirect wholly-owned subsidiaries of ABS Parent. Each of the ABS Bridge Loan Parties is a special purpose, bankruptcy-remote, indirect subsidiary of the Company. The ABS Loan Facility is secured by equity in the ABS Bridge Borrower and substantially all of the assets of the ABS Bridge Loan Parties (subject to certain customary limited exceptions) and is non-recourse to the Company. Each of the ABS Bridge Loan Parties and ABS Parent was designated as an unrestricted subsidiary under the Senior Secured Credit Facility, and the applicable indentures governing the Company’s outstanding senior notes and under the indenture for this offering. The assets of the ABS Bridge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Parties will only be available for payment of the obligations arising under the ABS Loan Agreement and will not be available to pay any obligations or claims of the Company’s other creditors.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9 to our Condensed Consolidated Financial Statements in Part I Item 1 of this Quarterly Report on Form 10-Q for</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our ABS Loan Facility.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CableSouth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2018, we acquired certain fiber assets from CableSouth Media, LLC (“CableSouth”) and leased back certain of those acquired assets to CableSouth pursuant to a triple-net lease.</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"CableSouth Transaction"). The Company completed the CableSouth Transaction on January 31, 2024 and recorded a $19 million</w:t>
      </w:r>
      <w:r>
        <w:rPr>
          <w:color w:val="000000"/>
        </w:rPr>
        <w:t xml:space="preserve"> </w:t>
      </w:r>
      <w:r>
        <w:rPr>
          <w:rFonts w:ascii="Times New Roman;sans-serif" w:hAnsi="Times New Roman;sans-serif"/>
          <w:b w:val="false"/>
          <w:color w:val="000000"/>
          <w:sz w:val="20"/>
        </w:rPr>
        <w:t>gain on sale of real estate in our Condensed Consolidated Statements of Income (Loss).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CableSouth Transaction is included in the results of the Uniti Leasing segment, and because the sale does not represent a strategic shift that will have a major effect on operations and financial results, it does not qualify for presentation as a discontinued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expressed as dollars and as a percentage of total revenues for the periods indicated:</w:t>
      </w:r>
    </w:p>
    <w:tbl>
      <w:tblPr>
        <w:tblW w:w="10205" w:type="dxa"/>
        <w:jc w:val="center"/>
        <w:tblInd w:w="0" w:type="dxa"/>
        <w:tblLayout w:type="fixed"/>
        <w:tblCellMar>
          <w:top w:w="28" w:type="dxa"/>
          <w:left w:w="28" w:type="dxa"/>
          <w:bottom w:w="28" w:type="dxa"/>
          <w:right w:w="28" w:type="dxa"/>
        </w:tblCellMar>
      </w:tblPr>
      <w:tblGrid>
        <w:gridCol w:w="1788"/>
        <w:gridCol w:w="1382"/>
        <w:gridCol w:w="1394"/>
        <w:gridCol w:w="109"/>
        <w:gridCol w:w="109"/>
        <w:gridCol w:w="109"/>
        <w:gridCol w:w="211"/>
        <w:gridCol w:w="826"/>
        <w:gridCol w:w="109"/>
        <w:gridCol w:w="109"/>
        <w:gridCol w:w="109"/>
        <w:gridCol w:w="109"/>
        <w:gridCol w:w="331"/>
        <w:gridCol w:w="331"/>
        <w:gridCol w:w="333"/>
        <w:gridCol w:w="109"/>
        <w:gridCol w:w="109"/>
        <w:gridCol w:w="109"/>
        <w:gridCol w:w="211"/>
        <w:gridCol w:w="826"/>
        <w:gridCol w:w="109"/>
        <w:gridCol w:w="109"/>
        <w:gridCol w:w="109"/>
        <w:gridCol w:w="109"/>
        <w:gridCol w:w="305"/>
        <w:gridCol w:w="305"/>
        <w:gridCol w:w="436"/>
      </w:tblGrid>
      <w:tr>
        <w:trPr/>
        <w:tc>
          <w:tcPr>
            <w:tcW w:w="178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Revenues</w:t>
            </w:r>
          </w:p>
        </w:tc>
      </w:tr>
      <w:tr>
        <w:trPr/>
        <w:tc>
          <w:tcPr>
            <w:tcW w:w="4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72.7%</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51.2%</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107.6%</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 and 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from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on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revenues, Adjusted EBITDA and net income (loss) of our reportable segments for the three months ended March 31, 2024 and 2023:</w:t>
      </w:r>
    </w:p>
    <w:tbl>
      <w:tblPr>
        <w:tblW w:w="10026" w:type="dxa"/>
        <w:jc w:val="center"/>
        <w:tblInd w:w="0" w:type="dxa"/>
        <w:tblLayout w:type="fixed"/>
        <w:tblCellMar>
          <w:top w:w="28" w:type="dxa"/>
          <w:left w:w="28" w:type="dxa"/>
          <w:bottom w:w="28" w:type="dxa"/>
          <w:right w:w="28" w:type="dxa"/>
        </w:tblCellMar>
      </w:tblPr>
      <w:tblGrid>
        <w:gridCol w:w="1063"/>
        <w:gridCol w:w="936"/>
        <w:gridCol w:w="941"/>
        <w:gridCol w:w="109"/>
        <w:gridCol w:w="109"/>
        <w:gridCol w:w="109"/>
        <w:gridCol w:w="211"/>
        <w:gridCol w:w="826"/>
        <w:gridCol w:w="109"/>
        <w:gridCol w:w="109"/>
        <w:gridCol w:w="109"/>
        <w:gridCol w:w="109"/>
        <w:gridCol w:w="211"/>
        <w:gridCol w:w="721"/>
        <w:gridCol w:w="109"/>
        <w:gridCol w:w="109"/>
        <w:gridCol w:w="109"/>
        <w:gridCol w:w="109"/>
        <w:gridCol w:w="211"/>
        <w:gridCol w:w="691"/>
        <w:gridCol w:w="109"/>
        <w:gridCol w:w="109"/>
        <w:gridCol w:w="109"/>
        <w:gridCol w:w="109"/>
        <w:gridCol w:w="457"/>
        <w:gridCol w:w="1790"/>
        <w:gridCol w:w="33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56"/>
        <w:gridCol w:w="1122"/>
        <w:gridCol w:w="1128"/>
        <w:gridCol w:w="109"/>
        <w:gridCol w:w="109"/>
        <w:gridCol w:w="109"/>
        <w:gridCol w:w="211"/>
        <w:gridCol w:w="826"/>
        <w:gridCol w:w="109"/>
        <w:gridCol w:w="109"/>
        <w:gridCol w:w="109"/>
        <w:gridCol w:w="109"/>
        <w:gridCol w:w="211"/>
        <w:gridCol w:w="721"/>
        <w:gridCol w:w="109"/>
        <w:gridCol w:w="109"/>
        <w:gridCol w:w="109"/>
        <w:gridCol w:w="109"/>
        <w:gridCol w:w="211"/>
        <w:gridCol w:w="666"/>
        <w:gridCol w:w="109"/>
        <w:gridCol w:w="109"/>
        <w:gridCol w:w="109"/>
        <w:gridCol w:w="109"/>
        <w:gridCol w:w="357"/>
        <w:gridCol w:w="1398"/>
        <w:gridCol w:w="263"/>
      </w:tblGrid>
      <w:tr>
        <w:trPr/>
        <w:tc>
          <w:tcPr>
            <w:tcW w:w="145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3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Leasing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Uniti Fiber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Subtotal of Reportable Segments </w:t>
            </w:r>
          </w:p>
        </w:tc>
      </w:tr>
      <w:tr>
        <w:trPr/>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Summary of Operating Metrics</w:t>
      </w:r>
    </w:p>
    <w:tbl>
      <w:tblPr>
        <w:tblW w:w="7039" w:type="dxa"/>
        <w:jc w:val="center"/>
        <w:tblInd w:w="0" w:type="dxa"/>
        <w:tblLayout w:type="fixed"/>
        <w:tblCellMar>
          <w:top w:w="28" w:type="dxa"/>
          <w:left w:w="28" w:type="dxa"/>
          <w:bottom w:w="28" w:type="dxa"/>
          <w:right w:w="28" w:type="dxa"/>
        </w:tblCellMar>
      </w:tblPr>
      <w:tblGrid>
        <w:gridCol w:w="700"/>
        <w:gridCol w:w="615"/>
        <w:gridCol w:w="619"/>
        <w:gridCol w:w="109"/>
        <w:gridCol w:w="109"/>
        <w:gridCol w:w="109"/>
        <w:gridCol w:w="488"/>
        <w:gridCol w:w="488"/>
        <w:gridCol w:w="156"/>
        <w:gridCol w:w="109"/>
        <w:gridCol w:w="109"/>
        <w:gridCol w:w="109"/>
        <w:gridCol w:w="488"/>
        <w:gridCol w:w="488"/>
        <w:gridCol w:w="156"/>
        <w:gridCol w:w="109"/>
        <w:gridCol w:w="109"/>
        <w:gridCol w:w="109"/>
        <w:gridCol w:w="544"/>
        <w:gridCol w:w="544"/>
        <w:gridCol w:w="772"/>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Metrics</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 (Decrease)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Copper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strand miles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connections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9313" w:type="dxa"/>
        <w:jc w:val="center"/>
        <w:tblInd w:w="0" w:type="dxa"/>
        <w:tblLayout w:type="fixed"/>
        <w:tblCellMar>
          <w:top w:w="28" w:type="dxa"/>
          <w:left w:w="28" w:type="dxa"/>
          <w:bottom w:w="28" w:type="dxa"/>
          <w:right w:w="28" w:type="dxa"/>
        </w:tblCellMar>
      </w:tblPr>
      <w:tblGrid>
        <w:gridCol w:w="477"/>
        <w:gridCol w:w="419"/>
        <w:gridCol w:w="423"/>
        <w:gridCol w:w="109"/>
        <w:gridCol w:w="109"/>
        <w:gridCol w:w="109"/>
        <w:gridCol w:w="211"/>
        <w:gridCol w:w="826"/>
        <w:gridCol w:w="109"/>
        <w:gridCol w:w="109"/>
        <w:gridCol w:w="109"/>
        <w:gridCol w:w="109"/>
        <w:gridCol w:w="724"/>
        <w:gridCol w:w="724"/>
        <w:gridCol w:w="726"/>
        <w:gridCol w:w="109"/>
        <w:gridCol w:w="109"/>
        <w:gridCol w:w="109"/>
        <w:gridCol w:w="211"/>
        <w:gridCol w:w="826"/>
        <w:gridCol w:w="109"/>
        <w:gridCol w:w="109"/>
        <w:gridCol w:w="109"/>
        <w:gridCol w:w="109"/>
        <w:gridCol w:w="650"/>
        <w:gridCol w:w="650"/>
        <w:gridCol w:w="920"/>
      </w:tblGrid>
      <w:tr>
        <w:trPr/>
        <w:tc>
          <w:tcPr>
            <w:tcW w:w="47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72.7%</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27.3%</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revenues are primarily attributable to rental revenue from leasing our Distribution Systems to Windstream pursuant to the Windstream Leases. Under the Windstream Leases, </w:t>
      </w:r>
      <w:r>
        <w:rPr>
          <w:rFonts w:ascii="Times New Roman;sans-serif" w:hAnsi="Times New Roman;sans-serif"/>
          <w:b w:val="false"/>
          <w:color w:val="000000"/>
          <w:sz w:val="20"/>
          <w:shd w:fill="FFFFFF" w:val="clear"/>
        </w:rPr>
        <w:t xml:space="preserve">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2024 is </w:t>
      </w:r>
      <w:r>
        <w:rPr>
          <w:rFonts w:ascii="Times New Roman;sans-serif" w:hAnsi="Times New Roman;sans-serif"/>
          <w:b w:val="false"/>
          <w:color w:val="000000"/>
          <w:sz w:val="20"/>
        </w:rPr>
        <w:t>$675.6 million</w:t>
      </w:r>
      <w:r>
        <w:rPr>
          <w:color w:val="000000"/>
          <w:shd w:fill="FFFFFF" w:val="clear"/>
        </w:rPr>
        <w:t xml:space="preserve"> </w:t>
      </w:r>
      <w:r>
        <w:rPr>
          <w:rFonts w:ascii="Times New Roman;sans-serif" w:hAnsi="Times New Roman;sans-serif"/>
          <w:b w:val="false"/>
          <w:color w:val="000000"/>
          <w:sz w:val="20"/>
          <w:shd w:fill="FFFFFF" w:val="clear"/>
        </w:rPr>
        <w:t>and is subject to annual escalation at a rate of 0.5%. For a description of the Windstream Leases, see “Liquidity and Capital Resources— Windstream Leases” below.</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w:t>
      </w:r>
      <w:r>
        <w:rPr>
          <w:rFonts w:ascii="Times New Roman;sans-serif" w:hAnsi="Times New Roman;sans-serif"/>
          <w:b w:val="false"/>
          <w:color w:val="000000"/>
          <w:sz w:val="20"/>
        </w:rPr>
        <w:t>0.5%</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Pursuant to the Windstream Leases, Windstream (or any successor tenant under a Windstream Lease) has the right to cause Uniti to reimburse up to an aggregate </w:t>
      </w:r>
      <w:r>
        <w:rPr>
          <w:rFonts w:ascii="Times New Roman;sans-serif" w:hAnsi="Times New Roman;sans-serif"/>
          <w:b w:val="false"/>
          <w:color w:val="000000"/>
          <w:sz w:val="20"/>
        </w:rPr>
        <w:t>$1.75 billion</w:t>
      </w:r>
      <w:r>
        <w:rPr>
          <w:color w:val="000000"/>
          <w:shd w:fill="FFFFFF" w:val="clear"/>
        </w:rPr>
        <w:t xml:space="preserve"> </w:t>
      </w:r>
      <w:r>
        <w:rPr>
          <w:rFonts w:ascii="Times New Roman;sans-serif" w:hAnsi="Times New Roman;sans-serif"/>
          <w:b w:val="false"/>
          <w:color w:val="000000"/>
          <w:sz w:val="20"/>
          <w:shd w:fill="FFFFFF" w:val="clear"/>
        </w:rPr>
        <w:t>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Starting on the first anniversary of each installment of reimbursement for a Growth Capital Improvement, the rent payable by Windstream under the applicable Windstream Lease will increase by an amount equal to </w:t>
      </w:r>
      <w:r>
        <w:rPr>
          <w:rFonts w:ascii="Times New Roman;sans-serif" w:hAnsi="Times New Roman;sans-serif"/>
          <w:b w:val="false"/>
          <w:color w:val="000000"/>
          <w:sz w:val="20"/>
        </w:rPr>
        <w:t>8.0%</w:t>
      </w:r>
      <w:r>
        <w:rPr>
          <w:color w:val="000000"/>
          <w:shd w:fill="FFFFFF" w:val="clear"/>
        </w:rPr>
        <w:t xml:space="preserve"> </w:t>
      </w:r>
      <w:r>
        <w:rPr>
          <w:rFonts w:ascii="Times New Roman;sans-serif" w:hAnsi="Times New Roman;sans-serif"/>
          <w:b w:val="false"/>
          <w:color w:val="000000"/>
          <w:sz w:val="20"/>
          <w:shd w:fill="FFFFFF" w:val="clear"/>
        </w:rPr>
        <w:t xml:space="preserve">(the “Rent Rate”) of such installment of reimbursement. The Rent Rate will thereafter increase to </w:t>
      </w:r>
      <w:r>
        <w:rPr>
          <w:rFonts w:ascii="Times New Roman;sans-serif" w:hAnsi="Times New Roman;sans-serif"/>
          <w:b w:val="false"/>
          <w:color w:val="000000"/>
          <w:sz w:val="20"/>
        </w:rPr>
        <w:t>100.5%</w:t>
      </w:r>
      <w:r>
        <w:rPr>
          <w:color w:val="000000"/>
          <w:shd w:fill="FFFFFF" w:val="clear"/>
        </w:rPr>
        <w:t xml:space="preserve"> </w:t>
      </w:r>
      <w:r>
        <w:rPr>
          <w:rFonts w:ascii="Times New Roman;sans-serif" w:hAnsi="Times New Roman;sans-serif"/>
          <w:b w:val="false"/>
          <w:color w:val="000000"/>
          <w:sz w:val="20"/>
          <w:shd w:fill="FFFFFF" w:val="clear"/>
        </w:rPr>
        <w:t xml:space="preserve">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w:t>
      </w:r>
      <w:r>
        <w:rPr>
          <w:rFonts w:ascii="Times New Roman;sans-serif" w:hAnsi="Times New Roman;sans-serif"/>
          <w:b w:val="false"/>
          <w:color w:val="000000"/>
          <w:sz w:val="20"/>
        </w:rPr>
        <w:t>$20.0 million</w:t>
      </w:r>
      <w:r>
        <w:rPr>
          <w:color w:val="000000"/>
          <w:shd w:fill="FFFFFF" w:val="clear"/>
        </w:rPr>
        <w:t xml:space="preserve"> </w:t>
      </w:r>
      <w:r>
        <w:rPr>
          <w:rFonts w:ascii="Times New Roman;sans-serif" w:hAnsi="Times New Roman;sans-serif"/>
          <w:b w:val="false"/>
          <w:color w:val="000000"/>
          <w:sz w:val="20"/>
          <w:shd w:fill="FFFFFF" w:val="clear"/>
        </w:rPr>
        <w:t xml:space="preserve">per year. If Uniti fails to reimburse any Growth Capital Improvement payment or equipment loan funding request as and when it is required to do so under the terms of the Windstream Leases, and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TCIs exclude Growth Capital Improvements as and when reimbursed by Uniti.</w:t>
      </w:r>
    </w:p>
    <w:tbl>
      <w:tblPr>
        <w:tblW w:w="9808" w:type="dxa"/>
        <w:jc w:val="center"/>
        <w:tblInd w:w="0" w:type="dxa"/>
        <w:tblLayout w:type="fixed"/>
        <w:tblCellMar>
          <w:top w:w="28" w:type="dxa"/>
          <w:left w:w="28" w:type="dxa"/>
          <w:bottom w:w="28" w:type="dxa"/>
          <w:right w:w="28" w:type="dxa"/>
        </w:tblCellMar>
      </w:tblPr>
      <w:tblGrid>
        <w:gridCol w:w="895"/>
        <w:gridCol w:w="787"/>
        <w:gridCol w:w="792"/>
        <w:gridCol w:w="109"/>
        <w:gridCol w:w="109"/>
        <w:gridCol w:w="109"/>
        <w:gridCol w:w="211"/>
        <w:gridCol w:w="826"/>
        <w:gridCol w:w="109"/>
        <w:gridCol w:w="109"/>
        <w:gridCol w:w="109"/>
        <w:gridCol w:w="109"/>
        <w:gridCol w:w="614"/>
        <w:gridCol w:w="614"/>
        <w:gridCol w:w="616"/>
        <w:gridCol w:w="109"/>
        <w:gridCol w:w="109"/>
        <w:gridCol w:w="109"/>
        <w:gridCol w:w="211"/>
        <w:gridCol w:w="826"/>
        <w:gridCol w:w="109"/>
        <w:gridCol w:w="109"/>
        <w:gridCol w:w="109"/>
        <w:gridCol w:w="109"/>
        <w:gridCol w:w="554"/>
        <w:gridCol w:w="554"/>
        <w:gridCol w:w="78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Leasing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TCI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GCI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straight-line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Windstream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Leasing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TCI revenue is attributable to continued investment by Windstream. Windstream invested $66.1 million in TCIs during the quarter ended March 31, 2024. The total amount invested in TCIs by Windstream since the inception of the Windstream Leases (including the Master Lease) was $1.2 billion as of March 31, 2024 and $1.1 billion as of March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GCI revenue is attributable to Uniti’s continued reimbursement of Growth Capital Improvements. During the three months ended March 31, 2024, Uniti reimbursed $131.3 million of Growth Capital Improvements. Subsequent to March 31, 2024, Windstream requested, and we reimbursed $26.9 million of qualifying Growth Capital Improvements. As of the date of this Quarterly Report on Form 10-Q, we have reimbursed a total of $952.4 million of Growth Capital Improvements.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$20.6 million and $19.7 million of revenues from other services including non-Windstream triple-net leasing and dark fiber indefeasible rights of use (“IRU”) arrangements for the three months ended March 31, 2024 and 2023, respectively. The increase is primarily driven by revenues from new customer arrangements.</w:t>
      </w:r>
    </w:p>
    <w:p>
      <w:pPr>
        <w:pStyle w:val="TextBody"/>
        <w:bidi w:val="0"/>
        <w:spacing w:lineRule="auto" w:line="288" w:before="240" w:after="283"/>
        <w:jc w:val="left"/>
        <w:rPr/>
      </w:pPr>
      <w:r>
        <w:rPr>
          <w:rFonts w:ascii="Times New Roman;sans-serif" w:hAnsi="Times New Roman;sans-serif"/>
          <w:b w:val="false"/>
          <w:color w:val="000000"/>
          <w:sz w:val="20"/>
        </w:rPr>
        <w:t xml:space="preserve">Because </w:t>
      </w:r>
      <w:r>
        <w:rPr>
          <w:rFonts w:ascii="Times New Roman;sans-serif" w:hAnsi="Times New Roman;sans-serif"/>
          <w:b w:val="false"/>
          <w:color w:val="000000"/>
          <w:sz w:val="20"/>
          <w:shd w:fill="FFFFFF" w:val="clear"/>
        </w:rPr>
        <w:t>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 its business, (iv) conducting research to ascertain industry trends potentially affecting Windstream, (v) monitoring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Windstream’s compliance with the terms of the Windstream Leases and (vi) monitoring the timeliness of its payments under the 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Windstream is current on all lease payments. Moody's Investor Service's current corporate family rating for Windstream is B3 with a stable outlook. S&amp;P Global Ratings' current issuer rating for Windstream is B- with a stable outlook. In addition, in order to assist us in our continuing assessment of Windstream’s creditworthiness, we periodically receive certain confidential financial information and metrics from Windstream.</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revenues for the three months ended March 31, 2024 and 2023 consisted of the following:</w:t>
      </w:r>
    </w:p>
    <w:tbl>
      <w:tblPr>
        <w:tblW w:w="9373" w:type="dxa"/>
        <w:jc w:val="center"/>
        <w:tblInd w:w="0" w:type="dxa"/>
        <w:tblLayout w:type="fixed"/>
        <w:tblCellMar>
          <w:top w:w="28" w:type="dxa"/>
          <w:left w:w="28" w:type="dxa"/>
          <w:bottom w:w="28" w:type="dxa"/>
          <w:right w:w="28" w:type="dxa"/>
        </w:tblCellMar>
      </w:tblPr>
      <w:tblGrid>
        <w:gridCol w:w="814"/>
        <w:gridCol w:w="715"/>
        <w:gridCol w:w="720"/>
        <w:gridCol w:w="109"/>
        <w:gridCol w:w="109"/>
        <w:gridCol w:w="109"/>
        <w:gridCol w:w="211"/>
        <w:gridCol w:w="721"/>
        <w:gridCol w:w="109"/>
        <w:gridCol w:w="109"/>
        <w:gridCol w:w="109"/>
        <w:gridCol w:w="109"/>
        <w:gridCol w:w="614"/>
        <w:gridCol w:w="614"/>
        <w:gridCol w:w="616"/>
        <w:gridCol w:w="109"/>
        <w:gridCol w:w="109"/>
        <w:gridCol w:w="109"/>
        <w:gridCol w:w="211"/>
        <w:gridCol w:w="721"/>
        <w:gridCol w:w="109"/>
        <w:gridCol w:w="109"/>
        <w:gridCol w:w="109"/>
        <w:gridCol w:w="109"/>
        <w:gridCol w:w="554"/>
        <w:gridCol w:w="554"/>
        <w:gridCol w:w="782"/>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Segment Revenues</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 backhaul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Enterprise and wholesale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E-Rate and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Dark fiber and small cells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28.2%</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Uniti Fiber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Uniti Fiber revenues totaled $68.8 million as compared to $79.0 million for the three months ended March 31, 2023. Uniti Fiber revenues decreased $10.2 million primarily due to a $10.1 million decrease in dark fiber and small cells revenue related to decreased one-time early termination revenues and a $2.7 million decrease in E-rate and government revenues related to decreased equipment and installation sales, partially offset by a $4.3 million increase in Enterprise and wholesale revenues related to increased internet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9812" w:type="dxa"/>
        <w:jc w:val="center"/>
        <w:tblInd w:w="0" w:type="dxa"/>
        <w:tblLayout w:type="fixed"/>
        <w:tblCellMar>
          <w:top w:w="28" w:type="dxa"/>
          <w:left w:w="28" w:type="dxa"/>
          <w:bottom w:w="28" w:type="dxa"/>
          <w:right w:w="28" w:type="dxa"/>
        </w:tblCellMar>
      </w:tblPr>
      <w:tblGrid>
        <w:gridCol w:w="1770"/>
        <w:gridCol w:w="1554"/>
        <w:gridCol w:w="1566"/>
        <w:gridCol w:w="109"/>
        <w:gridCol w:w="109"/>
        <w:gridCol w:w="109"/>
        <w:gridCol w:w="211"/>
        <w:gridCol w:w="826"/>
        <w:gridCol w:w="109"/>
        <w:gridCol w:w="109"/>
        <w:gridCol w:w="109"/>
        <w:gridCol w:w="109"/>
        <w:gridCol w:w="211"/>
        <w:gridCol w:w="826"/>
        <w:gridCol w:w="109"/>
        <w:gridCol w:w="109"/>
        <w:gridCol w:w="109"/>
        <w:gridCol w:w="109"/>
        <w:gridCol w:w="300"/>
        <w:gridCol w:w="1131"/>
        <w:gridCol w:w="218"/>
      </w:tblGrid>
      <w:tr>
        <w:trPr/>
        <w:tc>
          <w:tcPr>
            <w:tcW w:w="177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facility - variable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(25,652)</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2024 decreased $25.7 million compared to the three months ended March 31, 2023. The decrease is primarily attributable to a loss on extinguishment of the 2025 Secured Notes recognized during the three months ended March 31, 2023 of $32.3 million, which included $10.3 million of non-cash interest expense for the write off of the unamortized discount and deferred financing costs and $22.0 million of cash interest expense for the redemption premium, partially offset by an increase in cash interest of $7.1 million primarily related to our secured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 Expense</w:t>
      </w:r>
    </w:p>
    <w:tbl>
      <w:tblPr>
        <w:tblW w:w="9196" w:type="dxa"/>
        <w:jc w:val="center"/>
        <w:tblInd w:w="0" w:type="dxa"/>
        <w:tblLayout w:type="fixed"/>
        <w:tblCellMar>
          <w:top w:w="28" w:type="dxa"/>
          <w:left w:w="28" w:type="dxa"/>
          <w:bottom w:w="28" w:type="dxa"/>
          <w:right w:w="28" w:type="dxa"/>
        </w:tblCellMar>
      </w:tblPr>
      <w:tblGrid>
        <w:gridCol w:w="1621"/>
        <w:gridCol w:w="1424"/>
        <w:gridCol w:w="1439"/>
        <w:gridCol w:w="109"/>
        <w:gridCol w:w="109"/>
        <w:gridCol w:w="109"/>
        <w:gridCol w:w="211"/>
        <w:gridCol w:w="721"/>
        <w:gridCol w:w="109"/>
        <w:gridCol w:w="109"/>
        <w:gridCol w:w="109"/>
        <w:gridCol w:w="109"/>
        <w:gridCol w:w="211"/>
        <w:gridCol w:w="721"/>
        <w:gridCol w:w="109"/>
        <w:gridCol w:w="109"/>
        <w:gridCol w:w="109"/>
        <w:gridCol w:w="109"/>
        <w:gridCol w:w="418"/>
        <w:gridCol w:w="924"/>
        <w:gridCol w:w="307"/>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 (Decrease)</w:t>
            </w:r>
          </w:p>
        </w:tc>
      </w:tr>
      <w:tr>
        <w:trPr/>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depreciation expense increased $0.8 million for the three months ended March 31, 2024 compared to the three months ended March 31, 2023, primarily due to asset additions since March 31, 2023. </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Uniti Fiber depreciation expense decreased $0.1 million for the three months ended March 31, 2024 compared to the three months ended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compensation costs, including stock-based compensation awards, professional and legal services, corporate office costs and other costs associated with administrative activities of our segments.</w:t>
      </w:r>
    </w:p>
    <w:tbl>
      <w:tblPr>
        <w:tblW w:w="10205" w:type="dxa"/>
        <w:jc w:val="center"/>
        <w:tblInd w:w="0" w:type="dxa"/>
        <w:tblLayout w:type="fixed"/>
        <w:tblCellMar>
          <w:top w:w="28" w:type="dxa"/>
          <w:left w:w="28" w:type="dxa"/>
          <w:bottom w:w="28" w:type="dxa"/>
          <w:right w:w="28" w:type="dxa"/>
        </w:tblCellMar>
      </w:tblPr>
      <w:tblGrid>
        <w:gridCol w:w="1161"/>
        <w:gridCol w:w="1020"/>
        <w:gridCol w:w="1029"/>
        <w:gridCol w:w="109"/>
        <w:gridCol w:w="109"/>
        <w:gridCol w:w="109"/>
        <w:gridCol w:w="211"/>
        <w:gridCol w:w="721"/>
        <w:gridCol w:w="109"/>
        <w:gridCol w:w="109"/>
        <w:gridCol w:w="109"/>
        <w:gridCol w:w="109"/>
        <w:gridCol w:w="592"/>
        <w:gridCol w:w="592"/>
        <w:gridCol w:w="594"/>
        <w:gridCol w:w="109"/>
        <w:gridCol w:w="109"/>
        <w:gridCol w:w="109"/>
        <w:gridCol w:w="211"/>
        <w:gridCol w:w="721"/>
        <w:gridCol w:w="109"/>
        <w:gridCol w:w="109"/>
        <w:gridCol w:w="109"/>
        <w:gridCol w:w="109"/>
        <w:gridCol w:w="534"/>
        <w:gridCol w:w="534"/>
        <w:gridCol w:w="759"/>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Uniti Leasing general and administrative expense decreased $0.3 million for the three months ended March 31, 2024 compared to the three months ended March 31, 2023, which is primarily due to a decrease in personnel expenses of $0.3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rPr>
        <w:t xml:space="preserve"> – </w:t>
      </w:r>
      <w:r>
        <w:rPr>
          <w:rFonts w:ascii="Times New Roman;sans-serif" w:hAnsi="Times New Roman;sans-serif"/>
          <w:b w:val="false"/>
          <w:color w:val="000000"/>
          <w:sz w:val="20"/>
        </w:rPr>
        <w:t xml:space="preserve">Uniti Fiber general and administrative expense increased $1.0 million for the three months ended March 31, 2024 compared to the three months ended March 31, 2023, which is primarily due to increases in personnel expense of $0.4 million, information technology expense of $0.2 million, and insurance expense of $0.2 million. </w:t>
      </w:r>
    </w:p>
    <w:p>
      <w:pPr>
        <w:pStyle w:val="TextBody"/>
        <w:bidi w:val="0"/>
        <w:spacing w:lineRule="auto" w:line="288" w:before="240" w:after="283"/>
        <w:jc w:val="left"/>
        <w:rPr/>
      </w:pPr>
      <w:r>
        <w:rPr>
          <w:rFonts w:ascii="Times New Roman;sans-serif" w:hAnsi="Times New Roman;sans-serif"/>
          <w:b w:val="false"/>
          <w:i/>
          <w:color w:val="000000"/>
          <w:sz w:val="20"/>
          <w:u w:val="single"/>
        </w:rPr>
        <w:t>Corporate</w:t>
      </w:r>
      <w:r>
        <w:rPr>
          <w:color w:val="000000"/>
        </w:rPr>
        <w:t xml:space="preserve"> – </w:t>
      </w:r>
      <w:r>
        <w:rPr>
          <w:rFonts w:ascii="Times New Roman;sans-serif" w:hAnsi="Times New Roman;sans-serif"/>
          <w:b w:val="false"/>
          <w:color w:val="000000"/>
          <w:sz w:val="20"/>
        </w:rPr>
        <w:t>Corporate general and administrative expense decreased $1.0 million for the three months ended March 31, 2024 compared to the three months ended March 31, 2023, which is primarily due to decreases in legal and professional fees of $0.6 million and insurance expenses of $0.2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expenses consist of network related costs, such as dark fiber and tower rents, lit service and maintenance expense and costs associated with our construction activities.</w:t>
      </w:r>
    </w:p>
    <w:tbl>
      <w:tblPr>
        <w:tblW w:w="10205" w:type="dxa"/>
        <w:jc w:val="center"/>
        <w:tblInd w:w="0" w:type="dxa"/>
        <w:tblLayout w:type="fixed"/>
        <w:tblCellMar>
          <w:top w:w="28" w:type="dxa"/>
          <w:left w:w="28" w:type="dxa"/>
          <w:bottom w:w="28" w:type="dxa"/>
          <w:right w:w="28" w:type="dxa"/>
        </w:tblCellMar>
      </w:tblPr>
      <w:tblGrid>
        <w:gridCol w:w="939"/>
        <w:gridCol w:w="827"/>
        <w:gridCol w:w="835"/>
        <w:gridCol w:w="109"/>
        <w:gridCol w:w="109"/>
        <w:gridCol w:w="109"/>
        <w:gridCol w:w="211"/>
        <w:gridCol w:w="721"/>
        <w:gridCol w:w="109"/>
        <w:gridCol w:w="109"/>
        <w:gridCol w:w="109"/>
        <w:gridCol w:w="109"/>
        <w:gridCol w:w="693"/>
        <w:gridCol w:w="693"/>
        <w:gridCol w:w="695"/>
        <w:gridCol w:w="109"/>
        <w:gridCol w:w="109"/>
        <w:gridCol w:w="109"/>
        <w:gridCol w:w="211"/>
        <w:gridCol w:w="721"/>
        <w:gridCol w:w="109"/>
        <w:gridCol w:w="109"/>
        <w:gridCol w:w="109"/>
        <w:gridCol w:w="109"/>
        <w:gridCol w:w="623"/>
        <w:gridCol w:w="623"/>
        <w:gridCol w:w="88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Consolidated Revenues</w:t>
            </w:r>
          </w:p>
        </w:tc>
      </w:tr>
      <w:tr>
        <w:trPr/>
        <w:tc>
          <w:tcPr>
            <w:tcW w:w="2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2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c>
      </w:tr>
    </w:tbl>
    <w:p>
      <w:pPr>
        <w:pStyle w:val="TextBody"/>
        <w:bidi w:val="0"/>
        <w:spacing w:lineRule="auto" w:line="288" w:before="240" w:after="283"/>
        <w:jc w:val="left"/>
        <w:rPr/>
      </w:pPr>
      <w:r>
        <w:rPr>
          <w:rFonts w:ascii="Times New Roman;sans-serif" w:hAnsi="Times New Roman;sans-serif"/>
          <w:b w:val="false"/>
          <w:i/>
          <w:color w:val="000000"/>
          <w:sz w:val="20"/>
          <w:u w:val="single"/>
        </w:rPr>
        <w:t>Uniti Leasing</w:t>
      </w:r>
      <w:r>
        <w:rPr>
          <w:color w:val="000000"/>
        </w:rPr>
        <w:t xml:space="preserve"> – </w:t>
      </w:r>
      <w:r>
        <w:rPr>
          <w:rFonts w:ascii="Times New Roman;sans-serif" w:hAnsi="Times New Roman;sans-serif"/>
          <w:b w:val="false"/>
          <w:color w:val="000000"/>
          <w:sz w:val="20"/>
        </w:rPr>
        <w:t xml:space="preserve">Uniti Leasing operating expense increased $0.7 million for the </w:t>
      </w:r>
      <w:r>
        <w:rPr>
          <w:rFonts w:ascii="Times New Roman;sans-serif" w:hAnsi="Times New Roman;sans-serif"/>
          <w:b w:val="false"/>
          <w:color w:val="000000"/>
          <w:sz w:val="20"/>
          <w:shd w:fill="FFFFFF" w:val="clear"/>
        </w:rPr>
        <w:t xml:space="preserve">three months ended March 31, 2024 and as compared to the three months ended March 31, 2023, which is </w:t>
      </w:r>
      <w:r>
        <w:rPr>
          <w:rFonts w:ascii="Times New Roman;sans-serif" w:hAnsi="Times New Roman;sans-serif"/>
          <w:b w:val="false"/>
          <w:color w:val="000000"/>
          <w:sz w:val="20"/>
        </w:rPr>
        <w:t>primarily due to increased leased asset costs of $1.0 million, partially offset by other non-recurring operating expenses of $0.2 million.</w:t>
      </w:r>
    </w:p>
    <w:p>
      <w:pPr>
        <w:pStyle w:val="TextBody"/>
        <w:bidi w:val="0"/>
        <w:spacing w:lineRule="auto" w:line="288" w:before="240" w:after="283"/>
        <w:jc w:val="left"/>
        <w:rPr/>
      </w:pPr>
      <w:r>
        <w:rPr>
          <w:rFonts w:ascii="Times New Roman;sans-serif" w:hAnsi="Times New Roman;sans-serif"/>
          <w:b w:val="false"/>
          <w:i/>
          <w:color w:val="000000"/>
          <w:sz w:val="20"/>
          <w:u w:val="single"/>
        </w:rPr>
        <w:t>Uniti Fiber</w:t>
      </w:r>
      <w:r>
        <w:rPr>
          <w:color w:val="000000"/>
          <w:shd w:fill="FFFFFF" w:val="clear"/>
        </w:rPr>
        <w:t xml:space="preserve"> – </w:t>
      </w:r>
      <w:r>
        <w:rPr>
          <w:rFonts w:ascii="Times New Roman;sans-serif" w:hAnsi="Times New Roman;sans-serif"/>
          <w:b w:val="false"/>
          <w:color w:val="000000"/>
          <w:sz w:val="20"/>
          <w:shd w:fill="FFFFFF" w:val="clear"/>
        </w:rPr>
        <w:t xml:space="preserve">Uniti Fiber operating expense </w:t>
      </w:r>
      <w:r>
        <w:rPr>
          <w:rFonts w:ascii="Times New Roman;sans-serif" w:hAnsi="Times New Roman;sans-serif"/>
          <w:b w:val="false"/>
          <w:color w:val="000000"/>
          <w:sz w:val="20"/>
        </w:rPr>
        <w:t>decreased $0.6 million</w:t>
      </w:r>
      <w:r>
        <w:rPr>
          <w:color w:val="000000"/>
          <w:shd w:fill="FFFFFF" w:val="clear"/>
        </w:rPr>
        <w:t xml:space="preserve"> </w:t>
      </w:r>
      <w:r>
        <w:rPr>
          <w:rFonts w:ascii="Times New Roman;sans-serif" w:hAnsi="Times New Roman;sans-serif"/>
          <w:b w:val="false"/>
          <w:color w:val="000000"/>
          <w:sz w:val="20"/>
          <w:shd w:fill="FFFFFF" w:val="clear"/>
        </w:rPr>
        <w:t>for the three months ended March 31, 2024 compared to the three months ended March 31, 2023, which is primarily due to a decrease in off network expense of $0.9 million, partially offset by an increase in network maintenance and repair expense of $0.6 million</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Transaction Related and Other Costs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related and other costs during the three months ended March 31, 2024 and 2023 included incremental acquisition, pursuit, transaction and integration costs (including unsuccessful acquisition pursuit costs). For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months ended March 31, 2024, we incurred $5.7 million of transaction related and other costs, compared to $2.8 million of such costs during the </w:t>
      </w:r>
      <w:r>
        <w:rPr>
          <w:rFonts w:ascii="Times New Roman;sans-serif" w:hAnsi="Times New Roman;sans-serif"/>
          <w:b w:val="false"/>
          <w:color w:val="000000"/>
          <w:sz w:val="20"/>
          <w:shd w:fill="FFFFFF" w:val="clear"/>
        </w:rPr>
        <w:t>three months ended March 31, 2023</w:t>
      </w:r>
      <w:r>
        <w:rPr>
          <w:rFonts w:ascii="Times New Roman;sans-serif" w:hAnsi="Times New Roman;sans-serif"/>
          <w:b w:val="false"/>
          <w:color w:val="000000"/>
          <w:sz w:val="20"/>
        </w:rPr>
        <w:t xml:space="preserv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Expense (Income), net</w:t>
      </w:r>
    </w:p>
    <w:p>
      <w:pPr>
        <w:pStyle w:val="TextBody"/>
        <w:bidi w:val="0"/>
        <w:spacing w:lineRule="auto" w:line="288" w:before="240" w:after="283"/>
        <w:jc w:val="left"/>
        <w:rPr/>
      </w:pPr>
      <w:r>
        <w:rPr>
          <w:rFonts w:ascii="Times New Roman;sans-serif" w:hAnsi="Times New Roman;sans-serif"/>
          <w:b w:val="false"/>
          <w:color w:val="000000"/>
          <w:sz w:val="20"/>
        </w:rPr>
        <w:t>Other expense (income), net decreased $20.5 million</w:t>
      </w:r>
      <w:r>
        <w:rPr>
          <w:color w:val="000000"/>
        </w:rPr>
        <w:t xml:space="preserve"> </w:t>
      </w:r>
      <w:r>
        <w:rPr>
          <w:rFonts w:ascii="Times New Roman;sans-serif" w:hAnsi="Times New Roman;sans-serif"/>
          <w:b w:val="false"/>
          <w:color w:val="000000"/>
          <w:sz w:val="20"/>
        </w:rPr>
        <w:t xml:space="preserve">for the three months ended March 31, 2024 compared to the </w:t>
      </w:r>
      <w:r>
        <w:rPr>
          <w:rFonts w:ascii="Times New Roman;sans-serif" w:hAnsi="Times New Roman;sans-serif"/>
          <w:b w:val="false"/>
          <w:color w:val="000000"/>
          <w:sz w:val="20"/>
          <w:shd w:fill="FFFFFF" w:val="clear"/>
        </w:rPr>
        <w:t>three months ended March 31, 2023</w:t>
      </w:r>
      <w:r>
        <w:rPr>
          <w:rFonts w:ascii="Times New Roman;sans-serif" w:hAnsi="Times New Roman;sans-serif"/>
          <w:b w:val="false"/>
          <w:color w:val="000000"/>
          <w:sz w:val="20"/>
        </w:rPr>
        <w:t xml:space="preserve">. The decrease is due to $20.6 million of costs related to the issuance of the February 2028 Secured Notes which were recognized during the </w:t>
      </w:r>
      <w:r>
        <w:rPr>
          <w:rFonts w:ascii="Times New Roman;sans-serif" w:hAnsi="Times New Roman;sans-serif"/>
          <w:b w:val="false"/>
          <w:color w:val="000000"/>
          <w:sz w:val="20"/>
          <w:shd w:fill="FFFFFF" w:val="clear"/>
        </w:rPr>
        <w:t>three months ended March 31,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income tax benefit recorded for the three months ended March 31, 2024 and 2023, respectively, is related to the tax impact of the following:</w:t>
      </w:r>
    </w:p>
    <w:tbl>
      <w:tblPr>
        <w:tblW w:w="6250" w:type="dxa"/>
        <w:jc w:val="center"/>
        <w:tblInd w:w="0" w:type="dxa"/>
        <w:tblLayout w:type="fixed"/>
        <w:tblCellMar>
          <w:top w:w="28" w:type="dxa"/>
          <w:left w:w="28" w:type="dxa"/>
          <w:bottom w:w="28" w:type="dxa"/>
          <w:right w:w="28" w:type="dxa"/>
        </w:tblCellMar>
      </w:tblPr>
      <w:tblGrid>
        <w:gridCol w:w="1258"/>
        <w:gridCol w:w="1107"/>
        <w:gridCol w:w="1115"/>
        <w:gridCol w:w="109"/>
        <w:gridCol w:w="109"/>
        <w:gridCol w:w="109"/>
        <w:gridCol w:w="215"/>
        <w:gridCol w:w="706"/>
        <w:gridCol w:w="111"/>
        <w:gridCol w:w="111"/>
        <w:gridCol w:w="111"/>
        <w:gridCol w:w="111"/>
        <w:gridCol w:w="215"/>
        <w:gridCol w:w="706"/>
        <w:gridCol w:w="157"/>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loss (Uniti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undistributed REIT taxable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REIT state and local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We</w:t>
      </w:r>
      <w:r>
        <w:rPr>
          <w:color w:val="000000"/>
          <w:shd w:fill="FFFFFF" w:val="clear"/>
        </w:rPr>
        <w:t xml:space="preserve"> </w:t>
      </w:r>
      <w:r>
        <w:rPr>
          <w:rFonts w:ascii="Times New Roman;sans-serif" w:hAnsi="Times New Roman;sans-serif"/>
          <w:b w:val="false"/>
          <w:color w:val="000000"/>
          <w:sz w:val="20"/>
          <w:shd w:fill="FFFFFF" w:val="clear"/>
        </w:rPr>
        <w:t>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dispositions, plus real estate depreciation and amortization and impairment charges, and includes adjustments to reflect the Company’s share of FFO from unconsolidated entities. We compute FFO in accordance with NAREIT’s definition.</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Times New Roman;sans-serif" w:hAnsi="Times New Roman;sans-serif"/>
          <w:b w:val="false"/>
          <w:color w:val="000000"/>
          <w:sz w:val="24"/>
          <w:shd w:fill="FFFFFF" w:val="clear"/>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Further, </w:t>
      </w:r>
      <w:r>
        <w:rPr>
          <w:rFonts w:ascii="Times New Roman;sans-serif" w:hAnsi="Times New Roman;sans-serif"/>
          <w:b w:val="false"/>
          <w:color w:val="000000"/>
          <w:sz w:val="20"/>
          <w:shd w:fill="FFFFFF" w:val="clear"/>
        </w:rPr>
        <w:t>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our net income (loss) to EBITDA and Adjusted EBITDA and of our net income (loss) attributable to common shareholders to FFO and AFFO for the three months ended March 31, 2024 and 2023 is as follows:</w:t>
      </w:r>
    </w:p>
    <w:tbl>
      <w:tblPr>
        <w:tblW w:w="7959" w:type="dxa"/>
        <w:jc w:val="center"/>
        <w:tblInd w:w="0" w:type="dxa"/>
        <w:tblLayout w:type="fixed"/>
        <w:tblCellMar>
          <w:top w:w="28" w:type="dxa"/>
          <w:left w:w="28" w:type="dxa"/>
          <w:bottom w:w="28" w:type="dxa"/>
          <w:right w:w="28" w:type="dxa"/>
        </w:tblCellMar>
      </w:tblPr>
      <w:tblGrid>
        <w:gridCol w:w="1916"/>
        <w:gridCol w:w="1684"/>
        <w:gridCol w:w="1695"/>
        <w:gridCol w:w="211"/>
        <w:gridCol w:w="826"/>
        <w:gridCol w:w="109"/>
        <w:gridCol w:w="109"/>
        <w:gridCol w:w="109"/>
        <w:gridCol w:w="109"/>
        <w:gridCol w:w="211"/>
        <w:gridCol w:w="826"/>
        <w:gridCol w:w="154"/>
      </w:tblGrid>
      <w:tr>
        <w:trPr/>
        <w:tc>
          <w:tcPr>
            <w:tcW w:w="191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8663" w:type="dxa"/>
        <w:jc w:val="left"/>
        <w:tblInd w:w="0" w:type="dxa"/>
        <w:tblLayout w:type="fixed"/>
        <w:tblCellMar>
          <w:top w:w="28" w:type="dxa"/>
          <w:left w:w="28" w:type="dxa"/>
          <w:bottom w:w="28" w:type="dxa"/>
          <w:right w:w="28" w:type="dxa"/>
        </w:tblCellMar>
      </w:tblPr>
      <w:tblGrid>
        <w:gridCol w:w="2209"/>
        <w:gridCol w:w="1938"/>
        <w:gridCol w:w="1957"/>
        <w:gridCol w:w="211"/>
        <w:gridCol w:w="721"/>
        <w:gridCol w:w="109"/>
        <w:gridCol w:w="109"/>
        <w:gridCol w:w="109"/>
        <w:gridCol w:w="109"/>
        <w:gridCol w:w="211"/>
        <w:gridCol w:w="826"/>
        <w:gridCol w:w="154"/>
      </w:tblGrid>
      <w:tr>
        <w:trPr/>
        <w:tc>
          <w:tcPr>
            <w:tcW w:w="220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Participating securities share in FFO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 and amortization from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deferred financing costs and debt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Non-real estate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revenues and amortization of below-market lease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equity in earnings from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for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$337.9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2023, and are limited to $225 million per year in 2024; $175 million per year in 2025 and 2026; and $125 million per year in 2027 through 2029.</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As of March 31, 2024, we had total cash and cash equivalents of $50.7 million, including $7.7 million of restricted cash and cash equivalents, approximately $427.0 million of borrowing availability under our Revolving Credit Facility under the Credit Agreement, and up to $75.0 million of borrowing capacity under our ABS Loan Facility, subject to satisfying certain financial metrics and transferring certain additional assets into the facility as collateral, which we expect to occur within twelve months. Subsequent to March 31, 2024, other than $26.9 million of Growth Capital Improvements </w:t>
      </w:r>
      <w:r>
        <w:rPr>
          <w:rFonts w:ascii="Times New Roman;sans-serif" w:hAnsi="Times New Roman;sans-serif"/>
          <w:b w:val="false"/>
          <w:color w:val="000000"/>
          <w:sz w:val="20"/>
          <w:shd w:fill="FFFFFF" w:val="clear"/>
        </w:rPr>
        <w:t xml:space="preserve">(see </w:t>
      </w:r>
      <w:r>
        <w:rPr>
          <w:color w:val="000000"/>
          <w:shd w:fill="FFFFFF" w:val="clear"/>
        </w:rPr>
        <w:t>“</w:t>
      </w:r>
      <w:r>
        <w:rPr>
          <w:rFonts w:ascii="Times New Roman;sans-serif" w:hAnsi="Times New Roman;sans-serif"/>
          <w:b w:val="false"/>
          <w:i/>
          <w:color w:val="000000"/>
          <w:sz w:val="20"/>
          <w:shd w:fill="FFFFFF" w:val="clear"/>
        </w:rPr>
        <w:t>Result of Operations—Revenues”</w:t>
      </w:r>
      <w:r>
        <w:rPr>
          <w:color w:val="000000"/>
          <w:shd w:fill="FFFFFF" w:val="clear"/>
        </w:rPr>
        <w:t xml:space="preserve"> </w:t>
      </w:r>
      <w:r>
        <w:rPr>
          <w:rFonts w:ascii="Times New Roman;sans-serif" w:hAnsi="Times New Roman;sans-serif"/>
          <w:b w:val="false"/>
          <w:color w:val="000000"/>
          <w:sz w:val="20"/>
          <w:shd w:fill="FFFFFF" w:val="clear"/>
        </w:rPr>
        <w:t>above),</w:t>
      </w:r>
      <w:r>
        <w:rPr>
          <w:color w:val="000000"/>
        </w:rPr>
        <w:t xml:space="preserve"> </w:t>
      </w:r>
      <w:r>
        <w:rPr>
          <w:rFonts w:ascii="Times New Roman;sans-serif" w:hAnsi="Times New Roman;sans-serif"/>
          <w:b w:val="false"/>
          <w:color w:val="000000"/>
          <w:sz w:val="20"/>
        </w:rPr>
        <w:t xml:space="preserve">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leverage ratio exceeds 6.5:1, our Revolving Credit Facility would impose significant restrictions on our ability to pay dividends. See “—Dividends.”</w:t>
      </w:r>
    </w:p>
    <w:tbl>
      <w:tblPr>
        <w:tblW w:w="6232" w:type="dxa"/>
        <w:jc w:val="center"/>
        <w:tblInd w:w="0" w:type="dxa"/>
        <w:tblLayout w:type="fixed"/>
        <w:tblCellMar>
          <w:top w:w="28" w:type="dxa"/>
          <w:left w:w="28" w:type="dxa"/>
          <w:bottom w:w="28" w:type="dxa"/>
          <w:right w:w="28" w:type="dxa"/>
        </w:tblCellMar>
      </w:tblPr>
      <w:tblGrid>
        <w:gridCol w:w="1253"/>
        <w:gridCol w:w="1102"/>
        <w:gridCol w:w="1109"/>
        <w:gridCol w:w="109"/>
        <w:gridCol w:w="109"/>
        <w:gridCol w:w="109"/>
        <w:gridCol w:w="219"/>
        <w:gridCol w:w="641"/>
        <w:gridCol w:w="113"/>
        <w:gridCol w:w="113"/>
        <w:gridCol w:w="113"/>
        <w:gridCol w:w="113"/>
        <w:gridCol w:w="219"/>
        <w:gridCol w:w="750"/>
        <w:gridCol w:w="160"/>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$6.2 million and $14.6 million for the three months ended March 31, 2024 and 2023, respectively. The decrease in net cash provided by operating activities during the three months ended March 31, 2024 is primarily attributable to an increase in cash interest expense associated with our secured notes.</w:t>
      </w:r>
    </w:p>
    <w:tbl>
      <w:tblPr>
        <w:tblW w:w="6868" w:type="dxa"/>
        <w:jc w:val="left"/>
        <w:tblInd w:w="0" w:type="dxa"/>
        <w:tblLayout w:type="fixed"/>
        <w:tblCellMar>
          <w:top w:w="28" w:type="dxa"/>
          <w:left w:w="28" w:type="dxa"/>
          <w:bottom w:w="28" w:type="dxa"/>
          <w:right w:w="28" w:type="dxa"/>
        </w:tblCellMar>
      </w:tblPr>
      <w:tblGrid>
        <w:gridCol w:w="1324"/>
        <w:gridCol w:w="1164"/>
        <w:gridCol w:w="1172"/>
        <w:gridCol w:w="109"/>
        <w:gridCol w:w="109"/>
        <w:gridCol w:w="109"/>
        <w:gridCol w:w="211"/>
        <w:gridCol w:w="901"/>
        <w:gridCol w:w="109"/>
        <w:gridCol w:w="109"/>
        <w:gridCol w:w="109"/>
        <w:gridCol w:w="109"/>
        <w:gridCol w:w="211"/>
        <w:gridCol w:w="901"/>
        <w:gridCol w:w="221"/>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other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unconsolidated entity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(114,374)</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Net cash used in investing activities decreased $26.8 million for the three months ended March 31, 2024 </w:t>
      </w:r>
      <w:r>
        <w:rPr>
          <w:rFonts w:ascii="Times New Roman;sans-serif" w:hAnsi="Times New Roman;sans-serif"/>
          <w:b w:val="false"/>
          <w:color w:val="000000"/>
          <w:sz w:val="20"/>
          <w:shd w:fill="FFFFFF" w:val="clear"/>
        </w:rPr>
        <w:t>compared to the three months ended March 31, 2023</w:t>
      </w:r>
      <w:r>
        <w:rPr>
          <w:rFonts w:ascii="Times New Roman;sans-serif" w:hAnsi="Times New Roman;sans-serif"/>
          <w:b w:val="false"/>
          <w:color w:val="000000"/>
          <w:sz w:val="20"/>
        </w:rPr>
        <w:t>, primarily driven by proceeds from the sale of our investment in BB Fiber Holdings LLC and proceeds from the sale of the CableSouth network, partially offset by an increase in Growth Capital Improvements of $63.8 million, which we classify as success-based capital expenditures. Capital expenditures are primarily related to our Uniti Fiber and Uniti Leasing businesses for deployment of network assets, as described below under “—Capital Expenditures.”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8631" w:type="dxa"/>
        <w:jc w:val="center"/>
        <w:tblInd w:w="0" w:type="dxa"/>
        <w:tblLayout w:type="fixed"/>
        <w:tblCellMar>
          <w:top w:w="28" w:type="dxa"/>
          <w:left w:w="28" w:type="dxa"/>
          <w:bottom w:w="28" w:type="dxa"/>
          <w:right w:w="28" w:type="dxa"/>
        </w:tblCellMar>
      </w:tblPr>
      <w:tblGrid>
        <w:gridCol w:w="1997"/>
        <w:gridCol w:w="1756"/>
        <w:gridCol w:w="1767"/>
        <w:gridCol w:w="109"/>
        <w:gridCol w:w="109"/>
        <w:gridCol w:w="109"/>
        <w:gridCol w:w="211"/>
        <w:gridCol w:w="721"/>
        <w:gridCol w:w="109"/>
        <w:gridCol w:w="109"/>
        <w:gridCol w:w="109"/>
        <w:gridCol w:w="109"/>
        <w:gridCol w:w="211"/>
        <w:gridCol w:w="1051"/>
        <w:gridCol w:w="154"/>
      </w:tblGrid>
      <w:tr>
        <w:trPr/>
        <w:tc>
          <w:tcPr>
            <w:tcW w:w="199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settlement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ABS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for settlement of common stock warrant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bond hedge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related to the early 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Net cash provided by financing activities was $69.9 million for the three months ended March 31, 2024, which was primarily related to the $275.0 million proceeds from the ABS Loan Facility, offset by </w:t>
      </w:r>
      <w:r>
        <w:rPr>
          <w:rFonts w:ascii="Times New Roman;sans-serif" w:hAnsi="Times New Roman;sans-serif"/>
          <w:b w:val="false"/>
          <w:color w:val="212529"/>
          <w:sz w:val="20"/>
          <w:shd w:fill="FFFFFF" w:val="clear"/>
        </w:rPr>
        <w:t xml:space="preserve">net payments under the Revolving Credit Facility of $135.0 million, dividend payments of </w:t>
      </w:r>
      <w:r>
        <w:rPr>
          <w:rFonts w:ascii="Times New Roman;sans-serif" w:hAnsi="Times New Roman;sans-serif"/>
          <w:b w:val="false"/>
          <w:color w:val="000000"/>
          <w:sz w:val="20"/>
        </w:rPr>
        <w:t xml:space="preserve">$35.8 million, repayment of the settlement payable of $24.5 million, financing costs related to the ABS Loan Facility of $7.9 million, </w:t>
      </w:r>
      <w:r>
        <w:rPr>
          <w:rFonts w:ascii="Times New Roman;sans-serif" w:hAnsi="Times New Roman;sans-serif"/>
          <w:b w:val="false"/>
          <w:color w:val="212529"/>
          <w:sz w:val="20"/>
          <w:shd w:fill="FFFFFF" w:val="clear"/>
        </w:rPr>
        <w:t>and payments related to tax withholding for stock-based compensation of $1.5 million. Net c</w:t>
      </w:r>
      <w:r>
        <w:rPr>
          <w:rFonts w:ascii="Times New Roman;sans-serif" w:hAnsi="Times New Roman;sans-serif"/>
          <w:b w:val="false"/>
          <w:color w:val="000000"/>
          <w:sz w:val="20"/>
          <w:shd w:fill="FFFFFF" w:val="clear"/>
        </w:rPr>
        <w:t xml:space="preserve">ash provided by financing activities was $126.4 million for the three months ended March 31, 2023, which was primarily related to the proceeds from issuance of the February 2028 Secured Notes of </w:t>
      </w:r>
      <w:r>
        <w:rPr>
          <w:rFonts w:ascii="Times New Roman;sans-serif" w:hAnsi="Times New Roman;sans-serif"/>
          <w:b w:val="false"/>
          <w:color w:val="212529"/>
          <w:sz w:val="20"/>
          <w:shd w:fill="FFFFFF" w:val="clear"/>
        </w:rPr>
        <w:t>$2.6 billion, offset by the repayment of the 2025 Secured Notes of $2.3 billion, repayment of the settlement payable of $24.5 million, costs related to the early repayment of the 2025 Secured Notes of</w:t>
      </w:r>
      <w:r>
        <w:rPr>
          <w:color w:val="000000"/>
          <w:shd w:fill="FFFFFF" w:val="clear"/>
        </w:rPr>
        <w:t xml:space="preserve"> </w:t>
      </w:r>
      <w:r>
        <w:rPr>
          <w:rFonts w:ascii="Times New Roman;sans-serif" w:hAnsi="Times New Roman;sans-serif"/>
          <w:b w:val="false"/>
          <w:color w:val="212529"/>
          <w:sz w:val="20"/>
          <w:shd w:fill="FFFFFF" w:val="clear"/>
        </w:rPr>
        <w:t>$44.3 million, payments for financing costs related to the February 2028 Secured Notes of $26.7 million,</w:t>
      </w:r>
      <w:r>
        <w:rPr>
          <w:color w:val="000000"/>
          <w:shd w:fill="FFFFFF" w:val="clear"/>
        </w:rPr>
        <w:t xml:space="preserve"> </w:t>
      </w:r>
      <w:r>
        <w:rPr>
          <w:rFonts w:ascii="Times New Roman;sans-serif" w:hAnsi="Times New Roman;sans-serif"/>
          <w:b w:val="false"/>
          <w:color w:val="000000"/>
          <w:sz w:val="20"/>
          <w:shd w:fill="FFFFFF" w:val="clear"/>
        </w:rPr>
        <w:t xml:space="preserve">net payments of $113.0 million under the Revolving Credit Facility, and payments related to tax withholding for stock-based compensation of </w:t>
      </w:r>
      <w:r>
        <w:rPr>
          <w:rFonts w:ascii="Times New Roman;sans-serif" w:hAnsi="Times New Roman;sans-serif"/>
          <w:b w:val="false"/>
          <w:color w:val="212529"/>
          <w:sz w:val="20"/>
          <w:shd w:fill="FFFFFF" w:val="clear"/>
        </w:rPr>
        <w:t>$1.3 million</w:t>
      </w:r>
      <w:r>
        <w:rPr>
          <w:rFonts w:ascii="Times New Roman;sans-serif" w:hAnsi="Times New Roman;sans-serif"/>
          <w:b w:val="false"/>
          <w:color w:val="000000"/>
          <w:sz w:val="20"/>
          <w:shd w:fill="FFFFFF" w:val="clear"/>
        </w:rPr>
        <w:t>.</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Windstream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2023, and are limited to $225 million in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amount in any calendar year will carry-over and may be added to the annual limits for subsequent calendar years, subject to an annual limit of $250 million in any calendar year.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March 31, 2024.</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UPREIT Operating Partnership Units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would expect to eliminate this structure when we complete the Windstream combination.</w:t>
      </w:r>
    </w:p>
    <w:p>
      <w:pPr>
        <w:pStyle w:val="TextBody"/>
        <w:bidi w:val="0"/>
        <w:spacing w:lineRule="auto" w:line="288" w:before="24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Outlook</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invest in our network infrastructure across our Uniti Leasing and Uniti Fiber portfolios. Additionally, we anticipate repaying the principal balance and accrued interest of our 4.00% Exchangeable Notes due June 15, 2024 (the "Exchangeable Notes"). We anticipate that we will partially finance these needs, as well as operating expenses (including our debt service obligations), from our cash on hand, borrowings under our Revolving Credit Facility and ABS Loan Facility, and cash flows provided by operating activities. As of March 31, 2024, we had $427.0 million in borrowing availability under our Revolving Credit Facility. Additionally, we have up to $75.0 million in borrowing availability under our ABS Loan Facility, subject to satisfying certain financial metrics and transferring certain additional assets into the facility as collateral, which we expect will occur within twelve months.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potential Merger with Windstream, we intend to fund the Merger Cash Consideration under the Merger Agreement with the issuance, subject to market conditions and other factors, of up to an aggregate principal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$300 million of secured debt, along with cash on hand. See “—Significant Business Developments—Our Proposed Merger with Windstream” for more information about our proposed Merger with Windstream.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circumstances warrant, we may take measures to conserve cash as we anticipate that it will be more difficult for us to access the capital markets at attractive rates until such uncertainty is clarified.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bl>
      <w:tblPr>
        <w:tblW w:w="8296" w:type="dxa"/>
        <w:jc w:val="center"/>
        <w:tblInd w:w="0" w:type="dxa"/>
        <w:tblLayout w:type="fixed"/>
        <w:tblCellMar>
          <w:top w:w="28" w:type="dxa"/>
          <w:left w:w="28" w:type="dxa"/>
          <w:bottom w:w="28" w:type="dxa"/>
          <w:right w:w="28" w:type="dxa"/>
        </w:tblCellMar>
      </w:tblPr>
      <w:tblGrid>
        <w:gridCol w:w="910"/>
        <w:gridCol w:w="800"/>
        <w:gridCol w:w="809"/>
        <w:gridCol w:w="109"/>
        <w:gridCol w:w="109"/>
        <w:gridCol w:w="109"/>
        <w:gridCol w:w="211"/>
        <w:gridCol w:w="826"/>
        <w:gridCol w:w="109"/>
        <w:gridCol w:w="109"/>
        <w:gridCol w:w="109"/>
        <w:gridCol w:w="109"/>
        <w:gridCol w:w="233"/>
        <w:gridCol w:w="681"/>
        <w:gridCol w:w="122"/>
        <w:gridCol w:w="109"/>
        <w:gridCol w:w="109"/>
        <w:gridCol w:w="109"/>
        <w:gridCol w:w="294"/>
        <w:gridCol w:w="649"/>
        <w:gridCol w:w="153"/>
        <w:gridCol w:w="109"/>
        <w:gridCol w:w="109"/>
        <w:gridCol w:w="109"/>
        <w:gridCol w:w="211"/>
        <w:gridCol w:w="826"/>
        <w:gridCol w:w="154"/>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Success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Maintenance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Non-Network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Leasing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Growth capital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Uniti Fiber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We categorize our capital expenditures as either (i) success-based, (ii) maintenance, or (iii)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t>
      </w:r>
      <w:r>
        <w:rPr>
          <w:rFonts w:ascii="Times New Roman;sans-serif" w:hAnsi="Times New Roman;sans-serif"/>
          <w:b w:val="false"/>
          <w:color w:val="000000"/>
          <w:sz w:val="20"/>
          <w:shd w:fill="FFFFFF" w:val="clear"/>
        </w:rPr>
        <w:t xml:space="preserve">We have the right, but not the obligation (except for Growth Capital Improvements), to </w:t>
      </w:r>
      <w:r>
        <w:rPr>
          <w:rFonts w:ascii="Times New Roman;sans-serif" w:hAnsi="Times New Roman;sans-serif"/>
          <w:b w:val="false"/>
          <w:color w:val="000000"/>
          <w:sz w:val="20"/>
        </w:rPr>
        <w:t>reimburse</w:t>
      </w:r>
      <w:r>
        <w:rPr>
          <w:color w:val="000000"/>
          <w:shd w:fill="FFFFFF" w:val="clear"/>
        </w:rPr>
        <w:t xml:space="preserve"> </w:t>
      </w:r>
      <w:r>
        <w:rPr>
          <w:rFonts w:ascii="Times New Roman;sans-serif" w:hAnsi="Times New Roman;sans-serif"/>
          <w:b w:val="false"/>
          <w:color w:val="000000"/>
          <w:sz w:val="20"/>
          <w:shd w:fill="FFFFFF" w:val="clear"/>
        </w:rPr>
        <w:t>growth capital expenditures in certain of our lease arrangements where we are the lessor.</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Uniti’s total annual reimbursement commitments to Windstream for the Growth Capital Improvements is discussed above in this Part I, Item 2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pStyle w:val="TextBody"/>
        <w:bidi w:val="0"/>
        <w:spacing w:lineRule="auto" w:line="288" w:before="240" w:after="283"/>
        <w:jc w:val="left"/>
        <w:rPr/>
      </w:pPr>
      <w:r>
        <w:rPr>
          <w:rFonts w:ascii="Times New Roman;sans-serif" w:hAnsi="Times New Roman;sans-serif"/>
          <w:b w:val="false"/>
          <w:color w:val="000000"/>
          <w:sz w:val="20"/>
        </w:rPr>
        <w:t xml:space="preserve">If circumstances warrant, </w:t>
      </w:r>
      <w:r>
        <w:rPr>
          <w:rFonts w:ascii="Times New Roman;sans-serif" w:hAnsi="Times New Roman;sans-serif"/>
          <w:b w:val="false"/>
          <w:color w:val="000000"/>
          <w:sz w:val="20"/>
          <w:shd w:fill="FFFFFF" w:val="clear"/>
        </w:rPr>
        <w:t xml:space="preserve">we may need to take measures to conserve cash, which may include a suspension, delay or reduction in success-based capital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below sets out details regarding our cash dividends on our common stock:</w:t>
      </w:r>
    </w:p>
    <w:tbl>
      <w:tblPr>
        <w:tblW w:w="8387" w:type="dxa"/>
        <w:jc w:val="center"/>
        <w:tblInd w:w="0" w:type="dxa"/>
        <w:tblLayout w:type="fixed"/>
        <w:tblCellMar>
          <w:top w:w="28" w:type="dxa"/>
          <w:left w:w="28" w:type="dxa"/>
          <w:bottom w:w="28" w:type="dxa"/>
          <w:right w:w="28" w:type="dxa"/>
        </w:tblCellMar>
      </w:tblPr>
      <w:tblGrid>
        <w:gridCol w:w="1032"/>
        <w:gridCol w:w="903"/>
        <w:gridCol w:w="914"/>
        <w:gridCol w:w="109"/>
        <w:gridCol w:w="109"/>
        <w:gridCol w:w="109"/>
        <w:gridCol w:w="429"/>
        <w:gridCol w:w="429"/>
        <w:gridCol w:w="431"/>
        <w:gridCol w:w="109"/>
        <w:gridCol w:w="109"/>
        <w:gridCol w:w="109"/>
        <w:gridCol w:w="464"/>
        <w:gridCol w:w="1125"/>
        <w:gridCol w:w="240"/>
        <w:gridCol w:w="109"/>
        <w:gridCol w:w="109"/>
        <w:gridCol w:w="109"/>
        <w:gridCol w:w="421"/>
        <w:gridCol w:w="421"/>
        <w:gridCol w:w="597"/>
      </w:tblGrid>
      <w:tr>
        <w:trPr/>
        <w:tc>
          <w:tcPr>
            <w:tcW w:w="103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Cash 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Record Date</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2024</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Under the Merger Agreement with Windstream, we have agreed to suspend dividend payments or other distributions until the consummation of the Merger, except for the dividend payable on June 28, 2024 and those dividends reasonably required for us or our subsidiaries to maintain its status as a REIT or to avoid the payment or imposition of income or excise tax, among other customary exceptions. Any </w:t>
      </w:r>
      <w:r>
        <w:rPr>
          <w:rFonts w:ascii="Times New Roman;sans-serif" w:hAnsi="Times New Roman;sans-serif"/>
          <w:b w:val="false"/>
          <w:color w:val="000000"/>
          <w:sz w:val="20"/>
          <w:shd w:fill="FFFFFF" w:val="clear"/>
        </w:rPr>
        <w:t xml:space="preserve">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on our critical accounting estimates, see “Management’s Discussion and Analysis of Financial Condition and Results of Operations” and the notes to our audited financial statements included in our Annual Report. As of March 31, 2024, there has been no material change to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Guidance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accounting rules and disclosures can impact our reported results and comparability of our financial statements. See Note 2 of Notes to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information reported under Item 7A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240" w:after="283"/>
        <w:jc w:val="left"/>
        <w:rPr/>
      </w:pPr>
      <w:r>
        <w:rPr>
          <w:rFonts w:ascii="Times New Roman;sans-serif" w:hAnsi="Times New Roman;sans-serif"/>
          <w:b w:val="false"/>
          <w:color w:val="000000"/>
          <w:sz w:val="20"/>
        </w:rPr>
        <w:t xml:space="preserve">We </w:t>
      </w:r>
      <w:r>
        <w:rPr>
          <w:rFonts w:ascii="Times New Roman;sans-serif" w:hAnsi="Times New Roman;sans-serif"/>
          <w:b w:val="false"/>
          <w:color w:val="000000"/>
          <w:sz w:val="20"/>
          <w:shd w:fill="FFFFFF" w:val="clear"/>
        </w:rPr>
        <w:t>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r>
        <w:rPr>
          <w:rFonts w:ascii="Times New Roman;sans-serif" w:hAnsi="Times New Roman;sans-serif"/>
          <w:b w:val="false"/>
          <w:color w:val="000000"/>
          <w:sz w:val="20"/>
        </w:rPr>
        <w:t>.</w:t>
      </w:r>
    </w:p>
    <w:p>
      <w:pPr>
        <w:pStyle w:val="TextBody"/>
        <w:bidi w:val="0"/>
        <w:spacing w:lineRule="auto" w:line="288" w:before="240" w:after="283"/>
        <w:jc w:val="left"/>
        <w:rPr/>
      </w:pPr>
      <w:r>
        <w:rPr>
          <w:rFonts w:ascii="Times New Roman;sans-serif" w:hAnsi="Times New Roman;sans-serif"/>
          <w:b w:val="false"/>
          <w:color w:val="000000"/>
          <w:sz w:val="20"/>
        </w:rPr>
        <w:t xml:space="preserve">Our </w:t>
      </w:r>
      <w:r>
        <w:rPr>
          <w:rFonts w:ascii="Times New Roman;sans-serif" w:hAnsi="Times New Roman;sans-serif"/>
          <w:b w:val="false"/>
          <w:color w:val="000000"/>
          <w:sz w:val="20"/>
          <w:shd w:fill="FFFFFF" w:val="clear"/>
        </w:rPr>
        <w:t xml:space="preserve">management, with the participation of our principal executive officer and principal financial officer, evaluated the effectiveness of our disclosure controls and procedures as of March 31, 2024, and based on this evaluation, our principal executive officer and principal financial officer concluded that our disclosure controls and procedures were not effective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of March 31, 2024, due to the material weakness in our internal control over financial reporting that was disclosed in our Annual Report</w:t>
      </w:r>
    </w:p>
    <w:p>
      <w:pPr>
        <w:pStyle w:val="TextBody"/>
        <w:bidi w:val="0"/>
        <w:spacing w:lineRule="auto" w:line="288" w:before="24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disclosed in Part II, Item 9A "Controls and Procedures” in our Annual Report, during the fourth quarter of 2023, we identified a material weakness in our internal control over financial reporting due to ineffective controls over the annual goodwill impairment assessment. Specifically, the Company did not have a sufficient complement of personnel with appropriate technical expertise to perform an effective risk assessment related to determining the income tax impact of goodwill impairments. As a result, certain control activities in the goodwill and tax processes were not designed and implemented effectively. As of March 31, 2024, management is continuing to implement the remediation plan as disclosed in “Part II. Item 9A. Controls and Procedures” in our Annual Report, which is described below.</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240" w:after="283"/>
        <w:jc w:val="left"/>
        <w:rPr/>
      </w:pPr>
      <w:r>
        <w:rPr>
          <w:rFonts w:ascii="Times New Roman;sans-serif" w:hAnsi="Times New Roman;sans-serif"/>
          <w:b w:val="false"/>
          <w:color w:val="000000"/>
          <w:sz w:val="20"/>
        </w:rPr>
        <w:t xml:space="preserve">There </w:t>
      </w:r>
      <w:r>
        <w:rPr>
          <w:rFonts w:ascii="Times New Roman;sans-serif" w:hAnsi="Times New Roman;sans-serif"/>
          <w:b w:val="false"/>
          <w:color w:val="000000"/>
          <w:sz w:val="20"/>
          <w:shd w:fill="FFFFFF" w:val="clear"/>
        </w:rPr>
        <w:t>were no changes in our internal control over financial reporting, as such term is defined in Rule 13a-15(f) under the Exchange Act, that occurred during the quarter ended March 31, 2024 that has materially affected, or is reasonably likely to materially affect, our internal control over financial reporting</w:t>
      </w:r>
      <w:r>
        <w:rPr>
          <w:rFonts w:ascii="Times New Roman;sans-serif" w:hAnsi="Times New Roman;sans-serif"/>
          <w:b w:val="false"/>
          <w:color w:val="000000"/>
          <w:sz w:val="20"/>
        </w:rPr>
        <w:t>.</w:t>
      </w:r>
      <w:r>
        <w:rPr>
          <w:color w:val="000000"/>
        </w:rPr>
        <w:t xml:space="preserve"> </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Remediation Plan</w:t>
      </w:r>
    </w:p>
    <w:p>
      <w:pPr>
        <w:pStyle w:val="TextBody"/>
        <w:bidi w:val="0"/>
        <w:spacing w:lineRule="auto" w:line="268" w:before="240" w:after="283"/>
        <w:jc w:val="left"/>
        <w:rPr/>
      </w:pPr>
      <w:r>
        <w:rPr>
          <w:rFonts w:ascii="Times New Roman;sans-serif" w:hAnsi="Times New Roman;sans-serif"/>
          <w:b w:val="false"/>
          <w:color w:val="000000"/>
          <w:sz w:val="20"/>
          <w:shd w:fill="FFFFFF" w:val="clear"/>
        </w:rPr>
        <w:t xml:space="preserve">Management is continuing to implement the remediation plan as disclosed in </w:t>
      </w:r>
      <w:r>
        <w:rPr>
          <w:rFonts w:ascii="Times New Roman;sans-serif" w:hAnsi="Times New Roman;sans-serif"/>
          <w:b w:val="false"/>
          <w:color w:val="000000"/>
          <w:sz w:val="20"/>
        </w:rPr>
        <w:t>Part II, Item 9A "Controls and Procedures</w:t>
      </w:r>
      <w:r>
        <w:rPr>
          <w:color w:val="000000"/>
          <w:shd w:fill="FFFFFF" w:val="clear"/>
        </w:rPr>
        <w:t xml:space="preserve">” </w:t>
      </w:r>
      <w:r>
        <w:rPr>
          <w:rFonts w:ascii="Times New Roman;sans-serif" w:hAnsi="Times New Roman;sans-serif"/>
          <w:b w:val="false"/>
          <w:color w:val="000000"/>
          <w:sz w:val="20"/>
          <w:shd w:fill="FFFFFF" w:val="clear"/>
        </w:rPr>
        <w:t>in our Annual Report, to ensure that the deficiency contributing to the material weakness is remediated such that this control will operate effectively. We believe that these actions, and the improvements we expect to achieve as a result, will effectively remediate the material weakness. However, the material weakness in our internal control over financial reporting will not be considered remediated until management has concluded, through testing, that this control is designed effectively. We expect that the remediation of this material weakness will be completed later in fiscal year 2024</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A </w:t>
      </w:r>
      <w:r>
        <w:rPr>
          <w:rFonts w:ascii="Times New Roman;sans-serif" w:hAnsi="Times New Roman;sans-serif"/>
          <w:b w:val="false"/>
          <w:color w:val="000000"/>
          <w:sz w:val="20"/>
        </w:rPr>
        <w:t xml:space="preserve">description of legal proceedings can be found in Note 12 </w:t>
      </w:r>
      <w:r>
        <w:rPr>
          <w:rFonts w:ascii="Times New Roman;sans-serif" w:hAnsi="Times New Roman;sans-serif"/>
          <w:b w:val="false"/>
          <w:color w:val="000000"/>
          <w:sz w:val="20"/>
          <w:shd w:fill="FFFFFF" w:val="clear"/>
        </w:rPr>
        <w:t>- Commitments and Contingencies</w:t>
      </w:r>
      <w:r>
        <w:rPr>
          <w:color w:val="000000"/>
        </w:rPr>
        <w:t xml:space="preserve"> </w:t>
      </w:r>
      <w:r>
        <w:rPr>
          <w:rFonts w:ascii="Times New Roman;sans-serif" w:hAnsi="Times New Roman;sans-serif"/>
          <w:b w:val="false"/>
          <w:color w:val="000000"/>
          <w:sz w:val="20"/>
        </w:rPr>
        <w:t>to our Condensed Consolidated Financial Statements, included in this report at Part I, Item 1- Financial Statements,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Proposed Merger with Windstream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 failure to complete and close our Merger with Windstream could cause reputational harm and have a negative impact on our business, operations, earnings, financial results and the trading and pricing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our Merger with Windstream is not completed and does not ultimately close, such failure to complete and close our Merger with Windstream could result in irreparable reputational harm as perceived by our partners, our employees, our investors, our shareholders, investor and securities analysts, our peers, others in the telecommunications industry and any other third party whether presently known or unknown. A failure to complete and close our Merger with Windstream could have a negative impact on our business, operations, earnings, financial results and the trading and pricing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Completion of the Merger is subject to several conditions beyond our control that may prevent, delay or otherwise adversely affect its completion in a material way, including the required approvals described below. In addition, either we or Windstream may terminate the Merger Agreement under certain circumstances, including if the Merger is not completed by the end date determined pursuant to the Merger Agreement. If the Merger Agreement is terminated under certain circumstances, we would be required to pay a termination fee to Windstream or would otherwise be required to reimburse Windstream for certain expenses.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realize the benefits expected from our Merger with Windstream could adversely affect the value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actually realize any of the benefits expected from our Merger with Windstream, or realize such benefits within the anticipated timeframe. Anticipated benefits from our Merger with Windstream include lower costs, increased revenues, synergies and growth opportunities. Achieving these benefits will depend, in part, on our ability to combine our and Windstream’s businesses successfully and efficiently. The challenges involved in this combination, which will be complex and time consuming, include the following: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preserving our and Windstream’s customer and other important relationships and attracting new business and operational relationships;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integrating financial forecasting and controls, procedures and reporting cycles;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consolidating and integrating corporate, information technology, finance and administrative infrastructures; and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integrating employees and related HR systems and benefits, maintaining employee morale and retaining key employees.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successfully manage these issues and the other challenges inherent in our Merger with Windstream, then we may not achieve the anticipated benefits on our anticipated timeframe or at all and our revenue, expenses, operating results and financial condition and stock price could be materially adversely affected.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uncertainties while our Merger with Windstream is pending may negatively impact our ability to attract and retain personnel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Uncertainty about the effect of our Merger with Windstream on our employees and customers may have an adverse effect on us. These uncertainties may impair our ability to attract, retain and motivate key personnel until our Merger with Windstream is completed and could cause customers and others that deal with us to seek to change their existing business relationships with us. Retention or hiring of certain employees may be challenging while our Merger with Windstream is pending, as certain employees may experience uncertainty about their future roles with the combined company. If key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employees depart because of issues relating to the uncertainty and difficulty of integration or a desire not to remain with the combined entity, our business could be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our Merger with Windstream is not completed, we will have incurred substantial expenses without realizing the expected benefits of our Merger with Windstream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expenses in connection with the negotiation and entry into the Merger Agreement and will incur additional expenses as we move toward completion of the transactions contemplated by the Merger Agreement. If our Merger with Windstream is not completed, we would have to recognize the expenses we have incurred without realizing the expected benefits of our Merger with Windstream, which could materially impact our earnings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Merger with Windstream may distract our management from their other responsibilities and the Merger Agreement may limit our ability to pursue new opportunities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could cause our management to focus their time and energies on matters related to the transaction that otherwise would be directed to our business and operations. Any such distraction on the part of our management could affect our ability to service existing business and develop new business and adversely affect our business and earnings before the completion of our Merger with Windstream.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Merger Agreement contains operating covenants that limit certain of our operating activities or require the approval of Windstream before we may engage in such activities during the pendency of our Merger with Windstream. These operating covenants may adversely affect our ability to develop or pursue new business opportunities.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Merger Agreement contains provisions that limit our ability to pursue alternatives to the Merger and could discourage a potential competing transaction counterparty from making a favorable alternative transaction proposal to us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Merger Agreement contains provisions that make it more difficult for us to be acquired by, or enter into certain combination transactions with, a third party. The Merger Agreement contains certain provisions that restrict our ability to, among other things, solicit, initiate or take any action to knowingly induce the making, submission or announcement of, or knowingly facilitate or encourage the submission of an alternative transaction, or participate or engage in any discussions or negotiations, or cooperate with any person, with respect to an alternative transaction. In addition, following our receipt of any alternative transaction proposal that constitutes a Superior Proposal (as defined in the Merger Agreement), Windstream would have an opportunity to offer to modify the terms of the Merger Agreement before our board may withhold, qualify or modify in a manner adverse to Windstream its recommendation with respect to the Merger and before we may terminate the Merger Agreement. If the Merger Agreement is terminated by us to enter into a Superior Proposal or by Windstream if our board withholds, qualifies. modifies in a manner adverse to Windstream its recommendation with respect to the Merger or takes certain similar actions, we would be required to pay a termination fee of $55 million to Windstream, as contemplated by the Merger Agreement.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could discourage a potential third-party acquiror or merger partner that might have an interest in acquiring or combining with all or a significant portion of us or pursuing an alternative transaction from considering or proposing such a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Shareholder litigation could prevent or delay the closing of our Merger with Windstream or otherwise negatively impact our business and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incur additional costs in connection with the defense or settlement of any future shareholder lawsuits filed in connection with our proposed Merger with Windstream. Such litigation could have an adverse effect on our financial condition and results of operations and could prevent or delay the consummation of our Merger with Windstream.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our Merger with Windstream is completed, Uniti shareholders may recognize taxable gain or loss for U.S. federal income tax purposes as a result of the transaction, and be liable for tax with respect to any such gain, even though they will not receive any cash in the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parties to the Merger Agreement have structured the Merger in a manner that is intended to provide New Uniti with certain tax benefits after the completion of the transaction. It is expected that, if our Merger with Windstream is completed in the manner currently contemplated by the Merger Agreement, Uniti shareholders will generally recognize taxable gain or loss for U.S. federal income purposes (and applicable state or local income tax purposes) on their exchange of Uniti shares for shares of New Uniti. Such gain or loss will generally be equal to the difference between the fair market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of New Uniti received in the transaction and the tax basis of the Uniti shares surrendered therefor. Uniti shareholders may be liable for U.S. federal, state and/or local income taxes with respect to any such gain recognized on the transaction, even though they will not receive any cash in the transaction. The Merger Agreement provides that, with the consent of the parties, our Merger with Windstream may be completed on the basis of an alternative structure which could result in such tax benefits not being available to New Uniti and Uniti shareholders qualifying for tax-free treatment with respect to their exchange of Uniti Shares for shares of New Uniti. However, there can be no assurance as to which structure will be used for our Merger with Windstream, if the Merger is completed, and thus what the actual tax consequences of the Merger as completed will be to New Uniti and the Uniti shareholders.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Merger with Windstream is subject to the receipt of required approvals, consents and clearances from regulatory authorities, which if delayed or not granted or granted with unacceptable conditions, may prevent, delay or jeopardize the consummation of our Merger with Windstream, result in additional expenditures of money and resources and/or reduce the anticipated benefits of our Merger with Windstream</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Merger with Windstream is subject to customary closing conditions, including, among others, the receipt of the required approval by Uniti stockholders and the expiration or termination of applicable waiting periods under the HSR Act of 1976, the receipt of approvals from the FCC and certain state public utility commissions, and other applicable laws. The governmental authorities whose approval we need generally have broad discretion in making their decisions. We can provide no assurance that required approvals, consents or clearances will be obtained in a timely manner or at all. Further, no assurance can be given that the required stockholder approval will be obtained or that the required closing conditions will be satisfied. If all required approvals, consents and clearances are obtained and the closing conditions are satisfied, no assurance can be given as to the terms, conditions and timing of the approvals, consents or clearances, which may impose requirements, limitations or costs or other restrictions on the conduct of the Company or the combined company following our Merger with Windstream. If the Merger Agreement is terminated because the requisite approval of Uniti stockholders is not obtained, then in certain circumstances we would be required to pay Windstream of a termination fee of $55 million or, in other circumstances, to reimburse Windstream for certain expenses, not to exceed $25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our Merger with Windstream is completed, the Windstream Leases will become intercompany agreements; the performance and financial condition of New Uniti will remain subject to Windstream’s ability to satisfy its payment and other obligations under the Windstream Leases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our Merger with Windstream is completed, the Windstream Leases will become intercompany agreements within New Uniti and Windstream will remain obligated to make lease payments to Uniti pursuant to their terms. In the event Windstream’s financial condition or performance deteriorates and Windstream is unable to satisfy its payment and other obligations under the Windstream Leases, the financial position and results of operations of the combined New Uniti could be materially and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Upon consummation of our Merger with Windstream, New Uniti will become an integrated telecommunications company and will be subject to additional risks associated with Windstream’s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Upon consummation of our Merger with Windstream, New Uniti will become an integrated telecommunications company and will be subject to additional risks associated with Windstream’s business, including:</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competition in Windstream’s business markets, which could adversely affect New Uniti’s results of operations and financial condition, including from cable television companies in Windstream’s consumer markets that are subject to less stringent industry regulations, which could result in voice line and revenues losses in the future;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rapid changes in technology could affect Windstream’s ability to compete for business customers;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 certain operating territories and/or at certain locations, Windstream is dependent on other carriers to provide facilities that Windstream uses to provide service to its customers;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disruptions and congestion in Windstream’s networks and infrastructure may cause it to lose customers and incur additional expenses;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continuous increases in broadband usage may cause network capacity limitations, resulting in service disruptions or reduced capacity for customers;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Windstream is subject to various forms of regulation from the FCC and state regulatory commissions in the states in which it operates, which limit its pricing flexibility for regulated voice and high-speed Internet products, subject it to service quality, service reporting and other obligations and expose it to the reduction of revenue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universal service fund (“USF”) program, the inter-carrier compensation system, or access to interconnection with competitors’ facilities;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Windstream’s operations require substantial capital expenditures, and if funds for capital expenditures are not available when needed, this could affect its service to customers and its growth opportunities;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level of returns on Windstream’s pension plan investments and changes to the actuarial assumptions used to value its pension obligations could have a material effect on its earnings and result in material funding requirements to meet its pension obligations;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new technologies may affect Windstream’s ability to compete in its consumer markets;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Windstream receives revenues from state and federal USF program, and any material adverse regulatory developments with respect to these funds could adversely affect our financial and operating condition;</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Windstream’s relationships with other communications companies is material to its operations and their financial difficulties may adversely affect Windstream;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key suppliers of Windstream may experience financial difficulties that may affect New Uniti’s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Windstream to make payments to us under the Windstream Leases, and an event that materially and adversely affects Windstream’s business, financial position or results of operations could materially and adversely affect our business, financial position or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Windstream is the lessee of the Distribution Systems pursuant to the Windstream Leases and, therefore, is presently the source of a substantial portion of our revenues. If our Merger with Windstream is not completed, there can be no assurance that Windstream will have sufficient assets, income and access to financing to enable it to satisfy its payment and other obligations under the Windstream Leases. In recent years, Windstream has experienced annual declines in its total revenue, sales and cash flow and has undergone a restructuring under Chapter 11 of the U.S. Bankruptcy Code.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inability or unwillingness of Windstream to meet its rent obligations under the Windstream Leases could materially adversely affect our business, financial position or results of operations, including our ability to pay dividends to our stockholders as required to maintain our status as a REIT. The inability of Windstream to satisfy its other obligations under the Windstream Leases, such as the payment of insurance, taxes and utilities, could materially and adversely affect the condition of the Distribution Systems as well as the business, financial position and results of operations of Windstream. In addition, Windstream will be dependent on distributions from its subsidiaries in order to satisfy the payment obligations under the Windstream Leases, as such, if its subsidiaries were to experience a material and adverse effect on their business, financial position or results of operations, our business, financial position or results of operations could also be materially and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Failure by Windstream to comply with the terms of the Windstream Leases or to comply with the regulations to which the Distribution Systems are subject could require us to find another lessee for such Distribution Systems, or a portion thereof, and there could be a decrease or cessation of rental payments by Windstream.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we would be able to lease the Distribution Systems to another lessee on substantially equivalent or better terms than the Windstream Leases, or at all, successfully reposition the Distribution Systems for other uses or sell the Distribution Systems on terms that are favorable to us. It may be more difficult to find a replacement tenant for a telecommunications property than it would be to find a replacement tenant for a general commercial property due to the specialized nature of the business. Even if we are able to find a suitable replacement tenant for the Distribution Systems, transfers of operations of communication distribution systems are subject to regulatory approvals not required for transfers of other types of commercial operations, which may affect our ability to successfully transition the Distribution Systems.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unable to renew the Windstream Leases on commercially attractive terms or at all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term of the Windstream Leases expires on April 30, 2030. If our Merger with Windstream is not completed, there can be no assurance that Windstream will renew the Windstream Leases upon their expiration. See “Significant Business Developments—Our Proposed Merger with Windstream” in Part I, Item 2 “Management’s Discussion and Analysis of Financial Condition and Results of Operations” of this Quarterly Report on Form 10-Q for more information about our proposed Merger with Windstream.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our Merger with Windstream is not completed and Windstream elects to renew the Windstream Leases, we and Windstream will need to reach a mutual agreement on the rent for the renewal term. The Windstream Leases require that the renewal rent be “Fair Market Rent,” and if we and Windstream are unable to agree on that amount, the renewal Fair Market Rent will be determined by an independent appraisal process. If the current rent payable by Windstream exceeds the Fair Market Rent at the time of renewal, then the renewal term rent will be lower than the current rent payable by Windstream. We are confident that any renewal established through this process will be at a rate reflecting fair value as required by the terms of the Windstream Leases and should be at an amount that will at least approximate current rent amounts, but we can provide no assurance as to the outcome of any negotiation or appraisal process. Any significant decrease in the renewal rent of the Windstream Leases could have a material adverse effect on our results of operations, financial condition and future prospects.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level of indebtedness could materially and adversely affect our financial position, including reducing funds available for other business purposes and reducing our operational flexibility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outstanding long-term indebtedness of approximately $5.8 billion, consisting of senior notes, the ABS Loan Facility (as defined herein) and a revolving credit facility provided by a syndicate of banks and other financial institutions, which, as of March 31, 2024, provided for an aggregate committed amount of borrowings up to approximately $500 million. Additionally, on February 23, 2024, we entered into the ABS Loan Agreement (as defined herein) which provides for the ABS Loan Facility of up to $350 million. We also expect to incur an additional $300 million of debt in connection with our Merger with Windstream.See “Significant Business Developments—Asset-Backed Bridge Loan Facility and –Our Proposed Merger with Windstream” in Part I, Item 2 “Management’s Discussion and Analysis of Financial Condition and Results of Operations” of this Quarterly Report on Form 10-Q for more information. Subject to the restrictions set forth in our debt agreements, our board of directors may establish and change our leverage policy at any time without stockholder approval. Any significant additional indebtedness could require a substantial portion of our cash flow to make interest and principal payments due on our indebtedness. Greater demands on our cash resources may reduce funds available to us to pay dividends, make capital expenditures and acquisitions, or carry out other aspects of our business strategy.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flexibility, including our ability to acquire assets, finance or refinance our assets or sell assets as needed, and our ability to pay dividends.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anticipate that we will have sufficient access to liquidity to fund our cash needs; if we are unable to do so, we would need to reduce our spending and it could have an adverse effect on us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invest in our network infrastructure across our Uniti Leasing and Uniti Fiber portfolios. We anticipate declaring dividends for the 2023 tax year to comply with our REIT distribution requirements. We anticipate that we will partially finance these needs, together with operating expenses (including our debt service obligations) from our cash on hand and cash flows provided by operating activities. We also expect the need to raise capital to fund obligations to Windstream, including (i) $490.1 million of settlement payments payable over time (of which $147.0 million remains to be paid as of March 31, 2024) and (ii) an aggregate of up to $1.75 billion for certain growth capital improvements (of which $824.5 million remains to be paid as of March 31, 2024) in long-term value accretive fiber and related assets made by Windstream (or other applicable tenant) to certain ILEC and CLEC properties (the “Growth Capital Improvements”) subject to the Windstream Leases (although such investments will lead to higher rent payments). However, we may need to access the capital markets to generate additional funds in an amount sufficient to fund our business operations, announced investment activities, capital expenditures, debt service and distributions to our shareholders. We are closely monitoring the equity and debt markets and will seek to access them promptly when we determine market conditions are appropriate.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intend to pursue acquisitions and seek other strategic opportunities, which may result in the use of a significant amount of management resources or significant costs, and we may not fully realize the potential benefits of such transactions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pursue acquisitions and seek other strategic opportunities. Accordingly, we currently are, and expect in the future to be, engaged in evaluating potential transactions and other strategic alternatives. Although there is uncertainty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In the event that we consummate an acquisition or strategic alternative in the future, there is no assurance that we would fully realize the potential benefits of such a transaction. Integration may be difficult and unpredictable, and acquisition-related integration costs, including certain non-recurring charges, could materially and adversely affect our results of operations. Moreover, integrating assets and businesses may significantly burden management and internal resources, including the potential loss or unavailability of key personnel. If we fail to successfully integrate the assets and businesses we acquire, we may not fully realize the potential benefits we expect, and our operating results could be adversely affected.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are dependent on the communications industry and may be susceptible to the risks associated with it, which could materially adversely affect our business, financial position or results of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owner, lessor and provider of communications services and distribution systems serving the communications industry, we are impacted by the risks associated with the communications industry. Therefore, our success is and, following the successful completion of our potential Merger with Windstream, will remain dependent on the communications industry, which could be adversely affected by economic conditions in general, changes in consumer trends and preferences, changes in communications technology designed to enhance the efficiency of communications distribution systems (including lit fiber networks and wireless equipment), and other factors over which we and our tenants have no control. As we are subject to risks inherent in substantial investments in a single industry, a decrease in the communications business or development and implementation of any such new technologies would likely have an adverse effect on our revenues.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government regulations and changes in current or future laws, regulations or rules could restrict our ability to operate our business in the manner currently contemplated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and that of our tenants, is subject to federal, state and local regulation. In certain jurisdictions these regulations could be applied or enforced retroactively. Local zoning authorities and community organizations are often opposed to construction in their communities and these regulations can delay, prevent or increase the cost of new distribution system construction and modifications, thereby limiting our ability to respond to customer demands and requirements. Existing regulatory policies may materially and adversely affect the associated timing or cost of such projects and additional regulations (including, but not limited to, regulations related to public health and safety matters similar to ones adopted in recent years to prevent the spread of COVID-19, like travel restrictions, stay at home policies, temporary business closures, social distancing and vaccination requirements) may be adopted which increase delays or result in additional costs to us, or that prevent such projects in certain locations. These factors could materially and adversely affect our business, results of operations or financial condition. For more information regarding the regulations we are subject to, please see the section entitled “Business - Government Regulation, Licensing and Enforcement.”</w:t>
      </w:r>
    </w:p>
    <w:p>
      <w:pPr>
        <w:pStyle w:val="TextBody"/>
        <w:bidi w:val="0"/>
        <w:spacing w:before="0" w:after="0"/>
        <w:ind w:left="0" w:right="0" w:firstLine="187"/>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identified a material weakness in our internal control over financial reporting which could, if not remediated, result in material misstatements in our financial statements</w:t>
      </w:r>
    </w:p>
    <w:p>
      <w:pPr>
        <w:pStyle w:val="TextBody"/>
        <w:bidi w:val="0"/>
        <w:spacing w:before="0" w:after="0"/>
        <w:ind w:left="0" w:right="0" w:firstLine="187"/>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further described in Part II, Item 9A “Controls and Procedures” in our Annual Report and Part I, Item 4 of this Quarterly Report on Form 10-Q, in the course of completing our assessment of internal control over financial reporting as of December 31, 2023, management identified a material weakness in our internal control over financial reporting related to controls over the annual goodwill impairment assessment. Specifically, the Company did not have a sufficient complement of personnel with appropriate technical expertise to perform an effective risk assessment related to determining the income tax impact of goodwill impairments, resulting in improper design and implementation of certain control activities in the goodwill and tax process. A “material weakness” is a deficiency, or a combination of deficiencies, in internal control over financial reporting, such that there is a reasonable possibility that a material misstatement of the annual or interim financial statements would not be prevented or detected on a timely basis. As a result, management has concluded that, because of this material weakness, our internal control over financial reporting and our disclosure controls and procedures were not effective as of December 31, 2023 and, as of March 31, 2024, management is continuing to implement the remediation plan as disclosed in Part II, Item 9A “Controls and Procedures” in our Annual Report. If we fail to complete the remediation of this material weakness, or after having remediated such material weakness, thereafter fail to maintain the effectiveness of our internal control over financial reporting or our disclosure controls and procedures, we could be subjected to regulatory scrutiny, civil or criminal penalties or shareholder litigation, the defense of any of which could cause the diversion of management’s attention and resources, we could incur significant legal and other expenses, and we could be required to pay damages to settle such actions if any such actions were not resolved in our favor. Continued or future failure to maintain effective internal control over financial reporting could also result in financial statements that do not accurately reflect our financial condition or results of operations. There can be no assurance that we will not conclude in the future that this material weakness continues to exist or that we will not identify any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or other material weaknesses that will impair our ability to report our financial condition and results of operations accurately or on a timely basis.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Any further impairment of our goodwill would negatively impact our financial condition</w:t>
      </w:r>
    </w:p>
    <w:p>
      <w:pPr>
        <w:pStyle w:val="TextBody"/>
        <w:bidi w:val="0"/>
        <w:spacing w:before="0" w:after="0"/>
        <w:ind w:left="0" w:right="0" w:firstLine="187"/>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Goodwill represents the excess of cost over the fair value of net assets acquired in business combinations. Impairment may result from significant changes in the manner of use of the acquired assets, negative industry or economic trends and/or any changes in the key assumptions regarding our fair value. The extent to which the fair value of net assets acquired in business combinations is ultimately impacted will depend on numerous evolving factors that are presently uncertain and which we may not be able to predict. Although we assess potential impairment of our goodwill on an annual basis, negative industry or economic trends and/or any changes in key assumptions regarding our fair value may cause us to perform an interim analysis of our goodwill and cause us to report an impairment charge in the future, which could have a significant adverse impact on our reported earnings. At March 31, 2024, we had $157.4 million of goodwill on our consolidated balance sheet after recognizing a $204.0 million goodwill impairment charge for the Uniti Fiber reporting unit during the year ended December 31, 2023. For a discussion of our goodwill impairment testing, see </w:t>
      </w:r>
      <w:r>
        <w:rPr>
          <w:rFonts w:ascii="Times New Roman;sans-serif" w:hAnsi="Times New Roman;sans-serif"/>
          <w:b w:val="false"/>
          <w:color w:val="0000FF"/>
          <w:sz w:val="20"/>
        </w:rPr>
        <w:t>Note 3</w:t>
      </w:r>
      <w:r>
        <w:rPr>
          <w:color w:val="000000"/>
        </w:rPr>
        <w:t xml:space="preserve"> </w:t>
      </w:r>
      <w:r>
        <w:rPr>
          <w:rFonts w:ascii="Times New Roman;sans-serif" w:hAnsi="Times New Roman;sans-serif"/>
          <w:b w:val="false"/>
          <w:color w:val="000000"/>
          <w:sz w:val="20"/>
        </w:rPr>
        <w:t>to our consolidated financial statements in Part II, Item 8 “Financial Statements and Supplementary Data” and “Critical Accounting Estimates-Evaluation of Goodwill Impairment” in Part II, Item 7 “Management’s Discussion and Analysis of Financial Condition and Results of Operations” of our Annual Report.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We or our tenants may experience uninsured or underinsured losses, which could result in a significant loss of the capital we have invested in a property, decrease anticipated future revenues or cause us to incur unanticipated expenses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Windstream Leases require, and we expect that additional lease agreements that we enter into will require, that the tenant maintain comprehensive insurance and hazard insurance or self-insure its insurance obligations. However,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even if damage to our properties is covered by insurance, a disruption of business caused by a casualty event may result in loss of revenue for our tenants or us. Any business interruption insurance may not fully compensate them or us for such loss of revenue. If one of our tenants experiences such a loss, it may be unable to satisfy its payment obligations to us under its lease with us.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information technology in our operations, and any material failure, inadequacy, interruption or security failure of that technology could harm our business</w:t>
      </w:r>
    </w:p>
    <w:p>
      <w:pPr>
        <w:pStyle w:val="TextBody"/>
        <w:bidi w:val="0"/>
        <w:spacing w:before="0" w:after="0"/>
        <w:ind w:left="0" w:right="0" w:firstLine="187"/>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employees may be working remotely from their homes, which could have the effect of exacerbating any of the foregoing risks. While we have taken steps to ensure the security of our data and to prevent security breaches, many of these measures are being deployed for the first time on a widespread and sustained basis, and there is no guarantee the data security and privacy safeguards we have put in place will be completely effective or that we will not encounter some of the common risks associated with employees accessing Company data and systems remotely. As a result, we may be required to expend significant capital and other resources to protect against security breaches or to alleviate problems caused by security breaches.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Any failure of our physical infrastructure or services could lead to significant costs and disruptions</w:t>
      </w:r>
    </w:p>
    <w:p>
      <w:pPr>
        <w:pStyle w:val="TextBody"/>
        <w:bidi w:val="0"/>
        <w:spacing w:before="0" w:after="0"/>
        <w:ind w:left="0" w:right="0" w:firstLine="187"/>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Windstream’s and the Company’s businesses depend on providing customers with highly reliable service. The services provided are subject to failure resulting from numerous factors, including human error, power loss, improper maintenance,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physical or electronic security breaches, fire, earthquake, hurricane, flood and other natural disasters, water damage, the effect of war, terrorism and any related conflicts or similar events worldwide, and sabotage and vandalism. Problems within our networks or facilities, whether within our control or the control of third-party providers, could result in service interruptions or equipment damage. We may not be able to efficiently upgrade or change our networks or facilities to meet new demands without incurring significant costs that we may not be able to pass on to customers. Given the service guarantees that may be included in Windstream’s or the Company’s agreements with customers, such disruptions could result in customer credits; however, we cannot assume that customers will accept these credits as compensation in the future, and we may face additional liability or loss of customers.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Unforeseen events could adversely affect our operations, business, and reputation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be negatively impacted by unforeseen events, such as extreme weather events, natural disasters (including as a result of any potential effects of climate change), acts of vandalism or terrorism, or outbreak of highly infectious or contagious diseases. For example, the COVID-19 pandemic negatively impacted the global economy, disrupted global supply chains and created significant volatility and disruption of financial markets, and another pandemic or other unforeseen event in the future could do the same. Also, there is increasing concern that global climate change is occurring and could result in increased frequency of certain types of natural disasters and extreme weather events. We cannot predict with certainty the rate at which climate change is occurring or the potential direct or indirect impacts of climate change to our business. Any such unforeseen events could, among other things, damage or delay deployment of our communication infrastructure, interrupt or delay service to our tenants or could result in legal claims or penalties, disruption in operations, damage to our reputation, negative market perception, or costly response measures, which could adversely affect our business.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our businesses are considered essential, an unforeseen event, such as the COVID-19 pandemic or a future pandemic, could have material and adverse effects on our ability to successfully operate and on our financial condition, results of operations and cash flows due to, among other factors: significant disruptions or delays in our operations or network performance; increases in operating costs, inventory shortages and/or a decrease in productivity; delays in permitting activities due to the shutdown of local permitting authorities; a deterioration in our ability to operate in affected areas or delays in the supply of products or services; the impact on our contracts with customers and suppliers, including potential disputes over force majeure events; adverse impact on the timing of installs in our enterprise and wholesale customer segments at Uniti Fiber; a general reduction in business and economic activity; difficulty accessing debt and equity capital on attractive terms, or at all; our access to capital may be restricted; and the potential negative impact on the health and well-being of our personnel. We have implemented policies and procedures designed to mitigate the risk of adverse impacts of unforeseen events on our operations, but we may incur additional costs to ensure continuity of business operations caused by these events, which could adversely affect our financial condition and results of operations. However, the extent of such impacts will depend on future developments, which are highly uncertain and cannot be predicted, including new information which may emerge concerning the severity of an unforeseen event and actions taken to contain it or its impact, among others.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the Status of Uniti as a REIT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failed to qualify as a REIT for those years for which we have elected REIT status or cease to qualify as a REIT in connection with our Merger with Windstream, we will be subject to U.S. federal income tax as a regular corporation and could face a substantial tax liability, which could reduce the amount of cash available for distribution to our stockholders and to service debt.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as a REIT for U.S. federal income tax purposes, as does one of our principal operating subsidiaries. Our qualification as a REIT will depend on our satisfaction of certain highly technical and complex asset, income, organizational, distribution, stockholder ownership and other requirements, including at the level of our subsidiary REIT, on a continuing basis. Our ability to satisfy the asset tests depends upon our analysis of the characterization and fair market values of our assets, some of which are not susceptible to a precise determination and for which we may not obtain independent appraisals.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subsidiary REIT were to fail to qualify as a REIT in any taxable year, unless certain relief provisions apply, we would be subject to U.S. federal income tax on all of our taxable income at regular corporate rates and dividends paid to our stockholders would not be deductible by us in computing our taxable income. As a result, we would no longer be required to pay dividends in order to qualify to be taxed as a REIT, and we could decide to reduce the amount of dividends we pay to our stockholders. Any resulting corporate liability could be substantial and could reduce the amount of cash available for distribution to our stockholders, which in turn could have an adverse impact on the value of our common stock and to service debt. Unless we were entitled to relief under certain Code provisions, we also would be disqualified from re-electing to be taxed as a REIT for the four taxable years following the year in which we failed to qualify as a REIT.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statutory requirements of the locations in which we conduct business, and state and local income taxes are accrued as deemed required in the best judgment of management based on analysis and interpretation of respective tax laws.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is expected that, following consummation of the Merger, Uniti will cease to be a REIT for U.S. federal income tax purposes, in which case we will be subject to U.S. federal income taxation after the Merger in the manner described above. See “Significant Business Developments—Our Proposed Merger with Windstream” in Part I, Item 2 “Management’s Discussion and Analysis of Financial Condition and Results of Operations” of this Quarterly Report on Form 10-Q for more information about our proposed Merger with Windstream.</w:t>
      </w:r>
    </w:p>
    <w:p>
      <w:pPr>
        <w:pStyle w:val="TextBody"/>
        <w:bidi w:val="0"/>
        <w:spacing w:before="0" w:after="0"/>
        <w:ind w:left="0" w:right="0" w:firstLine="187"/>
        <w:jc w:val="left"/>
        <w:rPr/>
      </w:pPr>
      <w:r>
        <w:rPr/>
      </w:r>
    </w:p>
    <w:p>
      <w:pPr>
        <w:pStyle w:val="TextBody"/>
        <w:bidi w:val="0"/>
        <w:spacing w:lineRule="auto" w:line="268" w:before="0" w:after="0"/>
        <w:jc w:val="left"/>
        <w:rPr/>
      </w:pPr>
      <w:r>
        <w:rPr>
          <w:rFonts w:ascii="Times New Roman;sans-serif" w:hAnsi="Times New Roman;sans-serif"/>
          <w:b/>
          <w:i/>
          <w:color w:val="000000"/>
          <w:sz w:val="20"/>
        </w:rPr>
        <w:t>Legislative or other actions affecting REITs could have a negative effect on us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federal income taxation are constantly under review by persons involved in the legislative process and by the IRS and the U.S. Department of the Treasury (“Treasury”). Changes to the tax laws affecting REITs or TRSs, which may have retroactive application, could adversely affect our stockholders or us. We cannot predict how changes in the tax laws might affect our stockholders or us. Accordingly, we cannot provide assurance that new legislation, Treasury regulations, administrative interpretations or court decisions will not significantly affect our ability to remain qualified as a REIT, the federal income tax consequences of such qualification, the determination of the amount of REIT taxable income or the amount of tax paid by our TRSs.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fail to qualify as a REIT if income we receive from lease transactions, such as income from Windstream pursuant to the Windstream Leases, is not treated as qualifying income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applicable provisions of the Code, we will not be treated as a REIT unless we satisfy various requirements, including requirements relating to the sources of our gross income. Rents received or accrued by us from Windstream or other lessees will not be treated as qualifying rent for purposes of these requirements if the relevant lease is not respected as a “true lease” for U.S. federal income tax purposes and is instead treated as a service contract, joint venture or some other type of arrangement. If any of our leases, including the Windstream Leases, are not respected as a true lease for U.S. federal income tax purposes, we may fail to qualify as a REIT.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is expected that, following consummation of the Merger, Uniti will cease to be a REIT for U.S. federal income tax purposes. See “Significant Business Developments—Our Proposed Merger with Windstream” in Part I, Item 2 “Management’s Discussion and Analysis of Financial Condition and Results of Operations” of this Quarterly Report on Form 10-Q for more information about our proposed Merger with Windstream.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REIT distribution requirements could adversely affect our ability to execute our business plan </w:t>
      </w:r>
    </w:p>
    <w:p>
      <w:pPr>
        <w:pStyle w:val="TextBody"/>
        <w:bidi w:val="0"/>
        <w:spacing w:before="0" w:after="0"/>
        <w:ind w:left="0" w:right="0" w:firstLine="187"/>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must qualify as a REIT and distribute annually at least 90% of our REIT taxable income, determined without regard to the dividends paid deduction and excluding any net capital gains, for the U.S. federal corporate income tax not to apply to earnings that we distribute (assuming that certain other requirements are also satisfied).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our undistributed net taxable income. In addition, we will be subject to a 4% nondeductible excise tax if the actual amount that we distribute to our stockholders in a calendar year is less than a minimum amount specified for REITs under U.S. federal income tax laws. The same rules apply to our REIT subsidiary. We currently intend to make distributions to our stockholders, and to cause our REIT subsidiary to make distributions, to comply with the REIT requirements of the Code.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FFO is currently generated largely by rents paid under the Windstream Leases. From time to time, we may generate taxable income greater than our cash flow as a result of differences in timing between the recognition of taxable income and the actual receipt of cash or the effect of nondeductible capital expenditures, the creation of reserves or required debt or amortization payments. If we do not have other funds available in these situations, we could be required to borrow funds on unfavorable terms, sell assets at disadvantageous prices or distribute amounts that would otherwise be invested in future acquisitions in order to make distributions sufficient to enable us to pay out enough of our taxable income to satisfy the REIT distribution requirement and to avoid corporate income tax and the 4% excise tax in a particular year. These alternatives could increase our costs or reduce our equity. Thus, compliance with the REIT requirements may hinder our ability to grow, which could adversely affect the value of our common stock and decrease cash available to service debt.</w:t>
      </w:r>
    </w:p>
    <w:p>
      <w:pPr>
        <w:pStyle w:val="TextBody"/>
        <w:bidi w:val="0"/>
        <w:spacing w:before="0" w:after="0"/>
        <w:ind w:left="0" w:right="0" w:firstLine="187"/>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 deterioration in Windstream’s financial condition could adversely affect our ability to continue to qualify as a REIT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satisfying the distribution requirement described above in the immediately preceding risk factor, we and our subsidiary REIT must each satisfy a number of other requirements in order to qualify as a REIT. If our Merger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Windstream is not completed, a deterioration in Windstream’s financial condition could adversely affect our ability to satisfy several of these requirements and thus our ability to continue to qualify as a REIT.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order to qualify as a REIT for any year, at the end of each calendar quarter, at least 75% of the value of our assets must consist of cash, cash items, government securities and “real estate assets” (as defined in the Code), and no more than 20% of the value of our total assets can be represented by securities (other than qualified real estate assets) of one or more TRSs. If we fail to comply with either of these requirements at the end of any calendar quarter, we must correct the failure within 30 days after the end of the calendar quarter or qualify for certain statutory relief provisions to avoid losing our REIT qualification. These same rules apply to our REIT subsidiary. Our ability to satisfy these requirements depends in substantial part on the value of the assets that are the subject of the Windstream Leases with Windstream, and any diminution in the value of such assets, including as a result of any diminution in the implied value of the Windstream Leases as a result of changes in the financial condition or creditworthiness of Windstream or Windstream’s inability or unwillingness to meet its rent and other obligations under the Windstream Leases, could adversely affect our ability to satisfy these requirements at the end of any calendar quarter, and there can be no assurance that we would be able to timely correct any such failure or otherwise qualify for any statutory relief provision. See “—Risks Related to Our Business—We are dependent on Windstream Holdings to make payments to us under the Windstream Leases, and an event that materially and adversely affects Windstream’s business, financial position or results of operations could materially and adversely affect our business, financial position or results of operations.” In addition, under applicable provisions of the Code, we will not be treated as a REIT for any year unless we satisfy various requirements, including requirements relating to the sources of our gross income in such year. These same rules apply to our REIT subsidiary. Our ability to satisfy these gross income tests depends in substantial part on our receipt of rents paid under the Windstream Leases. Windstream’s inability or unwillingness to meet its rent and other obligations under the Windstream Leases, or any suspension, delay or other reduction in the amount of rent that we receive under the Windstream Leases could adversely affect our ability to qualify as a REIT.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 is expected that, following consummation of the Merger, Uniti will cease to be a REIT for U.S. federal income tax purposes. See “Significant Business Developments—Our Proposed Merger with Windstream” in Part I, Item 2 “Management’s Discussion and Analysis of Financial Condition and Results of Operations” of this Quarterly Report on Form 10-Q for more information about our proposed Merger with Windstream.</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Even if we remain qualified as a REIT, we may face other tax liabilities that reduce our cash flow</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remain qualified for taxation as a REIT, we may be subject to certain U.S. federal, state and local taxes on our income and assets, including taxes on any undistributed income and state or local income, property and transfer taxes. For example, we hold some of our assets and conduct certain of our activities through a TRS that is subject to U.S. federal, state and local corporate-level income taxes as a regular C corporation. In addition, we may incur a 100% excise tax on transactions with a TRS if they are not conducted on an arm’s-length basis. Any of these taxes could decrease cash available for distribution to our stockholders and servicing our debt.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Complying with the REIT requirements may cause us to forego otherwise attractive acquisition opportunities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qualify as a REIT for U.S. federal income tax purposes, we must ensure that, at the end of each calendar quarter, at least 75% of the value of our assets consists of cash, cash items, government securities and “real estate assets” (as defined in the Code). The remainder of our investments (other than government securities, qualified real estate assets and securities issued by a TRS)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TRS) can consist of the securities of any one issuer, no more than 20% of the value of our total assets can be represented by securities (other than qualified real estate assets) of one or more TRSs, and no more than 25% of the value of our total assets can be represented by nonqualified publicly offered REIT debt instruments (as defined in the Code).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of such asset limitations, we may be required to forego otherwise attractive investments. These actions could have the effect of reducing our income and amounts available for distribution to our stockholders and servicing our debt.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cannot guarantee our ability to pay dividends in the future (including if our Merger with Windstream is consummated), and we could elect to pay dividends substantially in the form of additional shares of our common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qualify as a REIT, our annual dividend must not be less than 90% of our REIT taxable income on an annual basis, determined without regard to the dividends paid deduction and excluding any net capital gains. Our ability to pay dividends may be adversely affected by a number of factors, including the risk factors herein. Dividends will be authorized by our board of directors and declared by us based upon a number of factors, including actual results of operations, restrictions under Maryland law or applicable debt covenants, our financial condition, our taxable income, the annual distribution requirements under the REIT provisions of the Code, our operating expenses and other factors our directors deem relevant. We cannot ensure that we will achieve investment results that will allow us to make a specified level of cash dividends or year-to-year increases in cash dividends in the future. Accordingly, because we are required to make distributions in certain amounts to our shareholders in order to maintain our REIT status and avoid incurring entity-level income and excise tax, we may elect to pay one or more dividends to our shareholders substantially in the form of additional shares of common stock. If we do so, the common stock that we distribute would be taxable dividend income to our shareholders, in whole or in part, based on the fair market value of our common stock at the time the dividend is paid.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are currently required to pay dividends in order to maintain our REIT status, if our potential Merger with Windstream is successfully completed, we expect to cease to qualify as a REIT, in which case we would no longer be required to pay such dividends. Moreover, even if we do maintain our REIT status, after completing various procedural steps, we may elect to comply with the applicable distribution requirements by distributing, under certain circumstances, shares of our common stock in lieu of cash, which may result in holders of our common stock incurring tax liability without the receipt of a corresponding amount of cash. If we elect not to maintain our REIT status or to satisfy any required distributions in shares of common stock in lieu of cash, such action could negatively affect our business and financial condition as well as the market price of our common stock. No assurance can be given that we will pay any dividends on shares of our common stock in the future.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our common stock may fluctuate widely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prices at which our common stock may trade. The market price of our common stock has fluctuated significantly since February 15, 2019 and may continue to fluctuate significantly, depending upon many factors, including the success of our Merger with Windstream, some of which may be beyond our control.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Our charter restricts the ownership and transfer of our outstanding stock, which may have the effect of delaying, deferring or preventing a transaction or change of control of our company</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order for us to qualify as a REIT, not more than 50% in value of our outstanding shares of stock may be owned, beneficially or constructively, by five or fewer individuals at any time during the last half of each taxable year after the first year for which we elect to be taxed and qualify as a REIT. Additionally, at least 100 persons must beneficially own our stock during at least 335 days of a taxable year (other than the first taxable year for which we elect to be taxed and qualify as a REIT). Our charter, with certain exceptions, authorizes our board of directors to take such actions as are necessary or advisable to preserve our qualification as a REIT. Our charter also provides that, unless exempted by the board of directors, no person may own more than 9.8% in value or in number, whichever is more restrictive, of the outstanding shares of our common stock or more than 9.8% in value of the aggregate of the outstanding shares of all classes and series of our stock. The constructive ownership rules are complex and may cause shares of stock owned directly or constructively by a group of related individuals or entities to be constructively owned by one individual or entity. These ownership limits could delay or prevent a transaction or a change in control of us that might involve a premium price for shares of our stock or otherwise be in the best interests of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table below provides information regarding shares withheld from Uniti employees to satisfy minimum statutory tax withholding obligations arising from the vesting of restricted stock granted under the Uniti Group Inc. 2015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shd w:fill="FFFFFF" w:val="clear"/>
        </w:rPr>
        <w:t>Incentive Plan. The shares of common stock withheld to satisfy tax withholding obligations may be deemed purchases of such shares required to be disclosed pursuant to this Item 2</w:t>
      </w:r>
      <w:r>
        <w:rPr>
          <w:rFonts w:ascii="Times New Roman;sans-serif" w:hAnsi="Times New Roman;sans-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583"/>
        <w:gridCol w:w="453"/>
        <w:gridCol w:w="459"/>
        <w:gridCol w:w="109"/>
        <w:gridCol w:w="109"/>
        <w:gridCol w:w="109"/>
        <w:gridCol w:w="447"/>
        <w:gridCol w:w="447"/>
        <w:gridCol w:w="448"/>
        <w:gridCol w:w="109"/>
        <w:gridCol w:w="109"/>
        <w:gridCol w:w="109"/>
        <w:gridCol w:w="318"/>
        <w:gridCol w:w="772"/>
        <w:gridCol w:w="164"/>
        <w:gridCol w:w="109"/>
        <w:gridCol w:w="109"/>
        <w:gridCol w:w="109"/>
        <w:gridCol w:w="794"/>
        <w:gridCol w:w="794"/>
        <w:gridCol w:w="797"/>
        <w:gridCol w:w="109"/>
        <w:gridCol w:w="109"/>
        <w:gridCol w:w="109"/>
        <w:gridCol w:w="708"/>
        <w:gridCol w:w="708"/>
        <w:gridCol w:w="1005"/>
      </w:tblGrid>
      <w:tr>
        <w:trPr/>
        <w:tc>
          <w:tcPr>
            <w:tcW w:w="58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to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to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to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240" w:after="283"/>
        <w:jc w:val="left"/>
        <w:rPr/>
      </w:pPr>
      <w:r>
        <w:rPr>
          <w:rFonts w:ascii="Times New Roman;sans-serif" w:hAnsi="Times New Roman;sans-serif"/>
          <w:b w:val="false"/>
          <w:color w:val="000000"/>
          <w:sz w:val="16"/>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The average price paid per share is the weighted average of the fair market prices at which we calculated the number of shares withheld to cover tax withholdings for the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 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 During the three months ended March 31, 2024, none of the Company’s directors or officers (as defined in Rule 16a-1(f) under the Exchange Act)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712"/>
        <w:gridCol w:w="2655"/>
        <w:gridCol w:w="380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80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76"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FF"/>
                  <w:sz w:val="20"/>
                  <w:u w:val="single"/>
                </w:rPr>
                <w:t>Agreement and Plan of Merger, dated as of May 3, 2024, by and between Uniti Group Inc. and Windstream Holdings II, LLC (incorporated by reference to Exhibit 2.1 to the Company’s Current Report on Form 8-K dated and filed with the SEC as of May 3, 2024 (File No. 001-36708))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101abs.htm">
              <w:r>
                <w:rPr>
                  <w:rStyle w:val="InternetLink"/>
                  <w:rFonts w:ascii="Times New Roman;sans-serif" w:hAnsi="Times New Roman;sans-serif"/>
                  <w:b w:val="false"/>
                  <w:color w:val="0000FF"/>
                  <w:sz w:val="20"/>
                  <w:u w:val="single"/>
                </w:rPr>
                <w:t>Bridge Loan and Security Agreement, dated as of February 23, 2024, by and among Uniti Fiber Bridge Borrower LLC, Uniti Fiber Bridge HoldCo LLC, the subsidiary guarantors from time to time party thereto, Wilmington Trust, National Association, as administrative agent, collateral agent, account bank and verification agent, Barclays Bank PLC, as facility agent, and the lenders from time to time party thereto.</w:t>
              </w:r>
            </w:hyperlink>
            <w:r>
              <w:rPr>
                <w:color w:val="000000"/>
              </w:rPr>
              <w:t xml:space="preserve">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FF"/>
                  <w:sz w:val="20"/>
                  <w:u w:val="single"/>
                </w:rPr>
                <w:t>Voting Agreement, dated as of May 3, 2024, between Uniti Group Inc., Elliott Investment Management L.P., Elliott Associates, L.P., Elliott International, L.P. and DEVONIAN II ICAV (incorporated by reference to Exhibit 10.1 to the Company’s Current Report on Form 8-K dated and filed with the SEC as of May 3, 2024 (File No. 001-36708))</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0"/>
        <w:gridCol w:w="182"/>
        <w:gridCol w:w="183"/>
        <w:gridCol w:w="109"/>
        <w:gridCol w:w="109"/>
        <w:gridCol w:w="109"/>
        <w:gridCol w:w="2815"/>
        <w:gridCol w:w="2678"/>
        <w:gridCol w:w="3790"/>
      </w:tblGrid>
      <w:tr>
        <w:trPr/>
        <w:tc>
          <w:tcPr>
            <w:tcW w:w="2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FF"/>
                  <w:sz w:val="20"/>
                  <w:u w:val="single"/>
                </w:rPr>
                <w:t>Unitholder Agreement, dated as of May 3. 2024, by and between Uniti Group Inc., Elliott Investment Management L.P., Elliott Associates, L.P., Elliott International, L.P., Nexus Aggregator L.P. and, solely for purposes of Section 2(b), Windstream Holdings II, LLC (incorporated by reference to Exhibit 10.2 to the Company’s Current Report on Form 8-K dated and filed with the SEC as of May 3, 2024 (File No. 001-36708)</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imes New Roman;sans-serif" w:hAnsi="Times New Roman;sans-serif"/>
                  <w:b w:val="false"/>
                  <w:color w:val="0000FF"/>
                  <w:sz w:val="20"/>
                  <w:u w:val="single"/>
                </w:rPr>
                <w:t>Unitholder Agreement, dated as of May 3. 2024, by and between Uniti Group Inc. and certain Windstream investors (Incorporated by reference to Exhibit 10.3 to the Company’s Current Report on Form 8-K dated and filed with the SEC as of May 3, 2024 (File No. 001-36708))</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ans-serif" w:hAnsi="Times New Roman;sans-serif"/>
                  <w:b w:val="false"/>
                  <w:color w:val="0000FF"/>
                  <w:sz w:val="20"/>
                  <w:u w:val="single"/>
                </w:rPr>
                <w:t>Form Stockholder Agreement, to be entered into by and among New Uniti, Elliott Investment Management L.P., Elliott Associates, L.P., Elliott International, L.P., Nexus Aggregator L.P. and DEVONIAN II ICAV (incorporated by reference to Exhibit 10.4 to the Company’s Current Report on Form 8-K dated and filed with the SEC as of May 3, 2024 (File No. 001-36708))</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imes New Roman;sans-serif" w:hAnsi="Times New Roman;sans-serif"/>
                  <w:b w:val="false"/>
                  <w:color w:val="0000FF"/>
                  <w:sz w:val="20"/>
                  <w:u w:val="single"/>
                </w:rPr>
                <w:t>Form Stockholder Agreement, to be entered into by and among New Uniti and certain Windstream investors (incorporated by reference to Exhibit 10.5 to the Company’s Current Report on Form 8-K dated and filed with the SEC as of May 3, 2024 (File No. 001-36708)</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11q24.htm">
              <w:r>
                <w:rPr>
                  <w:rStyle w:val="InternetLink"/>
                  <w:rFonts w:ascii="Times New Roman;sans-serif" w:hAnsi="Times New Roman;sans-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121q24.htm">
              <w:r>
                <w:rPr>
                  <w:rStyle w:val="InternetLink"/>
                  <w:rFonts w:ascii="Times New Roman;sans-serif" w:hAnsi="Times New Roman;sans-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11q24.htm">
              <w:r>
                <w:rPr>
                  <w:rStyle w:val="InternetLink"/>
                  <w:rFonts w:ascii="Times New Roman;sans-serif" w:hAnsi="Times New Roman;sans-serif"/>
                  <w:b w:val="false"/>
                  <w:color w:val="0000EE"/>
                  <w:sz w:val="20"/>
                  <w:u w:val="single"/>
                </w:rPr>
                <w:t>Certification of Principal Executive Officer Pursuant to 18 U.S.C. Section 1350, as Adopted Pursuant to Section 906 of the Sarbanes-Oxley Act of 2002.</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unit-exx3221q24.htm">
              <w:r>
                <w:rPr>
                  <w:rStyle w:val="InternetLink"/>
                  <w:rFonts w:ascii="Times New Roman;sans-serif" w:hAnsi="Times New Roman;sans-serif"/>
                  <w:b w:val="false"/>
                  <w:color w:val="0000EE"/>
                  <w:sz w:val="20"/>
                  <w:u w:val="single"/>
                </w:rPr>
                <w:t>Certification of Principal Financial Officer Pursuant to 18 U.S.C. Section 1350, as Adopted Pursuant to Section 906 of the Sarbanes-Oxley Act of 2002.</w:t>
              </w:r>
            </w:hyperlink>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92a306ff12eb481981fddd6c55aa6e8a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40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838"/>
        <w:gridCol w:w="838"/>
        <w:gridCol w:w="838"/>
        <w:gridCol w:w="838"/>
        <w:gridCol w:w="838"/>
        <w:gridCol w:w="11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UNITI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Paul E. Bullington</w:t>
              <w:br/>
              <w:t>Senior Vice President – Chief Financial Officer and Treasurer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T. Black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Travis T. Black</w:t>
              <w:br/>
              <w:t>Senior Vice President – Chief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EXECUTION VERSION</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1.65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BRIDGE LOAN AND SECURITY AGREEMENT</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dated as of February 23, 2024</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by and among</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 xml:space="preserve">UNITI FIBER BRIDGE BORROWER LLC, </w:t>
        <w:br/>
        <w:t>as Borrower,</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THE OTHER LOAN PARTIES</w:t>
        <w:br/>
        <w:t>SIGNATORY HERETO FROM TIME TO TIME,</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VARIOUS LENDERS,</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WILMINGTON TRUST, NATIONAL ASSOCIATION,</w:t>
        <w:br/>
        <w:t>as Administrative Agent,</w:t>
      </w:r>
    </w:p>
    <w:p>
      <w:pPr>
        <w:pStyle w:val="TextBody"/>
        <w:bidi w:val="0"/>
        <w:spacing w:lineRule="auto" w:line="288" w:before="0" w:after="360"/>
        <w:jc w:val="center"/>
        <w:rPr/>
      </w:pPr>
      <w:r>
        <w:rPr>
          <w:rFonts w:ascii="Times New Roman;sans-serif" w:hAnsi="Times New Roman;sans-serif"/>
          <w:b/>
          <w:color w:val="000000"/>
          <w:sz w:val="24"/>
        </w:rPr>
        <w:t>WILMINGTON TRUST, NATIONAL ASSOCIATION,</w:t>
      </w:r>
      <w:r>
        <w:rPr>
          <w:color w:val="000000"/>
        </w:rPr>
        <w:t xml:space="preserve"> </w:t>
      </w:r>
      <w:r>
        <w:rPr>
          <w:rFonts w:ascii="Times New Roman;sans-serif" w:hAnsi="Times New Roman;sans-serif"/>
          <w:b/>
          <w:color w:val="000000"/>
          <w:sz w:val="24"/>
        </w:rPr>
        <w:br/>
        <w:t>as Account Bank and Verification Agent,</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BARCLAYS BANK PLC,</w:t>
        <w:br/>
        <w:t>as Facility Agent, a Lead Arranger and Sole Structuring Agent</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DEUTSCHE BANK AG, NEW YORK BRANCH</w:t>
        <w:br/>
        <w:t>CITIBANK, N.A.,</w:t>
        <w:br/>
        <w:t>as Lead Arrangers</w:t>
      </w:r>
    </w:p>
    <w:p>
      <w:pPr>
        <w:pStyle w:val="TextBody"/>
        <w:bidi w:val="0"/>
        <w:spacing w:before="0" w:after="360"/>
        <w:jc w:val="center"/>
        <w:rPr/>
      </w:pPr>
      <w:r>
        <w:rPr/>
      </w:r>
    </w:p>
    <w:tbl>
      <w:tblPr>
        <w:tblW w:w="5550" w:type="dxa"/>
        <w:jc w:val="left"/>
        <w:tblInd w:w="0" w:type="dxa"/>
        <w:tblLayout w:type="fixed"/>
        <w:tblCellMar>
          <w:top w:w="28" w:type="dxa"/>
          <w:left w:w="28" w:type="dxa"/>
          <w:bottom w:w="28" w:type="dxa"/>
          <w:right w:w="28" w:type="dxa"/>
        </w:tblCellMar>
      </w:tblPr>
      <w:tblGrid>
        <w:gridCol w:w="1778"/>
        <w:gridCol w:w="1561"/>
        <w:gridCol w:w="2211"/>
      </w:tblGrid>
      <w:tr>
        <w:trPr/>
        <w:tc>
          <w:tcPr>
            <w:tcW w:w="177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br/>
              <w:t>$350,000,000 Multi-Draw Bridge Term Loan Facility</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10235"/>
                <wp:effectExtent l="0" t="0" r="0" b="0"/>
                <wp:wrapNone/>
                <wp:docPr id="65" name="Frame65"/>
                <a:graphic xmlns:a="http://schemas.openxmlformats.org/drawingml/2006/main">
                  <a:graphicData uri="http://schemas.microsoft.com/office/word/2010/wordprocessingShape">
                    <wps:wsp>
                      <wps:cNvSpPr txBox="1"/>
                      <wps:spPr>
                        <a:xfrm>
                          <a:off x="0" y="0"/>
                          <a:ext cx="6480175" cy="61023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
        <w:gridCol w:w="138"/>
        <w:gridCol w:w="141"/>
        <w:gridCol w:w="357"/>
        <w:gridCol w:w="357"/>
        <w:gridCol w:w="357"/>
        <w:gridCol w:w="2692"/>
        <w:gridCol w:w="2659"/>
        <w:gridCol w:w="2699"/>
        <w:gridCol w:w="189"/>
        <w:gridCol w:w="189"/>
        <w:gridCol w:w="270"/>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Page</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9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DEFINITIONS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Defined Terms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Terms, Interpretation, etc.</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Rates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 Forma Calculations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Timing of Payment and Performance</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REIT Status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9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LOANS, PAYMENTS, INTEREST AND COLLATERAL</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Commitments; Term Loans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Minimum Borrowing Amount</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Request for Term Loan</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43</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Register; Notes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on the Term Loans.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Conversion of Loans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Prepayments and Repayments of the Term Loans; Commitment Reductions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Priority of Payments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2.10</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 of Security Interest; Collateral</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2.11</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Collateral Administration</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57</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2.12</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Power of Attorney</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2.13</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Release of Lien on Fiber Network Assets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2.14</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Verification Agent</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2.15</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Generally.</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2.16</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Contributed Uniti Fiber Business Assets; Retained Collections Contributions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9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FEES AND OTHER CHARGES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Yield Protection and Illegality</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Fees</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64</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91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8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Closing Date</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030605"/>
                <wp:effectExtent l="0" t="0" r="0" b="0"/>
                <wp:wrapNone/>
                <wp:docPr id="66" name="Frame66"/>
                <a:graphic xmlns:a="http://schemas.openxmlformats.org/drawingml/2006/main">
                  <a:graphicData uri="http://schemas.microsoft.com/office/word/2010/wordprocessingShape">
                    <wps:wsp>
                      <wps:cNvSpPr txBox="1"/>
                      <wps:spPr>
                        <a:xfrm>
                          <a:off x="0" y="0"/>
                          <a:ext cx="6480175" cy="1030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 –</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tbl>
      <w:tblPr>
        <w:tblW w:w="7458" w:type="dxa"/>
        <w:jc w:val="left"/>
        <w:tblInd w:w="0" w:type="dxa"/>
        <w:tblLayout w:type="fixed"/>
        <w:tblCellMar>
          <w:top w:w="28" w:type="dxa"/>
          <w:left w:w="28" w:type="dxa"/>
          <w:bottom w:w="28" w:type="dxa"/>
          <w:right w:w="28" w:type="dxa"/>
        </w:tblCellMar>
      </w:tblPr>
      <w:tblGrid>
        <w:gridCol w:w="157"/>
        <w:gridCol w:w="138"/>
        <w:gridCol w:w="141"/>
        <w:gridCol w:w="174"/>
        <w:gridCol w:w="174"/>
        <w:gridCol w:w="178"/>
        <w:gridCol w:w="2033"/>
        <w:gridCol w:w="2033"/>
        <w:gridCol w:w="2039"/>
        <w:gridCol w:w="114"/>
        <w:gridCol w:w="114"/>
        <w:gridCol w:w="163"/>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 to each Delayed Draw Loan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w:t>
            </w:r>
          </w:p>
        </w:tc>
        <w:tc>
          <w:tcPr>
            <w:tcW w:w="6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 Powers, Capitalization, Good Standing, Business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Authorization of Borrowing, Authority,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Fiber Network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Customer Contracts;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Litigation; Adverse Facts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of Agreements; No Material Adverse Effect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with Law; ERISA</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Governmental Regulation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5.10</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5.11</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Employee Benefit Plans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5.12</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Solvency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5.13</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Use of Proceeds and Margin Security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5.14</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5.15</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Investments; Ownership of the Loan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5.16</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Environmental Compliance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5.17</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Anti-Corruption Laws and Sanctions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5.18</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Separate Legal Entity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5.19</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Statements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5.20</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Accuracy of Disclosure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5.21</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Beneficial Ownership</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5.22</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Risk Retention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w:t>
            </w:r>
          </w:p>
        </w:tc>
        <w:tc>
          <w:tcPr>
            <w:tcW w:w="6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AFFIRMATIVE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Statements, Reports and Other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Conduct of Business and Maintenance of Existence and Assets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with Legal and Other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True Books; Underlying Collateral Matters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Assurances; Additional Loan Parties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Use of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6.10</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Performance of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6.11</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Reserve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6.12</w:t>
            </w:r>
          </w:p>
        </w:tc>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Cash Management Systems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030605"/>
                <wp:effectExtent l="0" t="0" r="0" b="0"/>
                <wp:wrapNone/>
                <wp:docPr id="67" name="Frame67"/>
                <a:graphic xmlns:a="http://schemas.openxmlformats.org/drawingml/2006/main">
                  <a:graphicData uri="http://schemas.microsoft.com/office/word/2010/wordprocessingShape">
                    <wps:wsp>
                      <wps:cNvSpPr txBox="1"/>
                      <wps:spPr>
                        <a:xfrm>
                          <a:off x="0" y="0"/>
                          <a:ext cx="6480175" cy="1030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ii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ii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tbl>
      <w:tblPr>
        <w:tblW w:w="7576" w:type="dxa"/>
        <w:jc w:val="left"/>
        <w:tblInd w:w="0" w:type="dxa"/>
        <w:tblLayout w:type="fixed"/>
        <w:tblCellMar>
          <w:top w:w="28" w:type="dxa"/>
          <w:left w:w="28" w:type="dxa"/>
          <w:bottom w:w="28" w:type="dxa"/>
          <w:right w:w="28" w:type="dxa"/>
        </w:tblCellMar>
      </w:tblPr>
      <w:tblGrid>
        <w:gridCol w:w="212"/>
        <w:gridCol w:w="185"/>
        <w:gridCol w:w="189"/>
        <w:gridCol w:w="188"/>
        <w:gridCol w:w="188"/>
        <w:gridCol w:w="189"/>
        <w:gridCol w:w="1965"/>
        <w:gridCol w:w="1965"/>
        <w:gridCol w:w="1984"/>
        <w:gridCol w:w="148"/>
        <w:gridCol w:w="148"/>
        <w:gridCol w:w="215"/>
      </w:tblGrid>
      <w:tr>
        <w:trPr/>
        <w:tc>
          <w:tcPr>
            <w:tcW w:w="2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6.13</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6.14</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Operation and Maintenance of the Fiber Network Assets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6.15</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Inspection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6.16</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IRU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6.17</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Risk Retention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6.18</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Management Agreement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6.19</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Rate Protection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6.20</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Post-Closing Actions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6.21</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Separateness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VII.</w:t>
            </w:r>
          </w:p>
        </w:tc>
        <w:tc>
          <w:tcPr>
            <w:tcW w:w="64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NEGATIVE COVENANTS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Indebtedness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Liens; Negative Pledges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Transactions with Affiliates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Organizational Documents; Fiscal Year; Use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7.6</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Transfer of Collateral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Contingent Obligations and Risks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Permitted Activities of Holdings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Anti-Terrorism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7.10</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7.11</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7.12</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7.13</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Disposition of Fiber Network Assets.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7.14</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Maintenance Covenant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VIII.</w:t>
            </w:r>
          </w:p>
        </w:tc>
        <w:tc>
          <w:tcPr>
            <w:tcW w:w="64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IX.</w:t>
            </w:r>
          </w:p>
        </w:tc>
        <w:tc>
          <w:tcPr>
            <w:tcW w:w="64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RIGHTS AND REMEDIES AFTER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97</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9.1</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Rights and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97</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Application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9.3</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Rights to Appoint Receiver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9.4</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Attorney-in-Fact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Rights and Remedies not Exclusive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647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WAIVERS AND JUDICIAL PROCEEDINGS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Delay; No Waiver of Defaults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w:t>
            </w:r>
          </w:p>
        </w:tc>
        <w:tc>
          <w:tcPr>
            <w:tcW w:w="5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Jury Waiver; Jurisdiction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030605"/>
                <wp:effectExtent l="0" t="0" r="0" b="0"/>
                <wp:wrapNone/>
                <wp:docPr id="68" name="Frame68"/>
                <a:graphic xmlns:a="http://schemas.openxmlformats.org/drawingml/2006/main">
                  <a:graphicData uri="http://schemas.microsoft.com/office/word/2010/wordprocessingShape">
                    <wps:wsp>
                      <wps:cNvSpPr txBox="1"/>
                      <wps:spPr>
                        <a:xfrm>
                          <a:off x="0" y="0"/>
                          <a:ext cx="6480175" cy="1030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iii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iii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tbl>
      <w:tblPr>
        <w:tblW w:w="9142" w:type="dxa"/>
        <w:jc w:val="left"/>
        <w:tblInd w:w="0" w:type="dxa"/>
        <w:tblLayout w:type="fixed"/>
        <w:tblCellMar>
          <w:top w:w="28" w:type="dxa"/>
          <w:left w:w="28" w:type="dxa"/>
          <w:bottom w:w="28" w:type="dxa"/>
          <w:right w:w="28" w:type="dxa"/>
        </w:tblCellMar>
      </w:tblPr>
      <w:tblGrid>
        <w:gridCol w:w="212"/>
        <w:gridCol w:w="184"/>
        <w:gridCol w:w="190"/>
        <w:gridCol w:w="256"/>
        <w:gridCol w:w="256"/>
        <w:gridCol w:w="258"/>
        <w:gridCol w:w="2423"/>
        <w:gridCol w:w="2423"/>
        <w:gridCol w:w="2429"/>
        <w:gridCol w:w="149"/>
        <w:gridCol w:w="149"/>
        <w:gridCol w:w="213"/>
      </w:tblGrid>
      <w:tr>
        <w:trPr/>
        <w:tc>
          <w:tcPr>
            <w:tcW w:w="2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10.4</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 and Waivers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XI.</w:t>
            </w:r>
          </w:p>
        </w:tc>
        <w:tc>
          <w:tcPr>
            <w:tcW w:w="80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EFFECTIVE DATE AND TERMINATION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Effectiveness and Termination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Survival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XII.</w:t>
            </w:r>
          </w:p>
        </w:tc>
        <w:tc>
          <w:tcPr>
            <w:tcW w:w="80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 Jurisdiction; Service of Process; Venue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12.2</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Successors and Assigns; Assignments and Participations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12.3</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Application of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12.4</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Indemnity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12.5</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12.6</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Severability; Captions; Counterparts; Electronic Signatures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12.7</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12.8</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Entire Agreement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12.9</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Approvals and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12.10</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Publicity and 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12.11</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Cooperation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12.12</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12.13</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Recognition of U.S. Special Resolution Regimes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12.14</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Acknowledgement and Consent to Bail-In of Affected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12.15</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Original Issue Discount Legend.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XIII.</w:t>
            </w:r>
          </w:p>
        </w:tc>
        <w:tc>
          <w:tcPr>
            <w:tcW w:w="80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AGENT PROVISIONS; SETTLEMENT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13.2</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Lender Consent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13.3</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Set-off and Sharing of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13.4</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Disbursement of Funds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127</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Availability of Lenders’ Pro Rata Share; Return of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127</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13.6</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Dissemination of Information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13.7</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Defaulting Lender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128</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13.8</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13.9</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Patriot Act and other KYC Requirements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13.10</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13.11</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Withholding Tax</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133</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13.12</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Rate Protection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13.13</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Erroneous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13.14</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Facility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137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030605"/>
                <wp:effectExtent l="0" t="0" r="0" b="0"/>
                <wp:wrapNone/>
                <wp:docPr id="69" name="Frame69"/>
                <a:graphic xmlns:a="http://schemas.openxmlformats.org/drawingml/2006/main">
                  <a:graphicData uri="http://schemas.microsoft.com/office/word/2010/wordprocessingShape">
                    <wps:wsp>
                      <wps:cNvSpPr txBox="1"/>
                      <wps:spPr>
                        <a:xfrm>
                          <a:off x="0" y="0"/>
                          <a:ext cx="6480175" cy="1030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iv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iv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3"/>
        <w:gridCol w:w="196"/>
        <w:gridCol w:w="197"/>
        <w:gridCol w:w="260"/>
        <w:gridCol w:w="260"/>
        <w:gridCol w:w="260"/>
        <w:gridCol w:w="2810"/>
        <w:gridCol w:w="2731"/>
        <w:gridCol w:w="2755"/>
        <w:gridCol w:w="149"/>
        <w:gridCol w:w="149"/>
        <w:gridCol w:w="215"/>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XIV.</w:t>
            </w:r>
          </w:p>
        </w:tc>
        <w:tc>
          <w:tcPr>
            <w:tcW w:w="9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GUARANTY.</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141</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14.1</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Guaranty of the Guaranteed Obligations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141</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14.2</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by Guarantors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141</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14.3</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Liability of Each Guarantor Absolute</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141</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14.4</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Waivers by the Guarantors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143</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14.5</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Each Guarantor’s Rights of Subrogation, Contribution, etc.</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144</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14.6</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Subordination of Other Obligations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144</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14.7</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Continuing Guaranty</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14.8</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Authority of the Guarantors or the Borrower</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14.9</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Condition of the Borrower</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14.10</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Bankruptcy, etc.</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145</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XV.</w:t>
            </w:r>
          </w:p>
        </w:tc>
        <w:tc>
          <w:tcPr>
            <w:tcW w:w="9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ACCOUNT BANK</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146</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15.1</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Duties of the Account Bank.</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146</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15.2</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Matters Affecting the Account Bank</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148</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15.3</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Account Bank’s Disclaimer</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151</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15.4</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151</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15.5</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Fees and Expenses of Account Bank and Verification Agent; Indemnification of the Account Bank and Verification Agent</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151</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15.6</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15.7</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Resignation and Removal of Account Bank</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152</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15.8</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Successor Account Bank</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15.9</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Merger or Consolidation of Account Bank</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153</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15.10</w:t>
            </w:r>
          </w:p>
        </w:tc>
        <w:tc>
          <w:tcPr>
            <w:tcW w:w="8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Multiple Roles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030605"/>
                <wp:effectExtent l="0" t="0" r="0" b="0"/>
                <wp:wrapNone/>
                <wp:docPr id="70" name="Frame70"/>
                <a:graphic xmlns:a="http://schemas.openxmlformats.org/drawingml/2006/main">
                  <a:graphicData uri="http://schemas.microsoft.com/office/word/2010/wordprocessingShape">
                    <wps:wsp>
                      <wps:cNvSpPr txBox="1"/>
                      <wps:spPr>
                        <a:xfrm>
                          <a:off x="0" y="0"/>
                          <a:ext cx="6480175" cy="1030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v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v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EXHIBITS</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Exhibit A    Form of Note</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Exhibit B    Form of Borrowing Request</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Exhibit C    Form of Solvency Certificate</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Exhibit D    Form of Risk Retention Letter</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Exhibit E    Form of Compliance Certificate </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F    Form of Assignment Agreement</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G     Form of Interest Election Request</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H    Form of Secured Party Designation Notice</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I    Form of IRU Agreement</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J    Form of Management Agreement</w:t>
      </w:r>
    </w:p>
    <w:p>
      <w:pPr>
        <w:pStyle w:val="TextBody"/>
        <w:bidi w:val="0"/>
        <w:spacing w:before="0" w:after="240"/>
        <w:ind w:left="0" w:right="0" w:hanging="2160"/>
        <w:jc w:val="both"/>
        <w:rPr/>
      </w:pPr>
      <w:r>
        <w:rPr/>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ANNEXES</w:t>
      </w:r>
    </w:p>
    <w:p>
      <w:pPr>
        <w:pStyle w:val="TextBody"/>
        <w:bidi w:val="0"/>
        <w:spacing w:lineRule="auto" w:line="288" w:before="0" w:after="24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Annex 1    Commitments</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SCHEDULES</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Schedule 1.1(a)    Closing Date Contributed Contracts </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Schedule 1.1(b)    Closing Date Contributed Equipment</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Schedule 1.1(c)    Specified Contracts</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Schedule 2.13    Pledged Equity Interests</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Schedule 5.15    Schedule of Investments</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Schedule 6.20    Schedule of Post-Close Actions</w:t>
      </w:r>
    </w:p>
    <w:p>
      <w:pPr>
        <w:pStyle w:val="TextBody"/>
        <w:bidi w:val="0"/>
        <w:spacing w:lineRule="auto" w:line="288" w:before="0" w:after="0"/>
        <w:ind w:left="0" w:right="0" w:hanging="2160"/>
        <w:jc w:val="both"/>
        <w:rPr>
          <w:rFonts w:ascii="Times New Roman;sans-serif" w:hAnsi="Times New Roman;sans-serif"/>
          <w:b w:val="false"/>
          <w:color w:val="000000"/>
          <w:sz w:val="24"/>
        </w:rPr>
      </w:pPr>
      <w:r>
        <w:rPr>
          <w:rFonts w:ascii="Times New Roman;sans-serif" w:hAnsi="Times New Roman;sans-serif"/>
          <w:b w:val="false"/>
          <w:color w:val="000000"/>
          <w:sz w:val="24"/>
        </w:rPr>
        <w:t>Schedule 12.5    Notice Addresses</w:t>
      </w:r>
    </w:p>
    <w:p>
      <w:pPr>
        <w:pStyle w:val="TextBody"/>
        <w:bidi w:val="0"/>
        <w:spacing w:before="0" w:after="0"/>
        <w:ind w:left="0" w:right="0" w:hanging="2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030605"/>
                <wp:effectExtent l="0" t="0" r="0" b="0"/>
                <wp:wrapNone/>
                <wp:docPr id="71" name="Frame71"/>
                <a:graphic xmlns:a="http://schemas.openxmlformats.org/drawingml/2006/main">
                  <a:graphicData uri="http://schemas.microsoft.com/office/word/2010/wordprocessingShape">
                    <wps:wsp>
                      <wps:cNvSpPr txBox="1"/>
                      <wps:spPr>
                        <a:xfrm>
                          <a:off x="0" y="0"/>
                          <a:ext cx="6480175" cy="1030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vi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vi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BRIDGE LOAN AND SECURITY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BRIDGE LOAN AND SECURITY AGREEMENT (as it may be amended, restated, supplemented, or otherwise modified from time to time,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dated as of February 23, 2024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 is entered into by and among Uniti Fiber Bridge Borrower LLC, a Delaware limited liability company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4"/>
        </w:rPr>
        <w:t>), Uniti Fiber Bridge HoldCo LLC, a Delaware limited liability company (“</w:t>
      </w:r>
      <w:r>
        <w:rPr>
          <w:rFonts w:ascii="Times New Roman;sans-serif" w:hAnsi="Times New Roman;sans-serif"/>
          <w:b/>
          <w:color w:val="000000"/>
          <w:sz w:val="24"/>
        </w:rPr>
        <w:t>Holdings</w:t>
      </w:r>
      <w:r>
        <w:rPr>
          <w:color w:val="000000"/>
        </w:rPr>
        <w:t>”</w:t>
      </w:r>
      <w:r>
        <w:rPr>
          <w:rFonts w:ascii="Times New Roman;sans-serif" w:hAnsi="Times New Roman;sans-serif"/>
          <w:b w:val="false"/>
          <w:color w:val="000000"/>
          <w:sz w:val="24"/>
        </w:rPr>
        <w:t>), each of the Asset Entities from time to time party hereto as Subsidiary Guarantors, each of the financial institutions from time to time party hereto as Lenders, Wilmington Trust, National Association (“</w:t>
      </w:r>
      <w:r>
        <w:rPr>
          <w:rFonts w:ascii="Times New Roman;sans-serif" w:hAnsi="Times New Roman;sans-serif"/>
          <w:b/>
          <w:color w:val="000000"/>
          <w:sz w:val="24"/>
        </w:rPr>
        <w:t>Wilmington</w:t>
      </w:r>
      <w:r>
        <w:rPr>
          <w:color w:val="000000"/>
        </w:rPr>
        <w:t>”</w:t>
      </w:r>
      <w:r>
        <w:rPr>
          <w:rFonts w:ascii="Times New Roman;sans-serif" w:hAnsi="Times New Roman;sans-serif"/>
          <w:b w:val="false"/>
          <w:color w:val="000000"/>
          <w:sz w:val="24"/>
        </w:rPr>
        <w:t>), as administrative agent and collateral agent for the Lenders (in such capacities, together with its successors and assigns, the “</w:t>
      </w:r>
      <w:r>
        <w:rPr>
          <w:rFonts w:ascii="Times New Roman;sans-serif" w:hAnsi="Times New Roman;sans-serif"/>
          <w:b/>
          <w:color w:val="000000"/>
          <w:sz w:val="24"/>
        </w:rPr>
        <w:t>Administrative Agent</w:t>
      </w:r>
      <w:r>
        <w:rPr>
          <w:color w:val="000000"/>
        </w:rPr>
        <w:t>”</w:t>
      </w:r>
      <w:r>
        <w:rPr>
          <w:rFonts w:ascii="Times New Roman;sans-serif" w:hAnsi="Times New Roman;sans-serif"/>
          <w:b w:val="false"/>
          <w:color w:val="000000"/>
          <w:sz w:val="24"/>
        </w:rPr>
        <w:t>), Wilmington, as account bank and verification agent for itself and for the Lenders (in such capacities, together with its successors and assigns, the “</w:t>
      </w:r>
      <w:r>
        <w:rPr>
          <w:rFonts w:ascii="Times New Roman;sans-serif" w:hAnsi="Times New Roman;sans-serif"/>
          <w:b/>
          <w:color w:val="000000"/>
          <w:sz w:val="24"/>
        </w:rPr>
        <w:t>Account Bank</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Verification Agent</w:t>
      </w:r>
      <w:r>
        <w:rPr>
          <w:color w:val="000000"/>
        </w:rPr>
        <w:t>”</w:t>
      </w:r>
      <w:r>
        <w:rPr>
          <w:rFonts w:ascii="Times New Roman;sans-serif" w:hAnsi="Times New Roman;sans-serif"/>
          <w:b w:val="false"/>
          <w:color w:val="000000"/>
          <w:sz w:val="24"/>
        </w:rPr>
        <w:t>) and Barclays Bank PLC, as facility agent for itself and for the Lenders (in such capacity, together with its successors and assigns, the “</w:t>
      </w:r>
      <w:r>
        <w:rPr>
          <w:rFonts w:ascii="Times New Roman;sans-serif" w:hAnsi="Times New Roman;sans-serif"/>
          <w:b/>
          <w:color w:val="000000"/>
          <w:sz w:val="24"/>
        </w:rPr>
        <w:t>Facility Agent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capitalized terms used herein shall have the meanings ascribed thereto in </w:t>
      </w:r>
      <w:r>
        <w:rPr>
          <w:rFonts w:ascii="Times New Roman;sans-serif" w:hAnsi="Times New Roman;sans-serif"/>
          <w:b w:val="false"/>
          <w:color w:val="000000"/>
          <w:sz w:val="24"/>
          <w:u w:val="single"/>
        </w:rPr>
        <w:t>Section 1.1</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in connection with the Transactions, the Borrower has requested that (i) on the Effective Date, the Lenders extend $350,000,000 in Commitments to the Borrower and (ii) on and after the Closing Date, the Lenders lend to the Borrower Term Loans from time to time in an initial aggregate principal amount of up to $350,000,000, the proceeds of which will be used on the Closing Date solely to finance the Transactions; and</w:t>
      </w:r>
    </w:p>
    <w:p>
      <w:pPr>
        <w:pStyle w:val="TextBody"/>
        <w:bidi w:val="0"/>
        <w:spacing w:lineRule="auto" w:line="288" w:before="0" w:after="24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each Loan Party has agreed to (x) secure the Secured Obligations by granting to the Administrative Agent, for the benefit of itself and the Lenders, a Lien on substantially all of its assets, including without limitation, all right, title and interest in and to any Uniti Fiber Business Assets owned by such Loan Party on the Closing Date, and (y) provide the Guaranty of the Guaranteed Obligations, in each case on the terms set forth herein.</w:t>
      </w:r>
    </w:p>
    <w:p>
      <w:pPr>
        <w:pStyle w:val="TextBody"/>
        <w:bidi w:val="0"/>
        <w:spacing w:lineRule="auto" w:line="288" w:before="0" w:after="24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foregoing and for other good and valuable consideration, the receipt and adequacy of which hereby are acknowledged, the Loan Parties, Administrative Agent and Lenders hereby agree as follows:</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    DEFINITIONS</w:t>
      </w:r>
    </w:p>
    <w:p>
      <w:pPr>
        <w:pStyle w:val="TextBody"/>
        <w:bidi w:val="0"/>
        <w:spacing w:lineRule="auto" w:line="288" w:before="0" w:after="240"/>
        <w:ind w:left="0" w:right="0" w:firstLine="720"/>
        <w:jc w:val="both"/>
        <w:rPr/>
      </w:pPr>
      <w:r>
        <w:rPr>
          <w:rFonts w:ascii="Times New Roman;sans-serif" w:hAnsi="Times New Roman;sans-serif"/>
          <w:b/>
          <w:color w:val="000000"/>
          <w:sz w:val="24"/>
        </w:rPr>
        <w:t>1.1    Defined Terms.</w:t>
      </w:r>
      <w:r>
        <w:rPr>
          <w:color w:val="000000"/>
        </w:rPr>
        <w:t xml:space="preserve"> </w:t>
      </w:r>
      <w:r>
        <w:rPr>
          <w:rFonts w:ascii="Times New Roman;sans-serif" w:hAnsi="Times New Roman;sans-serif"/>
          <w:b w:val="false"/>
          <w:color w:val="000000"/>
          <w:sz w:val="24"/>
        </w:rPr>
        <w:t xml:space="preserve">For purposes of the Transaction Documents, in addition to the definitions above and elsewhere in this Agreement or the other Transaction Documents, the terms listed in this </w:t>
      </w:r>
      <w:r>
        <w:rPr>
          <w:rFonts w:ascii="Times New Roman;sans-serif" w:hAnsi="Times New Roman;sans-serif"/>
          <w:b w:val="false"/>
          <w:color w:val="000000"/>
          <w:sz w:val="24"/>
          <w:u w:val="single"/>
        </w:rPr>
        <w:t>Article I</w:t>
      </w:r>
      <w:r>
        <w:rPr>
          <w:color w:val="000000"/>
        </w:rPr>
        <w:t xml:space="preserve"> </w:t>
      </w:r>
      <w:r>
        <w:rPr>
          <w:rFonts w:ascii="Times New Roman;sans-serif" w:hAnsi="Times New Roman;sans-serif"/>
          <w:b w:val="false"/>
          <w:color w:val="000000"/>
          <w:sz w:val="24"/>
        </w:rPr>
        <w:t xml:space="preserve">shall have the meanings given such terms in this </w:t>
      </w:r>
      <w:r>
        <w:rPr>
          <w:rFonts w:ascii="Times New Roman;sans-serif" w:hAnsi="Times New Roman;sans-serif"/>
          <w:b w:val="false"/>
          <w:color w:val="000000"/>
          <w:sz w:val="24"/>
          <w:u w:val="single"/>
        </w:rPr>
        <w:t>Article I</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 Bank</w:t>
      </w:r>
      <w:r>
        <w:rPr>
          <w:color w:val="000000"/>
        </w:rPr>
        <w:t xml:space="preserve">” </w:t>
      </w:r>
      <w:r>
        <w:rPr>
          <w:rFonts w:ascii="Times New Roman;sans-serif" w:hAnsi="Times New Roman;sans-serif"/>
          <w:b w:val="false"/>
          <w:color w:val="000000"/>
          <w:sz w:val="24"/>
        </w:rPr>
        <w:t>shall have the meaning assigned to it in Recitals.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 Bank Control Agreement</w:t>
      </w:r>
      <w:r>
        <w:rPr>
          <w:color w:val="000000"/>
        </w:rPr>
        <w:t xml:space="preserve">” </w:t>
      </w:r>
      <w:r>
        <w:rPr>
          <w:rFonts w:ascii="Times New Roman;sans-serif" w:hAnsi="Times New Roman;sans-serif"/>
          <w:b w:val="false"/>
          <w:color w:val="000000"/>
          <w:sz w:val="24"/>
        </w:rPr>
        <w:t>shall mean the account control agreement, dated as of the Closing Date, by and among the Borrower, the Administrative Agent and the Account Bank, as securities intermediary, with respect to the Trust Accounts.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45160"/>
                <wp:effectExtent l="0" t="0" r="0" b="0"/>
                <wp:wrapNone/>
                <wp:docPr id="72" name="Frame72"/>
                <a:graphic xmlns:a="http://schemas.openxmlformats.org/drawingml/2006/main">
                  <a:graphicData uri="http://schemas.microsoft.com/office/word/2010/wordprocessingShape">
                    <wps:wsp>
                      <wps:cNvSpPr txBox="1"/>
                      <wps:spPr>
                        <a:xfrm>
                          <a:off x="0" y="0"/>
                          <a:ext cx="6480175" cy="6451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 Bank Fee</w:t>
      </w:r>
      <w:r>
        <w:rPr>
          <w:color w:val="000000"/>
        </w:rPr>
        <w:t xml:space="preserve">” </w:t>
      </w:r>
      <w:r>
        <w:rPr>
          <w:rFonts w:ascii="Times New Roman;sans-serif" w:hAnsi="Times New Roman;sans-serif"/>
          <w:b w:val="false"/>
          <w:color w:val="000000"/>
          <w:sz w:val="24"/>
        </w:rPr>
        <w:t>shall mean the fees, expenses and indemnities to be paid to the Account Bank pursuant to a written agreement between the Account Bank and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 Collateral</w:t>
      </w:r>
      <w:r>
        <w:rPr>
          <w:color w:val="000000"/>
        </w:rPr>
        <w:t xml:space="preserve">” </w:t>
      </w:r>
      <w:r>
        <w:rPr>
          <w:rFonts w:ascii="Times New Roman;sans-serif" w:hAnsi="Times New Roman;sans-serif"/>
          <w:b w:val="false"/>
          <w:color w:val="000000"/>
          <w:sz w:val="24"/>
        </w:rPr>
        <w:t>shall mean all of the Loan Parties’ right, title and interest in and to the Pledged Accounts, the Reserves, all monies and amounts which may from time to time be on deposit therein, all monies, checks, notes, instruments, documents, deposits, and credits from time to time in the possession of the Administrative Agent representing or evidencing such Pledged Accounts and Reserves and all earnings and investments held therein and proceeds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 Control Agreement</w:t>
      </w:r>
      <w:r>
        <w:rPr>
          <w:color w:val="000000"/>
        </w:rPr>
        <w:t xml:space="preserve">” </w:t>
      </w:r>
      <w:r>
        <w:rPr>
          <w:rFonts w:ascii="Times New Roman;sans-serif" w:hAnsi="Times New Roman;sans-serif"/>
          <w:b w:val="false"/>
          <w:color w:val="000000"/>
          <w:sz w:val="24"/>
        </w:rPr>
        <w:t>shall mean (i) with respect to any Trust Account, the Account Bank Control Agreement and (ii) with respect to any other applicable Pledged Account, each agreement, in form and substance reasonably satisfactory to the Administrative Agent (acting at the direction of the Requisite Lenders), pursuant to which the Administrative Agent, the applicable Loan Party and the bank maintaining the applicable Deposit Account have agreed, among other things, that (i) the Administrative Agent shall have “control” over such Deposit Account (within the meaning of the UCC) and (ii) solely upon the trigger events set forth in such Account Control Agreement, such bank will comply with instructions originated by the Administrative Agent directing disposition of the funds in such Deposit Account without further consent from any other Person (including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 Debtor</w:t>
      </w:r>
      <w:r>
        <w:rPr>
          <w:color w:val="000000"/>
        </w:rPr>
        <w:t xml:space="preserve">” </w:t>
      </w:r>
      <w:r>
        <w:rPr>
          <w:rFonts w:ascii="Times New Roman;sans-serif" w:hAnsi="Times New Roman;sans-serif"/>
          <w:b w:val="false"/>
          <w:color w:val="000000"/>
          <w:sz w:val="24"/>
        </w:rPr>
        <w:t xml:space="preserve">shall mean any Person who is obligated or may become obligated to another Person under, with respect to, or on account of, an Account.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Accounts</w:t>
      </w:r>
      <w:r>
        <w:rPr>
          <w:color w:val="000000"/>
        </w:rPr>
        <w:t xml:space="preserve">” </w:t>
      </w:r>
      <w:r>
        <w:rPr>
          <w:rFonts w:ascii="Times New Roman;sans-serif" w:hAnsi="Times New Roman;sans-serif"/>
          <w:b w:val="false"/>
          <w:color w:val="000000"/>
          <w:sz w:val="24"/>
        </w:rPr>
        <w:t>shall mean “accounts” (as such term is defined in the UCC) in which any Person now or hereafter has rights.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Additional Documents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2.10(e)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Agent</w:t>
      </w:r>
      <w:r>
        <w:rPr>
          <w:color w:val="000000"/>
        </w:rPr>
        <w:t xml:space="preserve">” </w:t>
      </w:r>
      <w:r>
        <w:rPr>
          <w:rFonts w:ascii="Times New Roman;sans-serif" w:hAnsi="Times New Roman;sans-serif"/>
          <w:b w:val="false"/>
          <w:color w:val="000000"/>
          <w:sz w:val="24"/>
        </w:rPr>
        <w:t>shall have the meaning assigned to it in the introductory paragraph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Agent Fee</w:t>
      </w:r>
      <w:r>
        <w:rPr>
          <w:color w:val="000000"/>
        </w:rPr>
        <w:t xml:space="preserve">” </w:t>
      </w:r>
      <w:r>
        <w:rPr>
          <w:rFonts w:ascii="Times New Roman;sans-serif" w:hAnsi="Times New Roman;sans-serif"/>
          <w:b w:val="false"/>
          <w:color w:val="000000"/>
          <w:sz w:val="24"/>
        </w:rPr>
        <w:t>means the fees, expenses and indemnities to be paid to the Administrative Agent pursuant to the Administrative Agent Fee Letter.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Agent Fee Letter</w:t>
      </w:r>
      <w:r>
        <w:rPr>
          <w:color w:val="000000"/>
        </w:rPr>
        <w:t xml:space="preserve">” </w:t>
      </w:r>
      <w:r>
        <w:rPr>
          <w:rFonts w:ascii="Times New Roman;sans-serif" w:hAnsi="Times New Roman;sans-serif"/>
          <w:b w:val="false"/>
          <w:color w:val="000000"/>
          <w:sz w:val="24"/>
        </w:rPr>
        <w:t>means that certain fee letter agreement, dated as of the Closing Date, between the Borrower and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Agent’s Account</w:t>
      </w:r>
      <w:r>
        <w:rPr>
          <w:color w:val="000000"/>
        </w:rPr>
        <w:t xml:space="preserve">” </w:t>
      </w:r>
      <w:r>
        <w:rPr>
          <w:rFonts w:ascii="Times New Roman;sans-serif" w:hAnsi="Times New Roman;sans-serif"/>
          <w:b w:val="false"/>
          <w:color w:val="000000"/>
          <w:sz w:val="24"/>
        </w:rPr>
        <w:t>shall mean the account of the Administrative Agent as the Administrative Agent may from time to time notify the Borrower and the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Administrative Questionnaire</w:t>
      </w:r>
      <w:r>
        <w:rPr>
          <w:color w:val="000000"/>
        </w:rPr>
        <w:t xml:space="preserve">” </w:t>
      </w:r>
      <w:r>
        <w:rPr>
          <w:rFonts w:ascii="Times New Roman;sans-serif" w:hAnsi="Times New Roman;sans-serif"/>
          <w:b w:val="false"/>
          <w:color w:val="000000"/>
          <w:sz w:val="24"/>
        </w:rPr>
        <w:t>means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 xml:space="preserve">shall mean, as to any Person, any other Person that, directly or indirectly through one or more intermediaries, controls, is controlled by, or is under common control with, such Person. For purposes of this definition, the term “control” (and the correlative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55345"/>
                <wp:effectExtent l="0" t="0" r="0" b="0"/>
                <wp:wrapNone/>
                <wp:docPr id="73" name="Frame7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terms, “controlled by” and “under common control with”) shall mean the possession, directly or indirectly, of the power to direct or cause the direction of the management or policies, whether through ownership of securities or other interests, by contract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shall have the meaning assigned to it in the introductory paragraph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Agent</w:t>
      </w:r>
      <w:r>
        <w:rPr>
          <w:color w:val="000000"/>
        </w:rPr>
        <w:t xml:space="preserve">” </w:t>
      </w:r>
      <w:r>
        <w:rPr>
          <w:rFonts w:ascii="Times New Roman;sans-serif" w:hAnsi="Times New Roman;sans-serif"/>
          <w:b w:val="false"/>
          <w:color w:val="000000"/>
          <w:sz w:val="24"/>
        </w:rPr>
        <w:t xml:space="preserve">means, the Administrative Agent and/or the Facility Agent, as the context may require.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Agent Related Parties</w:t>
      </w:r>
      <w:r>
        <w:rPr>
          <w:color w:val="000000"/>
        </w:rPr>
        <w:t xml:space="preserve">” </w:t>
      </w:r>
      <w:r>
        <w:rPr>
          <w:rFonts w:ascii="Times New Roman;sans-serif" w:hAnsi="Times New Roman;sans-serif"/>
          <w:b w:val="false"/>
          <w:color w:val="000000"/>
          <w:sz w:val="24"/>
        </w:rPr>
        <w:t xml:space="preserve">means, (i) with respect to the Administrative Agent, the Administrative Agent’s Affiliates and the officers, directors, employee, agents, members, managers, partners, advisors and other representatives of the Administrative Agent and of each of the Administrative Agent’s Affiliates and the permitted successors and assigns of the foregoing </w:t>
      </w:r>
      <w:r>
        <w:rPr>
          <w:rFonts w:ascii="Times New Roman;sans-serif" w:hAnsi="Times New Roman;sans-serif"/>
          <w:b w:val="false"/>
          <w:color w:val="000000"/>
          <w:sz w:val="22"/>
        </w:rPr>
        <w:t>and (ii) with respect to the Facility Agent, the Facility Agent’s Affiliates and the officers, directors, employee, agents, members, managers, partners, advisors and other representatives of the Facility Agent and of each of the Facility Agent’s Affiliates and the permitted successors and assigns of the foregoing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Aggregate Annualized Run Rate Revenue</w:t>
      </w:r>
      <w:r>
        <w:rPr>
          <w:color w:val="000000"/>
        </w:rPr>
        <w:t xml:space="preserve">” </w:t>
      </w:r>
      <w:r>
        <w:rPr>
          <w:rFonts w:ascii="Times New Roman;sans-serif" w:hAnsi="Times New Roman;sans-serif"/>
          <w:b w:val="false"/>
          <w:color w:val="000000"/>
          <w:sz w:val="24"/>
        </w:rPr>
        <w:t xml:space="preserve">means, as of any Determination Date, (i) the Annualized Run Rate Revenue plus (ii) any Retained Collections Contributions in accordance with </w:t>
      </w:r>
      <w:r>
        <w:rPr>
          <w:rFonts w:ascii="Times New Roman;sans-serif" w:hAnsi="Times New Roman;sans-serif"/>
          <w:b w:val="false"/>
          <w:color w:val="000000"/>
          <w:sz w:val="24"/>
          <w:u w:val="single"/>
        </w:rPr>
        <w:t>Section 2.16(b)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Allocated Loan Amount</w:t>
      </w:r>
      <w:r>
        <w:rPr>
          <w:color w:val="000000"/>
        </w:rPr>
        <w:t xml:space="preserve">” </w:t>
      </w:r>
      <w:r>
        <w:rPr>
          <w:rFonts w:ascii="Times New Roman;sans-serif" w:hAnsi="Times New Roman;sans-serif"/>
          <w:b w:val="false"/>
          <w:color w:val="000000"/>
          <w:sz w:val="24"/>
        </w:rPr>
        <w:t>shall mean, for any Fiber Network Assets as of any date of determination with respect to a Disposition of such Fiber Network Assets, the product of (a) the percentage equivalent of a fraction (i) the numerator of which is the excess, if any, of (x) the Aggregate Annualized Run Rate Revenue of all Fiber Network Assets as of such date prior to giving effect to such Disposition over (y) the Aggregate Annualized Run Rate Revenue of all Fiber Network Assets as of such date after giving Pro Forma Effect to such Disposition and (ii) the denominator of which is the Aggregate Annualized Run Rate Revenue of all Fiber Network Assets as of such date prior to giving Pro Forma Effect to such Disposition and (b) the Total Outstandings as of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Annualized Run Rate Revenue</w:t>
      </w:r>
      <w:r>
        <w:rPr>
          <w:color w:val="000000"/>
        </w:rPr>
        <w:t xml:space="preserve">” </w:t>
      </w:r>
      <w:r>
        <w:rPr>
          <w:rFonts w:ascii="Times New Roman;sans-serif" w:hAnsi="Times New Roman;sans-serif"/>
          <w:b w:val="false"/>
          <w:color w:val="000000"/>
          <w:sz w:val="24"/>
        </w:rPr>
        <w:t xml:space="preserve">means, as of any Determination Date, an amount equal to (a) the excess of (i) Retained Collections for the most recently completed Quarterly Collection Period over (ii) the </w:t>
      </w:r>
      <w:r>
        <w:rPr>
          <w:rFonts w:ascii="Times New Roman;sans-serif" w:hAnsi="Times New Roman;sans-serif"/>
          <w:b w:val="false"/>
          <w:i/>
          <w:color w:val="000000"/>
          <w:sz w:val="24"/>
        </w:rPr>
        <w:t>sum</w:t>
      </w:r>
      <w:r>
        <w:rPr>
          <w:color w:val="000000"/>
        </w:rPr>
        <w:t xml:space="preserve"> </w:t>
      </w:r>
      <w:r>
        <w:rPr>
          <w:rFonts w:ascii="Times New Roman;sans-serif" w:hAnsi="Times New Roman;sans-serif"/>
          <w:b w:val="false"/>
          <w:color w:val="000000"/>
          <w:sz w:val="24"/>
        </w:rPr>
        <w:t>(without duplication) of (x) the Management Fee for such Quarterly Collection Period, (y) the Monthly Fiber Network Operating Expenses for the months in such Quarterly Collection Period and (z) insurance expenses and local or other property and similar taxes (including payments in lieu of taxes) paid by the Loan Parties with respect to the Fiber Network Assets during such Quarterly Collection Period, multiplied by (b) four. Notwithstanding anything contained in this definition to the contrary, the Annualized Run Rate Revenue for the fiscal quarter ended December 31, 2023 shall be deemed to be an amount agreed in writing between the Facility Agent and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Anti-Corruption Laws</w:t>
      </w:r>
      <w:r>
        <w:rPr>
          <w:color w:val="000000"/>
        </w:rPr>
        <w:t xml:space="preserve">” </w:t>
      </w:r>
      <w:r>
        <w:rPr>
          <w:rFonts w:ascii="Times New Roman;sans-serif" w:hAnsi="Times New Roman;sans-serif"/>
          <w:b w:val="false"/>
          <w:color w:val="000000"/>
          <w:sz w:val="24"/>
        </w:rPr>
        <w:t>means all laws, rules, and regulations of any jurisdiction applicable to the Borrower and its Subsidiaries from time to time concerning or relating to bribery or corruption.</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55345"/>
                <wp:effectExtent l="0" t="0" r="0" b="0"/>
                <wp:wrapNone/>
                <wp:docPr id="74" name="Frame7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Applicable Law</w:t>
      </w:r>
      <w:r>
        <w:rPr>
          <w:color w:val="000000"/>
        </w:rPr>
        <w:t xml:space="preserve">” </w:t>
      </w:r>
      <w:r>
        <w:rPr>
          <w:rFonts w:ascii="Times New Roman;sans-serif" w:hAnsi="Times New Roman;sans-serif"/>
          <w:b w:val="false"/>
          <w:color w:val="000000"/>
          <w:sz w:val="24"/>
        </w:rPr>
        <w:t>shall mean any and all federal, state, local and/or applicable foreign statutes, ordinances, rules, regulations, court orders and decrees, administrative orders and decrees, and other legal requirements applicable to any Loan Party, including, but not limited to, all applicable state and federal usury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Applicable Margin</w:t>
      </w:r>
      <w:r>
        <w:rPr>
          <w:color w:val="000000"/>
        </w:rPr>
        <w:t xml:space="preserve">” </w:t>
      </w:r>
      <w:r>
        <w:rPr>
          <w:rFonts w:ascii="Times New Roman;sans-serif" w:hAnsi="Times New Roman;sans-serif"/>
          <w:b w:val="false"/>
          <w:color w:val="000000"/>
          <w:sz w:val="24"/>
        </w:rPr>
        <w:t xml:space="preserve">shall mean on any date: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from and after the Closing Date to, but excluding, the Scheduled Repayment Date, (a) for any SOFR Loan, 3.75% per annum and (b) for any Base Rate Loan, 2.75% per annum;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during the Initial Step-Up Period, (a) for any SOFR Loan, 4.50% per annum and (b) for any Base Rate Loan, 3.50% per annum; and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 during the Second Step-Up Period, (a) for any SOFR Loan, 5.25% per annum and (b) for any Base Rate Loan, 4.25% per annum.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Asset Entities</w:t>
      </w:r>
      <w:r>
        <w:rPr>
          <w:color w:val="000000"/>
        </w:rPr>
        <w:t xml:space="preserve">” </w:t>
      </w:r>
      <w:r>
        <w:rPr>
          <w:rFonts w:ascii="Times New Roman;sans-serif" w:hAnsi="Times New Roman;sans-serif"/>
          <w:b w:val="false"/>
          <w:color w:val="000000"/>
          <w:sz w:val="24"/>
        </w:rPr>
        <w:t xml:space="preserve">shall mean, collectively, (i) </w:t>
      </w:r>
      <w:r>
        <w:rPr>
          <w:rFonts w:ascii="Times New Roman;sans-serif" w:hAnsi="Times New Roman;sans-serif"/>
          <w:b w:val="false"/>
          <w:color w:val="1F1F1F"/>
          <w:sz w:val="24"/>
        </w:rPr>
        <w:t xml:space="preserve">Uniti Fiber GulfCo LLC, </w:t>
      </w:r>
      <w:r>
        <w:rPr>
          <w:rFonts w:ascii="Times New Roman;sans-serif" w:hAnsi="Times New Roman;sans-serif"/>
          <w:b w:val="false"/>
          <w:color w:val="000000"/>
          <w:sz w:val="24"/>
        </w:rPr>
        <w:t xml:space="preserve">a Delaware limited liability company, bankruptcy-remote special purpose entity and a direct Wholly-Owned Subsidiary of the Borrower as of the Closing Date and (ii) any other bankruptcy-remote special purpose entity that is a Wholly-Owned Subsidiary of the Borrower and party hereto pursuant to a Joinder Agreement that holds any relevant Uniti Fiber Business Assets pursuant to a Fiber Network Assets Transfer.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Assignment Agreement</w:t>
      </w:r>
      <w:r>
        <w:rPr>
          <w:color w:val="000000"/>
        </w:rPr>
        <w:t xml:space="preserve">” </w:t>
      </w:r>
      <w:r>
        <w:rPr>
          <w:rFonts w:ascii="Times New Roman;sans-serif" w:hAnsi="Times New Roman;sans-serif"/>
          <w:b w:val="false"/>
          <w:color w:val="000000"/>
          <w:sz w:val="24"/>
        </w:rPr>
        <w:t>shall mean an Assignment and Assumption substantially in the form of Exhibit F hereto or any other form (including electronic documentation generated by an electronic platform)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Available Tenor</w:t>
      </w:r>
      <w:r>
        <w:rPr>
          <w:color w:val="000000"/>
        </w:rPr>
        <w:t xml:space="preserve">” </w:t>
      </w:r>
      <w:r>
        <w:rPr>
          <w:rFonts w:ascii="Times New Roman;sans-serif" w:hAnsi="Times New Roman;sans-serif"/>
          <w:b w:val="false"/>
          <w:color w:val="000000"/>
          <w:sz w:val="24"/>
        </w:rPr>
        <w:t>means, as of any date of determination and with respect to the then-current Benchmark, the tenor for such Benchmark pursuant to this Agreement as of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Bankruptcy Code</w:t>
      </w:r>
      <w:r>
        <w:rPr>
          <w:color w:val="000000"/>
        </w:rPr>
        <w:t xml:space="preserve">” </w:t>
      </w:r>
      <w:r>
        <w:rPr>
          <w:rFonts w:ascii="Times New Roman;sans-serif" w:hAnsi="Times New Roman;sans-serif"/>
          <w:b w:val="false"/>
          <w:color w:val="000000"/>
          <w:sz w:val="24"/>
        </w:rPr>
        <w:t>shall mean Title 11 of the United States Code, 11 U.S.C. §§ 101 et. seq.,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Base Rate</w:t>
      </w:r>
      <w:r>
        <w:rPr>
          <w:color w:val="000000"/>
        </w:rPr>
        <w:t xml:space="preserve">” </w:t>
      </w:r>
      <w:r>
        <w:rPr>
          <w:rFonts w:ascii="Times New Roman;sans-serif" w:hAnsi="Times New Roman;sans-serif"/>
          <w:b w:val="false"/>
          <w:color w:val="000000"/>
          <w:sz w:val="24"/>
        </w:rPr>
        <w:t xml:space="preserve">means, on any day, a rate per annum equal to the highest of (a) the Prime Rate in effect on such day, (b) the Federal Funds Rate in effect on such day plus ½ of 1.00% and (c) Term SOFR for an Interest Period of one month in effect on such day plus 1.00%;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changes in any rate of interest calculated by reference to the Base Rate shall take effect simultaneously with each change in the Base Rate and the Base Rate will in no event be higher than the maximum rate permitted by applicable law. If the Administrative Agent shall have determined (which determination shall be conclusive absent manifest error) that it is unable to ascertain the Federal Funds Rate or Term SOFR for any reason, the Base Rate shall be determined without regard to clause (b) or (c) above, as applicable, until the circumstances giving rise to such inability no longer exist.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Base Rate Loans</w:t>
      </w:r>
      <w:r>
        <w:rPr>
          <w:color w:val="000000"/>
        </w:rPr>
        <w:t xml:space="preserve">” </w:t>
      </w:r>
      <w:r>
        <w:rPr>
          <w:rFonts w:ascii="Times New Roman;sans-serif" w:hAnsi="Times New Roman;sans-serif"/>
          <w:b w:val="false"/>
          <w:color w:val="000000"/>
          <w:sz w:val="24"/>
        </w:rPr>
        <w:t>means any Loan that bears interest at the Base Rate as provided in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55345"/>
                <wp:effectExtent l="0" t="0" r="0" b="0"/>
                <wp:wrapNone/>
                <wp:docPr id="75" name="Frame7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Basel III</w:t>
      </w:r>
      <w:r>
        <w:rPr>
          <w:color w:val="000000"/>
        </w:rPr>
        <w:t xml:space="preserve">” </w:t>
      </w:r>
      <w:r>
        <w:rPr>
          <w:rFonts w:ascii="Times New Roman;sans-serif" w:hAnsi="Times New Roman;sans-serif"/>
          <w:b w:val="false"/>
          <w:color w:val="000000"/>
          <w:sz w:val="24"/>
        </w:rPr>
        <w:t>shall mean the agreements on capital requirements,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on 16 December 2010, each as amended, supplemented or restated.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w:t>
      </w:r>
      <w:r>
        <w:rPr>
          <w:color w:val="000000"/>
        </w:rPr>
        <w:t xml:space="preserve">” </w:t>
      </w:r>
      <w:r>
        <w:rPr>
          <w:rFonts w:ascii="Times New Roman;sans-serif" w:hAnsi="Times New Roman;sans-serif"/>
          <w:b w:val="false"/>
          <w:color w:val="000000"/>
          <w:sz w:val="24"/>
        </w:rPr>
        <w:t xml:space="preserve">means, initially, Term SOFR;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 Benchmark Transition Event and the Benchmark Replacement Date with respect thereto have occurred with respect to Term SOFR or the then-current Benchmark, then “Benchmark” means the applicable Benchmark Replacement to the extent that such Benchmark Replacement has replaced such prior benchmark rate pursuant to </w:t>
      </w:r>
      <w:r>
        <w:rPr>
          <w:rFonts w:ascii="Times New Roman;sans-serif" w:hAnsi="Times New Roman;sans-serif"/>
          <w:b w:val="false"/>
          <w:color w:val="000000"/>
          <w:sz w:val="24"/>
          <w:u w:val="single"/>
        </w:rPr>
        <w:t>Section 2.5(g)</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w:t>
      </w:r>
      <w:r>
        <w:rPr>
          <w:color w:val="000000"/>
        </w:rPr>
        <w:t xml:space="preserve">” </w:t>
      </w:r>
      <w:r>
        <w:rPr>
          <w:rFonts w:ascii="Times New Roman;sans-serif" w:hAnsi="Times New Roman;sans-serif"/>
          <w:b w:val="false"/>
          <w:color w:val="000000"/>
          <w:sz w:val="24"/>
        </w:rPr>
        <w:t>means, for any Available Tenor, the first alternative set forth in the order below that (x) can be determined by the Administrative Agent (acting at the direction of the Requisite Lenders) for the applicable Benchmark Replacement Date and (y) is administratively feasible as determined by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Daily Simple SOFR;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    the sum of: (a) the alternate rate of interest that has been selected by the Administrative Agent (acting at the direction of the Requisite Lenders) (in consultation with the Borrower) as the replacement for the then-current Benchmark for the applicable Corresponding Tenor giving due consideration to any industry-accepted rate of interest as a replacement for the then-current Benchmark for U.S. dollar denominated secured financings or securitizations relating to the relevant asset class, as applicable at such time and (b) the Benchmark Replacement Adjustment.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at any time the Benchmark Replacement as determined pursuant to this definition would be less than the Floor, the Benchmark Replacement will be deemed to be the Floor for the purposes of this Agreement and the other Transaction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 Adjustment</w:t>
      </w:r>
      <w:r>
        <w:rPr>
          <w:color w:val="000000"/>
        </w:rPr>
        <w:t xml:space="preserve">” </w:t>
      </w:r>
      <w:r>
        <w:rPr>
          <w:rFonts w:ascii="Times New Roman;sans-serif" w:hAnsi="Times New Roman;sans-serif"/>
          <w:b w:val="false"/>
          <w:color w:val="000000"/>
          <w:sz w:val="24"/>
        </w:rPr>
        <w:t xml:space="preserve">means the spread adjustment (which may be a positive or negative value or zero) that has been selected by the Administrative Agent (acting at the direction of the Requisite Lenders) and the Borrower giving due consideration to any industry-accepted spread adjustment, or method for calculating or determining such spread adjustment, for the replacement of the then-current Benchmark with the applicable Unadjusted Benchmark Replacement for U.S. dollar denominated secured financing or securitization transactions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Benchmark Replacement Adjustment shall be administratively feasible as determined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 Conforming Changes</w:t>
      </w:r>
      <w:r>
        <w:rPr>
          <w:color w:val="000000"/>
        </w:rPr>
        <w:t xml:space="preserve">” </w:t>
      </w:r>
      <w:r>
        <w:rPr>
          <w:rFonts w:ascii="Times New Roman;sans-serif" w:hAnsi="Times New Roman;sans-serif"/>
          <w:b w:val="false"/>
          <w:color w:val="000000"/>
          <w:sz w:val="24"/>
        </w:rPr>
        <w:t xml:space="preserve">means, with respect to either the use or administration of Term SOFR or any Benchmark Replacement, any technical, administrative or operational changes (including but not limited to changes to the definition of “Base Rate,” the definition of “Business Day,” the definition of “U.S. Government Securities Business Day”, the definition of “Interest Period”, timing and frequency of determining rates and making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55345"/>
                <wp:effectExtent l="0" t="0" r="0" b="0"/>
                <wp:wrapNone/>
                <wp:docPr id="76" name="Frame7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interest, timing of borrowing requests or prepayment, conversion or continuation notices, length of lookback periods, the applicability of breakage provisions, and other technical, administrative or operational matters) that the Administrative Agent (acting at the direction of the Requisite Lenders) and the Borrower decide may be appropriate to reflect the adoption and implementation of such rate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(acting at the direction of the Requisite Lenders) determines that no market practice for the administration of such rate exists, in such other manner of administration as (x) the Administrative Agent (acting at the direction of the Requisite Lenders) determines (in consultation with the Borrower) is reasonably necessary in connection with the administration of this Agreement and the other Transaction Documents and (y) is administratively feasible as determined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Replacement Date</w:t>
      </w:r>
      <w:r>
        <w:rPr>
          <w:color w:val="000000"/>
        </w:rPr>
        <w:t xml:space="preserve">” </w:t>
      </w:r>
      <w:r>
        <w:rPr>
          <w:rFonts w:ascii="Times New Roman;sans-serif" w:hAnsi="Times New Roman;sans-serif"/>
          <w:b w:val="false"/>
          <w:color w:val="000000"/>
          <w:sz w:val="24"/>
        </w:rPr>
        <w:t>means the earliest to occur of the following events with respect to the then-current Benchmark, or if the then-current Benchmark is Term SOFR, with respect to the Term SOFR Reference Rate: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the applicable Available Tenor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in the case of clause (3) of the definition of “Benchmark Transition Event,” the date of the public statement or publication of information referenced therein.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the applicable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55345"/>
                <wp:effectExtent l="0" t="0" r="0" b="0"/>
                <wp:wrapNone/>
                <wp:docPr id="77" name="Frame7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(2)    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a public statement or publication of information by or the regulatory supervisor for the administrator of such Benchmark (or the published component used in the calculation thereof) announcing that all Available Tenors of such Benchmark (or such component thereof) is no longer representative.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Beneficial Ownership Certification</w:t>
      </w:r>
      <w:r>
        <w:rPr>
          <w:color w:val="000000"/>
        </w:rPr>
        <w:t xml:space="preserve">” </w:t>
      </w:r>
      <w:r>
        <w:rPr>
          <w:rFonts w:ascii="Times New Roman;sans-serif" w:hAnsi="Times New Roman;sans-serif"/>
          <w:b w:val="false"/>
          <w:color w:val="000000"/>
          <w:sz w:val="24"/>
        </w:rPr>
        <w:t>shall mean a certification regarding beneficial ownership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Beneficial Ownership Regulation</w:t>
      </w:r>
      <w:r>
        <w:rPr>
          <w:color w:val="000000"/>
        </w:rPr>
        <w:t xml:space="preserve">” </w:t>
      </w:r>
      <w:r>
        <w:rPr>
          <w:rFonts w:ascii="Times New Roman;sans-serif" w:hAnsi="Times New Roman;sans-serif"/>
          <w:b w:val="false"/>
          <w:color w:val="000000"/>
          <w:sz w:val="24"/>
        </w:rPr>
        <w:t>shall mean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Beneficiary</w:t>
      </w:r>
      <w:r>
        <w:rPr>
          <w:color w:val="000000"/>
        </w:rPr>
        <w:t xml:space="preserve">” </w:t>
      </w:r>
      <w:r>
        <w:rPr>
          <w:rFonts w:ascii="Times New Roman;sans-serif" w:hAnsi="Times New Roman;sans-serif"/>
          <w:b w:val="false"/>
          <w:color w:val="000000"/>
          <w:sz w:val="24"/>
        </w:rPr>
        <w:t>shall mean the Administrative Agent, each Lender and any Counterparty in respect of any Secured Swap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Borrower</w:t>
      </w:r>
      <w:r>
        <w:rPr>
          <w:color w:val="000000"/>
        </w:rPr>
        <w:t xml:space="preserve">” </w:t>
      </w:r>
      <w:r>
        <w:rPr>
          <w:rFonts w:ascii="Times New Roman;sans-serif" w:hAnsi="Times New Roman;sans-serif"/>
          <w:b w:val="false"/>
          <w:color w:val="000000"/>
          <w:sz w:val="24"/>
        </w:rPr>
        <w:t>shall have the meaning assigned to it in the introductory paragraph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Borrowing Request</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 xml:space="preserve">shall mean any day other than (a) a Saturday, a Sunday or any day which is a federal holiday or (b) any day on which banking institutions or trust companies in New York City, the State of New York or the State of Delaware are authorized or obligated by law, regulation or executive order to remain closed;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when used in connection with any interest rate settings for any Term SOFR Loan, the term “</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shall also exclude any day that is not a U.S. Government Securities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Capital Markets Transaction</w:t>
      </w:r>
      <w:r>
        <w:rPr>
          <w:color w:val="000000"/>
        </w:rPr>
        <w:t xml:space="preserve">” </w:t>
      </w:r>
      <w:r>
        <w:rPr>
          <w:rFonts w:ascii="Times New Roman;sans-serif" w:hAnsi="Times New Roman;sans-serif"/>
          <w:b w:val="false"/>
          <w:color w:val="000000"/>
          <w:sz w:val="24"/>
        </w:rPr>
        <w:t xml:space="preserve">means, in connection with any Disposition of Fiber Network Assets pursuant to Section 7.13(b), any offering of senior secured securitized debt securities by a newly formed special purpose entity that is a direct or indirect Wholly-Owned Subsidiary of Uniti Fiber OpCo Holdings;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debt securities are secured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55345"/>
                <wp:effectExtent l="0" t="0" r="0" b="0"/>
                <wp:wrapNone/>
                <wp:docPr id="78" name="Frame7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primarily by such Fiber Network Assets and (ii) the proceeds of such offering are applied to refinance, in part, the Facilities.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Casualty Event</w:t>
      </w:r>
      <w:r>
        <w:rPr>
          <w:color w:val="000000"/>
        </w:rPr>
        <w:t xml:space="preserve">” </w:t>
      </w:r>
      <w:r>
        <w:rPr>
          <w:rFonts w:ascii="Times New Roman;sans-serif" w:hAnsi="Times New Roman;sans-serif"/>
          <w:b w:val="false"/>
          <w:color w:val="000000"/>
          <w:sz w:val="24"/>
        </w:rPr>
        <w:t>shall mean any event that gives rise to the receipt by any Loan Party of any insurance proceeds or condemnation awards in respect of any equipment, fixed assets or real property (including any improvements thereon) to replace or repair such equipment, fixed assets or real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Change in Law</w:t>
      </w:r>
      <w:r>
        <w:rPr>
          <w:color w:val="000000"/>
        </w:rPr>
        <w:t xml:space="preserve">” </w:t>
      </w:r>
      <w:r>
        <w:rPr>
          <w:rFonts w:ascii="Times New Roman;sans-serif" w:hAnsi="Times New Roman;sans-serif"/>
          <w:b w:val="false"/>
          <w:color w:val="000000"/>
          <w:sz w:val="24"/>
        </w:rPr>
        <w:t xml:space="preserve">shall mean the occurrence, after the date of this Agreement, of any of the following: (a) the adoption or taking effect of any law, rule, regulation or treaty; (b) any change in law, rule or treaty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authorities, in each case pursuant to Basel III, shall in each case be deemed to be a “Change in Law”, regardless of the date enacted, adopted or issued.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Change of Control</w:t>
      </w:r>
      <w:r>
        <w:rPr>
          <w:color w:val="000000"/>
        </w:rPr>
        <w:t xml:space="preserve">” </w:t>
      </w:r>
      <w:r>
        <w:rPr>
          <w:rFonts w:ascii="Times New Roman;sans-serif" w:hAnsi="Times New Roman;sans-serif"/>
          <w:b w:val="false"/>
          <w:color w:val="000000"/>
          <w:sz w:val="24"/>
        </w:rPr>
        <w:t>shall mean the failure of Holdings, directly or indirectly through Wholly-Owned Subsidiaries, to own all of the Equity Interests in the Borrower (other than during the short-term pendency of any Permitted Reorganization to the extent such interim failure to own is reasonably necessary or advisable to effectuate such Permitted Reorganization); it being understood and agreed, for the avoidance of doubt, that (i) any Permitted Reorganization that results in one or more “co-holdings”, directly or indirectly through Wholly-Owned Subsidiaries, owning all of the Equity Interests in one or more “co-borrowers” shall not trigger a “Change of Control” for any purpose under this Agreement or any other Transaction Document so long as each such “co-holdings” is a Loan Party and the Equity Interests in such “co-borrowers” owned by such “co-holdings” are subject to Liens in favor of the Administrative Agent and constitute Pledged Collateral hereunder and (ii) any Permitted Change of Control shall not trigger a “Change of Control” for any purpose under this Agreement or any other Transaction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 Date</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 Date Loans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2.1(b)(i)</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 Date Certificate</w:t>
      </w:r>
      <w:r>
        <w:rPr>
          <w:color w:val="000000"/>
        </w:rPr>
        <w:t xml:space="preserve">” </w:t>
      </w:r>
      <w:r>
        <w:rPr>
          <w:rFonts w:ascii="Times New Roman;sans-serif" w:hAnsi="Times New Roman;sans-serif"/>
          <w:b w:val="false"/>
          <w:color w:val="000000"/>
          <w:sz w:val="24"/>
        </w:rPr>
        <w:t xml:space="preserve">shall mean an officer’s certificate, dated as of the Closing Date, executed by a Responsible Officer of each Loan Party in his or her capacity as a Responsible Officer of such Loan Party and not in his or her individual capacity and substantially in the form of </w:t>
      </w:r>
      <w:r>
        <w:rPr>
          <w:rFonts w:ascii="Times New Roman;sans-serif" w:hAnsi="Times New Roman;sans-serif"/>
          <w:b w:val="false"/>
          <w:color w:val="000000"/>
          <w:sz w:val="24"/>
          <w:u w:val="single"/>
        </w:rPr>
        <w:t>Exhibit C</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 Date Contributed Contracts</w:t>
      </w:r>
      <w:r>
        <w:rPr>
          <w:color w:val="000000"/>
        </w:rPr>
        <w:t xml:space="preserve">” </w:t>
      </w:r>
      <w:r>
        <w:rPr>
          <w:rFonts w:ascii="Times New Roman;sans-serif" w:hAnsi="Times New Roman;sans-serif"/>
          <w:b w:val="false"/>
          <w:color w:val="000000"/>
          <w:sz w:val="24"/>
        </w:rPr>
        <w:t xml:space="preserve">means the non-regulated and interstate customer contracts set forth on Schedule 1.1(a) relating to the Uniti Fiber Business with respect to the Gulf Coast region (including Alabama, Florida, Louisiana and/or Mississippi) and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55345"/>
                <wp:effectExtent l="0" t="0" r="0" b="0"/>
                <wp:wrapNone/>
                <wp:docPr id="79" name="Frame7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indirectly, contributed, sold and/or otherwise transferred to the applicable the Loan Parties on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 Date Contributed Equipment</w:t>
      </w:r>
      <w:r>
        <w:rPr>
          <w:color w:val="000000"/>
        </w:rPr>
        <w:t xml:space="preserve">” </w:t>
      </w:r>
      <w:r>
        <w:rPr>
          <w:rFonts w:ascii="Times New Roman;sans-serif" w:hAnsi="Times New Roman;sans-serif"/>
          <w:b w:val="false"/>
          <w:color w:val="000000"/>
          <w:sz w:val="24"/>
        </w:rPr>
        <w:t>shall mean the customer premises equipment used for the Uniti Fiber Business set forth on Schedule 1.1(b) and directly or indirectly contributed, sold and/or otherwise transferred to the applicable the Loan Parties on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 Date Fiber Network Assets Transfers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4.1(m)</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 Date Transaction Documents</w:t>
      </w:r>
      <w:r>
        <w:rPr>
          <w:color w:val="000000"/>
        </w:rPr>
        <w:t xml:space="preserve">” </w:t>
      </w:r>
      <w:r>
        <w:rPr>
          <w:rFonts w:ascii="Times New Roman;sans-serif" w:hAnsi="Times New Roman;sans-serif"/>
          <w:b w:val="false"/>
          <w:color w:val="000000"/>
          <w:sz w:val="24"/>
        </w:rPr>
        <w:t>shall mean, collectively and each individually, this Agreement, the Notes (if any issued on the Closing Date), the Management Agreement, the IRU Agreement executed and delivered on the Closing Date, the Risk Retention Letter, the Funding Direction Letter, the Facility Agent Fee Letter and the Administrative Agent Fee Letter.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shall mean the Internal Revenue Code of 1986, as amended, and all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Collateral</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2.10(a)</w:t>
      </w:r>
      <w:r>
        <w:rPr>
          <w:color w:val="000000"/>
        </w:rPr>
        <w:t xml:space="preserve"> </w:t>
      </w:r>
      <w:r>
        <w:rPr>
          <w:rFonts w:ascii="Times New Roman;sans-serif" w:hAnsi="Times New Roman;sans-serif"/>
          <w:b w:val="false"/>
          <w:color w:val="000000"/>
          <w:sz w:val="24"/>
        </w:rPr>
        <w:t xml:space="preserve">and shall exclude, for the avoidance of doubt, any Excluded Property.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Collections</w:t>
      </w:r>
      <w:r>
        <w:rPr>
          <w:color w:val="000000"/>
        </w:rPr>
        <w:t xml:space="preserve">” </w:t>
      </w:r>
      <w:r>
        <w:rPr>
          <w:rFonts w:ascii="Times New Roman;sans-serif" w:hAnsi="Times New Roman;sans-serif"/>
          <w:b w:val="false"/>
          <w:color w:val="000000"/>
          <w:sz w:val="24"/>
        </w:rPr>
        <w:t>shall mean, without duplication, all collections received with respect to the Uniti Fiber Business pursuant to the Closing Date Contributed Contracts, any other Customer Contracts and any other Collateral.</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Collections Accounts</w:t>
      </w:r>
      <w:r>
        <w:rPr>
          <w:color w:val="000000"/>
        </w:rPr>
        <w:t xml:space="preserve">” </w:t>
      </w:r>
      <w:r>
        <w:rPr>
          <w:rFonts w:ascii="Times New Roman;sans-serif" w:hAnsi="Times New Roman;sans-serif"/>
          <w:b w:val="false"/>
          <w:color w:val="000000"/>
          <w:sz w:val="24"/>
        </w:rPr>
        <w:t>shall mean any Deposit Account of a Loan Party used to receive proceeds of Accounts from Customers, in each case other than an Excluded Account.</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Collection Period</w:t>
      </w:r>
      <w:r>
        <w:rPr>
          <w:color w:val="000000"/>
        </w:rPr>
        <w:t xml:space="preserve">” </w:t>
      </w:r>
      <w:r>
        <w:rPr>
          <w:rFonts w:ascii="Times New Roman;sans-serif" w:hAnsi="Times New Roman;sans-serif"/>
          <w:b w:val="false"/>
          <w:color w:val="000000"/>
          <w:sz w:val="24"/>
        </w:rPr>
        <w:t>shall mean, (i) with respect to any Determination Date, the most recently completed Quarterly Collection Period and (ii) for all other purposes under this Agreement, the most recently completed Monthly Collection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Commitment</w:t>
      </w:r>
      <w:r>
        <w:rPr>
          <w:color w:val="000000"/>
        </w:rPr>
        <w:t xml:space="preserve">” </w:t>
      </w:r>
      <w:r>
        <w:rPr>
          <w:rFonts w:ascii="Times New Roman;sans-serif" w:hAnsi="Times New Roman;sans-serif"/>
          <w:b w:val="false"/>
          <w:color w:val="000000"/>
          <w:sz w:val="24"/>
        </w:rPr>
        <w:t>shall mean the commitment of a Lender to make a Term Loan and “</w:t>
      </w:r>
      <w:r>
        <w:rPr>
          <w:rFonts w:ascii="Times New Roman;sans-serif" w:hAnsi="Times New Roman;sans-serif"/>
          <w:b/>
          <w:color w:val="000000"/>
          <w:sz w:val="24"/>
        </w:rPr>
        <w:t>Commitments</w:t>
      </w:r>
      <w:r>
        <w:rPr>
          <w:color w:val="000000"/>
        </w:rPr>
        <w:t xml:space="preserve">” </w:t>
      </w:r>
      <w:r>
        <w:rPr>
          <w:rFonts w:ascii="Times New Roman;sans-serif" w:hAnsi="Times New Roman;sans-serif"/>
          <w:b w:val="false"/>
          <w:color w:val="000000"/>
          <w:sz w:val="24"/>
        </w:rPr>
        <w:t xml:space="preserve">shall mean such commitments of all Lenders in the aggregate. The amount of each Lender’s Commitment is set forth on </w:t>
      </w:r>
      <w:r>
        <w:rPr>
          <w:rFonts w:ascii="Times New Roman;sans-serif" w:hAnsi="Times New Roman;sans-serif"/>
          <w:b w:val="false"/>
          <w:color w:val="000000"/>
          <w:sz w:val="24"/>
          <w:u w:val="single"/>
        </w:rPr>
        <w:t>Annex 1</w:t>
      </w:r>
      <w:r>
        <w:rPr>
          <w:color w:val="000000"/>
        </w:rPr>
        <w:t xml:space="preserve"> </w:t>
      </w:r>
      <w:r>
        <w:rPr>
          <w:rFonts w:ascii="Times New Roman;sans-serif" w:hAnsi="Times New Roman;sans-serif"/>
          <w:b w:val="false"/>
          <w:color w:val="000000"/>
          <w:sz w:val="24"/>
        </w:rPr>
        <w:t>or in the applicable Assignment Agreement, subject to any adjustment or reduction pursuant to the terms and conditions hereof. The aggregate amount of the Commitments as of the Effective Date is $350,000,000.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Commodity Exchange Act</w:t>
      </w:r>
      <w:r>
        <w:rPr>
          <w:color w:val="000000"/>
        </w:rPr>
        <w:t xml:space="preserve">” </w:t>
      </w:r>
      <w:r>
        <w:rPr>
          <w:rFonts w:ascii="Times New Roman;sans-serif" w:hAnsi="Times New Roman;sans-serif"/>
          <w:b w:val="false"/>
          <w:color w:val="000000"/>
          <w:sz w:val="24"/>
        </w:rPr>
        <w:t>means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Competitor</w:t>
      </w:r>
      <w:r>
        <w:rPr>
          <w:color w:val="000000"/>
        </w:rPr>
        <w:t xml:space="preserve">” </w:t>
      </w:r>
      <w:r>
        <w:rPr>
          <w:rFonts w:ascii="Times New Roman;sans-serif" w:hAnsi="Times New Roman;sans-serif"/>
          <w:b w:val="false"/>
          <w:color w:val="000000"/>
          <w:sz w:val="24"/>
        </w:rPr>
        <w:t>shall mean any Person engaged primarily in the business of owning and operating fiber conduit networks and other similar structures and other activities entered into in furtherance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55345"/>
                <wp:effectExtent l="0" t="0" r="0" b="0"/>
                <wp:wrapNone/>
                <wp:docPr id="80" name="Frame8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Compliance Certificate</w:t>
      </w:r>
      <w:r>
        <w:rPr>
          <w:color w:val="000000"/>
        </w:rPr>
        <w:t xml:space="preserve">” </w:t>
      </w:r>
      <w:r>
        <w:rPr>
          <w:rFonts w:ascii="Times New Roman;sans-serif" w:hAnsi="Times New Roman;sans-serif"/>
          <w:b w:val="false"/>
          <w:color w:val="000000"/>
          <w:sz w:val="24"/>
        </w:rPr>
        <w:t>shall mean a compliance certificate substantially in the form of Exhibit E or in any other form approved by the Administrative Agent (acting at the direction of the Requisite Lenders) and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Connection Income Taxes</w:t>
      </w:r>
      <w:r>
        <w:rPr>
          <w:color w:val="000000"/>
        </w:rPr>
        <w:t xml:space="preserve">”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Contingent Obligations</w:t>
      </w:r>
      <w:r>
        <w:rPr>
          <w:color w:val="000000"/>
        </w:rPr>
        <w:t xml:space="preserve">” </w:t>
      </w:r>
      <w:r>
        <w:rPr>
          <w:rFonts w:ascii="Times New Roman;sans-serif" w:hAnsi="Times New Roman;sans-serif"/>
          <w:b w:val="false"/>
          <w:color w:val="000000"/>
          <w:sz w:val="24"/>
        </w:rPr>
        <w:t>shall mean, as to any Person, any obligation of such Person guaranteeing any Indebtedness, leases, dividends or other obligations (“</w:t>
      </w:r>
      <w:r>
        <w:rPr>
          <w:rFonts w:ascii="Times New Roman;sans-serif" w:hAnsi="Times New Roman;sans-serif"/>
          <w:b/>
          <w:color w:val="000000"/>
          <w:sz w:val="24"/>
        </w:rPr>
        <w:t>primary obligations</w:t>
      </w:r>
      <w:r>
        <w:rPr>
          <w:color w:val="000000"/>
        </w:rPr>
        <w:t>”</w:t>
      </w:r>
      <w:r>
        <w:rPr>
          <w:rFonts w:ascii="Times New Roman;sans-serif" w:hAnsi="Times New Roman;sans-serif"/>
          <w:b w:val="false"/>
          <w:color w:val="000000"/>
          <w:sz w:val="24"/>
        </w:rPr>
        <w:t>) of any other Person (the “</w:t>
      </w:r>
      <w:r>
        <w:rPr>
          <w:rFonts w:ascii="Times New Roman;sans-serif" w:hAnsi="Times New Roman;sans-serif"/>
          <w:b/>
          <w:color w:val="000000"/>
          <w:sz w:val="24"/>
        </w:rPr>
        <w:t>primary obligor</w:t>
      </w:r>
      <w:r>
        <w:rPr>
          <w:color w:val="000000"/>
        </w:rPr>
        <w:t>”</w:t>
      </w:r>
      <w:r>
        <w:rPr>
          <w:rFonts w:ascii="Times New Roman;sans-serif" w:hAnsi="Times New Roman;sans-serif"/>
          <w:b w:val="false"/>
          <w:color w:val="000000"/>
          <w:sz w:val="24"/>
        </w:rPr>
        <w:t xml:space="preserve">)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to hold harmless the owner of such primary obligation against loss in respect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term “</w:t>
      </w:r>
      <w:r>
        <w:rPr>
          <w:rFonts w:ascii="Times New Roman;sans-serif" w:hAnsi="Times New Roman;sans-serif"/>
          <w:b/>
          <w:color w:val="000000"/>
          <w:sz w:val="24"/>
        </w:rPr>
        <w:t>Contingent Obligation</w:t>
      </w:r>
      <w:r>
        <w:rPr>
          <w:color w:val="000000"/>
        </w:rPr>
        <w:t xml:space="preserve">” </w:t>
      </w:r>
      <w:r>
        <w:rPr>
          <w:rFonts w:ascii="Times New Roman;sans-serif" w:hAnsi="Times New Roman;sans-serif"/>
          <w:b w:val="false"/>
          <w:color w:val="000000"/>
          <w:sz w:val="24"/>
        </w:rPr>
        <w:t>shall not include endorsements of instruments for deposit or collection in the ordinary course of business. The amount of any Contingent Obligation shall be deemed to be an amount equal to the stated or determinable amount of the primary obligation in respect of which such Contingent Obligation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Controlled Account</w:t>
      </w:r>
      <w:r>
        <w:rPr>
          <w:color w:val="000000"/>
        </w:rPr>
        <w:t xml:space="preserve">” </w:t>
      </w:r>
      <w:r>
        <w:rPr>
          <w:rFonts w:ascii="Times New Roman;sans-serif" w:hAnsi="Times New Roman;sans-serif"/>
          <w:b w:val="false"/>
          <w:color w:val="000000"/>
          <w:sz w:val="24"/>
        </w:rPr>
        <w:t>shall mean a Pledged Account of a Loan Party subject to an Account Control Agreement (excluding, for the avoidance of doubt, the Loan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Convert</w:t>
      </w:r>
      <w:r>
        <w:rPr>
          <w:color w:val="000000"/>
        </w:rPr>
        <w:t>”</w:t>
      </w:r>
      <w:r>
        <w:rPr>
          <w:rFonts w:ascii="Times New Roman;sans-serif" w:hAnsi="Times New Roman;sans-serif"/>
          <w:b w:val="false"/>
          <w:color w:val="000000"/>
          <w:sz w:val="24"/>
        </w:rPr>
        <w:t>, “</w:t>
      </w:r>
      <w:r>
        <w:rPr>
          <w:rFonts w:ascii="Times New Roman;sans-serif" w:hAnsi="Times New Roman;sans-serif"/>
          <w:b/>
          <w:color w:val="000000"/>
          <w:sz w:val="24"/>
        </w:rPr>
        <w:t>Conversion</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Converted</w:t>
      </w:r>
      <w:r>
        <w:rPr>
          <w:color w:val="000000"/>
        </w:rPr>
        <w:t xml:space="preserve">” </w:t>
      </w:r>
      <w:r>
        <w:rPr>
          <w:rFonts w:ascii="Times New Roman;sans-serif" w:hAnsi="Times New Roman;sans-serif"/>
          <w:b w:val="false"/>
          <w:color w:val="000000"/>
          <w:sz w:val="24"/>
        </w:rPr>
        <w:t>each refers to a conversion of Loans of one Type into Loans of the other Type pursuant to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Corresponding Tenor</w:t>
      </w:r>
      <w:r>
        <w:rPr>
          <w:color w:val="000000"/>
        </w:rPr>
        <w:t xml:space="preserve">” </w:t>
      </w:r>
      <w:r>
        <w:rPr>
          <w:rFonts w:ascii="Times New Roman;sans-serif" w:hAnsi="Times New Roman;sans-serif"/>
          <w:b w:val="false"/>
          <w:color w:val="000000"/>
          <w:sz w:val="24"/>
        </w:rPr>
        <w:t>with respect to any Available Tenor means a tenor (including overnight)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Counterparty</w:t>
      </w:r>
      <w:r>
        <w:rPr>
          <w:color w:val="000000"/>
        </w:rPr>
        <w:t xml:space="preserve">” </w:t>
      </w:r>
      <w:r>
        <w:rPr>
          <w:rFonts w:ascii="Times New Roman;sans-serif" w:hAnsi="Times New Roman;sans-serif"/>
          <w:b w:val="false"/>
          <w:color w:val="000000"/>
          <w:sz w:val="24"/>
        </w:rPr>
        <w:t xml:space="preserve">shall mean the counterparty under any Interest Rate Protection Agreement, which counterparty shall be selected in accordance with </w:t>
      </w:r>
      <w:r>
        <w:rPr>
          <w:rFonts w:ascii="Times New Roman;sans-serif" w:hAnsi="Times New Roman;sans-serif"/>
          <w:b w:val="false"/>
          <w:color w:val="000000"/>
          <w:sz w:val="24"/>
          <w:u w:val="single"/>
        </w:rPr>
        <w:t>Section 6.19</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Covered Entity</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12.13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Credit Date</w:t>
      </w:r>
      <w:r>
        <w:rPr>
          <w:color w:val="000000"/>
        </w:rPr>
        <w:t xml:space="preserve">” </w:t>
      </w:r>
      <w:r>
        <w:rPr>
          <w:rFonts w:ascii="Times New Roman;sans-serif" w:hAnsi="Times New Roman;sans-serif"/>
          <w:b w:val="false"/>
          <w:color w:val="000000"/>
          <w:sz w:val="24"/>
        </w:rPr>
        <w:t>shall mean the date of the making of a Term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Customer</w:t>
      </w:r>
      <w:r>
        <w:rPr>
          <w:color w:val="000000"/>
        </w:rPr>
        <w:t xml:space="preserve">” </w:t>
      </w:r>
      <w:r>
        <w:rPr>
          <w:rFonts w:ascii="Times New Roman;sans-serif" w:hAnsi="Times New Roman;sans-serif"/>
          <w:b w:val="false"/>
          <w:color w:val="000000"/>
          <w:sz w:val="24"/>
        </w:rPr>
        <w:t>shall mean any customer that is party to a Customer Contract.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55345"/>
                <wp:effectExtent l="0" t="0" r="0" b="0"/>
                <wp:wrapNone/>
                <wp:docPr id="81" name="Frame8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Customer Accounts</w:t>
      </w:r>
      <w:r>
        <w:rPr>
          <w:color w:val="000000"/>
        </w:rPr>
        <w:t xml:space="preserve">” </w:t>
      </w:r>
      <w:r>
        <w:rPr>
          <w:rFonts w:ascii="Times New Roman;sans-serif" w:hAnsi="Times New Roman;sans-serif"/>
          <w:b w:val="false"/>
          <w:color w:val="000000"/>
          <w:sz w:val="24"/>
        </w:rPr>
        <w:t>shall mean accounts receivable in connection with any Customer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Customer Contract</w:t>
      </w:r>
      <w:r>
        <w:rPr>
          <w:color w:val="000000"/>
        </w:rPr>
        <w:t xml:space="preserve">” </w:t>
      </w:r>
      <w:r>
        <w:rPr>
          <w:rFonts w:ascii="Times New Roman;sans-serif" w:hAnsi="Times New Roman;sans-serif"/>
          <w:b w:val="false"/>
          <w:color w:val="000000"/>
          <w:sz w:val="24"/>
        </w:rPr>
        <w:t>shall mean, collectively (i) each Closing Date Contributed Contract and (y) each other service order, statement of work and/or service agreement (or similar written agreement) between a Loan Party and a customer relating to the utilization of one or more Fiber Network Assets, including any contract that governs such agreement (including, each “Transferred Customer Contract” (as defined in the IRU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Customer NRC Payments</w:t>
      </w:r>
      <w:r>
        <w:rPr>
          <w:color w:val="000000"/>
        </w:rPr>
        <w:t xml:space="preserve">” </w:t>
      </w:r>
      <w:r>
        <w:rPr>
          <w:rFonts w:ascii="Times New Roman;sans-serif" w:hAnsi="Times New Roman;sans-serif"/>
          <w:b w:val="false"/>
          <w:color w:val="000000"/>
          <w:sz w:val="24"/>
        </w:rPr>
        <w:t xml:space="preserve">shall mean the non-recurring charges paid by Customers to the applicable Loan Party or the Manager, on behalf of such Loan Party, that constitute advance payments for expected capital expenditures to be made on the Fiber Network Assets or for equipment purchased by Customers.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color w:val="000000"/>
          <w:sz w:val="24"/>
        </w:rPr>
        <w:t>SOFR Rate Day</w:t>
      </w:r>
      <w:r>
        <w:rPr>
          <w:color w:val="000000"/>
        </w:rPr>
        <w:t>”</w:t>
      </w:r>
      <w:r>
        <w:rPr>
          <w:rFonts w:ascii="Times New Roman;sans-serif" w:hAnsi="Times New Roman;sans-serif"/>
          <w:b w:val="false"/>
          <w:color w:val="000000"/>
          <w:sz w:val="24"/>
        </w:rPr>
        <w:t>), a rate per annum equal SOFR for the day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Damages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12.4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Debt Service Coverage Ratio”</w:t>
      </w:r>
      <w:r>
        <w:rPr>
          <w:color w:val="000000"/>
        </w:rPr>
        <w:t xml:space="preserve"> </w:t>
      </w:r>
      <w:r>
        <w:rPr>
          <w:rFonts w:ascii="Times New Roman;sans-serif" w:hAnsi="Times New Roman;sans-serif"/>
          <w:b w:val="false"/>
          <w:color w:val="000000"/>
          <w:sz w:val="24"/>
        </w:rPr>
        <w:t>or</w:t>
      </w:r>
      <w:r>
        <w:rPr>
          <w:color w:val="000000"/>
        </w:rPr>
        <w:t xml:space="preserve"> “</w:t>
      </w:r>
      <w:r>
        <w:rPr>
          <w:rFonts w:ascii="Times New Roman;sans-serif" w:hAnsi="Times New Roman;sans-serif"/>
          <w:b/>
          <w:color w:val="000000"/>
          <w:sz w:val="24"/>
        </w:rPr>
        <w:t xml:space="preserve">DSCR” </w:t>
      </w:r>
      <w:r>
        <w:rPr>
          <w:rFonts w:ascii="Times New Roman;sans-serif" w:hAnsi="Times New Roman;sans-serif"/>
          <w:b w:val="false"/>
          <w:color w:val="000000"/>
          <w:sz w:val="24"/>
        </w:rPr>
        <w:t xml:space="preserve">means, as of any Determination Date, the ratio, calculated on a Pro Forma Basis, of (i) the sum of (a) Annualized Run Rate Revenue as of such date plus (b) aggregate amounts expected to be received by the Borrower pursuant to any Interest Rate Protection Agreement (other than payments related solely to the termination or unwinding of an Interest Rate Protection Agreement) for the immediately succeeding Payment Date (or that are obligated to be paid by the Counterparty under any Interest Rate Protection Agreement by the immediately succeeding Payment Date) to (ii) the product of (X) the amount of interest that the Borrower is required to pay under the Facility on the immediately succeeding Payment Date (or, if such Determination Date is a Payment Date, on such Payment Date) multiplied by (Y) twelve;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pro forma DSCR is being calculated in connection with (A) a draw under the Facility, the assumed Total Outstandings will be adjusted to reflect the Loans to be made as part of such draw, (B) the disposition of Uniti Fiber Business Assets and the concurrent prepayment of any Loans, the assumed Total Outstandings will be decreased by such prepayment or (C) the disposition of any Fiber Network Assets, the Annualized Run Rate Revenue of such Fiber Network Assets will not be included in such calculation.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Debtor Relief Law</w:t>
      </w:r>
      <w:r>
        <w:rPr>
          <w:color w:val="000000"/>
        </w:rPr>
        <w:t xml:space="preserve">” </w:t>
      </w:r>
      <w:r>
        <w:rPr>
          <w:rFonts w:ascii="Times New Roman;sans-serif" w:hAnsi="Times New Roman;sans-serif"/>
          <w:b w:val="false"/>
          <w:color w:val="000000"/>
          <w:sz w:val="24"/>
        </w:rPr>
        <w:t>shall mean, collectively, the Bankruptcy Code and all other United States or foreign applicable liquidation, conservatorship, bankruptcy, moratorium, rearrangement, receivership, insolvency, reorganization or similar debtor relief laws from time to time in effect affecting the rights of creditors generally, as amended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55345"/>
                <wp:effectExtent l="0" t="0" r="0" b="0"/>
                <wp:wrapNone/>
                <wp:docPr id="82" name="Frame8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w:t>
      </w:r>
      <w:r>
        <w:rPr>
          <w:color w:val="000000"/>
        </w:rPr>
        <w:t xml:space="preserve">” </w:t>
      </w:r>
      <w:r>
        <w:rPr>
          <w:rFonts w:ascii="Times New Roman;sans-serif" w:hAnsi="Times New Roman;sans-serif"/>
          <w:b w:val="false"/>
          <w:color w:val="000000"/>
          <w:sz w:val="24"/>
        </w:rPr>
        <w:t>shall mean any event, fact, circumstance or condition that, with the giving of applicable notice or passage of time, if any, or both, would constitute, be or result in an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 Rate</w:t>
      </w:r>
      <w:r>
        <w:rPr>
          <w:color w:val="000000"/>
        </w:rPr>
        <w:t xml:space="preserve">” </w:t>
      </w:r>
      <w:r>
        <w:rPr>
          <w:rFonts w:ascii="Times New Roman;sans-serif" w:hAnsi="Times New Roman;sans-serif"/>
          <w:b w:val="false"/>
          <w:color w:val="000000"/>
          <w:sz w:val="24"/>
        </w:rPr>
        <w:t xml:space="preserve">shall mean, as of any time of determination, (x) with respect to any Base Rate Loan, the rate of interest otherwise applicable to such Loan as of such time pursuant to </w:t>
      </w:r>
      <w:r>
        <w:rPr>
          <w:rFonts w:ascii="Times New Roman;sans-serif" w:hAnsi="Times New Roman;sans-serif"/>
          <w:b w:val="false"/>
          <w:color w:val="000000"/>
          <w:sz w:val="24"/>
          <w:u w:val="single"/>
        </w:rPr>
        <w:t>Section 2.5(a)</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2.00%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and (y) with respect to any SOFR Loan or any other Obligations, the rate of interest otherwise applicable to SOFR Loans as of such time pursuant to </w:t>
      </w:r>
      <w:r>
        <w:rPr>
          <w:rFonts w:ascii="Times New Roman;sans-serif" w:hAnsi="Times New Roman;sans-serif"/>
          <w:b w:val="false"/>
          <w:color w:val="000000"/>
          <w:sz w:val="24"/>
          <w:u w:val="single"/>
        </w:rPr>
        <w:t>Section 2.5(b)</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plus</w:t>
      </w:r>
      <w:r>
        <w:rPr>
          <w:color w:val="000000"/>
        </w:rPr>
        <w:t xml:space="preserve"> </w:t>
      </w:r>
      <w:r>
        <w:rPr>
          <w:rFonts w:ascii="Times New Roman;sans-serif" w:hAnsi="Times New Roman;sans-serif"/>
          <w:b w:val="false"/>
          <w:color w:val="000000"/>
          <w:sz w:val="24"/>
        </w:rPr>
        <w:t xml:space="preserve">2.00% </w:t>
      </w:r>
      <w:r>
        <w:rPr>
          <w:rFonts w:ascii="Times New Roman;sans-serif" w:hAnsi="Times New Roman;sans-serif"/>
          <w:b w:val="false"/>
          <w:i/>
          <w:color w:val="000000"/>
          <w:sz w:val="24"/>
        </w:rPr>
        <w:t>per annum</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Defaulting Lender</w:t>
      </w:r>
      <w:r>
        <w:rPr>
          <w:color w:val="000000"/>
        </w:rPr>
        <w:t xml:space="preserve">” </w:t>
      </w:r>
      <w:r>
        <w:rPr>
          <w:rFonts w:ascii="Times New Roman;sans-serif" w:hAnsi="Times New Roman;sans-serif"/>
          <w:b w:val="false"/>
          <w:color w:val="000000"/>
          <w:sz w:val="24"/>
        </w:rPr>
        <w:t>shall mean any Lender that has (a) has failed to (i) fund all or any portion of its Term Loans within two (2) Business Days of the date such Term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Term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Lender shall cease to be a Defaulting Lender pursuant to this clause (c) upon receipt of such written confirmation by the Administrative Agent and the Borrower), or (d) has, or has other than via an Undisclosed Administration a direct or indirect parent company that has, (i) become the subject of a proceeding under any Debtor Relief Law, (ii) become the subject of a bail-in action, or (iii)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federal, provincial or territorial regulatory authority acting in such a capacity;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Notwithstanding anything set forth herein to the contrary, a Defaulting Lender shall not have any voting or consent rights under or with respect to any Transaction Document or constitute a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55345"/>
                <wp:effectExtent l="0" t="0" r="0" b="0"/>
                <wp:wrapNone/>
                <wp:docPr id="83" name="Frame8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Lender” for any voting or consent rights under or with respect to any Transaction Document for as long as such Lender remains a Defaulting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Delaware LLC</w:t>
      </w:r>
      <w:r>
        <w:rPr>
          <w:color w:val="000000"/>
        </w:rPr>
        <w:t xml:space="preserve">” </w:t>
      </w:r>
      <w:r>
        <w:rPr>
          <w:rFonts w:ascii="Times New Roman;sans-serif" w:hAnsi="Times New Roman;sans-serif"/>
          <w:b w:val="false"/>
          <w:color w:val="000000"/>
          <w:sz w:val="24"/>
        </w:rPr>
        <w:t>means any limited liability company organized or formed under the laws of the State of Delaware.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Delayed Draw Availability Period</w:t>
      </w:r>
      <w:r>
        <w:rPr>
          <w:color w:val="000000"/>
        </w:rPr>
        <w:t xml:space="preserve">” </w:t>
      </w:r>
      <w:r>
        <w:rPr>
          <w:rFonts w:ascii="Times New Roman;sans-serif" w:hAnsi="Times New Roman;sans-serif"/>
          <w:b w:val="false"/>
          <w:color w:val="000000"/>
          <w:sz w:val="24"/>
        </w:rPr>
        <w:t xml:space="preserve">shall mean the period from and including the Closing Date through and including the earlier of (a) the date upon which Administrative Agent declares all of the Obligations to be due and payable pursuant to the terms of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(or the Obligations automatically become due and payable pursuant to the terms of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and (b) the date that is the nine (9) month anniversary of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Delayed Draw Loans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2.1(b)(ii)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Deposit Account</w:t>
      </w:r>
      <w:r>
        <w:rPr>
          <w:color w:val="000000"/>
        </w:rPr>
        <w:t xml:space="preserve">” </w:t>
      </w:r>
      <w:r>
        <w:rPr>
          <w:rFonts w:ascii="Times New Roman;sans-serif" w:hAnsi="Times New Roman;sans-serif"/>
          <w:b w:val="false"/>
          <w:color w:val="000000"/>
          <w:sz w:val="24"/>
        </w:rPr>
        <w:t>shall mean a demand, time, savings, passbook or like account with a bank, savings and loan association, credit union or like organization, other than an account evidenced by a negotiable certificate of deposit.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Determination Date</w:t>
      </w:r>
      <w:r>
        <w:rPr>
          <w:color w:val="000000"/>
        </w:rPr>
        <w:t xml:space="preserve">” </w:t>
      </w:r>
      <w:r>
        <w:rPr>
          <w:rFonts w:ascii="Times New Roman;sans-serif" w:hAnsi="Times New Roman;sans-serif"/>
          <w:b w:val="false"/>
          <w:color w:val="000000"/>
          <w:sz w:val="24"/>
        </w:rPr>
        <w:t xml:space="preserve">shall mean the last Business Day of any Quarterly Collection Period;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other than for purposes of a Pro Forma Basis determination, the first Determination Date shall be June 28, 2024.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Disposition</w:t>
      </w:r>
      <w:r>
        <w:rPr>
          <w:color w:val="000000"/>
        </w:rPr>
        <w:t xml:space="preserve">” </w:t>
      </w:r>
      <w:r>
        <w:rPr>
          <w:rFonts w:ascii="Times New Roman;sans-serif" w:hAnsi="Times New Roman;sans-serif"/>
          <w:b w:val="false"/>
          <w:color w:val="000000"/>
          <w:sz w:val="24"/>
        </w:rPr>
        <w:t>shall mean any sale, transfer, irrevocable right of use with respect thereto, lease or otherwise disposition of any asset (including any Casualty Event).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shall mean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Effective Date</w:t>
      </w:r>
      <w:r>
        <w:rPr>
          <w:color w:val="000000"/>
        </w:rPr>
        <w:t xml:space="preserve">” </w:t>
      </w:r>
      <w:r>
        <w:rPr>
          <w:rFonts w:ascii="Times New Roman;sans-serif" w:hAnsi="Times New Roman;sans-serif"/>
          <w:b w:val="false"/>
          <w:color w:val="000000"/>
          <w:sz w:val="24"/>
        </w:rPr>
        <w:t>shall have the meaning assigned to it in the introductory paragraph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Eligible Account</w:t>
      </w:r>
      <w:r>
        <w:rPr>
          <w:color w:val="000000"/>
        </w:rPr>
        <w:t xml:space="preserve">” </w:t>
      </w:r>
      <w:r>
        <w:rPr>
          <w:rFonts w:ascii="Times New Roman;sans-serif" w:hAnsi="Times New Roman;sans-serif"/>
          <w:b w:val="false"/>
          <w:color w:val="000000"/>
          <w:sz w:val="24"/>
        </w:rPr>
        <w:t xml:space="preserve">shall mean a separate and identifiable account from all other funds held by the holding institution, which account is either (i) an account maintained with an Eligible Bank or (ii) a segregated trust account maintained by a corporate trust department of a federal depositary institution or a state chartered depositary institution subject to regulations regarding fiduciary funds on deposit similar to Title 12 of the Code of Federal Regulations §9.10(b), which institution, in either case, has a combined capital and surplus of at least $100,000,000 and has corporate trust powers and is acting in its fiduciary capacity and which institution’s long-term debt obligations are rated at least “BBB-” by Fitch (or its equivalent from at least one NRSRO) or short-term debt obligations are rated at least “P-3” by Fitch (or its equivalent from at least one NRSRO);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any Account ceases to be an Eligible Account, the Borrower shall establish a new Account that is an Eligible Account in accordance with the requirements of </w:t>
      </w:r>
      <w:r>
        <w:rPr>
          <w:rFonts w:ascii="Times New Roman;sans-serif" w:hAnsi="Times New Roman;sans-serif"/>
          <w:b w:val="false"/>
          <w:color w:val="000000"/>
          <w:sz w:val="24"/>
          <w:u w:val="single"/>
        </w:rPr>
        <w:t>Section 6.12</w:t>
      </w:r>
      <w:r>
        <w:rPr>
          <w:rFonts w:ascii="Times New Roman;sans-serif" w:hAnsi="Times New Roman;sans-serif"/>
          <w:b w:val="false"/>
          <w:color w:val="000000"/>
          <w:sz w:val="24"/>
        </w:rPr>
        <w:t>. Notwithstanding anything to the contrary herein, the Loan Parties’ accounts and other funds in existence as of the Closing Date shall constitute Eligible Accounts.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Eligible Assignee</w:t>
      </w:r>
      <w:r>
        <w:rPr>
          <w:color w:val="000000"/>
        </w:rPr>
        <w:t xml:space="preserve">” </w:t>
      </w:r>
      <w:r>
        <w:rPr>
          <w:rFonts w:ascii="Times New Roman;sans-serif" w:hAnsi="Times New Roman;sans-serif"/>
          <w:b w:val="false"/>
          <w:color w:val="000000"/>
          <w:sz w:val="24"/>
        </w:rPr>
        <w:t xml:space="preserve">shall mean a financial institution that is a commercial bank, trust company or other Person reasonably acceptable to the Borrower with offices in the U.S. having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55345"/>
                <wp:effectExtent l="0" t="0" r="0" b="0"/>
                <wp:wrapNone/>
                <wp:docPr id="84" name="Frame8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combined capital and surplus in excess of $1,000,000,000 (or such lesser amount as determined by the Borrower in its sole discretion) as of the date of the assignment, and that is not a Competitor.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Eligible Bank</w:t>
      </w:r>
      <w:r>
        <w:rPr>
          <w:color w:val="000000"/>
        </w:rPr>
        <w:t xml:space="preserve">” </w:t>
      </w:r>
      <w:r>
        <w:rPr>
          <w:rFonts w:ascii="Times New Roman;sans-serif" w:hAnsi="Times New Roman;sans-serif"/>
          <w:b w:val="false"/>
          <w:color w:val="000000"/>
          <w:sz w:val="24"/>
        </w:rPr>
        <w:t>shall mean (x) any Person that is a Lender or an Agent (or any Affiliate of the foregoing) on the date on which such account is established, (y) any Person that is a “Lender” (under and as defined in the Uniti OpCo Credit Agreement) (or any Affiliate thereof) on the date on which such account is established and/or (z) a bank that satisfies the Rating Criteria.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Employee Benefit Plan</w:t>
      </w:r>
      <w:r>
        <w:rPr>
          <w:color w:val="000000"/>
        </w:rPr>
        <w:t xml:space="preserve">” </w:t>
      </w:r>
      <w:r>
        <w:rPr>
          <w:rFonts w:ascii="Times New Roman;sans-serif" w:hAnsi="Times New Roman;sans-serif"/>
          <w:b w:val="false"/>
          <w:color w:val="000000"/>
          <w:sz w:val="24"/>
        </w:rPr>
        <w:t>shall mean any employee pension benefit plan within the meaning of Section 3(3) of ERISA (excluding any Multiemployer Plan) which is subject to Title IV of ERISA or to Section 412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Environmental Laws</w:t>
      </w:r>
      <w:r>
        <w:rPr>
          <w:color w:val="000000"/>
        </w:rPr>
        <w:t xml:space="preserve">” </w:t>
      </w:r>
      <w:r>
        <w:rPr>
          <w:rFonts w:ascii="Times New Roman;sans-serif" w:hAnsi="Times New Roman;sans-serif"/>
          <w:b w:val="false"/>
          <w:color w:val="000000"/>
          <w:sz w:val="24"/>
        </w:rPr>
        <w:t>shall mean Applicable Laws pertaining to or imposing liability or standards of conduct concerning environmental protection (including regulations concerning health and safety to the extent relating to human exposure to Hazardous Materials), contamination or clean-up or the handling, generation, release or storage of Hazardous Material affecting the Fiber Network Assets including, to the extent applicable to the Fiber Network Assets, the Comprehensive Environmental Response, Compensation, and Liability Act of 1980, as amended, the Resource Conservation and Recovery Act, as amended, the Emergency Planning and Community Right-to-Know Act of 1986, as amended, the Hazardous Substances Transportation Act, as amended, the Solid Waste Disposal Act, as amended, the Clean Water Act, as amended, the Clean Air Act, as amended, the Toxic Substances Control Act, as amended, the Safe Drinking Water Act, as amended, the Occupational Safety and Health Act, as amended (to the extent relating to human exposure to Hazardous Materials), any statutes allowing the imposition of an environmental “superlien” to recover costs incurred by federal, state, provincial or territorial agencies for remediation of property contaminated by Hazardous Materials and other applicable environmental clean-up statutes and all regulations adopted in respect of the foregoing laws whether now or hereafter in effect, but excluding any historic preservation or similar laws of any Governmental Authority relating to historical resources and historic preservation not related to (i) protection of the environment or (ii) Hazardous Materials.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Equity Interests</w:t>
      </w:r>
      <w:r>
        <w:rPr>
          <w:color w:val="000000"/>
        </w:rPr>
        <w:t xml:space="preserve">” </w:t>
      </w:r>
      <w:r>
        <w:rPr>
          <w:rFonts w:ascii="Times New Roman;sans-serif" w:hAnsi="Times New Roman;sans-serif"/>
          <w:b w:val="false"/>
          <w:color w:val="000000"/>
          <w:sz w:val="24"/>
        </w:rPr>
        <w:t>shall mean, with respect to any Person, its equity ownership interests, its common stock and any other capital stock or other equity ownership units of, or beneficial interests in, such Person authorized from time to time, and any other shares, options, interests, participations or other equivalents (however designated) of or in such Person, whether voting or nonvoting, including, without limitation, common stock, limited liability membership interests, options, warrants, preferred stock, phantom stock, membership units (common or preferred), partnership interests (including, without limitation, general partnership interests), stock appreciation rights, membership unit appreciation rights, convertible notes or debentures, stock purchase rights, membership unit purchase rights and all securities convertible, exercisable or exchangeable, certificated or uncertificated, in whole or in part, into any one or more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55345"/>
                <wp:effectExtent l="0" t="0" r="0" b="0"/>
                <wp:wrapNone/>
                <wp:docPr id="85" name="Frame8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shall mean the Employee Retirement Income Security Act of 1974, as amended, and the regulations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 xml:space="preserve">shall mean the occurrence of any event set forth in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Accounts</w:t>
      </w:r>
      <w:r>
        <w:rPr>
          <w:color w:val="000000"/>
        </w:rPr>
        <w:t xml:space="preserve">” </w:t>
      </w:r>
      <w:r>
        <w:rPr>
          <w:rFonts w:ascii="Times New Roman;sans-serif" w:hAnsi="Times New Roman;sans-serif"/>
          <w:b w:val="false"/>
          <w:color w:val="000000"/>
          <w:sz w:val="24"/>
        </w:rPr>
        <w:t>shall mean (a) deposit accounts solely containing cash and cash equivalents constituting Excluded Amounts, (b) any deposit account or securities account, to the extent the funds on deposit therein are used (or are to be used) solely to pay taxes required to be collected, remitted or withheld (including U.S. federal and state withholding taxes (including the employer’s share thereof) and sales taxes) and (c) deposit accounts that are zero balance accounts.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Amounts</w:t>
      </w:r>
      <w:r>
        <w:rPr>
          <w:color w:val="000000"/>
        </w:rPr>
        <w:t xml:space="preserve">” </w:t>
      </w:r>
      <w:r>
        <w:rPr>
          <w:rFonts w:ascii="Times New Roman;sans-serif" w:hAnsi="Times New Roman;sans-serif"/>
          <w:b w:val="false"/>
          <w:color w:val="000000"/>
          <w:sz w:val="24"/>
        </w:rPr>
        <w:t xml:space="preserve">shall mean (a) Customer NRC Payments, (b) Service Revenues, (c) any amounts paid by Customers with respect to Contracts that are not included in the Collateral, (d) all pass-through taxes, franchise fees, government impositions and other taxes paid by Customers to a Loan Party or that are otherwise due and payable to a Governmental Authority or other unaffiliated third party, (e) cash capital contributions by or on behalf of the Manager or any Uniti OpCo to any of the Loan Parties designated as “Excluded Amounts” by the Manager for application in the manner designated by the Manager, (f) amounts that cannot be transferred to the Collections Account or Facility Collections Account due to Applicable Law, (g) cash management obligations and other account fees and expenses of the Loan Parties paid to the banks at which the Controlled Accounts are held, (h) deductible or self-insured retention amounts payable under any insurance policy in connection with casualties or losses (including third party liability amounts) with respect to the Fiber Network Assets or other property of the Asset Entities and (i) any other amounts deposited into any Controlled Account or the Collections Account in error or otherwise included in Collections that are not required to be deposited into the Collections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Administrative Agent shall have received written notice (including as set forth in applicable Manager Report) of any such amounts to be designated as “Excluded Amounts” (and, solely in the case of clauses (e) and (g) above, to the extent reasonably practicable, such written notice shall be delivered at least five (5) Business Days’ prior to deposit of such amounts).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Property</w:t>
      </w:r>
      <w:r>
        <w:rPr>
          <w:color w:val="000000"/>
        </w:rPr>
        <w:t xml:space="preserve">” </w:t>
      </w:r>
      <w:r>
        <w:rPr>
          <w:rFonts w:ascii="Times New Roman;sans-serif" w:hAnsi="Times New Roman;sans-serif"/>
          <w:b w:val="false"/>
          <w:color w:val="000000"/>
          <w:sz w:val="24"/>
        </w:rPr>
        <w:t xml:space="preserve">shall mean, collectively: (A) any lease, license, franchise, charter, authorization, contract or agreement to which any Loan Party is a party, and any of its rights or interests thereunder, and any other assets if and to the extent that a security interest (i) would be prohibited or restricted by Applicable Law (or would require obtaining the consent of any Governmental Authority or third party and the applicable Loan Party has used reasonable efforts to obtain such consent) or (ii) would reasonably be expected to result in adverse regulatory consequences or would be prohibited by enforceable anti-assignment provisions of any contract or would violate the terms of any contract (not entered into in contemplation hereof) with respect to any assets (in each case, after giving effect to relevant provisions of the UCC and other relevant legislation and including restrictions under existing real property mortgages or sale leaseback transactions) or would trigger termination pursuant to any “change of control” or similar provision under such contract and the applicable Loan Party has used reasonable efforts to obtain a consent or waiver for such anti-assignment, “change of control” or similar provision,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55345"/>
                <wp:effectExtent l="0" t="0" r="0" b="0"/>
                <wp:wrapNone/>
                <wp:docPr id="86" name="Frame8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(B) any intent-to-use trademark application to the extent that and solely for the period in which, creation by a Loan Party of a security interest therein would impair the validity or enforceability of such intent-to-use trademark applications or the marks that are subject thereof under applicable federal law, (C) any Excluded Amounts and the Excluded Accounts, (D) any “Margin Stock” (as such term is defined in Regulation U of the Board of Governors of the Federal Reserve System of the United States as from time to time in effect and all official rulings and interpretations thereunder or thereof), (E) any general intangible and any lease, sublease, license, occupancy agreement, permit or other agreement or any property or right subject thereto (including pursuant to a purchase money security interest, finance lease obligation or similar arrangement or, in the case of after-acquired property, pre-existing secured debt not incurred in anticipation of the acquisition by the applicable Loan Party of such property) permitted hereunder to the extent that a grant of a security interest therein would violate or invalidate such item or create a breach, default or right of termination in favor of or otherwise require consent thereunder from any other party thereto (other than any Loan Party) after giving effect to the applicable anti-assignment provisions of the UCC, other than proceeds and receivables thereof, the assignment of which is expressly deemed effective under the UCC notwithstanding such prohibition and the applicable Loan Party has used reasonable efforts to obtain a consent or waiver for such provision and (F) any other assets in circumstances where the Administrative Agent (acting at the direction of the Requisite Lenders) and the Borrower reasonably agree that the cost, burden or consequences (including adverse tax consequences) of obtaining a security interest in such assets is excessive in relation to the practical benefit to the Lenders (in their capacities as such) afforded thereby. Notwithstanding the foregoing, the Borrower may from time to time elect to cause any asset that would otherwise constitute Excluded Property hereunder to become Collateral under the Transaction Documents (but shall have no obligation to do so);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Administrative Agent shall have received such security documents as are customary for the applicable jurisdiction and reasonably requested by the Administrative Agent (acting at the direction of the Requisite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Excluded Swap Obligation</w:t>
      </w:r>
      <w:r>
        <w:rPr>
          <w:color w:val="000000"/>
        </w:rPr>
        <w:t xml:space="preserve">” </w:t>
      </w:r>
      <w:r>
        <w:rPr>
          <w:rFonts w:ascii="Times New Roman;sans-serif" w:hAnsi="Times New Roman;sans-serif"/>
          <w:b w:val="false"/>
          <w:color w:val="000000"/>
          <w:sz w:val="24"/>
        </w:rPr>
        <w:t>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Facility</w:t>
      </w:r>
      <w:r>
        <w:rPr>
          <w:color w:val="000000"/>
        </w:rPr>
        <w:t xml:space="preserve">” </w:t>
      </w:r>
      <w:r>
        <w:rPr>
          <w:rFonts w:ascii="Times New Roman;sans-serif" w:hAnsi="Times New Roman;sans-serif"/>
          <w:b w:val="false"/>
          <w:color w:val="000000"/>
          <w:sz w:val="24"/>
        </w:rPr>
        <w:t>shall mean the credit facility created on the Effective Date consisting of the Commitments and the Loans made thereunder from time to time pursuant to the terms and conditions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Facility Agent</w:t>
      </w:r>
      <w:r>
        <w:rPr>
          <w:color w:val="000000"/>
        </w:rPr>
        <w:t xml:space="preserve">” </w:t>
      </w:r>
      <w:r>
        <w:rPr>
          <w:rFonts w:ascii="Times New Roman;sans-serif" w:hAnsi="Times New Roman;sans-serif"/>
          <w:b w:val="false"/>
          <w:color w:val="000000"/>
          <w:sz w:val="24"/>
        </w:rPr>
        <w:t xml:space="preserve">shall have the meaning assigned to it in the Recitals.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55345"/>
                <wp:effectExtent l="0" t="0" r="0" b="0"/>
                <wp:wrapNone/>
                <wp:docPr id="87" name="Frame8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Facility Agent Fee Letter</w:t>
      </w:r>
      <w:r>
        <w:rPr>
          <w:color w:val="000000"/>
        </w:rPr>
        <w:t xml:space="preserve">” </w:t>
      </w:r>
      <w:r>
        <w:rPr>
          <w:rFonts w:ascii="Times New Roman;sans-serif" w:hAnsi="Times New Roman;sans-serif"/>
          <w:b w:val="false"/>
          <w:color w:val="000000"/>
          <w:sz w:val="24"/>
        </w:rPr>
        <w:t>means that certain second amended and restated fee letter agreement, dated as of the Closing Date, between the Borrower and the Facility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Facility Collection Account</w:t>
      </w:r>
      <w:r>
        <w:rPr>
          <w:color w:val="000000"/>
        </w:rPr>
        <w:t xml:space="preserve">” </w:t>
      </w:r>
      <w:r>
        <w:rPr>
          <w:rFonts w:ascii="Times New Roman;sans-serif" w:hAnsi="Times New Roman;sans-serif"/>
          <w:b w:val="false"/>
          <w:color w:val="000000"/>
          <w:sz w:val="24"/>
        </w:rPr>
        <w:t>shall mean that certain segregated trust account at Account Bank held in the name of the Borrower, with account number ending in 6-000.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FATCA</w:t>
      </w:r>
      <w:r>
        <w:rPr>
          <w:color w:val="000000"/>
        </w:rPr>
        <w:t xml:space="preserve">” </w:t>
      </w:r>
      <w:r>
        <w:rPr>
          <w:rFonts w:ascii="Times New Roman;sans-serif" w:hAnsi="Times New Roman;sans-serif"/>
          <w:b w:val="false"/>
          <w:color w:val="000000"/>
          <w:sz w:val="24"/>
        </w:rPr>
        <w:t>shall mean sections 1471 through 1474 of the Code as of the date of this Agreement (or any amended or successor version thereof that is substantively comparable and not materially more onerous to comply with) and any current or future regulations or other official interpretations thereof or official guidance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FCPA</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5.17(b)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Federal Funds Rate</w:t>
      </w:r>
      <w:r>
        <w:rPr>
          <w:color w:val="000000"/>
        </w:rPr>
        <w:t xml:space="preserve">” </w:t>
      </w:r>
      <w:r>
        <w:rPr>
          <w:rFonts w:ascii="Times New Roman;sans-serif" w:hAnsi="Times New Roman;sans-serif"/>
          <w:b w:val="false"/>
          <w:color w:val="000000"/>
          <w:sz w:val="24"/>
        </w:rPr>
        <w:t xml:space="preserve">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 if such day is not a Business Day, the Federal Funds Effective Rate for such day shall be such rate on such transactions on the next preceding Business Day as so published on the next succeeding Business Day and (b) if the Federal Funds Rate for any day is less than zero, the Federal Funds Rate for such day will be deemed to be zero.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Fiber Network</w:t>
      </w:r>
      <w:r>
        <w:rPr>
          <w:color w:val="000000"/>
        </w:rPr>
        <w:t xml:space="preserve">” </w:t>
      </w:r>
      <w:r>
        <w:rPr>
          <w:rFonts w:ascii="Times New Roman;sans-serif" w:hAnsi="Times New Roman;sans-serif"/>
          <w:b w:val="false"/>
          <w:color w:val="000000"/>
          <w:sz w:val="24"/>
        </w:rPr>
        <w:t>shall have the meaning assigned to such term in the IRU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Fiber Network Assets</w:t>
      </w:r>
      <w:r>
        <w:rPr>
          <w:color w:val="000000"/>
        </w:rPr>
        <w:t xml:space="preserve">” </w:t>
      </w:r>
      <w:r>
        <w:rPr>
          <w:rFonts w:ascii="Times New Roman;sans-serif" w:hAnsi="Times New Roman;sans-serif"/>
          <w:b w:val="false"/>
          <w:color w:val="000000"/>
          <w:sz w:val="24"/>
        </w:rPr>
        <w:t>shall mean, collectively, the “Fiber Network Assets” (as defined in the IRU Agreements) that are (i) subject to an indefeasible right of use in favor of a Loan Party pursuant to an IRU Agreement or (ii) owned by a Loan Party,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Fiber Network Assets Transfers</w:t>
      </w:r>
      <w:r>
        <w:rPr>
          <w:color w:val="000000"/>
        </w:rPr>
        <w:t xml:space="preserve">” </w:t>
      </w:r>
      <w:r>
        <w:rPr>
          <w:rFonts w:ascii="Times New Roman;sans-serif" w:hAnsi="Times New Roman;sans-serif"/>
          <w:b w:val="false"/>
          <w:color w:val="000000"/>
          <w:sz w:val="24"/>
        </w:rPr>
        <w:t xml:space="preserve">shall mean, collectively, (i) the Closing Date Fiber Network Assets Transfers and (ii) any other direct or indirect, contribution, sale and/or other transfer of Uniti Fiber Business Assets from the applicable Uniti OpCo (or Affiliate thereof) to the applicable Loan Parties after the Closing Date, including pursuant to </w:t>
      </w:r>
      <w:r>
        <w:rPr>
          <w:rFonts w:ascii="Times New Roman;sans-serif" w:hAnsi="Times New Roman;sans-serif"/>
          <w:b w:val="false"/>
          <w:color w:val="000000"/>
          <w:sz w:val="24"/>
          <w:u w:val="single"/>
        </w:rPr>
        <w:t>Section 2.17(a)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Financial Covenant</w:t>
      </w:r>
      <w:r>
        <w:rPr>
          <w:color w:val="000000"/>
        </w:rPr>
        <w:t xml:space="preserve">” </w:t>
      </w:r>
      <w:r>
        <w:rPr>
          <w:rFonts w:ascii="Times New Roman;sans-serif" w:hAnsi="Times New Roman;sans-serif"/>
          <w:b w:val="false"/>
          <w:color w:val="000000"/>
          <w:sz w:val="24"/>
        </w:rPr>
        <w:t xml:space="preserve">shall mean the covenant set forth in </w:t>
      </w:r>
      <w:r>
        <w:rPr>
          <w:rFonts w:ascii="Times New Roman;sans-serif" w:hAnsi="Times New Roman;sans-serif"/>
          <w:b w:val="false"/>
          <w:color w:val="000000"/>
          <w:sz w:val="24"/>
          <w:u w:val="single"/>
        </w:rPr>
        <w:t>Section 7.14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Financial Covenant Default</w:t>
      </w:r>
      <w:r>
        <w:rPr>
          <w:color w:val="000000"/>
        </w:rPr>
        <w:t xml:space="preserve">” </w:t>
      </w:r>
      <w:r>
        <w:rPr>
          <w:rFonts w:ascii="Times New Roman;sans-serif" w:hAnsi="Times New Roman;sans-serif"/>
          <w:b w:val="false"/>
          <w:color w:val="000000"/>
          <w:sz w:val="24"/>
        </w:rPr>
        <w:t>means any failure to comply with the Financial Covenant after giving effect to any applicable grace periods.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Floor</w:t>
      </w:r>
      <w:r>
        <w:rPr>
          <w:color w:val="000000"/>
        </w:rPr>
        <w:t xml:space="preserve">” </w:t>
      </w:r>
      <w:r>
        <w:rPr>
          <w:rFonts w:ascii="Times New Roman;sans-serif" w:hAnsi="Times New Roman;sans-serif"/>
          <w:b w:val="false"/>
          <w:color w:val="000000"/>
          <w:sz w:val="24"/>
        </w:rPr>
        <w:t xml:space="preserve">shall mean a percentage equal to 0.00% per annum.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Foreign Subsidiary</w:t>
      </w:r>
      <w:r>
        <w:rPr>
          <w:color w:val="000000"/>
        </w:rPr>
        <w:t xml:space="preserve">” </w:t>
      </w:r>
      <w:r>
        <w:rPr>
          <w:rFonts w:ascii="Times New Roman;sans-serif" w:hAnsi="Times New Roman;sans-serif"/>
          <w:b w:val="false"/>
          <w:color w:val="000000"/>
          <w:sz w:val="24"/>
        </w:rPr>
        <w:t>shall mean any Subsidiary that is not a U.S.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Funding Direction Letter</w:t>
      </w:r>
      <w:r>
        <w:rPr>
          <w:color w:val="000000"/>
        </w:rPr>
        <w:t xml:space="preserve">” </w:t>
      </w:r>
      <w:r>
        <w:rPr>
          <w:rFonts w:ascii="Times New Roman;sans-serif" w:hAnsi="Times New Roman;sans-serif"/>
          <w:b w:val="false"/>
          <w:color w:val="000000"/>
          <w:sz w:val="24"/>
        </w:rPr>
        <w:t xml:space="preserve">means that certain Letter of Direction, dated on or prior to the Closing Date, by the Borrower to the Administrative Agent, pursuant to which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55345"/>
                <wp:effectExtent l="0" t="0" r="0" b="0"/>
                <wp:wrapNone/>
                <wp:docPr id="88" name="Frame8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directs the Administrative Agent to distribute the net proceeds of the Closing Date Loans in accordance with the Funds Flow attached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Funds Flow</w:t>
      </w:r>
      <w:r>
        <w:rPr>
          <w:color w:val="000000"/>
        </w:rPr>
        <w:t xml:space="preserve">” </w:t>
      </w:r>
      <w:r>
        <w:rPr>
          <w:rFonts w:ascii="Times New Roman;sans-serif" w:hAnsi="Times New Roman;sans-serif"/>
          <w:b w:val="false"/>
          <w:color w:val="000000"/>
          <w:sz w:val="24"/>
        </w:rPr>
        <w:t>shall mean that funds flows delivered by the Borrower on or prior to the Closing Date to the Administrative Agent and the Lenders, in form and substance reasonably acceptable to the Administrative Agent and the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shall mean generally accepted accounting principles in the United States, as in effect on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Governmental Authority</w:t>
      </w:r>
      <w:r>
        <w:rPr>
          <w:color w:val="000000"/>
        </w:rPr>
        <w:t xml:space="preserve">” </w:t>
      </w:r>
      <w:r>
        <w:rPr>
          <w:rFonts w:ascii="Times New Roman;sans-serif" w:hAnsi="Times New Roman;sans-serif"/>
          <w:b w:val="false"/>
          <w:color w:val="000000"/>
          <w:sz w:val="24"/>
        </w:rPr>
        <w:t>shall mean any federal, state, provincial, municipal, national, local or other governmental department, court, commission, board, bureau, agency or instrumentality or political subdivision thereof, or any entity or officer exercising executive, legislative or judicial, taxing, regulatory or administrative functions of or pertaining to any government or any court, in each case, whether of the United States or a state, territory, province or possession thereof, a foreign sovereign entity or country or jurisdiction or the District of Columbia,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Guaranteed Obligations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14.1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Guarantors</w:t>
      </w:r>
      <w:r>
        <w:rPr>
          <w:color w:val="000000"/>
        </w:rPr>
        <w:t xml:space="preserve">” </w:t>
      </w:r>
      <w:r>
        <w:rPr>
          <w:rFonts w:ascii="Times New Roman;sans-serif" w:hAnsi="Times New Roman;sans-serif"/>
          <w:b w:val="false"/>
          <w:color w:val="000000"/>
          <w:sz w:val="24"/>
        </w:rPr>
        <w:t xml:space="preserve">shall mean, collectively, Holdings, each Subsidiary Guarantor and, other than as to its own obligations, the Borrower.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Guaranty</w:t>
      </w:r>
      <w:r>
        <w:rPr>
          <w:color w:val="000000"/>
        </w:rPr>
        <w:t xml:space="preserve">” </w:t>
      </w:r>
      <w:r>
        <w:rPr>
          <w:rFonts w:ascii="Times New Roman;sans-serif" w:hAnsi="Times New Roman;sans-serif"/>
          <w:b w:val="false"/>
          <w:color w:val="000000"/>
          <w:sz w:val="24"/>
        </w:rPr>
        <w:t xml:space="preserve">shall mean the guaranty of the Guarantors set forth in </w:t>
      </w:r>
      <w:r>
        <w:rPr>
          <w:rFonts w:ascii="Times New Roman;sans-serif" w:hAnsi="Times New Roman;sans-serif"/>
          <w:b w:val="false"/>
          <w:color w:val="000000"/>
          <w:sz w:val="24"/>
          <w:u w:val="single"/>
        </w:rPr>
        <w:t>Article XIV</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Hazardous Material</w:t>
      </w:r>
      <w:r>
        <w:rPr>
          <w:color w:val="000000"/>
        </w:rPr>
        <w:t xml:space="preserve">” </w:t>
      </w:r>
      <w:r>
        <w:rPr>
          <w:rFonts w:ascii="Times New Roman;sans-serif" w:hAnsi="Times New Roman;sans-serif"/>
          <w:b w:val="false"/>
          <w:color w:val="000000"/>
          <w:sz w:val="24"/>
        </w:rPr>
        <w:t xml:space="preserve">shall mean all or any of the following: (A) substances, materials, compounds, wastes, products, emissions and vapors that are defined or listed in, regulated by, or otherwise classified pursuant to, any applicable Environmental Laws because of their deleterious, harmful or dangerous properties, including any so defined, listed, regulated or classified as “hazardous substances”, “hazardous materials”, “hazardous wastes”, “toxic substances”, “pollutants”, “contaminants”, or any other formulation intended to regulate, define, list or classify substances by reason of deleterious, harmful or dangerous properties; (B) waste oil,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electrical or hydraulic equipment which contains any oil or dielectric fluid containing polychlorinated biphenyls; (F) radon; (G) toxic mold; or (H) urea formaldehyde,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such definition shall not include (i) batteries, fuel, cleaning materials and other substances commonly used in the ordinary course of the Loan Parties’ businesses, which materials exist in reasonable quantities and are stored, contained, transported, used, released, and disposed of in accordance with all applicable Environmental Laws, or (ii) batteries, fuel, cleaning materials and other substances commonly used in the ordinary course of the Customers’, the real property owners’, the real property owners’ tenants or any of their respective agent’s, business, which materials exist in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55345"/>
                <wp:effectExtent l="0" t="0" r="0" b="0"/>
                <wp:wrapNone/>
                <wp:docPr id="89" name="Frame8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quantities and are stored, contained, transported, used, released, and disposed of in accordance with all applicable Environmental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Holdings</w:t>
      </w:r>
      <w:r>
        <w:rPr>
          <w:color w:val="000000"/>
        </w:rPr>
        <w:t xml:space="preserve">” </w:t>
      </w:r>
      <w:r>
        <w:rPr>
          <w:rFonts w:ascii="Times New Roman;sans-serif" w:hAnsi="Times New Roman;sans-serif"/>
          <w:b w:val="false"/>
          <w:color w:val="000000"/>
          <w:sz w:val="24"/>
        </w:rPr>
        <w:t>shall have the meaning assigned to it in the introductory paragraph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Indebtedness</w:t>
      </w:r>
      <w:r>
        <w:rPr>
          <w:color w:val="000000"/>
        </w:rPr>
        <w:t xml:space="preserve">” </w:t>
      </w:r>
      <w:r>
        <w:rPr>
          <w:rFonts w:ascii="Times New Roman;sans-serif" w:hAnsi="Times New Roman;sans-serif"/>
          <w:b w:val="false"/>
          <w:color w:val="000000"/>
          <w:sz w:val="24"/>
        </w:rPr>
        <w:t xml:space="preserve">as applied to any Person, shall mean, without duplication: (i) all indebtedness for borrowed money; (ii) that portion of obligations with respect to capital leases that is properly classified as a liability on a balance sheet in conformity with GAAP (it being understood and agreed that lease obligations that do not constitute financing lease obligations shall not constitute Indebtedness hereunder);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(v) all indebtedness secured by any Lien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 (vii) all Contingent Obligations; and (viii) all net payments that such Person would have to make in the event of an early termination, on the date Indebtedness of such Person is being determined, in respect of outstanding Swap Obligations;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Indebtedness shall not include (A) trade and other ordinary-course payables, accrued expenses, and intercompany liabilities arising in the ordinary course of business, (B) prepaid or deferred revenue or (C) all intercompany liabilities in connection with the cash management, tax and accounting operations of Holdings and its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Indemnified Persons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12.4</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Initial Step-Up Period</w:t>
      </w:r>
      <w:r>
        <w:rPr>
          <w:color w:val="000000"/>
        </w:rPr>
        <w:t xml:space="preserve">” </w:t>
      </w:r>
      <w:r>
        <w:rPr>
          <w:rFonts w:ascii="Times New Roman;sans-serif" w:hAnsi="Times New Roman;sans-serif"/>
          <w:b w:val="false"/>
          <w:color w:val="000000"/>
          <w:sz w:val="24"/>
        </w:rPr>
        <w:t>shall mean the period commencing on the Scheduled Repayment Date and ending on the date that is three (3) months after the Scheduled Repayment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Insurance Premiums</w:t>
      </w:r>
      <w:r>
        <w:rPr>
          <w:color w:val="000000"/>
        </w:rPr>
        <w:t xml:space="preserve">” </w:t>
      </w:r>
      <w:r>
        <w:rPr>
          <w:rFonts w:ascii="Times New Roman;sans-serif" w:hAnsi="Times New Roman;sans-serif"/>
          <w:b w:val="false"/>
          <w:color w:val="000000"/>
          <w:sz w:val="24"/>
        </w:rPr>
        <w:t xml:space="preserve">shall mean the annual insurance premiums for the Insurance Policies required to be maintained by the Loan Parties with respect to the Fiber Network Assets under </w:t>
      </w:r>
      <w:r>
        <w:rPr>
          <w:rFonts w:ascii="Times New Roman;sans-serif" w:hAnsi="Times New Roman;sans-serif"/>
          <w:b w:val="false"/>
          <w:color w:val="000000"/>
          <w:sz w:val="24"/>
          <w:u w:val="single"/>
        </w:rPr>
        <w:t>Section 6.5</w:t>
      </w:r>
      <w:r>
        <w:rPr>
          <w:rFonts w:ascii="Times New Roman;sans-serif" w:hAnsi="Times New Roman;sans-serif"/>
          <w:b w:val="false"/>
          <w:i/>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Insurance Policies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6.5</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Insurance Proceeds</w:t>
      </w:r>
      <w:r>
        <w:rPr>
          <w:color w:val="000000"/>
        </w:rPr>
        <w:t xml:space="preserve">” </w:t>
      </w:r>
      <w:r>
        <w:rPr>
          <w:rFonts w:ascii="Times New Roman;sans-serif" w:hAnsi="Times New Roman;sans-serif"/>
          <w:b w:val="false"/>
          <w:color w:val="000000"/>
          <w:sz w:val="24"/>
        </w:rPr>
        <w:t>shall mean all of the proceeds received under the Insurance Policies.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Election Request</w:t>
      </w:r>
      <w:r>
        <w:rPr>
          <w:color w:val="000000"/>
        </w:rPr>
        <w:t xml:space="preserve">” </w:t>
      </w:r>
      <w:r>
        <w:rPr>
          <w:rFonts w:ascii="Times New Roman;sans-serif" w:hAnsi="Times New Roman;sans-serif"/>
          <w:b w:val="false"/>
          <w:color w:val="000000"/>
          <w:sz w:val="24"/>
        </w:rPr>
        <w:t xml:space="preserve">means a request by the Borrower to Convert or continue a Loan in accordance with </w:t>
      </w:r>
      <w:r>
        <w:rPr>
          <w:rFonts w:ascii="Times New Roman;sans-serif" w:hAnsi="Times New Roman;sans-serif"/>
          <w:b w:val="false"/>
          <w:color w:val="000000"/>
          <w:sz w:val="24"/>
          <w:u w:val="single"/>
        </w:rPr>
        <w:t>Section 2.6</w:t>
      </w:r>
      <w:r>
        <w:rPr>
          <w:color w:val="000000"/>
        </w:rPr>
        <w:t xml:space="preserve"> </w:t>
      </w:r>
      <w:r>
        <w:rPr>
          <w:rFonts w:ascii="Times New Roman;sans-serif" w:hAnsi="Times New Roman;sans-serif"/>
          <w:b w:val="false"/>
          <w:color w:val="000000"/>
          <w:sz w:val="24"/>
        </w:rPr>
        <w:t xml:space="preserve">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Period</w:t>
      </w:r>
      <w:r>
        <w:rPr>
          <w:color w:val="000000"/>
        </w:rPr>
        <w:t xml:space="preserve">” </w:t>
      </w:r>
      <w:r>
        <w:rPr>
          <w:rFonts w:ascii="Times New Roman;sans-serif" w:hAnsi="Times New Roman;sans-serif"/>
          <w:b w:val="false"/>
          <w:color w:val="000000"/>
          <w:sz w:val="24"/>
        </w:rPr>
        <w:t xml:space="preserve">shall mean with respect to any SOFR Loan, the period commencing on the date of the borrowing of such Loan and ending on the Payment Date that is approximately one or three months thereafter, as the Borrower may elect and set forth in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55345"/>
                <wp:effectExtent l="0" t="0" r="0" b="0"/>
                <wp:wrapNone/>
                <wp:docPr id="90" name="Frame9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Borrowing Request or Interest Election Request;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with respect to the Closing Date Loans, the initial Interest Period with respect thereto shall commence on the Closing Date and end on the Payment Date that is approximately one or three months thereafter, as the Borrower may elect and set forth in the applicable Borrowing Request (and Term SOFR for such initial Interest Period shall be Term SOFR for a term of one or three months, as applicable, determined as of the Periodic Term SOFR Determination Day in respect of such initial Interest Period) and (b) with respect to any Delayed Draw Loans borrowed after the Closing Date, the initial Interest Period with respect thereto shall commence on the Credit Date on which such Delayed Draw Loans are initially incurred and end on the Payment Date that is approximately one or three months thereafter, as the Borrower may elect and set forth in the applicable Borrowing Request (and Term SOFR for such initial Interest Period shall be Term SOFR for a term of one or three months, as applicable, determined as of the Periodic Term SOFR Determination Day in respect of such initial Interest Period). For purposes of this definition, the date of a borrowing of a Loan initially shall be the date on which such Loan is made and thereafter shall be the effective date (which date shall be a Payment Date) of the most recent Conversion or continuation of such Loan.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Rate Protection Agreement</w:t>
      </w:r>
      <w:r>
        <w:rPr>
          <w:color w:val="000000"/>
        </w:rPr>
        <w:t xml:space="preserve">” </w:t>
      </w:r>
      <w:r>
        <w:rPr>
          <w:rFonts w:ascii="Times New Roman;sans-serif" w:hAnsi="Times New Roman;sans-serif"/>
          <w:b w:val="false"/>
          <w:color w:val="000000"/>
          <w:sz w:val="24"/>
        </w:rPr>
        <w:t xml:space="preserve">shall mean any interest rate cap agreement (together with the confirmation and schedules relating thereto), in form and substance reasonably satisfactory to the Borrower, the applicable Counterparty and the Administrative Agent (acting at the direction of the Requisite Lenders), between the Borrower and such Counterparty and any renewal or replacement thereof, which agreement shall be pledged as Collateral hereunder. For the avoidance of doubt, the terms of the Interest Rate Protection Agreement shall be those at the time of execution in accordance with </w:t>
      </w:r>
      <w:r>
        <w:rPr>
          <w:rFonts w:ascii="Times New Roman;sans-serif" w:hAnsi="Times New Roman;sans-serif"/>
          <w:b w:val="false"/>
          <w:color w:val="000000"/>
          <w:sz w:val="24"/>
          <w:u w:val="single"/>
        </w:rPr>
        <w:t>Section 6.19</w:t>
      </w:r>
      <w:r>
        <w:rPr>
          <w:color w:val="000000"/>
        </w:rPr>
        <w:t xml:space="preserve"> </w:t>
      </w:r>
      <w:r>
        <w:rPr>
          <w:rFonts w:ascii="Times New Roman;sans-serif" w:hAnsi="Times New Roman;sans-serif"/>
          <w:b w:val="false"/>
          <w:color w:val="000000"/>
          <w:sz w:val="24"/>
        </w:rPr>
        <w:t xml:space="preserve">and the Borrower shall furnish a copy of such Interest Rate Protection Agreement within five (5) Business Days of the date of execution and delivery thereof.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Reserve Account</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6.11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Interest Reserve Required Amount</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6.11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Involuntary Bankruptcy</w:t>
      </w:r>
      <w:r>
        <w:rPr>
          <w:color w:val="000000"/>
        </w:rPr>
        <w:t xml:space="preserve">” </w:t>
      </w:r>
      <w:r>
        <w:rPr>
          <w:rFonts w:ascii="Times New Roman;sans-serif" w:hAnsi="Times New Roman;sans-serif"/>
          <w:b w:val="false"/>
          <w:color w:val="000000"/>
          <w:sz w:val="24"/>
        </w:rPr>
        <w:t>shall mean, in respect of any Person, any involuntary case under the Bankruptcy Code or any applicable bankruptcy, insolvency or other similar law now or hereafter in effect, in which the Borrower is a debtor or any asset of any such entity is property of the estate therein.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IRU</w:t>
      </w:r>
      <w:r>
        <w:rPr>
          <w:color w:val="000000"/>
        </w:rPr>
        <w:t xml:space="preserve">” </w:t>
      </w:r>
      <w:r>
        <w:rPr>
          <w:rFonts w:ascii="Times New Roman;sans-serif" w:hAnsi="Times New Roman;sans-serif"/>
          <w:b w:val="false"/>
          <w:color w:val="000000"/>
          <w:sz w:val="24"/>
        </w:rPr>
        <w:t>shall mean an indefeasible right to use specified property, and which may include conveyance of title to or ownership of, any such real or personal property upon the satisfaction of certain conditions.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IRU Agreements</w:t>
      </w:r>
      <w:r>
        <w:rPr>
          <w:color w:val="000000"/>
        </w:rPr>
        <w:t xml:space="preserve">” </w:t>
      </w:r>
      <w:r>
        <w:rPr>
          <w:rFonts w:ascii="Times New Roman;sans-serif" w:hAnsi="Times New Roman;sans-serif"/>
          <w:b w:val="false"/>
          <w:color w:val="000000"/>
          <w:sz w:val="24"/>
        </w:rPr>
        <w:t xml:space="preserve">shall mean (i) that certain IRU Agreement (ABS Bridge), dated as of the Closing Date, by and among Uniti Fiber OpCo Holdings and its Subsidiaries party thereto, as grantors, and Uniti Fiber GulfCo LLC, as grantee and (ii) any other IRU Agreements, each substantially in the form of Exhibit I hereto (or such other form reasonably satisfactory to the Borrower and the Administrative Agent (acting at the direction of the Requisite Lenders)),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55345"/>
                <wp:effectExtent l="0" t="0" r="0" b="0"/>
                <wp:wrapNone/>
                <wp:docPr id="91" name="Frame9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which the applicable Uniti OpCo, as grantor, grants to the applicable Asset Entity, as grantee, an IRU with respect to the applicable IRU Property (as defined therein).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Joinder Agreement</w:t>
      </w:r>
      <w:r>
        <w:rPr>
          <w:color w:val="000000"/>
        </w:rPr>
        <w:t xml:space="preserve">” </w:t>
      </w:r>
      <w:r>
        <w:rPr>
          <w:rFonts w:ascii="Times New Roman;sans-serif" w:hAnsi="Times New Roman;sans-serif"/>
          <w:b w:val="false"/>
          <w:color w:val="000000"/>
          <w:sz w:val="24"/>
        </w:rPr>
        <w:t>means a joinder to this Agreement, in form and substance reasonably satisfactory to the Administrative Agent (acting at the direction of the Requisite Lenders), pursuant to which the applicable Person assumes all rights and obligations of an “Asset Entity”, “Subsidiary Guarantor” and “Loan Party”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Knowledge</w:t>
      </w:r>
      <w:r>
        <w:rPr>
          <w:color w:val="000000"/>
        </w:rPr>
        <w:t xml:space="preserve">” </w:t>
      </w:r>
      <w:r>
        <w:rPr>
          <w:rFonts w:ascii="Times New Roman;sans-serif" w:hAnsi="Times New Roman;sans-serif"/>
          <w:b w:val="false"/>
          <w:color w:val="000000"/>
          <w:sz w:val="24"/>
        </w:rPr>
        <w:t>whenever used in this Agreement or any of the other Transaction Documents, or in any document or certificate executed pursuant to this Agreement or any of the other Transaction Documents (whether by use of the words “knowledge” or “known”, or other words of similar meaning, and whether or not the same are capitalized), shall mean actual knowledge (without independent investigation unless otherwise specified) (i) of the individuals who have significant responsibility for any policy making, major decisions or financial affairs of the applicable entity; and (ii) also to the knowledge of the person signing such document or certificate.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Lender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Lenders</w:t>
      </w:r>
      <w:r>
        <w:rPr>
          <w:color w:val="000000"/>
        </w:rPr>
        <w:t xml:space="preserve">” </w:t>
      </w:r>
      <w:r>
        <w:rPr>
          <w:rFonts w:ascii="Times New Roman;sans-serif" w:hAnsi="Times New Roman;sans-serif"/>
          <w:b w:val="false"/>
          <w:color w:val="000000"/>
          <w:sz w:val="24"/>
        </w:rPr>
        <w:t>shall mean each financial institution listed on the signature pages hereto as a Lender, and any other Person that becomes a lender party hereto pursuant to an Assignment Agreement (in each case, other than any such Person that ceases to be a Lender pursuant to an Assignment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Lending Office</w:t>
      </w:r>
      <w:r>
        <w:rPr>
          <w:color w:val="000000"/>
        </w:rPr>
        <w:t xml:space="preserve">” </w:t>
      </w:r>
      <w:r>
        <w:rPr>
          <w:rFonts w:ascii="Times New Roman;sans-serif" w:hAnsi="Times New Roman;sans-serif"/>
          <w:b w:val="false"/>
          <w:color w:val="000000"/>
          <w:sz w:val="24"/>
        </w:rPr>
        <w:t>shall mean the office or offices of any Lender set forth in its Administrative Questionnaire, as updated from time to time in writing from such Lender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Leverage Ratio</w:t>
      </w:r>
      <w:r>
        <w:rPr>
          <w:color w:val="000000"/>
        </w:rPr>
        <w:t xml:space="preserve">” </w:t>
      </w:r>
      <w:r>
        <w:rPr>
          <w:rFonts w:ascii="Times New Roman;sans-serif" w:hAnsi="Times New Roman;sans-serif"/>
          <w:b w:val="false"/>
          <w:color w:val="000000"/>
          <w:sz w:val="24"/>
        </w:rPr>
        <w:t xml:space="preserve">shall mean, with respect to any Determination Date, the ratio of (i) the aggregate outstanding principal balance of all Loans as of such Determination Date </w:t>
      </w:r>
      <w:r>
        <w:rPr>
          <w:rFonts w:ascii="Times New Roman;sans-serif" w:hAnsi="Times New Roman;sans-serif"/>
          <w:b w:val="false"/>
          <w:i/>
          <w:color w:val="000000"/>
          <w:sz w:val="24"/>
        </w:rPr>
        <w:t>divided by</w:t>
      </w:r>
      <w:r>
        <w:rPr>
          <w:color w:val="000000"/>
        </w:rPr>
        <w:t xml:space="preserve"> </w:t>
      </w:r>
      <w:r>
        <w:rPr>
          <w:rFonts w:ascii="Times New Roman;sans-serif" w:hAnsi="Times New Roman;sans-serif"/>
          <w:b w:val="false"/>
          <w:color w:val="000000"/>
          <w:sz w:val="24"/>
        </w:rPr>
        <w:t>(ii) the Aggregate Annualized Run Rate Revenue as of such Determination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Lien</w:t>
      </w:r>
      <w:r>
        <w:rPr>
          <w:color w:val="000000"/>
        </w:rPr>
        <w:t xml:space="preserve">” </w:t>
      </w:r>
      <w:r>
        <w:rPr>
          <w:rFonts w:ascii="Times New Roman;sans-serif" w:hAnsi="Times New Roman;sans-serif"/>
          <w:b w:val="false"/>
          <w:color w:val="000000"/>
          <w:sz w:val="24"/>
        </w:rPr>
        <w:t>shall mean any mortgage, deed of trust, deed to secure debt, or pledge, security interest, encumbrance, lien or charge of any kind (including any agreement to give any of the foregoing, any conditional sale or other title retention agreement), or any other arrangement and/or agreement of any kind pursuant to which title to the property is retained by or vested in some other Person for security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Loan</w:t>
      </w:r>
      <w:r>
        <w:rPr>
          <w:color w:val="000000"/>
        </w:rPr>
        <w:t xml:space="preserve">” </w:t>
      </w:r>
      <w:r>
        <w:rPr>
          <w:rFonts w:ascii="Times New Roman;sans-serif" w:hAnsi="Times New Roman;sans-serif"/>
          <w:b w:val="false"/>
          <w:color w:val="000000"/>
          <w:sz w:val="24"/>
        </w:rPr>
        <w:t xml:space="preserve">shall mean any Term Loan hereunder.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Loan Account</w:t>
      </w:r>
      <w:r>
        <w:rPr>
          <w:color w:val="000000"/>
        </w:rPr>
        <w:t xml:space="preserve">” </w:t>
      </w:r>
      <w:r>
        <w:rPr>
          <w:rFonts w:ascii="Times New Roman;sans-serif" w:hAnsi="Times New Roman;sans-serif"/>
          <w:b w:val="false"/>
          <w:color w:val="000000"/>
          <w:sz w:val="24"/>
        </w:rPr>
        <w:t>shall mean, with respect to any proposed borrowing of Loans (i) an account designated in writing by the Borrower in the applicable Borrowing Request for such Loans (and including, in the case of the Closing Date Loans, such account designated in the applicable Funding Direction Letter ) or (ii) a Deposit Account at the Loan Account Bank in the name of the Borrower designated in writing by the Borrower to the Administrative Agent after the Closing Date, as the context may require.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55345"/>
                <wp:effectExtent l="0" t="0" r="0" b="0"/>
                <wp:wrapNone/>
                <wp:docPr id="92" name="Frame9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Loan Account Bank</w:t>
      </w:r>
      <w:r>
        <w:rPr>
          <w:color w:val="000000"/>
        </w:rPr>
        <w:t xml:space="preserve">” </w:t>
      </w:r>
      <w:r>
        <w:rPr>
          <w:rFonts w:ascii="Times New Roman;sans-serif" w:hAnsi="Times New Roman;sans-serif"/>
          <w:b w:val="false"/>
          <w:color w:val="000000"/>
          <w:sz w:val="24"/>
        </w:rPr>
        <w:t xml:space="preserve">shall mean the financial institution that maintains the Loan Account from time to time.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Loan Party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rPr>
        <w:t>Loan Parties</w:t>
      </w:r>
      <w:r>
        <w:rPr>
          <w:color w:val="000000"/>
        </w:rPr>
        <w:t xml:space="preserve">” </w:t>
      </w:r>
      <w:r>
        <w:rPr>
          <w:rFonts w:ascii="Times New Roman;sans-serif" w:hAnsi="Times New Roman;sans-serif"/>
          <w:b w:val="false"/>
          <w:color w:val="000000"/>
          <w:sz w:val="24"/>
        </w:rPr>
        <w:t>shall mean individually and collectively, Holdings, the Borrower and each Subsidiary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Manager</w:t>
      </w:r>
      <w:r>
        <w:rPr>
          <w:color w:val="000000"/>
        </w:rPr>
        <w:t xml:space="preserve">” </w:t>
      </w:r>
      <w:r>
        <w:rPr>
          <w:rFonts w:ascii="Times New Roman;sans-serif" w:hAnsi="Times New Roman;sans-serif"/>
          <w:b w:val="false"/>
          <w:color w:val="000000"/>
          <w:sz w:val="24"/>
        </w:rPr>
        <w:t xml:space="preserve">shall mean Uniti Fiber OpCo Holdings and/or any other Parent Company of the Borrower who becomes a Manager pursuant to the terms of this Agreement and the Management Agreement from time to time.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Manager Termination Event</w:t>
      </w:r>
      <w:r>
        <w:rPr>
          <w:color w:val="000000"/>
        </w:rPr>
        <w:t xml:space="preserve">” </w:t>
      </w:r>
      <w:r>
        <w:rPr>
          <w:rFonts w:ascii="Times New Roman;sans-serif" w:hAnsi="Times New Roman;sans-serif"/>
          <w:b w:val="false"/>
          <w:color w:val="000000"/>
          <w:sz w:val="24"/>
        </w:rPr>
        <w:t>shall have the meaning ascribed thereto in the Management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Manager Report</w:t>
      </w:r>
      <w:r>
        <w:rPr>
          <w:color w:val="000000"/>
        </w:rPr>
        <w:t xml:space="preserve">” </w:t>
      </w:r>
      <w:r>
        <w:rPr>
          <w:rFonts w:ascii="Times New Roman;sans-serif" w:hAnsi="Times New Roman;sans-serif"/>
          <w:b w:val="false"/>
          <w:color w:val="000000"/>
          <w:sz w:val="24"/>
        </w:rPr>
        <w:t xml:space="preserve">shall have the meaning ascribed thereto in the Management Agreement.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Management Agreement</w:t>
      </w:r>
      <w:r>
        <w:rPr>
          <w:color w:val="000000"/>
        </w:rPr>
        <w:t xml:space="preserve">” </w:t>
      </w:r>
      <w:r>
        <w:rPr>
          <w:rFonts w:ascii="Times New Roman;sans-serif" w:hAnsi="Times New Roman;sans-serif"/>
          <w:b w:val="false"/>
          <w:color w:val="000000"/>
          <w:sz w:val="24"/>
        </w:rPr>
        <w:t>shall mean that certain Management Agreement substantially in the form of Exhibit J hereto, dated as of the Closing Date, by and between the Borrower and the Manager.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Management Fee</w:t>
      </w:r>
      <w:r>
        <w:rPr>
          <w:color w:val="000000"/>
        </w:rPr>
        <w:t xml:space="preserve">” </w:t>
      </w:r>
      <w:r>
        <w:rPr>
          <w:rFonts w:ascii="Times New Roman;sans-serif" w:hAnsi="Times New Roman;sans-serif"/>
          <w:b w:val="false"/>
          <w:color w:val="000000"/>
          <w:sz w:val="24"/>
        </w:rPr>
        <w:t>shall have the meaning ascribed thereto in the Management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Adverse Effect</w:t>
      </w:r>
      <w:r>
        <w:rPr>
          <w:color w:val="000000"/>
        </w:rPr>
        <w:t xml:space="preserve">” </w:t>
      </w:r>
      <w:r>
        <w:rPr>
          <w:rFonts w:ascii="Times New Roman;sans-serif" w:hAnsi="Times New Roman;sans-serif"/>
          <w:b w:val="false"/>
          <w:color w:val="000000"/>
          <w:sz w:val="24"/>
        </w:rPr>
        <w:t>shall mean: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material impairment on the rights and remedies, taken as a whole, of the Administrative Agent and the Lenders (in their capacities as such) in respect of the Collateral or under the Transaction Documents (taken as a whole);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 material adverse effect upon the business, operations or condition (financial or otherwise) of the Loan Parties (taken as a whole);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material impairment of the ability of the Loan Parties (taken as a whole) to perform any of their respective payment Obligations under the Transaction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Agreement</w:t>
      </w:r>
      <w:r>
        <w:rPr>
          <w:color w:val="000000"/>
        </w:rPr>
        <w:t xml:space="preserve">” </w:t>
      </w:r>
      <w:r>
        <w:rPr>
          <w:rFonts w:ascii="Times New Roman;sans-serif" w:hAnsi="Times New Roman;sans-serif"/>
          <w:b w:val="false"/>
          <w:color w:val="000000"/>
          <w:sz w:val="24"/>
        </w:rPr>
        <w:t>shall mean any written agreement by any Loan Party relating to the ownership, management, development, use, operation, leasing, maintenance, repair or improvement of the Fiber Network Assets under which there is an obligation of a Customer, in the aggregate, to pay, more than $5,000,000 per annum, excluding (i) the Transaction Documents, (ii) the Management Agreement, (iii) any agreement which is terminable by a Loan Party on not more than thirty (30) days’ prior written notice without any fee or penalty and (iv) any Customer Contract. As of the Closing Date, there are no Material Agreements.</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Customer Contract</w:t>
      </w:r>
      <w:r>
        <w:rPr>
          <w:color w:val="000000"/>
        </w:rPr>
        <w:t xml:space="preserve">” </w:t>
      </w:r>
      <w:r>
        <w:rPr>
          <w:rFonts w:ascii="Times New Roman;sans-serif" w:hAnsi="Times New Roman;sans-serif"/>
          <w:b w:val="false"/>
          <w:color w:val="000000"/>
          <w:sz w:val="24"/>
        </w:rPr>
        <w:t>shall mean any Customer Contract which provides for fees and other payments in an aggregate amount equal to or greater than $2,500,000 per annum.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55345"/>
                <wp:effectExtent l="0" t="0" r="0" b="0"/>
                <wp:wrapNone/>
                <wp:docPr id="93" name="Frame9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Indebtedness</w:t>
      </w:r>
      <w:r>
        <w:rPr>
          <w:color w:val="000000"/>
        </w:rPr>
        <w:t xml:space="preserve">” </w:t>
      </w:r>
      <w:r>
        <w:rPr>
          <w:rFonts w:ascii="Times New Roman;sans-serif" w:hAnsi="Times New Roman;sans-serif"/>
          <w:b w:val="false"/>
          <w:color w:val="000000"/>
          <w:sz w:val="24"/>
        </w:rPr>
        <w:t>shall mean any third-party Indebtedness for borrowed money incurred by a Loan Party with an outstanding principal amount in excess of the Threshold Amount.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Maturity Date</w:t>
      </w:r>
      <w:r>
        <w:rPr>
          <w:color w:val="000000"/>
        </w:rPr>
        <w:t xml:space="preserve">” </w:t>
      </w:r>
      <w:r>
        <w:rPr>
          <w:rFonts w:ascii="Times New Roman;sans-serif" w:hAnsi="Times New Roman;sans-serif"/>
          <w:b w:val="false"/>
          <w:color w:val="000000"/>
          <w:sz w:val="24"/>
        </w:rPr>
        <w:t>shall mean, the date that is eighteen (18) months after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Maximum Loan Amount</w:t>
      </w:r>
      <w:r>
        <w:rPr>
          <w:color w:val="000000"/>
        </w:rPr>
        <w:t xml:space="preserve">” </w:t>
      </w:r>
      <w:r>
        <w:rPr>
          <w:rFonts w:ascii="Times New Roman;sans-serif" w:hAnsi="Times New Roman;sans-serif"/>
          <w:b w:val="false"/>
          <w:color w:val="000000"/>
          <w:sz w:val="24"/>
        </w:rPr>
        <w:t>shall mean, as of any time of determination, an amount equal to the lesser of (a) the aggregate Commitments of all Lenders at such time and (b) the maximum amount such that, immediately after giving effect to the funding of any Loans at such time, (x) the Leverage Ratio shall not exceed 7.00:1.00 and (y) the Debt Service Coverage Ratio shall be no less than 1.75:1.00.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Maximum Rate</w:t>
      </w:r>
      <w:r>
        <w:rPr>
          <w:color w:val="000000"/>
        </w:rPr>
        <w:t xml:space="preserve">” </w:t>
      </w:r>
      <w:r>
        <w:rPr>
          <w:rFonts w:ascii="Times New Roman;sans-serif" w:hAnsi="Times New Roman;sans-serif"/>
          <w:b w:val="false"/>
          <w:color w:val="000000"/>
          <w:sz w:val="24"/>
        </w:rPr>
        <w:t>shall mean the highest lawful and non-usurious rate of interest applicable to the Term Loans, that at any time or from time to time may be contracted for, taken, reserved, charged, or received on the Term Loans and the Obligations under Applicable Law to the extent allowed by such Applicable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Monthly Fiber Network Operating Expenses</w:t>
      </w:r>
      <w:r>
        <w:rPr>
          <w:color w:val="000000"/>
        </w:rPr>
        <w:t xml:space="preserve">” </w:t>
      </w:r>
      <w:r>
        <w:rPr>
          <w:rFonts w:ascii="Times New Roman;sans-serif" w:hAnsi="Times New Roman;sans-serif"/>
          <w:b w:val="false"/>
          <w:color w:val="000000"/>
          <w:sz w:val="24"/>
        </w:rPr>
        <w:t>means with respect to any calendar month, without duplication, all direct costs and expenses of operating and maintaining the Fiber Network Assets and related assets (including utilities) (but excluding (x) the Management Fee, (y) the cost of portfolio support personnel provided by the Manager and (z) any expected insurance expenses, local or other property and similar taxes (including payments in lieu of taxes)) payable with respect to the Fiber Network Assets allocated on a monthly basis, if applicable. Monthly Fiber Network Operating Expenses do not include discretionary capital expenditures.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Monthly Collection Period</w:t>
      </w:r>
      <w:r>
        <w:rPr>
          <w:color w:val="000000"/>
        </w:rPr>
        <w:t xml:space="preserve">” </w:t>
      </w:r>
      <w:r>
        <w:rPr>
          <w:rFonts w:ascii="Times New Roman;sans-serif" w:hAnsi="Times New Roman;sans-serif"/>
          <w:b w:val="false"/>
          <w:color w:val="000000"/>
          <w:sz w:val="24"/>
        </w:rPr>
        <w:t>shall mean, with respect to any Payment Date, the calendar month immediately preceding the calendar month in which such Payment Date occurs or, with respect to the first Payment Date following the Closing Date, the period from and including the Closing Date to and including the last day of the calendar month immediately preceding the calendar month in which such Payment Date occurs.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Net Proceeds</w:t>
      </w:r>
      <w:r>
        <w:rPr>
          <w:color w:val="000000"/>
        </w:rPr>
        <w:t xml:space="preserve">” </w:t>
      </w:r>
      <w:r>
        <w:rPr>
          <w:rFonts w:ascii="Times New Roman;sans-serif" w:hAnsi="Times New Roman;sans-serif"/>
          <w:b w:val="false"/>
          <w:color w:val="000000"/>
          <w:sz w:val="24"/>
        </w:rPr>
        <w:t xml:space="preserve">shall mean, with respect to any Prepayment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Event, insurance proceeds that are actually received in cash and (iii) in the case of a condemnation or similar event, condemnation awards and similar payments that are actually received in cash,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(b) all fees and out-of-pocket expenses paid by the Borrower and its Subsidiaries in connection with such event (including attorney’s fees, investment banking fees, survey costs, title insurance premiums, and related search and recording charges, transfer taxes, deed or mortgage recording taxes and similar taxes, underwriting discounts and commissions, other customary expenses and brokerage, consultant, accountant and other customary fees),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(c) the amount of any liabilities directly associated with such asset and retained by the Borrower and its Subsidiaries,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(d) the amount of all taxes paid (or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55345"/>
                <wp:effectExtent l="0" t="0" r="0" b="0"/>
                <wp:wrapNone/>
                <wp:docPr id="94" name="Frame9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estimated by the Borrower in good faith to be payable) (including pursuant to tax sharing arrangements or that are or would be imposed on intercompany distributions) with such proceeds,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(e) the amount of any costs associated with unwinding any related swap,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 xml:space="preserve">(f) the amount of any reserves established by Holdings, the Borrower and their respective Subsidiaries to fund contingent liabilities estimated by the Borrower in good faith to be payable, that are directly attributable to such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reduction at any time in the amount of any such reserves (other than as a result of payments made in respect thereof) shall be deemed to constitute the receipt at such time of Net Proceeds in the amount of such reduction.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Network Expenses</w:t>
      </w:r>
      <w:r>
        <w:rPr>
          <w:color w:val="000000"/>
        </w:rPr>
        <w:t xml:space="preserve">” </w:t>
      </w:r>
      <w:r>
        <w:rPr>
          <w:rFonts w:ascii="Times New Roman;sans-serif" w:hAnsi="Times New Roman;sans-serif"/>
          <w:b w:val="false"/>
          <w:color w:val="000000"/>
          <w:sz w:val="24"/>
        </w:rPr>
        <w:t>shall mean, collectively, the electricity expenses payable by the Loan Parties with respect to the Fiber Network.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Network Expense and Insurance Reserve Account</w:t>
      </w:r>
      <w:r>
        <w:rPr>
          <w:color w:val="000000"/>
        </w:rPr>
        <w:t xml:space="preserve">” </w:t>
      </w:r>
      <w:r>
        <w:rPr>
          <w:rFonts w:ascii="Times New Roman;sans-serif" w:hAnsi="Times New Roman;sans-serif"/>
          <w:b w:val="false"/>
          <w:color w:val="000000"/>
          <w:sz w:val="24"/>
        </w:rPr>
        <w:t>shall mean that certain segregated trust account at Account Bank held in the name of Borrower, with account number ending in 6-002.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Note(s)</w:t>
      </w:r>
      <w:r>
        <w:rPr>
          <w:color w:val="000000"/>
        </w:rPr>
        <w:t xml:space="preserve">” </w:t>
      </w:r>
      <w:r>
        <w:rPr>
          <w:rFonts w:ascii="Times New Roman;sans-serif" w:hAnsi="Times New Roman;sans-serif"/>
          <w:b w:val="false"/>
          <w:color w:val="000000"/>
          <w:sz w:val="24"/>
        </w:rPr>
        <w:t>shall mean, individually and collectively, the Notes payable to the order of a Lender, executed by the Borrower evidencing the Commitment of, and Term Loans made by, such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Non-Consenting Lender</w:t>
      </w:r>
      <w:r>
        <w:rPr>
          <w:color w:val="000000"/>
        </w:rPr>
        <w:t xml:space="preserve">” </w:t>
      </w:r>
      <w:r>
        <w:rPr>
          <w:rFonts w:ascii="Times New Roman;sans-serif" w:hAnsi="Times New Roman;sans-serif"/>
          <w:b w:val="false"/>
          <w:color w:val="000000"/>
          <w:sz w:val="24"/>
        </w:rPr>
        <w:t xml:space="preserve">means any Lender that does not approve any consent, waiver or amendment that (a) requires the approval of all or all affected Lenders in accordance with the terms of </w:t>
      </w:r>
      <w:r>
        <w:rPr>
          <w:rFonts w:ascii="Times New Roman;sans-serif" w:hAnsi="Times New Roman;sans-serif"/>
          <w:b w:val="false"/>
          <w:color w:val="000000"/>
          <w:sz w:val="24"/>
          <w:u w:val="single"/>
        </w:rPr>
        <w:t>Section 10.4</w:t>
      </w:r>
      <w:r>
        <w:rPr>
          <w:color w:val="000000"/>
        </w:rPr>
        <w:t xml:space="preserve"> </w:t>
      </w:r>
      <w:r>
        <w:rPr>
          <w:rFonts w:ascii="Times New Roman;sans-serif" w:hAnsi="Times New Roman;sans-serif"/>
          <w:b w:val="false"/>
          <w:color w:val="000000"/>
          <w:sz w:val="24"/>
        </w:rPr>
        <w:t>and (b) has been approved by the Requisite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w:t>
      </w:r>
      <w:r>
        <w:rPr>
          <w:rFonts w:ascii="Times New Roman;sans-serif" w:hAnsi="Times New Roman;sans-serif"/>
          <w:b w:val="false"/>
          <w:color w:val="000000"/>
          <w:sz w:val="24"/>
        </w:rPr>
        <w:t>-</w:t>
      </w:r>
      <w:r>
        <w:rPr>
          <w:rFonts w:ascii="Times New Roman;sans-serif" w:hAnsi="Times New Roman;sans-serif"/>
          <w:b/>
          <w:color w:val="000000"/>
          <w:sz w:val="24"/>
        </w:rPr>
        <w:t>U.S. Lender</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13.8(f)</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Obligations</w:t>
      </w:r>
      <w:r>
        <w:rPr>
          <w:color w:val="000000"/>
        </w:rPr>
        <w:t xml:space="preserve">” </w:t>
      </w:r>
      <w:r>
        <w:rPr>
          <w:rFonts w:ascii="Times New Roman;sans-serif" w:hAnsi="Times New Roman;sans-serif"/>
          <w:b w:val="false"/>
          <w:color w:val="000000"/>
          <w:sz w:val="24"/>
        </w:rPr>
        <w:t>shall mean, without duplication, all present and future obligations under this Agreement, any other Indebtedness and liabilities of any Loan Party to the Administrative Agent and the Lenders at any time and from time to time of every kind, nature and description, direct or indirect, secured or unsecured, joint and several, absolute or contingent, due or to become due, matured or unmatured, now existing or hereafter arising, contractual or tortious, liquidated or unliquidated, in each case under any of the Transaction Documents, including, without limitation, interest, all applicable fees, charges and expenses and/or all amounts paid or advanced by Administrative Agent or any Lender on behalf of or for the benefit of any Loan Party for any reason at any time, and including, in each case, obligations of performance as well as obligations of payment and interest that accrue after the commencement of any proceeding under any Debtor Relief Law by or against any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OFAC</w:t>
      </w:r>
      <w:r>
        <w:rPr>
          <w:color w:val="000000"/>
        </w:rPr>
        <w:t xml:space="preserve">” </w:t>
      </w:r>
      <w:r>
        <w:rPr>
          <w:rFonts w:ascii="Times New Roman;sans-serif" w:hAnsi="Times New Roman;sans-serif"/>
          <w:b w:val="false"/>
          <w:color w:val="000000"/>
          <w:sz w:val="24"/>
        </w:rPr>
        <w:t>shall mean the U.S. Department of Treasury’s Office of Foreign Assets Control.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Operating Account</w:t>
      </w:r>
      <w:r>
        <w:rPr>
          <w:color w:val="000000"/>
        </w:rPr>
        <w:t xml:space="preserve">” </w:t>
      </w:r>
      <w:r>
        <w:rPr>
          <w:rFonts w:ascii="Times New Roman;sans-serif" w:hAnsi="Times New Roman;sans-serif"/>
          <w:b w:val="false"/>
          <w:color w:val="000000"/>
          <w:sz w:val="24"/>
        </w:rPr>
        <w:t>shall have the meaning set forth in the Management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Organizational Documents</w:t>
      </w:r>
      <w:r>
        <w:rPr>
          <w:color w:val="000000"/>
        </w:rPr>
        <w:t xml:space="preserve">” </w:t>
      </w:r>
      <w:r>
        <w:rPr>
          <w:rFonts w:ascii="Times New Roman;sans-serif" w:hAnsi="Times New Roman;sans-serif"/>
          <w:b w:val="false"/>
          <w:color w:val="000000"/>
          <w:sz w:val="24"/>
        </w:rPr>
        <w:t xml:space="preserve">shall mean (i) with respect to any corporation, its certificate or articles of incorporation or organization, as amended, its by-laws, as amended, and any stockholders’ agreement, as amended, (ii) with respect to any limited partnership, its certificate of limited partnership, as amended, and its partnership agreement, as amended, (iii)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55345"/>
                <wp:effectExtent l="0" t="0" r="0" b="0"/>
                <wp:wrapNone/>
                <wp:docPr id="95" name="Frame9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 respect to any general partnership, its partnership agreement, as amended, (iv) with respect to any limited liability company, its articles of organization, as amended, and its operating agreement, as amended and (v) with respect to any trust, its declaration of trust. In the event any term or condition of this Agreement or any other Transaction Document requires any Organizational Document to be certified by a secretary of state or similar governmental official, the reference to any such “Organizational Document” shall only be to a document of a type customarily certified by such governmental official.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Other Connection Taxes</w:t>
      </w:r>
      <w:r>
        <w:rPr>
          <w:color w:val="000000"/>
        </w:rPr>
        <w:t xml:space="preserve">” </w:t>
      </w:r>
      <w:r>
        <w:rPr>
          <w:rFonts w:ascii="Times New Roman;sans-serif" w:hAnsi="Times New Roman;sans-serif"/>
          <w:b w:val="false"/>
          <w:color w:val="000000"/>
          <w:sz w:val="24"/>
        </w:rPr>
        <w:t>means, with respect to any Lender or Administrative Agent, Taxes imposed as a result of a present or former connection between such Lender or Administrative Agent and the jurisdiction imposing such tax (except for connections arising from such Lender or Administrative Agent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Other Lender</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13.7</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Other Taxes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13.8(b)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Parent Company</w:t>
      </w:r>
      <w:r>
        <w:rPr>
          <w:color w:val="000000"/>
        </w:rPr>
        <w:t xml:space="preserve">” </w:t>
      </w:r>
      <w:r>
        <w:rPr>
          <w:rFonts w:ascii="Times New Roman;sans-serif" w:hAnsi="Times New Roman;sans-serif"/>
          <w:b w:val="false"/>
          <w:color w:val="000000"/>
          <w:sz w:val="24"/>
        </w:rPr>
        <w:t>means (a) Holdings, (b) Uniti Fiber OpCo Holdings and (c) any other Person or group of Persons that are Affiliates of Uniti OpCo Parent of which the Borrower is an indirect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Participant</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12.2(e)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Participant Register</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12.2(e)</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Patriot Act</w:t>
      </w:r>
      <w:r>
        <w:rPr>
          <w:color w:val="000000"/>
        </w:rPr>
        <w:t xml:space="preserve">” </w:t>
      </w:r>
      <w:r>
        <w:rPr>
          <w:rFonts w:ascii="Times New Roman;sans-serif" w:hAnsi="Times New Roman;sans-serif"/>
          <w:b w:val="false"/>
          <w:color w:val="000000"/>
          <w:sz w:val="24"/>
        </w:rPr>
        <w:t>shall mean the Uniting and Strengthening America by Providing Appropriate Tools Required to Intercept and Obstruct Terrorism Act of 2001, P.L. 107-56 (signed into law October 26, 2001), as amended.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Payment Date</w:t>
      </w:r>
      <w:r>
        <w:rPr>
          <w:color w:val="000000"/>
        </w:rPr>
        <w:t xml:space="preserve">” </w:t>
      </w:r>
      <w:r>
        <w:rPr>
          <w:rFonts w:ascii="Times New Roman;sans-serif" w:hAnsi="Times New Roman;sans-serif"/>
          <w:b w:val="false"/>
          <w:color w:val="000000"/>
          <w:sz w:val="24"/>
        </w:rPr>
        <w:t>shall mean (a)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each calendar month (commencing with the first such date after the first full month after the Closing Date), or, if any such day is not a Business Day, the next succeeding Business Day and (b) the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Affiliate Transactions</w:t>
      </w:r>
      <w:r>
        <w:rPr>
          <w:color w:val="000000"/>
        </w:rPr>
        <w:t xml:space="preserve">” </w:t>
      </w:r>
      <w:r>
        <w:rPr>
          <w:rFonts w:ascii="Times New Roman;sans-serif" w:hAnsi="Times New Roman;sans-serif"/>
          <w:b w:val="false"/>
          <w:color w:val="000000"/>
          <w:sz w:val="24"/>
        </w:rPr>
        <w:t>shall mean: (i) the Guaranty set forth herein, (ii) any existing or future assignments of any Fiber Network Assets to a Loan Party, including any Fiber Network Assets Transfer and all agreements, certificates and other documents related thereto or delivered in connection therewith and (iii) any transactions contemplated by (x) the Management Agreement, (y) the IRU Agreements or (z) any other Transaction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Affiliate Payment</w:t>
      </w:r>
      <w:r>
        <w:rPr>
          <w:color w:val="000000"/>
        </w:rPr>
        <w:t xml:space="preserve">” </w:t>
      </w:r>
      <w:r>
        <w:rPr>
          <w:rFonts w:ascii="Times New Roman;sans-serif" w:hAnsi="Times New Roman;sans-serif"/>
          <w:b w:val="false"/>
          <w:color w:val="000000"/>
          <w:sz w:val="24"/>
        </w:rPr>
        <w:t>shall mean any amounts payable to the Manager or any other Affiliate in connection with a Permitted Affiliate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Change of Control</w:t>
      </w:r>
      <w:r>
        <w:rPr>
          <w:color w:val="000000"/>
        </w:rPr>
        <w:t xml:space="preserve">” </w:t>
      </w:r>
      <w:r>
        <w:rPr>
          <w:rFonts w:ascii="Times New Roman;sans-serif" w:hAnsi="Times New Roman;sans-serif"/>
          <w:b w:val="false"/>
          <w:color w:val="000000"/>
          <w:sz w:val="24"/>
        </w:rPr>
        <w:t xml:space="preserve">shall mean any transaction or series of related transactions in which any Permitted Change of Control New Owner shall at any time have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55345"/>
                <wp:effectExtent l="0" t="0" r="0" b="0"/>
                <wp:wrapNone/>
                <wp:docPr id="96" name="Frame9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acquired direct or indirect beneficial ownership of voting power of the outstanding voting Equity Interests of Holdings having more than 50.0% of such outstanding voting Equity Interests of Holdings;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connection therewith, (a) at least fifteen (15) Business Days (or such later date acceptable to the Administrative Agent (acting at the direction of the Requisite Lenders)) prior to the date of effectiveness of such Permitted Change of Control (the “</w:t>
      </w:r>
      <w:r>
        <w:rPr>
          <w:rFonts w:ascii="Times New Roman;sans-serif" w:hAnsi="Times New Roman;sans-serif"/>
          <w:b/>
          <w:color w:val="000000"/>
          <w:sz w:val="24"/>
        </w:rPr>
        <w:t>Permitted Change of Control Closing Date</w:t>
      </w:r>
      <w:r>
        <w:rPr>
          <w:color w:val="000000"/>
        </w:rPr>
        <w:t>”</w:t>
      </w:r>
      <w:r>
        <w:rPr>
          <w:rFonts w:ascii="Times New Roman;sans-serif" w:hAnsi="Times New Roman;sans-serif"/>
          <w:b w:val="false"/>
          <w:color w:val="000000"/>
          <w:sz w:val="24"/>
        </w:rPr>
        <w:t>), the Borrower shall have delivered written notice to the Administrative Agent (for distribution to the Lenders) of such Permitted Change of Control and of the identity of such proposed Permitted Change of Control New Owner; (b) the Administrative Agent (or its counsel) shall have received at least one (1) Business Day prior to the Permitted Change of Control Closing Date (or such shorter period agreed among the Borrower and the applicable Lender or Administrative Agent), (x) all documentation and other information about the Permitted Change of Control New Owner that is reasonably requested in writing by the Administrative Agent or any Lender at least ten (10) Business Days prior to the Permitted Change of Control Closing Date (or such shorter period agreed among the Borrower and the applicable Lender or Administrative Agent) and is required by United States regulatory authorities under applicable “know your customer” and anti-money laundering rules and regulations, including without limitation Title III of the Patriot Act and (y) if the Borrower qualifies as a “legal entity customer” under the Beneficial Ownership Regulations, a Beneficial Ownership Certification (limited to a single LSTA form beneficial ownership certification) in relation to the Borrower, so long as such information is requested in writing at least ten (10) Business Days prior to the Permitted Change of Control Closing (or such shorter period agreed between the Borrower and the applicable Lender or Administrative Agent); and (c) immediately after giving effect to such transaction or series of related transactions, the security interests of the Administrative Agent in the Collateral, taken as a whole (and including with respect to the IRU Agreements), would not be materially impaired (as determined by the Borrower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Change of Control New Owner</w:t>
      </w:r>
      <w:r>
        <w:rPr>
          <w:color w:val="000000"/>
        </w:rPr>
        <w:t xml:space="preserve">” </w:t>
      </w:r>
      <w:r>
        <w:rPr>
          <w:rFonts w:ascii="Times New Roman;sans-serif" w:hAnsi="Times New Roman;sans-serif"/>
          <w:b w:val="false"/>
          <w:color w:val="000000"/>
          <w:sz w:val="24"/>
        </w:rPr>
        <w:t xml:space="preserve">shall mean (i) any public company with any class or series of Equity Interests listed on a national securities exchange or (ii) any private equity fund, similar investment fund, sovereign wealth fund, other financial institution or similar entity or fund(s) or consortium of private equity funds, similar investment funds, sovereign wealth funds, other financial institution or similar entity or fund(s) acting in concert that (x) are not directly or indirectly controlled or sponsored by natural persons domiciled or organized in any jurisdiction other than the United States of America, Canada, the European Union or the United Kingdom and (y) together with their affiliated funds, partnerships and/or co-investors (if applicable) have committed capital and/or assets under management in excess of $1,000,000,000 at the time of entry into a commitment for a Permitted Change of Control, in each case excluding, for the avoidance of doubt, Uniti Fiber OpCo Holdings (or any Parent Company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acquisition by any Person described in clauses (i) and (ii), the Administrative Agent (acting at the direction of the Requisite Lenders in their reasonable discretion) shall have consented to the identity of such Permitted Change of Control New Owner.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Dispositions</w:t>
      </w:r>
      <w:r>
        <w:rPr>
          <w:color w:val="000000"/>
        </w:rPr>
        <w:t xml:space="preserve">” </w:t>
      </w:r>
      <w:r>
        <w:rPr>
          <w:rFonts w:ascii="Times New Roman;sans-serif" w:hAnsi="Times New Roman;sans-serif"/>
          <w:b w:val="false"/>
          <w:color w:val="000000"/>
          <w:sz w:val="24"/>
        </w:rPr>
        <w:t>shall mean any of the following: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Dispositions of (i) surplus, obsolete, used or worn out property or other property, in each case whether now owned or hereafter acquired, if made in the good faith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55345"/>
                <wp:effectExtent l="0" t="0" r="0" b="0"/>
                <wp:wrapNone/>
                <wp:docPr id="97" name="Frame9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determination of the Borrower and/or in the ordinary course of business and (ii) property no longer used or useful to, or economically practicable or commercially reasonable to maintain;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(i) Dispositions or consignments of equipment or other assets (including leasehold or licensed interests in real property), including on an intercompany basis in the ordinary course of business, (ii) the leasing or subleasing of real property in the ordinary course of business and (iii) to the extent constituting a Disposition, the expiration of any option or similar agreement in respect of real or personal property;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Dispositions of property to the extent that (i) such property is exchanged for credit against the purchase price of similar replacement property, or other assets or services of comparable or greater value or usefulness to the business (including transactions covered by Section 1031 of the Code) as determined by the Borrower in good faith or (ii) an amount equal to the Net Proceeds of such Disposition are promptly applied to the purchase price of similar replacement property, or other assets or services of comparable or greater value or usefulness to the business;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Dispositions of property to any other Loan Party or Subsidiary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    Dispositions consisting of Liens permitted by </w:t>
      </w:r>
      <w:r>
        <w:rPr>
          <w:rFonts w:ascii="Times New Roman;sans-serif" w:hAnsi="Times New Roman;sans-serif"/>
          <w:b w:val="false"/>
          <w:color w:val="000000"/>
          <w:sz w:val="24"/>
          <w:u w:val="single"/>
        </w:rPr>
        <w:t>Section 7.2</w:t>
      </w:r>
      <w:r>
        <w:rPr>
          <w:rFonts w:ascii="Times New Roman;sans-serif" w:hAnsi="Times New Roman;sans-serif"/>
          <w:b w:val="false"/>
          <w:color w:val="000000"/>
          <w:sz w:val="24"/>
        </w:rPr>
        <w:t xml:space="preserve">, Restricted Payments permitted by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 xml:space="preserve">and/or Investments permitted by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Dispositions constituting, and terminations of, leases, assignments, subleases, licenses, sublicenses or cross-licenses, the Disposition or termination of which (i) is made in the ordinary course of business, (ii) does not materially interfere with the business of the Loan Parties, taken as a whole and (iii) is not materially disadvantageous to the Lenders in their capacities as such;</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transfers of property subject to, or otherwise as a result of, Casualty Events;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(h)    foreclosures on assets or Dispositions of assets required by Applicable Law, governmental regulation or any Governmental Authority;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Transactions and any Disposition contemplated in connection with the Transactions, including any Disposition consummated in accordance with the Transaction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(j)    Dispositions in connection with the undertaking or consummation of any Permitted Reorganization or Permitted Change of Control;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(k)    the surrender or waiver of contractual rights and the surrender, release, settlement or waiver of contractual or litigation claims in the ordinary course of business or otherwise if the Borrower determines in good faith that such action is in the best interests of the Loan Parties, taken as a whole, and is not materially disadvantageous to the Lenders in their capacities as such;</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55345"/>
                <wp:effectExtent l="0" t="0" r="0" b="0"/>
                <wp:wrapNone/>
                <wp:docPr id="98" name="Frame9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(l)    the termination, settlement, extinguishment, unwinding, netting or set-off of obligations in respect of any swap or derivative transaction otherwise permitted hereunder relating to any Loan Party;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(m)    Dispositions in connection with cash management services, treasury arrangements and related activities, in each case, in the ordinary course of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Distributions</w:t>
      </w:r>
      <w:r>
        <w:rPr>
          <w:color w:val="000000"/>
        </w:rPr>
        <w:t xml:space="preserve">” </w:t>
      </w:r>
      <w:r>
        <w:rPr>
          <w:rFonts w:ascii="Times New Roman;sans-serif" w:hAnsi="Times New Roman;sans-serif"/>
          <w:b w:val="false"/>
          <w:color w:val="000000"/>
          <w:sz w:val="24"/>
        </w:rPr>
        <w:t>shall mean, without duplication, with respect to any Payment Date, cash distributions by any Subsidiary to any Loan Party and/or by the Borrower or Holdings to any other direct or indirect Parent Company from time to time 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amounts held by Borrower in the Facility Collection Account as of such date following the payment of all amounts due and payable in accordance with </w:t>
      </w:r>
      <w:r>
        <w:rPr>
          <w:rFonts w:ascii="Times New Roman;sans-serif" w:hAnsi="Times New Roman;sans-serif"/>
          <w:b w:val="false"/>
          <w:color w:val="000000"/>
          <w:sz w:val="24"/>
          <w:u w:val="single"/>
        </w:rPr>
        <w:t>Section 2.8(l)</w:t>
      </w:r>
      <w:r>
        <w:rPr>
          <w:color w:val="000000"/>
        </w:rPr>
        <w:t xml:space="preserve"> </w:t>
      </w:r>
      <w:r>
        <w:rPr>
          <w:rFonts w:ascii="Times New Roman;sans-serif" w:hAnsi="Times New Roman;sans-serif"/>
          <w:b w:val="false"/>
          <w:color w:val="000000"/>
          <w:sz w:val="24"/>
        </w:rPr>
        <w:t>on or before such Payment Date;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amounts held in the Operating Account or the Loan Account at the direction of the Manager solely to pay amounts due in connection with the construction, development and installation of the Fiber Network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Indebtedness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7.1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Investments</w:t>
      </w:r>
      <w:r>
        <w:rPr>
          <w:color w:val="000000"/>
        </w:rPr>
        <w:t xml:space="preserve">” </w:t>
      </w:r>
      <w:r>
        <w:rPr>
          <w:rFonts w:ascii="Times New Roman;sans-serif" w:hAnsi="Times New Roman;sans-serif"/>
          <w:b w:val="false"/>
          <w:color w:val="000000"/>
          <w:sz w:val="24"/>
        </w:rPr>
        <w:t>shall have the meaning set forth in the Management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Liens</w:t>
      </w:r>
      <w:r>
        <w:rPr>
          <w:color w:val="000000"/>
        </w:rPr>
        <w:t xml:space="preserve">” </w:t>
      </w:r>
      <w:r>
        <w:rPr>
          <w:rFonts w:ascii="Times New Roman;sans-serif" w:hAnsi="Times New Roman;sans-serif"/>
          <w:b w:val="false"/>
          <w:color w:val="000000"/>
          <w:sz w:val="24"/>
        </w:rPr>
        <w:t xml:space="preserve">shall mean, collectively, (i) Liens created pursuant to the Transaction Documents; (ii) Liens for taxes, assessments, governmental charges, levies or claims not yet due or which are being contested in good faith by appropriate proceedings promptly instituted and diligently conducted and as to which adequate reserves have been maintained in accordance with GAAP with respect to such Liens; (iii) Liens created pursuant to zoning, subdivision and building laws and regulations of general application to the Fiber Network; (iv) carriers’, warehousemen’s, mechanics’, materialmen’s, repairmen’s, construction or other like Liens (1) arising in the ordinary course of business which are not overdue for a period of more than sixty (60) days or which are being contested in good faith by appropriate proceedings or (2) for which the Loan Parties are adequately indemnified by another party (other than an Affiliate); (v) with respect to the Fiber Network, the interests of the owner of the real property through which the Fiber Network runs; (vi) easements, rights-of-way, licenses, restrictions, encroachments and other similar encumbrances incurred in the ordinary course of the business of the Borrower or, with respect to the Fiber Network Assets, existing on the date of the acquisition of such Fiber Network Assets, which, in the aggregate, do not materially (1) interfere with the ordinary conduct of the business of the Borrower, taken as a whole, or (2) impair the use or operations of the interest of the Borrower and its Subsidiaries, taken as a whole, in the Fiber Network; (vii) Liens arising in connection with any Remedial Work (as to the Borrower and its Subsidiaries) not in excess of $1,000,000 in an aggregate amount at any time outstanding (excluding any portion thereof for which the Borrower and/or its Subsidiaries have been indemnified by another party other than an Affiliate), with respect to which a cash reserve in an amount equal to the remediation costs has been provided for and funded; (viii) pledges or deposits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55345"/>
                <wp:effectExtent l="0" t="0" r="0" b="0"/>
                <wp:wrapNone/>
                <wp:docPr id="99" name="Frame9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workers’ compensation, unemployment insurance and other social security legislation and deposits securing liability to insurance carriers under insurance or self-insurance arrangements; (ix) Liens created by lease agreements, statute or common law to secure the payments of rental amounts or other sums not yet delinquent thereunder; (x) Liens on real property that is leased, licensed or occupied by the Borrower or any Subsidiary thereof pursuant to an easement, license or other agreement created or caused by an owner or lessor thereof or arising out of the fee interest therein; (xi) Customer Contracts and other licenses, sublicenses, leases or subleases granted by the Borrower or any Subsidiary thereof in the ordinary course of their businesses and not materially interfering with the conduct of the business of the Loan Parties (taken as a whole); (xii) Liens incurred or created in the ordinary course of business on cash and cash equivalents to secure performance of statutory obligations, surety or appeal bonds, performance bonds, bids or tenders; (xiii) Liens securing the payment of judgments which do not result in an Event of Default; and (xiv) Liens arising as a consequence of liens imposed as a result of the failure of the real property owner to pay taxes, assessments or similar charges.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Reorganization</w:t>
      </w:r>
      <w:r>
        <w:rPr>
          <w:color w:val="000000"/>
        </w:rPr>
        <w:t xml:space="preserve">” </w:t>
      </w:r>
      <w:r>
        <w:rPr>
          <w:rFonts w:ascii="Times New Roman;sans-serif" w:hAnsi="Times New Roman;sans-serif"/>
          <w:b w:val="false"/>
          <w:color w:val="000000"/>
          <w:sz w:val="24"/>
        </w:rPr>
        <w:t xml:space="preserve">shall mean any corporate reorganization and/or restructuring (or similar transaction or event) undertaken </w:t>
      </w:r>
      <w:r>
        <w:rPr>
          <w:rFonts w:ascii="Times New Roman;sans-serif" w:hAnsi="Times New Roman;sans-serif"/>
          <w:b w:val="false"/>
          <w:color w:val="000000"/>
          <w:sz w:val="24"/>
          <w:shd w:fill="FFFFFF" w:val="clear"/>
        </w:rPr>
        <w:t xml:space="preserve">(including in connection </w:t>
      </w:r>
      <w:r>
        <w:rPr>
          <w:rFonts w:ascii="Times New Roman;sans-serif" w:hAnsi="Times New Roman;sans-serif"/>
          <w:b w:val="false"/>
          <w:color w:val="000000"/>
          <w:sz w:val="24"/>
        </w:rPr>
        <w:t>with an election to treat Uniti Fiber OpCo Holdings as a REIT for tax purposes) (each, a “</w:t>
      </w:r>
      <w:r>
        <w:rPr>
          <w:rFonts w:ascii="Times New Roman;sans-serif" w:hAnsi="Times New Roman;sans-serif"/>
          <w:b/>
          <w:color w:val="000000"/>
          <w:sz w:val="24"/>
        </w:rPr>
        <w:t>Reorganization</w:t>
      </w:r>
      <w:r>
        <w:rPr>
          <w:color w:val="000000"/>
        </w:rPr>
        <w:t>”</w:t>
      </w:r>
      <w:r>
        <w:rPr>
          <w:rFonts w:ascii="Times New Roman;sans-serif" w:hAnsi="Times New Roman;sans-serif"/>
          <w:b w:val="false"/>
          <w:color w:val="000000"/>
          <w:sz w:val="24"/>
        </w:rPr>
        <w:t xml:space="preserve">), and each step reasonably undertaken to effect such Reorganization;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connection therewith, (a) immediately after giving effect to such Reorganization, the security interests of the Administrative Agent in the Collateral, taken as a whole, would not be materially impaired</w:t>
      </w:r>
      <w:r>
        <w:rPr>
          <w:color w:val="000000"/>
          <w:shd w:fill="FFFFFF" w:val="clear"/>
        </w:rPr>
        <w:t xml:space="preserve"> </w:t>
      </w:r>
      <w:r>
        <w:rPr>
          <w:rFonts w:ascii="Times New Roman;sans-serif" w:hAnsi="Times New Roman;sans-serif"/>
          <w:b w:val="false"/>
          <w:color w:val="000000"/>
          <w:sz w:val="24"/>
          <w:shd w:fill="FFFFFF" w:val="clear"/>
        </w:rPr>
        <w:t xml:space="preserve">and (b) the Administrative Agent </w:t>
      </w:r>
      <w:r>
        <w:rPr>
          <w:rFonts w:ascii="Times New Roman;sans-serif" w:hAnsi="Times New Roman;sans-serif"/>
          <w:b w:val="false"/>
          <w:color w:val="000000"/>
          <w:sz w:val="24"/>
        </w:rPr>
        <w:t xml:space="preserve">(acting at the direction of the Requisite Lenders) </w:t>
      </w:r>
      <w:r>
        <w:rPr>
          <w:rFonts w:ascii="Times New Roman;sans-serif" w:hAnsi="Times New Roman;sans-serif"/>
          <w:b w:val="false"/>
          <w:color w:val="000000"/>
          <w:sz w:val="24"/>
          <w:shd w:fill="FFFFFF" w:val="clear"/>
        </w:rPr>
        <w:t xml:space="preserve">consents thereto in its reasonable discretion; </w:t>
      </w:r>
      <w:r>
        <w:rPr>
          <w:rFonts w:ascii="Times New Roman;sans-serif" w:hAnsi="Times New Roman;sans-serif"/>
          <w:b w:val="false"/>
          <w:color w:val="000000"/>
          <w:sz w:val="24"/>
          <w:u w:val="single"/>
          <w:shd w:fill="FFFFFF" w:val="clear"/>
        </w:rPr>
        <w:t>provided</w:t>
      </w:r>
      <w:r>
        <w:rPr>
          <w:color w:val="000000"/>
          <w:shd w:fill="FFFFFF" w:val="clear"/>
        </w:rPr>
        <w:t xml:space="preserve"> </w:t>
      </w:r>
      <w:r>
        <w:rPr>
          <w:rFonts w:ascii="Times New Roman;sans-serif" w:hAnsi="Times New Roman;sans-serif"/>
          <w:b w:val="false"/>
          <w:color w:val="000000"/>
          <w:sz w:val="24"/>
          <w:shd w:fill="FFFFFF" w:val="clear"/>
        </w:rPr>
        <w:t xml:space="preserve">that any such Reorganization </w:t>
      </w:r>
      <w:r>
        <w:rPr>
          <w:rFonts w:ascii="Times New Roman;sans-serif" w:hAnsi="Times New Roman;sans-serif"/>
          <w:b w:val="false"/>
          <w:color w:val="000000"/>
          <w:sz w:val="24"/>
        </w:rPr>
        <w:t>will be deemed to have the consent of the Administrative Agent, and not materially impair the security interest of the Administrative Agent in the Collateral</w:t>
      </w:r>
      <w:r>
        <w:rPr>
          <w:color w:val="000000"/>
          <w:shd w:fill="FFFFFF" w:val="clear"/>
        </w:rPr>
        <w:t xml:space="preserve"> </w:t>
      </w:r>
      <w:r>
        <w:rPr>
          <w:rFonts w:ascii="Times New Roman;sans-serif" w:hAnsi="Times New Roman;sans-serif"/>
          <w:b w:val="false"/>
          <w:color w:val="000000"/>
          <w:sz w:val="24"/>
          <w:shd w:fill="FFFFFF" w:val="clear"/>
        </w:rPr>
        <w:t>if either (x) in connection with such Reorganization</w:t>
      </w:r>
      <w:r>
        <w:rPr>
          <w:rFonts w:ascii="Times New Roman;sans-serif" w:hAnsi="Times New Roman;sans-serif"/>
          <w:b w:val="false"/>
          <w:color w:val="000000"/>
          <w:sz w:val="24"/>
        </w:rPr>
        <w:t>, assets of existing Loan Parties would be transferred, directly or indirectly, into any newly-formed Persons who become Loan Parties in connection therewith (including any “co-borrower” or “co-guarantor”) or (y) the Borrower provides written notice to the Administrative Agent (for distribution to the Lenders) of any such Reorganization, describing such Reorganization in reasonable detail, and the Administrative Agent shall have received, by 5:00 p.m. (New York City time) on 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Business Day after the date of such Borrower notice, written notice of consent to such Reorganization from the Requisite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Tax Distribution</w:t>
      </w:r>
      <w:r>
        <w:rPr>
          <w:color w:val="000000"/>
        </w:rPr>
        <w:t xml:space="preserve">” </w:t>
      </w:r>
      <w:r>
        <w:rPr>
          <w:rFonts w:ascii="Times New Roman;sans-serif" w:hAnsi="Times New Roman;sans-serif"/>
          <w:b w:val="false"/>
          <w:color w:val="000000"/>
          <w:sz w:val="24"/>
        </w:rPr>
        <w:t>shall mean amounts not greater than the income, franchise or other tax actually due in respect of income solely attributable to the assets and operations of the Loan Parties in an applicable Collection Period, payable with the consent of the Administrative Agent (acting at the direction of the Requisite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shall mean an individual, a partnership, a corporation, a limited liability company, a business trust, a joint stock company, a trust, an unincorporated association, a joint venture, a Governmental Authority or any other entity of whatever nature.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Pledged Accounts</w:t>
      </w:r>
      <w:r>
        <w:rPr>
          <w:color w:val="000000"/>
        </w:rPr>
        <w:t xml:space="preserve">” </w:t>
      </w:r>
      <w:r>
        <w:rPr>
          <w:rFonts w:ascii="Times New Roman;sans-serif" w:hAnsi="Times New Roman;sans-serif"/>
          <w:b w:val="false"/>
          <w:color w:val="000000"/>
          <w:sz w:val="24"/>
        </w:rPr>
        <w:t xml:space="preserve">shall mean, collectively, the Collections Accounts, the Facility Collection Account, the Reserve Accounts and any other accounts pledged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55345"/>
                <wp:effectExtent l="0" t="0" r="0" b="0"/>
                <wp:wrapNone/>
                <wp:docPr id="100" name="Frame10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Agent pursuant to this Agreement (and excluding, for the avoidance of doubt, the Operating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Prepayment Event</w:t>
      </w:r>
      <w:r>
        <w:rPr>
          <w:color w:val="000000"/>
        </w:rPr>
        <w:t xml:space="preserve">” </w:t>
      </w:r>
      <w:r>
        <w:rPr>
          <w:rFonts w:ascii="Times New Roman;sans-serif" w:hAnsi="Times New Roman;sans-serif"/>
          <w:b w:val="false"/>
          <w:color w:val="000000"/>
          <w:sz w:val="24"/>
        </w:rPr>
        <w:t xml:space="preserve">shall mean: (a) any non-ordinary course sale, transfer or other Disposition of any collateral of the Borrower or any other Loan Party (i) pursuant to </w:t>
      </w:r>
      <w:r>
        <w:rPr>
          <w:rFonts w:ascii="Times New Roman;sans-serif" w:hAnsi="Times New Roman;sans-serif"/>
          <w:b w:val="false"/>
          <w:color w:val="000000"/>
          <w:sz w:val="24"/>
          <w:u w:val="single"/>
        </w:rPr>
        <w:t>Section 7.13(b)</w:t>
      </w:r>
      <w:r>
        <w:rPr>
          <w:color w:val="000000"/>
        </w:rPr>
        <w:t xml:space="preserve"> </w:t>
      </w:r>
      <w:r>
        <w:rPr>
          <w:rFonts w:ascii="Times New Roman;sans-serif" w:hAnsi="Times New Roman;sans-serif"/>
          <w:b w:val="false"/>
          <w:color w:val="000000"/>
          <w:sz w:val="24"/>
        </w:rPr>
        <w:t xml:space="preserve">or (ii) in connection with a Casualty Event and resulting in Net Proceeds exceeding $1,000,000 individually; or (b) the incurrence by the Borrower or any other Loan Party of any Indebtedness, other than Permitted Indebtedness (or other Indebtedness consented to by the Requisite Lenders). </w:t>
      </w:r>
    </w:p>
    <w:p>
      <w:pPr>
        <w:pStyle w:val="TextBody"/>
        <w:bidi w:val="0"/>
        <w:spacing w:lineRule="auto" w:line="288" w:before="0" w:after="240"/>
        <w:ind w:left="0" w:right="0" w:firstLine="720"/>
        <w:jc w:val="left"/>
        <w:rPr/>
      </w:pPr>
      <w:r>
        <w:rPr>
          <w:color w:val="000000"/>
        </w:rPr>
        <w:t>“</w:t>
      </w:r>
      <w:r>
        <w:rPr>
          <w:rFonts w:ascii="Times New Roman;sans-serif" w:hAnsi="Times New Roman;sans-serif"/>
          <w:b/>
          <w:color w:val="000000"/>
          <w:sz w:val="24"/>
        </w:rPr>
        <w:t>Prime Rate</w:t>
      </w:r>
      <w:r>
        <w:rPr>
          <w:color w:val="000000"/>
        </w:rPr>
        <w:t xml:space="preserve">” </w:t>
      </w:r>
      <w:r>
        <w:rPr>
          <w:rFonts w:ascii="Times New Roman;sans-serif" w:hAnsi="Times New Roman;sans-serif"/>
          <w:b w:val="false"/>
          <w:color w:val="000000"/>
          <w:sz w:val="24"/>
        </w:rPr>
        <w:t>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Priority of Payments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Proceeds</w:t>
      </w:r>
      <w:r>
        <w:rPr>
          <w:color w:val="000000"/>
        </w:rPr>
        <w:t xml:space="preserve">” </w:t>
      </w:r>
      <w:r>
        <w:rPr>
          <w:rFonts w:ascii="Times New Roman;sans-serif" w:hAnsi="Times New Roman;sans-serif"/>
          <w:b w:val="false"/>
          <w:color w:val="000000"/>
          <w:sz w:val="24"/>
        </w:rPr>
        <w:t>shall mean, with respect to any portion of the Collateral, all “proceeds” as such term is defined in Article 9 of the UCC, including, whatever is receivable or received when such portion of Collateral is sold, liquidated, foreclosed, exchanged, or otherwise disposed of, whether such disposition is voluntary or involuntary, and includes all rights to payment with respect to any insurance relating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 Forma Basis</w:t>
      </w:r>
      <w:r>
        <w:rPr>
          <w:color w:val="000000"/>
        </w:rPr>
        <w:t>”</w:t>
      </w:r>
      <w:r>
        <w:rPr>
          <w:rFonts w:ascii="Times New Roman;sans-serif" w:hAnsi="Times New Roman;sans-serif"/>
          <w:b w:val="false"/>
          <w:color w:val="000000"/>
          <w:sz w:val="24"/>
        </w:rPr>
        <w:t>, “</w:t>
      </w:r>
      <w:r>
        <w:rPr>
          <w:rFonts w:ascii="Times New Roman;sans-serif" w:hAnsi="Times New Roman;sans-serif"/>
          <w:b/>
          <w:color w:val="000000"/>
          <w:sz w:val="24"/>
        </w:rPr>
        <w:t>Pro Forma Compliance</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Pro Forma Effect</w:t>
      </w:r>
      <w:r>
        <w:rPr>
          <w:color w:val="000000"/>
        </w:rPr>
        <w:t xml:space="preserve">” </w:t>
      </w:r>
      <w:r>
        <w:rPr>
          <w:rFonts w:ascii="Times New Roman;sans-serif" w:hAnsi="Times New Roman;sans-serif"/>
          <w:b w:val="false"/>
          <w:color w:val="000000"/>
          <w:sz w:val="24"/>
        </w:rPr>
        <w:t xml:space="preserve">mean, with respect to compliance with any test or covenant hereunder, that such test or covenant shall have been calculated in accordance with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 Rata Share</w:t>
      </w:r>
      <w:r>
        <w:rPr>
          <w:color w:val="000000"/>
        </w:rPr>
        <w:t xml:space="preserve">” </w:t>
      </w:r>
      <w:r>
        <w:rPr>
          <w:rFonts w:ascii="Times New Roman;sans-serif" w:hAnsi="Times New Roman;sans-serif"/>
          <w:b w:val="false"/>
          <w:color w:val="000000"/>
          <w:sz w:val="24"/>
        </w:rPr>
        <w:t>shall mean (i) for all funding matters hereunder, with respect to each Lender at any time, a fraction (expressed as a percentage, carried out to the ninth decimal place), the numerator of which is the unfunded Commitment of such Lender at such time and the denominator of which is the aggregate unfunded Commitments of all Lenders at such time, and (ii) with respect to all other matters, including the receipt of payments hereunder, with respect to each Lender at any time, the Pro Rata Share shall be determined based on each such Lender’s pro rata share of the aggregate Total Outstandings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QFC Credit Support</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12.13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Quarterly Collection Period</w:t>
      </w:r>
      <w:r>
        <w:rPr>
          <w:color w:val="000000"/>
        </w:rPr>
        <w:t xml:space="preserve">” </w:t>
      </w:r>
      <w:r>
        <w:rPr>
          <w:rFonts w:ascii="Times New Roman;sans-serif" w:hAnsi="Times New Roman;sans-serif"/>
          <w:b w:val="false"/>
          <w:color w:val="000000"/>
          <w:sz w:val="24"/>
        </w:rPr>
        <w:t>shall mean, with respect to any applicable Payment Date or Determination Date, the most recently completed fiscal quarter immediately preceding the date on which such Payment Date or Determination Date, as applicable, occurs.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Rapid Amortization Event</w:t>
      </w:r>
      <w:r>
        <w:rPr>
          <w:color w:val="000000"/>
        </w:rPr>
        <w:t xml:space="preserve">” </w:t>
      </w:r>
      <w:r>
        <w:rPr>
          <w:rFonts w:ascii="Times New Roman;sans-serif" w:hAnsi="Times New Roman;sans-serif"/>
          <w:b w:val="false"/>
          <w:color w:val="000000"/>
          <w:sz w:val="24"/>
        </w:rPr>
        <w:t xml:space="preserve">shall mean any of the following events: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55345"/>
                <wp:effectExtent l="0" t="0" r="0" b="0"/>
                <wp:wrapNone/>
                <wp:docPr id="101" name="Frame10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as of any Determination Date, a Financial Covenant Default shall have occurred and be continuing (but solely to the extent required for the Borrower to be in compliance on a Pro Forma Basis with the Financial Covenant);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 as of any Determination Date occurring after the date that is nine (9) months following the Closing Date, the occurrence of a Specified Contract Rapid Amortization Event (but solely to the extent required for the Borrower to be in compliance on a Pro Forma Basis with a DSCR of no less than 1.75:1.00 (as recalculated to exclude any applicable Specified Contracts and after giving </w:t>
      </w:r>
      <w:r>
        <w:rPr>
          <w:rFonts w:ascii="Times New Roman;sans-serif" w:hAnsi="Times New Roman;sans-serif"/>
          <w:b w:val="false"/>
          <w:i/>
          <w:color w:val="000000"/>
          <w:sz w:val="24"/>
        </w:rPr>
        <w:t>pro forma effect</w:t>
      </w:r>
      <w:r>
        <w:rPr>
          <w:color w:val="000000"/>
        </w:rPr>
        <w:t xml:space="preserve"> </w:t>
      </w:r>
      <w:r>
        <w:rPr>
          <w:rFonts w:ascii="Times New Roman;sans-serif" w:hAnsi="Times New Roman;sans-serif"/>
          <w:b w:val="false"/>
          <w:color w:val="000000"/>
          <w:sz w:val="24"/>
        </w:rPr>
        <w:t xml:space="preserve">to the application of the applicable Available Funds pursuant to the Priority of Payments));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(iii) the occurrence of a Manager Termination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Manager Termination Event (x) shall only constitute a Rapid Amortization Event hereunder if such event or condition is unremedied and is not waived prior to the applicable Payment Date and (y) shall not result in a Rapid Amortization Event hereunder while any grace or notice (or similar) period applicable to such event or condition remains in effect under the Management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failure to repay the Term Loans in full by the Maturity Date; or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 the occurrence of an Event of Default that is continuing and the Administrative Agent (at the direction of the Requisite Lenders) or the Requisite Lenders have provided written notice to the Borrower that the Lenders have elected to cause a Rapid Amortization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any Specified Event of Default, no such written notice shall be required to cause a Rapid Amortization Event for purposes of this definition).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Rating Criteria</w:t>
      </w:r>
      <w:r>
        <w:rPr>
          <w:color w:val="000000"/>
        </w:rPr>
        <w:t xml:space="preserve">” </w:t>
      </w:r>
      <w:r>
        <w:rPr>
          <w:rFonts w:ascii="Times New Roman;sans-serif" w:hAnsi="Times New Roman;sans-serif"/>
          <w:b w:val="false"/>
          <w:color w:val="000000"/>
          <w:sz w:val="24"/>
        </w:rPr>
        <w:t>with respect to any Person, shall mean that (i) the short-term unsecured debt obligations of such Person are rated at least “F2” by Fitch (or its equivalent from at least one NRSRO), or (ii) the long-term unsecured debt obligations of such Person are rated at least “BBB” by Fitch (or its equivalent from at least one NRSRO).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Receipt</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12.5(a)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Reference Time</w:t>
      </w:r>
      <w:r>
        <w:rPr>
          <w:color w:val="000000"/>
        </w:rPr>
        <w:t xml:space="preserve">” </w:t>
      </w:r>
      <w:r>
        <w:rPr>
          <w:rFonts w:ascii="Times New Roman;sans-serif" w:hAnsi="Times New Roman;sans-serif"/>
          <w:b w:val="false"/>
          <w:color w:val="000000"/>
          <w:sz w:val="24"/>
        </w:rPr>
        <w:t>with respect to any setting of the then-current Benchmark means (1) if such Benchmark is Term SOFR, the time set forth in the definition of Term SOFR, and (2) if such Benchmark is not Term SOFR, the time determined by the Administrative Agent (acting at the direction of the Requisite Lenders) in accordance with the Benchmark Replacement Conforming Changes.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Release Price</w:t>
      </w:r>
      <w:r>
        <w:rPr>
          <w:color w:val="000000"/>
        </w:rPr>
        <w:t xml:space="preserve">” </w:t>
      </w:r>
      <w:r>
        <w:rPr>
          <w:rFonts w:ascii="Times New Roman;sans-serif" w:hAnsi="Times New Roman;sans-serif"/>
          <w:b w:val="false"/>
          <w:color w:val="000000"/>
          <w:sz w:val="24"/>
        </w:rPr>
        <w:t xml:space="preserve">shall mean, with respect to any Disposition of any Fiber Network Assets (in each case, other than in connection with the Termination Date), as of any date of determination, the greater of (a) 125% of the Allocated Loan Amount of such Fiber Network Assets as of such date and (b) if such Disposition is made in connection with a transfer of such Fiber Network Assets as collateral for a marketed Capital Markets Transaction, the “Allocated Note Amount” with respect to such Fiber Network Assets (or such analogous term utilized in the underlying definitive documentation for such Capital Markets Transaction) attributed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55345"/>
                <wp:effectExtent l="0" t="0" r="0" b="0"/>
                <wp:wrapNone/>
                <wp:docPr id="102" name="Frame10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Fiber Network Assets to the extent contributed to the applicable securitization entities in such Capital Markets Transaction.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Register</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2.4(b)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Related Parties</w:t>
      </w:r>
      <w:r>
        <w:rPr>
          <w:color w:val="000000"/>
        </w:rPr>
        <w:t xml:space="preserve">” </w:t>
      </w:r>
      <w:r>
        <w:rPr>
          <w:rFonts w:ascii="Times New Roman;sans-serif" w:hAnsi="Times New Roman;sans-serif"/>
          <w:b w:val="false"/>
          <w:color w:val="000000"/>
          <w:sz w:val="24"/>
        </w:rPr>
        <w:t>shall mean, with respect to any Person, any partner, member, shareholder, principal or Affiliate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Relevant Governmental Body</w:t>
      </w:r>
      <w:r>
        <w:rPr>
          <w:color w:val="000000"/>
        </w:rPr>
        <w:t xml:space="preserve">” </w:t>
      </w:r>
      <w:r>
        <w:rPr>
          <w:rFonts w:ascii="Times New Roman;sans-serif" w:hAnsi="Times New Roman;sans-serif"/>
          <w:b w:val="false"/>
          <w:color w:val="000000"/>
          <w:sz w:val="24"/>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Remedial Work</w:t>
      </w:r>
      <w:r>
        <w:rPr>
          <w:color w:val="000000"/>
        </w:rPr>
        <w:t xml:space="preserve">” </w:t>
      </w:r>
      <w:r>
        <w:rPr>
          <w:rFonts w:ascii="Times New Roman;sans-serif" w:hAnsi="Times New Roman;sans-serif"/>
          <w:b w:val="false"/>
          <w:color w:val="000000"/>
          <w:sz w:val="24"/>
        </w:rPr>
        <w:t>shall mean any investigation, site monitoring, cleanup or other remedial work of any kind required under applicable Environmental Laws because of or in connection with any presence or release of any Hazardous Materials on, under or from any Fiber Network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Requisite Lenders</w:t>
      </w:r>
      <w:r>
        <w:rPr>
          <w:color w:val="000000"/>
        </w:rPr>
        <w:t xml:space="preserve">” </w:t>
      </w:r>
      <w:r>
        <w:rPr>
          <w:rFonts w:ascii="Times New Roman;sans-serif" w:hAnsi="Times New Roman;sans-serif"/>
          <w:b w:val="false"/>
          <w:color w:val="000000"/>
          <w:sz w:val="24"/>
        </w:rPr>
        <w:t xml:space="preserve">shall mean, as of any time of determination, the Lenders having Commitments and holding Total Outstandings representing more than 50% of the sum of the Total Outstandings and aggregate amount of Commitments of all Lenders at such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so long as there are two or more Lenders that are not Affiliates and are not Defaulting Lenders, “Requisite Lenders” shall require at least two Lenders who are not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Reserves</w:t>
      </w:r>
      <w:r>
        <w:rPr>
          <w:color w:val="000000"/>
        </w:rPr>
        <w:t xml:space="preserve">” </w:t>
      </w:r>
      <w:r>
        <w:rPr>
          <w:rFonts w:ascii="Times New Roman;sans-serif" w:hAnsi="Times New Roman;sans-serif"/>
          <w:b w:val="false"/>
          <w:color w:val="000000"/>
          <w:sz w:val="24"/>
        </w:rPr>
        <w:t xml:space="preserve">shall mean the reserve funds held by or on behalf of the Administrative Agent (for the benefit of the Lenders) pursuant to this Agreement or the other Transaction Documents, including the funds held in the Reserve Accounts.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Reserve Account</w:t>
      </w:r>
      <w:r>
        <w:rPr>
          <w:color w:val="000000"/>
        </w:rPr>
        <w:t xml:space="preserve">” </w:t>
      </w:r>
      <w:r>
        <w:rPr>
          <w:rFonts w:ascii="Times New Roman;sans-serif" w:hAnsi="Times New Roman;sans-serif"/>
          <w:b w:val="false"/>
          <w:color w:val="000000"/>
          <w:sz w:val="24"/>
        </w:rPr>
        <w:t>shall mean any of (i) the Interest Reserve Account and/or (ii) the Network Expense and Insurance Reserve Account, as the context may require.</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Responsible Officer</w:t>
      </w:r>
      <w:r>
        <w:rPr>
          <w:color w:val="000000"/>
        </w:rPr>
        <w:t xml:space="preserve">” </w:t>
      </w:r>
      <w:r>
        <w:rPr>
          <w:rFonts w:ascii="Times New Roman;sans-serif" w:hAnsi="Times New Roman;sans-serif"/>
          <w:b w:val="false"/>
          <w:color w:val="000000"/>
          <w:sz w:val="24"/>
        </w:rPr>
        <w:t xml:space="preserve">shall mean, with respect to (i) the Account Bank or Verification Agent, as applicable, shall mean, any officer within the corporate trust department of the Account Bank or Verification Agent, as applicable, including any trust officer or any other officer of the Account Bank or Verification Agent, as applicable,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Agreement and (ii) any other Person, the chief executive officer, president, vice president, senior vice president, executive vice president, chief financial officer, treasurer, assistant treasurer, secretary or assistant secretary of such Person, or any other officer of such Person reasonably acceptable to the Administrative Agent (acting at the direction of the Requisite Lenders); or, with respect to compliance with financial covenants or delivery of financial information, the chief financial officer, the treasurer, assistant treasurer or the controller of such Person, or any or any other officer of such Person reasonably acceptable to the Administrative Agent (acting at the direction of the Requisite Lenders). Any document delivered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55345"/>
                <wp:effectExtent l="0" t="0" r="0" b="0"/>
                <wp:wrapNone/>
                <wp:docPr id="103" name="Frame10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hereunder or under any other Transaction Document that is signed by a Responsible Officer of a Person shall be conclusively presumed to have been authorized by all necessary corporate, partnership and/or other action on the part of such Person and such Responsible Officer shall be conclusively presumed to have acted on behalf of such Person in such Responsible Officer’s official capacity on behalf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Restricted Payment</w:t>
      </w:r>
      <w:r>
        <w:rPr>
          <w:color w:val="000000"/>
        </w:rPr>
        <w:t xml:space="preserve">” </w:t>
      </w:r>
      <w:r>
        <w:rPr>
          <w:rFonts w:ascii="Times New Roman;sans-serif" w:hAnsi="Times New Roman;sans-serif"/>
          <w:b w:val="false"/>
          <w:color w:val="000000"/>
          <w:sz w:val="24"/>
        </w:rPr>
        <w:t>shall mean (i) any dividend or other distribution, direct or indirect, on account of any shares of any class of the Equity Interests of Borrower now or hereafter outstanding; (ii) any redemption, retirement, sinking fund or similar payment, purchase or other acquisition for value, direct or indirect, of any Equity Interest of Borrower now or hereafter outstanding; and (iii) any payment made to retire, or to obtain the surrender of, any outstanding warrants, options or other rights to acquire any Equity Interest of Borrower now or hereafter outstanding.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Retained Collections</w:t>
      </w:r>
      <w:r>
        <w:rPr>
          <w:color w:val="000000"/>
        </w:rPr>
        <w:t xml:space="preserve">” </w:t>
      </w:r>
      <w:r>
        <w:rPr>
          <w:rFonts w:ascii="Times New Roman;sans-serif" w:hAnsi="Times New Roman;sans-serif"/>
          <w:b w:val="false"/>
          <w:color w:val="000000"/>
          <w:sz w:val="24"/>
        </w:rPr>
        <w:t>shall mean, with respect to a Collection Period, the sum of (a) the amount of Collections received in such Collection Period (excluding all Excluded Amounts) and (b)  the aggregate amount of collections received with respect to the Uniti Fiber Business pursuant to a Specified Contract and deposited, directly or indirectly, into a Collections Account or other Controlled Account in such Collection Period.</w:t>
      </w:r>
    </w:p>
    <w:p>
      <w:pPr>
        <w:pStyle w:val="TextBody"/>
        <w:bidi w:val="0"/>
        <w:spacing w:lineRule="auto" w:line="288" w:before="0" w:after="240"/>
        <w:ind w:left="0" w:right="0" w:firstLine="720"/>
        <w:jc w:val="left"/>
        <w:rPr/>
      </w:pPr>
      <w:r>
        <w:rPr>
          <w:color w:val="000000"/>
        </w:rPr>
        <w:t>“</w:t>
      </w:r>
      <w:r>
        <w:rPr>
          <w:rFonts w:ascii="Times New Roman;sans-serif" w:hAnsi="Times New Roman;sans-serif"/>
          <w:b/>
          <w:color w:val="000000"/>
          <w:sz w:val="24"/>
        </w:rPr>
        <w:t>Retained Collections Contribution</w:t>
      </w:r>
      <w:r>
        <w:rPr>
          <w:color w:val="000000"/>
        </w:rPr>
        <w:t xml:space="preserve">” </w:t>
      </w:r>
      <w:r>
        <w:rPr>
          <w:rFonts w:ascii="Times New Roman;sans-serif" w:hAnsi="Times New Roman;sans-serif"/>
          <w:b w:val="false"/>
          <w:color w:val="000000"/>
          <w:sz w:val="24"/>
        </w:rPr>
        <w:t xml:space="preserve">shall have the meaning assigned to such term in </w:t>
      </w:r>
      <w:r>
        <w:rPr>
          <w:rFonts w:ascii="Times New Roman;sans-serif" w:hAnsi="Times New Roman;sans-serif"/>
          <w:b w:val="false"/>
          <w:color w:val="000000"/>
          <w:sz w:val="24"/>
          <w:u w:val="single"/>
        </w:rPr>
        <w:t>Section 2.16(b)</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Risk Retention Letter</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4.1(i)</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Sanctioned Country</w:t>
      </w:r>
      <w:r>
        <w:rPr>
          <w:color w:val="000000"/>
        </w:rPr>
        <w:t xml:space="preserve">” </w:t>
      </w:r>
      <w:r>
        <w:rPr>
          <w:rFonts w:ascii="Times New Roman;sans-serif" w:hAnsi="Times New Roman;sans-serif"/>
          <w:b w:val="false"/>
          <w:color w:val="000000"/>
          <w:sz w:val="24"/>
        </w:rPr>
        <w:t xml:space="preserve">shall mean, at any time, a country or territory that is subject to comprehensive Sanctions.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Sanctioned Person</w:t>
      </w:r>
      <w:r>
        <w:rPr>
          <w:color w:val="000000"/>
        </w:rPr>
        <w:t xml:space="preserve">” </w:t>
      </w:r>
      <w:r>
        <w:rPr>
          <w:rFonts w:ascii="Times New Roman;sans-serif" w:hAnsi="Times New Roman;sans-serif"/>
          <w:b w:val="false"/>
          <w:color w:val="000000"/>
          <w:sz w:val="24"/>
        </w:rPr>
        <w:t>shall mean, at any time, (a) any Person listed in any Sanctions-related list of designated Persons maintained by OFAC, the U.S. Department of State, the United Nations Security Council, the European Union or any European Union member state, or His Majesty’s Treasury of the United Kingdom, (b) any Person operating, organized or resident in a Sanctioned Country or (c) any Person owned 50.1% or more or controlled by any such Person or Persons described in the foregoing clauses (a) or (b).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Sanctions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5.17(a)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Scheduled Amortization Percentage</w:t>
      </w:r>
      <w:r>
        <w:rPr>
          <w:color w:val="000000"/>
        </w:rPr>
        <w:t xml:space="preserve">” </w:t>
      </w:r>
      <w:r>
        <w:rPr>
          <w:rFonts w:ascii="Times New Roman;sans-serif" w:hAnsi="Times New Roman;sans-serif"/>
          <w:b w:val="false"/>
          <w:color w:val="000000"/>
          <w:sz w:val="24"/>
        </w:rPr>
        <w:t xml:space="preserve">means, as of any date of determination: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if, as of any Determination Date prior to the Scheduled Repayment Date, (i) (x) the Leverage Ratio is less than or equal to 7.00:1.00 and (y) the DSCR is greater than or equal to 1.75:1.00 as of such date, 0% or (ii)(x) the Leverage Ratio is greater than 7.00:1.00 or (y) the DSCR is less than 1.75:1.00 as of such date, the lesser of (A) the minimum percentage required such that, after giving effect to any applicable repayment of Loans, both the Leverage Ratio is less than or equal to 7.00:1.00 and the DSCR is greater than or equal to 1.75:1.00 as of such date and (B) 100%;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55345"/>
                <wp:effectExtent l="0" t="0" r="0" b="0"/>
                <wp:wrapNone/>
                <wp:docPr id="104" name="Frame10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during the Initial Step-Up Period, 50%; and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during the Second Step-Up Period, 75%; </w: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purposes of clause (a) of this definition (1) the applicable DSCR and/or Leverage Ratio shall be determined on a Pro Forma Basis on the scheduled date of prepayment (after giving </w:t>
      </w:r>
      <w:r>
        <w:rPr>
          <w:rFonts w:ascii="Times New Roman;sans-serif" w:hAnsi="Times New Roman;sans-serif"/>
          <w:b w:val="false"/>
          <w:i/>
          <w:color w:val="000000"/>
          <w:sz w:val="24"/>
        </w:rPr>
        <w:t xml:space="preserve">pro forma effect </w:t>
      </w:r>
      <w:r>
        <w:rPr>
          <w:rFonts w:ascii="Times New Roman;sans-serif" w:hAnsi="Times New Roman;sans-serif"/>
          <w:b w:val="false"/>
          <w:color w:val="000000"/>
          <w:sz w:val="24"/>
        </w:rPr>
        <w:t>to such prepayment and to any other repayment or prepayment at or prior to the time such prepayment is due) and (2) if any Specified Contract is not directly or indirectly, contributed, sold and/or otherwise transferred to the applicable Loan Parties from the applicable Uniti OpCos on or prior to the date that is nine (9) months following the Closing Date, the DSCR test set forth in clause (a) above shall be recalculated without giving effect to such Specified Contact (and failure to be in compliance with either such Leverage Ratio or DSCR test so recalculated shall constitute a “</w:t>
      </w:r>
      <w:r>
        <w:rPr>
          <w:rFonts w:ascii="Times New Roman;sans-serif" w:hAnsi="Times New Roman;sans-serif"/>
          <w:b/>
          <w:color w:val="000000"/>
          <w:sz w:val="24"/>
        </w:rPr>
        <w:t>Specified Contract Rapid Amortization Event</w:t>
      </w:r>
      <w:r>
        <w:rPr>
          <w:color w:val="000000"/>
        </w:rPr>
        <w:t>”</w:t>
      </w:r>
      <w:r>
        <w:rPr>
          <w:rFonts w:ascii="Times New Roman;sans-serif" w:hAnsi="Times New Roman;sans-serif"/>
          <w:b w:val="false"/>
          <w:color w:val="000000"/>
          <w:sz w:val="24"/>
        </w:rPr>
        <w:t xml:space="preserve">, but solely to the extent required for the Borrower to be in compliance, on a Pro Forma Basis, with such test (as so recalculated and after giving </w:t>
      </w:r>
      <w:r>
        <w:rPr>
          <w:rFonts w:ascii="Times New Roman;sans-serif" w:hAnsi="Times New Roman;sans-serif"/>
          <w:b w:val="false"/>
          <w:i/>
          <w:color w:val="000000"/>
          <w:sz w:val="24"/>
        </w:rPr>
        <w:t>pro forma effect</w:t>
      </w:r>
      <w:r>
        <w:rPr>
          <w:color w:val="000000"/>
        </w:rPr>
        <w:t xml:space="preserve"> </w:t>
      </w:r>
      <w:r>
        <w:rPr>
          <w:rFonts w:ascii="Times New Roman;sans-serif" w:hAnsi="Times New Roman;sans-serif"/>
          <w:b w:val="false"/>
          <w:color w:val="000000"/>
          <w:sz w:val="24"/>
        </w:rPr>
        <w:t>to the application of any Available Funds pursuant to the Priority of Payments)).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Scheduled Repayment Date</w:t>
      </w:r>
      <w:r>
        <w:rPr>
          <w:color w:val="000000"/>
        </w:rPr>
        <w:t xml:space="preserve">” </w:t>
      </w:r>
      <w:r>
        <w:rPr>
          <w:rFonts w:ascii="Times New Roman;sans-serif" w:hAnsi="Times New Roman;sans-serif"/>
          <w:b w:val="false"/>
          <w:color w:val="000000"/>
          <w:sz w:val="24"/>
        </w:rPr>
        <w:t>shall mean, the date that is twelve (12) months after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Second Step-Up Period</w:t>
      </w:r>
      <w:r>
        <w:rPr>
          <w:color w:val="000000"/>
        </w:rPr>
        <w:t xml:space="preserve">” </w:t>
      </w:r>
      <w:r>
        <w:rPr>
          <w:rFonts w:ascii="Times New Roman;sans-serif" w:hAnsi="Times New Roman;sans-serif"/>
          <w:b w:val="false"/>
          <w:color w:val="000000"/>
          <w:sz w:val="24"/>
        </w:rPr>
        <w:t>shall mean the period commencing on the first date after the Initial Step-Up Period and ending on the Maturity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Secured Obligations</w:t>
      </w:r>
      <w:r>
        <w:rPr>
          <w:color w:val="000000"/>
        </w:rPr>
        <w:t xml:space="preserve">” </w:t>
      </w:r>
      <w:r>
        <w:rPr>
          <w:rFonts w:ascii="Times New Roman;sans-serif" w:hAnsi="Times New Roman;sans-serif"/>
          <w:b w:val="false"/>
          <w:color w:val="000000"/>
          <w:sz w:val="24"/>
        </w:rPr>
        <w:t>shall mean (a) the Obligations and (b) the Secured Swap Obligations (in each case excluding, with respect to any Loan Party, Excluded Swap Obligations of such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Secured Party Designation Notice</w:t>
      </w:r>
      <w:r>
        <w:rPr>
          <w:color w:val="000000"/>
        </w:rPr>
        <w:t xml:space="preserve">” </w:t>
      </w:r>
      <w:r>
        <w:rPr>
          <w:rFonts w:ascii="Times New Roman;sans-serif" w:hAnsi="Times New Roman;sans-serif"/>
          <w:b w:val="false"/>
          <w:color w:val="000000"/>
          <w:sz w:val="24"/>
        </w:rPr>
        <w:t xml:space="preserve">shall mean a notice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executed by the Borrower and a Counterparty and delivered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Secured Swap Obligations</w:t>
      </w:r>
      <w:r>
        <w:rPr>
          <w:color w:val="000000"/>
        </w:rPr>
        <w:t xml:space="preserve">” </w:t>
      </w:r>
      <w:r>
        <w:rPr>
          <w:rFonts w:ascii="Times New Roman;sans-serif" w:hAnsi="Times New Roman;sans-serif"/>
          <w:b w:val="false"/>
          <w:color w:val="000000"/>
          <w:sz w:val="24"/>
        </w:rPr>
        <w:t>shall mean (a) any obligations of the Loan Parties and their Subsidiaries) under an Interest Rate Protection Agreement and (b) the due and punctual payment and performance of all monetary obligations of the Loan Parties and their Subsidiaries under a Swap Agreement, in each case that is (or was) entered into with a Counterparty and designated in writing by the Borrower and such Counterparty to constitute “Secured Swap Obligations” pursuant to a Secured Party Designation Notice delivered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Security Documents</w:t>
      </w:r>
      <w:r>
        <w:rPr>
          <w:color w:val="000000"/>
        </w:rPr>
        <w:t xml:space="preserve">” </w:t>
      </w:r>
      <w:r>
        <w:rPr>
          <w:rFonts w:ascii="Times New Roman;sans-serif" w:hAnsi="Times New Roman;sans-serif"/>
          <w:b w:val="false"/>
          <w:color w:val="000000"/>
          <w:sz w:val="24"/>
        </w:rPr>
        <w:t>shall mean this Agreement, the Account Bank Control Agreement, each other Account Control Agreement, and any other agreement delivered in connection therewith as required pursuant to this Agreement to create or perfect the Liens in the Collateral.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Service Revenues</w:t>
      </w:r>
      <w:r>
        <w:rPr>
          <w:color w:val="000000"/>
        </w:rPr>
        <w:t xml:space="preserve">” </w:t>
      </w:r>
      <w:r>
        <w:rPr>
          <w:rFonts w:ascii="Times New Roman;sans-serif" w:hAnsi="Times New Roman;sans-serif"/>
          <w:b w:val="false"/>
          <w:color w:val="000000"/>
          <w:sz w:val="24"/>
        </w:rPr>
        <w:t xml:space="preserve">shall mean non-recurring charges paid by Customers to the Borrower or the Manager on behalf of the Loan Parties for services such as network construction, engineering design, right-of-way acquisition, fiber splicing, installation services,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55345"/>
                <wp:effectExtent l="0" t="0" r="0" b="0"/>
                <wp:wrapNone/>
                <wp:docPr id="105" name="Frame10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professional services and similar services provided to the Customers on the Fiber Network Assets.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w:t>
      </w:r>
      <w:r>
        <w:rPr>
          <w:color w:val="000000"/>
        </w:rPr>
        <w:t xml:space="preserve">” </w:t>
      </w:r>
      <w:r>
        <w:rPr>
          <w:rFonts w:ascii="Times New Roman;sans-serif" w:hAnsi="Times New Roman;sans-serif"/>
          <w:b w:val="false"/>
          <w:color w:val="000000"/>
          <w:sz w:val="24"/>
        </w:rPr>
        <w:t>means a rate per annum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 Loan</w:t>
      </w:r>
      <w:r>
        <w:rPr>
          <w:color w:val="000000"/>
        </w:rPr>
        <w:t xml:space="preserve">” </w:t>
      </w:r>
      <w:r>
        <w:rPr>
          <w:rFonts w:ascii="Times New Roman;sans-serif" w:hAnsi="Times New Roman;sans-serif"/>
          <w:b w:val="false"/>
          <w:color w:val="000000"/>
          <w:sz w:val="24"/>
        </w:rPr>
        <w:t>means a Loan that bears interest at Term SOFR, other than pursuant to clause (c) of the definition of Base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SOFR Administrator</w:t>
      </w:r>
      <w:r>
        <w:rPr>
          <w:color w:val="000000"/>
        </w:rPr>
        <w:t xml:space="preserve">” </w:t>
      </w:r>
      <w:r>
        <w:rPr>
          <w:rFonts w:ascii="Times New Roman;sans-serif" w:hAnsi="Times New Roman;sans-serif"/>
          <w:b w:val="false"/>
          <w:color w:val="000000"/>
          <w:sz w:val="24"/>
        </w:rPr>
        <w:t>means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Contract Rapid Amortization Event</w:t>
      </w:r>
      <w:r>
        <w:rPr>
          <w:color w:val="000000"/>
        </w:rPr>
        <w:t xml:space="preserve">” </w:t>
      </w:r>
      <w:r>
        <w:rPr>
          <w:rFonts w:ascii="Times New Roman;sans-serif" w:hAnsi="Times New Roman;sans-serif"/>
          <w:b w:val="false"/>
          <w:color w:val="000000"/>
          <w:sz w:val="24"/>
        </w:rPr>
        <w:t>shall have the meaning assigned to it in the definition of “Scheduled Amortization Percentage”.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Contracts</w:t>
      </w:r>
      <w:r>
        <w:rPr>
          <w:color w:val="000000"/>
        </w:rPr>
        <w:t xml:space="preserve">” </w:t>
      </w:r>
      <w:r>
        <w:rPr>
          <w:rFonts w:ascii="Times New Roman;sans-serif" w:hAnsi="Times New Roman;sans-serif"/>
          <w:b w:val="false"/>
          <w:color w:val="000000"/>
          <w:sz w:val="24"/>
        </w:rPr>
        <w:t>means each of the contracts listed on Schedule 1.1(c), each of which (i) shall be included in the calculations of the Maximum Borrowing Amount to the extent then in force and effect and (ii) are intended to constitute Collateral upon contribution to the Loan Parties from the applicable Uniti OpCos.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Specified Event of Default</w:t>
      </w:r>
      <w:r>
        <w:rPr>
          <w:color w:val="000000"/>
        </w:rPr>
        <w:t xml:space="preserve">” </w:t>
      </w:r>
      <w:r>
        <w:rPr>
          <w:rFonts w:ascii="Times New Roman;sans-serif" w:hAnsi="Times New Roman;sans-serif"/>
          <w:b w:val="false"/>
          <w:color w:val="000000"/>
          <w:sz w:val="24"/>
        </w:rPr>
        <w:t>means any Event of Default described in clause (a), (c), (d) or (e) of Article VIII.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with respect to any Person: (a)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meeting this definition of “Subsidiary” or a combination thereof; and (b) any partnership, joint venture, limited liability company or similar entity of which (i) more than 50% of the voting interests or general partnership interests, as applicable, are owned or controlled, directly or indirectly, by such Person or one or more of the other subsidiaries of that Person meeting this definition of “Subsidiary” or a combination thereof whether in the form of membership, general, special or limited partnership or otherwise; and (ii) such Person or any subsidiary of such Person meeting this definition of “Subsidiary” is a controlling general partner or otherwise directly or indirectly controls such entity. Unless otherwise specified, “Subsidiary” shall mean any Subsidiary of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Subsidiary Guarantor</w:t>
      </w:r>
      <w:r>
        <w:rPr>
          <w:color w:val="000000"/>
        </w:rPr>
        <w:t xml:space="preserve">” </w:t>
      </w:r>
      <w:r>
        <w:rPr>
          <w:rFonts w:ascii="Times New Roman;sans-serif" w:hAnsi="Times New Roman;sans-serif"/>
          <w:b w:val="false"/>
          <w:color w:val="000000"/>
          <w:sz w:val="24"/>
        </w:rPr>
        <w:t>shall mean, collectively, (i) each of the Asset Entities and (ii) each other Subsidiary of the Borrower after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Supported QFC</w:t>
      </w:r>
      <w:r>
        <w:rPr>
          <w:color w:val="000000"/>
        </w:rPr>
        <w:t xml:space="preserve">” </w:t>
      </w:r>
      <w:r>
        <w:rPr>
          <w:rFonts w:ascii="Times New Roman;sans-serif" w:hAnsi="Times New Roman;sans-serif"/>
          <w:b w:val="false"/>
          <w:color w:val="000000"/>
          <w:sz w:val="24"/>
        </w:rPr>
        <w:t xml:space="preserve">has the meaning assigned to such term in </w:t>
      </w:r>
      <w:r>
        <w:rPr>
          <w:rFonts w:ascii="Times New Roman;sans-serif" w:hAnsi="Times New Roman;sans-serif"/>
          <w:b w:val="false"/>
          <w:color w:val="000000"/>
          <w:sz w:val="24"/>
          <w:u w:val="single"/>
        </w:rPr>
        <w:t>Section 12.13</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Swap</w:t>
      </w:r>
      <w:r>
        <w:rPr>
          <w:color w:val="000000"/>
        </w:rPr>
        <w:t xml:space="preserve">” </w:t>
      </w:r>
      <w:r>
        <w:rPr>
          <w:rFonts w:ascii="Times New Roman;sans-serif" w:hAnsi="Times New Roman;sans-serif"/>
          <w:b w:val="false"/>
          <w:color w:val="000000"/>
          <w:sz w:val="24"/>
        </w:rPr>
        <w:t>means any agreement, contract, or transaction that constitutes a “swap” within the meaning of Section 1a(47) of the Commodity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55345"/>
                <wp:effectExtent l="0" t="0" r="0" b="0"/>
                <wp:wrapNone/>
                <wp:docPr id="106" name="Frame10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Swap Agreement</w:t>
      </w:r>
      <w:r>
        <w:rPr>
          <w:color w:val="000000"/>
        </w:rPr>
        <w:t xml:space="preserve">” </w:t>
      </w:r>
      <w:r>
        <w:rPr>
          <w:rFonts w:ascii="Times New Roman;sans-serif" w:hAnsi="Times New Roman;sans-serif"/>
          <w:b w:val="false"/>
          <w:color w:val="000000"/>
          <w:sz w:val="24"/>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ans-serif" w:hAnsi="Times New Roman;sans-serif"/>
          <w:b/>
          <w:color w:val="000000"/>
          <w:sz w:val="24"/>
        </w:rPr>
        <w:t>Master Agreement</w:t>
      </w:r>
      <w:r>
        <w:rPr>
          <w:color w:val="000000"/>
        </w:rPr>
        <w:t>”</w:t>
      </w:r>
      <w:r>
        <w:rPr>
          <w:rFonts w:ascii="Times New Roman;sans-serif" w:hAnsi="Times New Roman;sans-serif"/>
          <w:b w:val="false"/>
          <w:color w:val="000000"/>
          <w:sz w:val="24"/>
        </w:rPr>
        <w:t xml:space="preserve">), including any such obligations or liabilities under any Master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the avoidance of doubt, no convertible Indebtedness (nor any agreement or instrument with respect thereto) shall constitute a Swap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Swap Obligation</w:t>
      </w:r>
      <w:r>
        <w:rPr>
          <w:color w:val="000000"/>
        </w:rPr>
        <w:t xml:space="preserve">” </w:t>
      </w:r>
      <w:r>
        <w:rPr>
          <w:rFonts w:ascii="Times New Roman;sans-serif" w:hAnsi="Times New Roman;sans-serif"/>
          <w:b w:val="false"/>
          <w:color w:val="000000"/>
          <w:sz w:val="24"/>
        </w:rPr>
        <w:t xml:space="preserve">means, with respect to any Person, any obligation to pay or perform under any Swap.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Taxes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13.8(a)</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Loan</w:t>
      </w:r>
      <w:r>
        <w:rPr>
          <w:color w:val="000000"/>
        </w:rPr>
        <w:t xml:space="preserve">” </w:t>
      </w:r>
      <w:r>
        <w:rPr>
          <w:rFonts w:ascii="Times New Roman;sans-serif" w:hAnsi="Times New Roman;sans-serif"/>
          <w:b w:val="false"/>
          <w:color w:val="000000"/>
          <w:sz w:val="24"/>
        </w:rPr>
        <w:t xml:space="preserve">shall mean a Loan made pursuant to </w:t>
      </w:r>
      <w:r>
        <w:rPr>
          <w:rFonts w:ascii="Times New Roman;sans-serif" w:hAnsi="Times New Roman;sans-serif"/>
          <w:b w:val="false"/>
          <w:color w:val="000000"/>
          <w:sz w:val="24"/>
          <w:u w:val="single"/>
        </w:rPr>
        <w:t>Section 2.1</w:t>
      </w:r>
      <w:r>
        <w:rPr>
          <w:rFonts w:ascii="Times New Roman;sans-serif" w:hAnsi="Times New Roman;sans-serif"/>
          <w:b w:val="false"/>
          <w:color w:val="000000"/>
          <w:sz w:val="24"/>
        </w:rPr>
        <w:t>, including the Closing Date Loans and the Delayed Draw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SOFR</w:t>
      </w:r>
      <w:r>
        <w:rPr>
          <w:color w:val="000000"/>
        </w:rPr>
        <w:t xml:space="preserve">” </w:t>
      </w:r>
      <w:r>
        <w:rPr>
          <w:rFonts w:ascii="Times New Roman;sans-serif" w:hAnsi="Times New Roman;sans-serif"/>
          <w:b w:val="false"/>
          <w:color w:val="000000"/>
          <w:sz w:val="24"/>
        </w:rPr>
        <w:t>means: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for any calculation with respect to a SOFR Loan, the Term SOFR Reference Rate for a tenor comparable to the applicable Interest Period on the day (such day, the “</w:t>
      </w:r>
      <w:r>
        <w:rPr>
          <w:rFonts w:ascii="Times New Roman;sans-serif" w:hAnsi="Times New Roman;sans-serif"/>
          <w:b/>
          <w:color w:val="000000"/>
          <w:sz w:val="24"/>
        </w:rPr>
        <w:t>Periodic Term SOFR Determination Day</w:t>
      </w:r>
      <w:r>
        <w:rPr>
          <w:color w:val="000000"/>
        </w:rPr>
        <w:t>”</w:t>
      </w:r>
      <w:r>
        <w:rPr>
          <w:rFonts w:ascii="Times New Roman;sans-serif" w:hAnsi="Times New Roman;sans-serif"/>
          <w:b w:val="false"/>
          <w:color w:val="000000"/>
          <w:sz w:val="24"/>
        </w:rPr>
        <w:t xml:space="preserve">) that is two (2) U.S. Government Securities Business Days prior to the first day of such Interest Period, as such rate is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    for any calculation with respect to a Base Rate Loan on any day, the Term SOFR Reference Rate for a tenor of one month on the day (such day, the “</w:t>
      </w:r>
      <w:r>
        <w:rPr>
          <w:rFonts w:ascii="Times New Roman;sans-serif" w:hAnsi="Times New Roman;sans-serif"/>
          <w:b w:val="false"/>
          <w:color w:val="000000"/>
          <w:sz w:val="24"/>
          <w:u w:val="single"/>
        </w:rPr>
        <w:t>Base Rate Term SOFR Determination Day</w:t>
      </w:r>
      <w:r>
        <w:rPr>
          <w:color w:val="000000"/>
        </w:rPr>
        <w:t>”</w:t>
      </w:r>
      <w:r>
        <w:rPr>
          <w:rFonts w:ascii="Times New Roman;sans-serif" w:hAnsi="Times New Roman;sans-serif"/>
          <w:b w:val="false"/>
          <w:color w:val="000000"/>
          <w:sz w:val="24"/>
        </w:rPr>
        <w:t xml:space="preserve">) that is two (2) U.S. Government Securities Business Days prior to such day, as such rate is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as of 5:00 p.m. (New York City time) on any Base Rate Term SOFR Determination Day the Term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55345"/>
                <wp:effectExtent l="0" t="0" r="0" b="0"/>
                <wp:wrapNone/>
                <wp:docPr id="107" name="Frame10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Term SOFR determined as provided above shall ever be less than the Floor, then Term SOFR shall be deemed to be the Floor.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SOFR Administrator</w:t>
      </w:r>
      <w:r>
        <w:rPr>
          <w:color w:val="000000"/>
        </w:rPr>
        <w:t xml:space="preserve">” </w:t>
      </w:r>
      <w:r>
        <w:rPr>
          <w:rFonts w:ascii="Times New Roman;sans-serif" w:hAnsi="Times New Roman;sans-serif"/>
          <w:b w:val="false"/>
          <w:color w:val="000000"/>
          <w:sz w:val="24"/>
        </w:rPr>
        <w:t>shall mean the CME Group Benchmark Administration Limited (CBA) (or a successor administrator of the Term SOFR Reference Rate selected by Requisite Lenders in their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SOFR Loan</w:t>
      </w:r>
      <w:r>
        <w:rPr>
          <w:color w:val="000000"/>
        </w:rPr>
        <w:t xml:space="preserve">” </w:t>
      </w:r>
      <w:r>
        <w:rPr>
          <w:rFonts w:ascii="Times New Roman;sans-serif" w:hAnsi="Times New Roman;sans-serif"/>
          <w:b w:val="false"/>
          <w:color w:val="000000"/>
          <w:sz w:val="24"/>
        </w:rPr>
        <w:t>means any Term Loan during such time as interest thereon accrues at a rate of interest based upon Term SOFR, other than pursuant to clause (c) of the definition of Base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 SOFR Reference Rate</w:t>
      </w:r>
      <w:r>
        <w:rPr>
          <w:color w:val="000000"/>
        </w:rPr>
        <w:t xml:space="preserve">” </w:t>
      </w:r>
      <w:r>
        <w:rPr>
          <w:rFonts w:ascii="Times New Roman;sans-serif" w:hAnsi="Times New Roman;sans-serif"/>
          <w:b w:val="false"/>
          <w:color w:val="000000"/>
          <w:sz w:val="24"/>
        </w:rPr>
        <w:t>means the forward-looking term rate based on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Termination Date</w:t>
      </w:r>
      <w:r>
        <w:rPr>
          <w:color w:val="000000"/>
        </w:rPr>
        <w:t xml:space="preserve">” </w:t>
      </w:r>
      <w:r>
        <w:rPr>
          <w:rFonts w:ascii="Times New Roman;sans-serif" w:hAnsi="Times New Roman;sans-serif"/>
          <w:b w:val="false"/>
          <w:color w:val="000000"/>
          <w:sz w:val="24"/>
        </w:rPr>
        <w:t>shall mean the first date on which (i) all Commitments have expired or terminated and (ii) the principal of, and interest on, each Loan and all fees, expenses and other Obligations (other than Secured Swap Obligations and indemnity obligations under the Transaction Documents that are not then due and payable or for which any events or claims that would give rise thereto are not then pending) have been paid in full in cash.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Threshold Amount</w:t>
      </w:r>
      <w:r>
        <w:rPr>
          <w:color w:val="000000"/>
        </w:rPr>
        <w:t xml:space="preserve">” </w:t>
      </w:r>
      <w:r>
        <w:rPr>
          <w:rFonts w:ascii="Times New Roman;sans-serif" w:hAnsi="Times New Roman;sans-serif"/>
          <w:b w:val="false"/>
          <w:color w:val="000000"/>
          <w:sz w:val="24"/>
        </w:rPr>
        <w:t>shall mean $5,000,000.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Total Outstandings</w:t>
      </w:r>
      <w:r>
        <w:rPr>
          <w:color w:val="000000"/>
        </w:rPr>
        <w:t xml:space="preserve">” </w:t>
      </w:r>
      <w:r>
        <w:rPr>
          <w:rFonts w:ascii="Times New Roman;sans-serif" w:hAnsi="Times New Roman;sans-serif"/>
          <w:b w:val="false"/>
          <w:color w:val="000000"/>
          <w:sz w:val="24"/>
        </w:rPr>
        <w:t xml:space="preserve">shall mean, as of any date of determination, the aggregate outstanding principal amount of all Term Loans as of such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Transaction Costs</w:t>
      </w:r>
      <w:r>
        <w:rPr>
          <w:color w:val="000000"/>
        </w:rPr>
        <w:t xml:space="preserve">” </w:t>
      </w:r>
      <w:r>
        <w:rPr>
          <w:rFonts w:ascii="Times New Roman;sans-serif" w:hAnsi="Times New Roman;sans-serif"/>
          <w:b w:val="false"/>
          <w:color w:val="000000"/>
          <w:sz w:val="24"/>
        </w:rPr>
        <w:t xml:space="preserve">shall mean the fees, premiums, expenses and other transaction costs payable or otherwise borne by any Parent Company, the Borrower and/or their respective subsidiaries in connection with the Transactions and the other transactions contemplated hereby (including, without limitation, any Fiber Network Assets Transfers from time to time on and after the Closing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Transaction Documents</w:t>
      </w:r>
      <w:r>
        <w:rPr>
          <w:color w:val="000000"/>
        </w:rPr>
        <w:t xml:space="preserve">” </w:t>
      </w:r>
      <w:r>
        <w:rPr>
          <w:rFonts w:ascii="Times New Roman;sans-serif" w:hAnsi="Times New Roman;sans-serif"/>
          <w:b w:val="false"/>
          <w:color w:val="000000"/>
          <w:sz w:val="24"/>
        </w:rPr>
        <w:t xml:space="preserve">shall mean, collectively and each individually, (i) each of the Closing Date Transaction Documents, (ii) each (if any) of the Notes, Security Documents, Account Control Agreements or Interest Rate Protection Agreement executed and delivered on or after the Closing Date, (iii) any IRU Agreements executed after the Closing Date, (iv) the Risk Retention Letter and (v) any other agreements, documents, instruments and certificates executed or delivered by a Loan Party on or after the Closing Date in connection with any of the foregoing and designated by the Borrower and the Administrative Agent as a “Transaction Document.”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55345"/>
                <wp:effectExtent l="0" t="0" r="0" b="0"/>
                <wp:wrapNone/>
                <wp:docPr id="108" name="Frame10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reference in this Agreement or any other Transaction Document to a Transaction Document shall include all appendices, exhibits and/or schedules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Transactions</w:t>
      </w:r>
      <w:r>
        <w:rPr>
          <w:color w:val="000000"/>
        </w:rPr>
        <w:t xml:space="preserve">” </w:t>
      </w:r>
      <w:r>
        <w:rPr>
          <w:rFonts w:ascii="Times New Roman;sans-serif" w:hAnsi="Times New Roman;sans-serif"/>
          <w:b w:val="false"/>
          <w:color w:val="000000"/>
          <w:sz w:val="24"/>
        </w:rPr>
        <w:t xml:space="preserve">shall mean, collectively and individually, (a) the Loan Parties’ entry into this Agreement and the borrowing of the Loans and use of proceeds thereof, (b) the consummation of the UnSub Designations (as defined in </w:t>
      </w:r>
      <w:r>
        <w:rPr>
          <w:rFonts w:ascii="Times New Roman;sans-serif" w:hAnsi="Times New Roman;sans-serif"/>
          <w:b w:val="false"/>
          <w:color w:val="000000"/>
          <w:sz w:val="24"/>
          <w:u w:val="single"/>
        </w:rPr>
        <w:t>Section 4.1(l)</w:t>
      </w:r>
      <w:r>
        <w:rPr>
          <w:rFonts w:ascii="Times New Roman;sans-serif" w:hAnsi="Times New Roman;sans-serif"/>
          <w:b w:val="false"/>
          <w:color w:val="000000"/>
          <w:sz w:val="24"/>
        </w:rPr>
        <w:t xml:space="preserve">), (c) the consummation of the Closing Date Fiber Network Assets Transfers (as defined in </w:t>
      </w:r>
      <w:r>
        <w:rPr>
          <w:rFonts w:ascii="Times New Roman;sans-serif" w:hAnsi="Times New Roman;sans-serif"/>
          <w:b w:val="false"/>
          <w:color w:val="000000"/>
          <w:sz w:val="24"/>
          <w:u w:val="single"/>
        </w:rPr>
        <w:t>Section 4.1(m)</w:t>
      </w:r>
      <w:r>
        <w:rPr>
          <w:rFonts w:ascii="Times New Roman;sans-serif" w:hAnsi="Times New Roman;sans-serif"/>
          <w:b w:val="false"/>
          <w:color w:val="000000"/>
          <w:sz w:val="24"/>
        </w:rPr>
        <w:t>), (d) the execution and delivery of the Management Agreement and each other Transaction Document; and (e) the payment of all Transaction Costs (including original issue discount or upfront fees).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Trust Accounts</w:t>
      </w:r>
      <w:r>
        <w:rPr>
          <w:color w:val="000000"/>
        </w:rPr>
        <w:t xml:space="preserve">” </w:t>
      </w:r>
      <w:r>
        <w:rPr>
          <w:rFonts w:ascii="Times New Roman;sans-serif" w:hAnsi="Times New Roman;sans-serif"/>
          <w:b w:val="false"/>
          <w:color w:val="000000"/>
          <w:sz w:val="24"/>
        </w:rPr>
        <w:t>shall mean the Interest Reserve Account, Network Expense and Insurance Reserve Account and Facility Collection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Type</w:t>
      </w:r>
      <w:r>
        <w:rPr>
          <w:color w:val="000000"/>
        </w:rPr>
        <w:t xml:space="preserve">” </w:t>
      </w:r>
      <w:r>
        <w:rPr>
          <w:rFonts w:ascii="Times New Roman;sans-serif" w:hAnsi="Times New Roman;sans-serif"/>
          <w:b w:val="false"/>
          <w:color w:val="000000"/>
          <w:sz w:val="24"/>
        </w:rPr>
        <w:t>shall mean whether a Loan is a SOFR Loan or a Base Rate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UCC</w:t>
      </w:r>
      <w:r>
        <w:rPr>
          <w:color w:val="000000"/>
        </w:rPr>
        <w:t xml:space="preserve">” </w:t>
      </w:r>
      <w:r>
        <w:rPr>
          <w:rFonts w:ascii="Times New Roman;sans-serif" w:hAnsi="Times New Roman;sans-serif"/>
          <w:b w:val="false"/>
          <w:color w:val="000000"/>
          <w:sz w:val="24"/>
        </w:rPr>
        <w:t xml:space="preserve">shall mean the Uniform Commercial Code as in effect in the State of New York;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perfection or the effect of perfection or non-perfection or the priority of any security interest in any Collateral is governed by the Uniform Commercial Code as in effect in a jurisdiction other than the State of New York, “UCC” shall mean the Uniform Commercial Code as in effect from time to time in such other jurisdiction for purposes of the provisions hereof relating to such perfection, effect of perfection or non-perfection or priority.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Undisclosed Administration</w:t>
      </w:r>
      <w:r>
        <w:rPr>
          <w:color w:val="000000"/>
        </w:rPr>
        <w:t xml:space="preserve">” </w:t>
      </w:r>
      <w:r>
        <w:rPr>
          <w:rFonts w:ascii="Times New Roman;sans-serif" w:hAnsi="Times New Roman;sans-serif"/>
          <w:b w:val="false"/>
          <w:color w:val="000000"/>
          <w:sz w:val="24"/>
        </w:rPr>
        <w:t>means, in relation to a Lender or its direct or indirect parent company that is a solvent person,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United States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US</w:t>
      </w:r>
      <w:r>
        <w:rPr>
          <w:color w:val="000000"/>
        </w:rPr>
        <w:t xml:space="preserve">” </w:t>
      </w:r>
      <w:r>
        <w:rPr>
          <w:rFonts w:ascii="Times New Roman;sans-serif" w:hAnsi="Times New Roman;sans-serif"/>
          <w:b w:val="false"/>
          <w:color w:val="000000"/>
          <w:sz w:val="24"/>
        </w:rPr>
        <w:t>shall each mean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w:t>
      </w:r>
      <w:r>
        <w:rPr>
          <w:color w:val="000000"/>
        </w:rPr>
        <w:t xml:space="preserve">” </w:t>
      </w:r>
      <w:r>
        <w:rPr>
          <w:rFonts w:ascii="Times New Roman;sans-serif" w:hAnsi="Times New Roman;sans-serif"/>
          <w:b w:val="false"/>
          <w:color w:val="000000"/>
          <w:sz w:val="24"/>
        </w:rPr>
        <w:t xml:space="preserve">means, collectively, Uniti OpCo Parent, together with its direct and indirect Subsidiaries.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Fiber ABS Parent</w:t>
      </w:r>
      <w:r>
        <w:rPr>
          <w:color w:val="000000"/>
        </w:rPr>
        <w:t xml:space="preserve">” </w:t>
      </w:r>
      <w:r>
        <w:rPr>
          <w:rFonts w:ascii="Times New Roman;sans-serif" w:hAnsi="Times New Roman;sans-serif"/>
          <w:b w:val="false"/>
          <w:color w:val="000000"/>
          <w:sz w:val="24"/>
        </w:rPr>
        <w:t>means Uniti Fiber ABS Parent LLC, a Delaware limited liability company, a newly created bankruptcy-remote special purpose entity and a direct Wholly-Owned Subsidiary of Uniti Fiber OpCo Holdings as of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Fiber Business</w:t>
      </w:r>
      <w:r>
        <w:rPr>
          <w:color w:val="000000"/>
        </w:rPr>
        <w:t xml:space="preserve">” </w:t>
      </w:r>
      <w:r>
        <w:rPr>
          <w:rFonts w:ascii="Times New Roman;sans-serif" w:hAnsi="Times New Roman;sans-serif"/>
          <w:b w:val="false"/>
          <w:color w:val="000000"/>
          <w:sz w:val="24"/>
        </w:rPr>
        <w:t>means Uniti’s fiber-based services relating to the Customer Contracts, including, without limitation, with respect to the fiber-based services included in the Gulf Coast region relating to the Customer Contracts.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Fiber Business Assets</w:t>
      </w:r>
      <w:r>
        <w:rPr>
          <w:color w:val="000000"/>
        </w:rPr>
        <w:t xml:space="preserve">” </w:t>
      </w:r>
      <w:r>
        <w:rPr>
          <w:rFonts w:ascii="Times New Roman;sans-serif" w:hAnsi="Times New Roman;sans-serif"/>
          <w:b w:val="false"/>
          <w:color w:val="000000"/>
          <w:sz w:val="24"/>
        </w:rPr>
        <w:t xml:space="preserve">means, individually and collectively, the Fiber Network Assets, the related Customer Contracts and Customer Accounts, any IRU Property (as defined in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55345"/>
                <wp:effectExtent l="0" t="0" r="0" b="0"/>
                <wp:wrapNone/>
                <wp:docPr id="109" name="Frame10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IRU Agreements) and/or other assets relating to the Uniti Fiber Business,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Note Indentures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4.1(l)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Fiber OpCo Holdings</w:t>
      </w:r>
      <w:r>
        <w:rPr>
          <w:color w:val="000000"/>
        </w:rPr>
        <w:t xml:space="preserve">” </w:t>
      </w:r>
      <w:r>
        <w:rPr>
          <w:rFonts w:ascii="Times New Roman;sans-serif" w:hAnsi="Times New Roman;sans-serif"/>
          <w:b w:val="false"/>
          <w:color w:val="000000"/>
          <w:sz w:val="24"/>
        </w:rPr>
        <w:t>means Uniti Fiber Holdings Inc., a Delaware corporation and indirect subsidiary of Uniti OpCo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OpCo</w:t>
      </w:r>
      <w:r>
        <w:rPr>
          <w:color w:val="000000"/>
        </w:rPr>
        <w:t xml:space="preserve">” </w:t>
      </w:r>
      <w:r>
        <w:rPr>
          <w:rFonts w:ascii="Times New Roman;sans-serif" w:hAnsi="Times New Roman;sans-serif"/>
          <w:b w:val="false"/>
          <w:color w:val="000000"/>
          <w:sz w:val="24"/>
        </w:rPr>
        <w:t>means Uniti Fiber OpCo Holdings and/or any other applicable Affiliate thereof (other than Uniti Fiber ABS Parent or any direct or indirect Subsidiary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OpCo Credit Agreement</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4.1(l)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Uniti OpCo Parent</w:t>
      </w:r>
      <w:r>
        <w:rPr>
          <w:color w:val="000000"/>
        </w:rPr>
        <w:t xml:space="preserve">” </w:t>
      </w:r>
      <w:r>
        <w:rPr>
          <w:rFonts w:ascii="Times New Roman;sans-serif" w:hAnsi="Times New Roman;sans-serif"/>
          <w:b w:val="false"/>
          <w:color w:val="000000"/>
          <w:sz w:val="24"/>
        </w:rPr>
        <w:t>means Uniti Group Inc. (f/k/a Communications Sales &amp; Leasing, Inc.), a Maryland corporation.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UnSub Designations</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4.1(l)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Government Securities Business Day</w:t>
      </w:r>
      <w:r>
        <w:rPr>
          <w:color w:val="000000"/>
        </w:rPr>
        <w:t xml:space="preserve">” </w:t>
      </w:r>
      <w:r>
        <w:rPr>
          <w:rFonts w:ascii="Times New Roman;sans-serif" w:hAnsi="Times New Roman;sans-serif"/>
          <w:b w:val="false"/>
          <w:color w:val="000000"/>
          <w:sz w:val="24"/>
        </w:rPr>
        <w:t>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Lender</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13.8(f)</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Subsidiary</w:t>
      </w:r>
      <w:r>
        <w:rPr>
          <w:color w:val="000000"/>
        </w:rPr>
        <w:t xml:space="preserve">” </w:t>
      </w:r>
      <w:r>
        <w:rPr>
          <w:rFonts w:ascii="Times New Roman;sans-serif" w:hAnsi="Times New Roman;sans-serif"/>
          <w:b w:val="false"/>
          <w:color w:val="000000"/>
          <w:sz w:val="24"/>
        </w:rPr>
        <w:t>means any Subsidiary incorporated or organized under the laws of the U.S., any state thereof or the District of Columbia.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Verification Agent</w:t>
      </w:r>
      <w:r>
        <w:rPr>
          <w:color w:val="000000"/>
        </w:rPr>
        <w:t xml:space="preserve">” </w:t>
      </w:r>
      <w:r>
        <w:rPr>
          <w:rFonts w:ascii="Times New Roman;sans-serif" w:hAnsi="Times New Roman;sans-serif"/>
          <w:b w:val="false"/>
          <w:color w:val="000000"/>
          <w:sz w:val="24"/>
        </w:rPr>
        <w:t xml:space="preserve">shall have the meaning assigned to it in </w:t>
      </w:r>
      <w:r>
        <w:rPr>
          <w:rFonts w:ascii="Times New Roman;sans-serif" w:hAnsi="Times New Roman;sans-serif"/>
          <w:b w:val="false"/>
          <w:color w:val="000000"/>
          <w:sz w:val="24"/>
          <w:u w:val="single"/>
        </w:rPr>
        <w:t>Section 2.14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Verification Agent Fee</w:t>
      </w:r>
      <w:r>
        <w:rPr>
          <w:color w:val="000000"/>
        </w:rPr>
        <w:t xml:space="preserve">” </w:t>
      </w:r>
      <w:r>
        <w:rPr>
          <w:rFonts w:ascii="Times New Roman;sans-serif" w:hAnsi="Times New Roman;sans-serif"/>
          <w:b w:val="false"/>
          <w:color w:val="000000"/>
          <w:sz w:val="24"/>
        </w:rPr>
        <w:t>shall mean the fees, expenses and indemnities to be paid to the Verification Agent pursuant to a written agreement between the Verification Agent and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Wholly-Owned Subsidiary</w:t>
      </w:r>
      <w:r>
        <w:rPr>
          <w:color w:val="000000"/>
        </w:rPr>
        <w:t xml:space="preserve">” </w:t>
      </w:r>
      <w:r>
        <w:rPr>
          <w:rFonts w:ascii="Times New Roman;sans-serif" w:hAnsi="Times New Roman;sans-serif"/>
          <w:b w:val="false"/>
          <w:color w:val="000000"/>
          <w:sz w:val="24"/>
        </w:rPr>
        <w:t>of any Person means a Subsidiary of such Person, 100% of the outstanding Equity Interests of which (other than directors’ qualifying shares and shares required to be held by foreign nationals) shall at the time be owned by such Person or by one or more Wholly-Owned Subsidiaries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Wilmington</w:t>
      </w:r>
      <w:r>
        <w:rPr>
          <w:color w:val="000000"/>
        </w:rPr>
        <w:t xml:space="preserve">” </w:t>
      </w:r>
      <w:r>
        <w:rPr>
          <w:rFonts w:ascii="Times New Roman;sans-serif" w:hAnsi="Times New Roman;sans-serif"/>
          <w:b w:val="false"/>
          <w:color w:val="000000"/>
          <w:sz w:val="24"/>
        </w:rPr>
        <w:t>shall have the meaning assigned to it in the introductory paragraph 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1.2    Certain Terms, Interpretation, etc.</w:t>
      </w:r>
      <w:r>
        <w:rPr>
          <w:color w:val="000000"/>
        </w:rPr>
        <w:t xml:space="preserve">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All capitalized terms used which are not specifically defined shall have the meanings provided in Article 9 of the UCC in effect on the date hereof to the extent the same are used or defined therein. Unless otherwise specified, as used in the Transaction Documents or in any certificate, report, instrument or other document made or delivered pursuant to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55345"/>
                <wp:effectExtent l="0" t="0" r="0" b="0"/>
                <wp:wrapNone/>
                <wp:docPr id="110" name="Frame11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Transaction Documents, all accounting terms not defined in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or elsewhere in this Agreement shall have the meanings given to such terms in and shall be interpreted in accordance with GAAP.</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Any of the terms defined herein may, unless the context otherwise requires, be used in the singular or the plural, depending on the reference. References herein to any Section, Annex, Schedule or Exhibit shall be to a Section, an Annex,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Whenever the context may require, any pronoun shall include the corresponding masculine, feminine and neuter forms. The word “will” shall be construed to have the same meaning and effect as the word “shall.” The words “ordinary course of business” or “ordinary course” shall, with respect to any Person, be deemed to refer to items or actions that are consistent with practice in, or norms of, the industry in which such Person operates or such Person’s past practice (in each case, as determined by Borrower in good faith). Unless the context requires otherwise (i) any definition of, or reference to, any agreement, instrument or other document herein or in any Transaction Document shall be construed as referring to such agreement, instrument or other document (in each, together with all schedules, exhibits, annexes and other attachments thereto)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expressly set forth herein), (ii) any reference to any Applicable Law herein or in any other Transaction Document shall include all statutory and regulatory provisions consolidating, amending, replacing, supplementing, superseding or interpreting such Applicable Law, (iii) any reference herein or in any other Transaction Document to any Person shall be construed to include such Person’s successors and permitted assigns, (iv) the words “herein,” “hereof” and “hereunder,” and words of similar import, when used in any Transaction Document, shall be construed to refer to such Transaction Document in its entirety and not to any particular provision hereof, (v) in the computation of periods of time herein or in any other Transaction Document from a specified date to a later specified date, the word “from” means “from and including”, the words “to” and “until” mean “to but excluding” and the word “through” means “to and including”, (vi) the words “asset” and “property”, when used herein or in any other Transaction Document shall be construed to have the same meaning and effect and to refer to any and all tangible and intangible assets and properties, including cash, securities, accounts and contract rights, (vii) the words “permitted” shall be construed to also refer to actions or undertakings that are “not prohibited”, (viii) any reference to the end date for any fiscal quarter or fiscal year shall mean the date on or around such specified date on which the applicable period actually ends (as determined by Borrower in good faith), (ix) the fair market value of any asset or property shall be determined by Borrower in good faith, (x) any determination as to whether an event or change has caused or evidenced, or would reasonably be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55345"/>
                <wp:effectExtent l="0" t="0" r="0" b="0"/>
                <wp:wrapNone/>
                <wp:docPr id="111" name="Frame11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expected to cause or evidence a Material Adverse Effect shall be made by Borrower in good faith, (xi) the word “or” shall be construed to be not exclusive, (xii) in the case of any agreement, document, instrument, matter or other item that is required under the terms of this Agreement or any other Transaction Document to be consented or agreed to, approved by, determined by, selected by, or acceptable or satisfactory to, an Agent “acting at the direction of the Requisite Lenders” (or words of similar import) (each, an “</w:t>
      </w:r>
      <w:r>
        <w:rPr>
          <w:rFonts w:ascii="Times New Roman;sans-serif" w:hAnsi="Times New Roman;sans-serif"/>
          <w:b/>
          <w:color w:val="000000"/>
          <w:sz w:val="24"/>
        </w:rPr>
        <w:t>Agent Directed Approval Items</w:t>
      </w:r>
      <w:r>
        <w:rPr>
          <w:color w:val="000000"/>
        </w:rPr>
        <w:t>”</w:t>
      </w:r>
      <w:r>
        <w:rPr>
          <w:rFonts w:ascii="Times New Roman;sans-serif" w:hAnsi="Times New Roman;sans-serif"/>
          <w:b w:val="false"/>
          <w:color w:val="000000"/>
          <w:sz w:val="24"/>
        </w:rPr>
        <w:t>), such Agent shall, if requested by the Borrower in writing (which may be via email), promptly (and, in any event, within one (1) Business Day after receipt of such request from the Borrower) provide notice of such Agent Directed Approval Item to all the Lenders and (xiii) unless expressly stated to the contrary, any determination of reasonableness (including as to whether something is reasonable or unreasonable, or whether a Person has acted reasonably or unreasonable) hereunder or under any other Transaction Document shall be made by the Borrower in good faith.</w:t>
      </w:r>
    </w:p>
    <w:p>
      <w:pPr>
        <w:pStyle w:val="TextBody"/>
        <w:bidi w:val="0"/>
        <w:spacing w:lineRule="auto" w:line="288" w:before="0" w:after="240"/>
        <w:ind w:left="0" w:right="0" w:firstLine="720"/>
        <w:jc w:val="both"/>
        <w:rPr/>
      </w:pPr>
      <w:r>
        <w:rPr>
          <w:rFonts w:ascii="Times New Roman;sans-serif" w:hAnsi="Times New Roman;sans-serif"/>
          <w:b/>
          <w:color w:val="000000"/>
          <w:sz w:val="24"/>
        </w:rPr>
        <w:t>1.3    Rates</w:t>
      </w:r>
      <w:r>
        <w:rPr>
          <w:rFonts w:ascii="Times New Roman;sans-serif" w:hAnsi="Times New Roman;sans-serif"/>
          <w:b w:val="false"/>
          <w:color w:val="000000"/>
          <w:sz w:val="24"/>
        </w:rPr>
        <w:t>. The Administrative Agent does not warrant or accept responsibility for, and shall not have any liability with respect to (a) the continuation of, administration of, submission of, calculation of or any other matter related to the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Term SOFR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Base Rate,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the Term SOFR Reference Rate,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8" w:before="0" w:after="240"/>
        <w:ind w:left="0" w:right="0" w:firstLine="720"/>
        <w:jc w:val="both"/>
        <w:rPr/>
      </w:pPr>
      <w:r>
        <w:rPr>
          <w:rFonts w:ascii="Times New Roman;sans-serif" w:hAnsi="Times New Roman;sans-serif"/>
          <w:b/>
          <w:color w:val="000000"/>
          <w:sz w:val="24"/>
        </w:rPr>
        <w:t>1.4    Pro Forma Calculations</w:t>
      </w:r>
      <w:r>
        <w:rPr>
          <w:color w:val="000000"/>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Notwithstanding anything to the contrary herein, financial ratios and tests (including any determination of the Maximum Loan Amount at any time), shall be calculated in the manner prescribed by this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In the event that any Loan Party incurs, assumes, guarantees, repays, redeems, retires or extinguishes any Indebtedness subsequent to the Quarterly Calculation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55345"/>
                <wp:effectExtent l="0" t="0" r="0" b="0"/>
                <wp:wrapNone/>
                <wp:docPr id="112" name="Frame11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for which any Leverage Ratio or DSCR (each, a “</w:t>
      </w:r>
      <w:r>
        <w:rPr>
          <w:rFonts w:ascii="Times New Roman;sans-serif" w:hAnsi="Times New Roman;sans-serif"/>
          <w:b/>
          <w:color w:val="000000"/>
          <w:sz w:val="24"/>
        </w:rPr>
        <w:t>Ratio</w:t>
      </w:r>
      <w:r>
        <w:rPr>
          <w:color w:val="000000"/>
        </w:rPr>
        <w:t>”</w:t>
      </w:r>
      <w:r>
        <w:rPr>
          <w:rFonts w:ascii="Times New Roman;sans-serif" w:hAnsi="Times New Roman;sans-serif"/>
          <w:b w:val="false"/>
          <w:color w:val="000000"/>
          <w:sz w:val="24"/>
        </w:rPr>
        <w:t>) is being calculated but prior to or simultaneously with the event for which the calculation of the applicable Ratio is made (the “Ratio Calculation Date”), then the applicable Ratio shall be calculated giving pro forma effect to such incurrence, assumption, guarantee, redemption, retirement or extinguishment of Indebtedness, as if the same had occurred on the last day of the applicable Quarterly Calculation Period.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For purposes of making the computation referred to above, investments, acquisitions, dispositions, mergers, consolidations, Fiber Network Asset Transfers and Retained Collections Contributions made during the Quarterly Calculation Period or subsequent to such Quarterly Calculation Period and on or prior to or simultaneously with the Ratio Calculation Date shall be calculated on a pro forma basis in accordance with GAAP (except as set forth in the last sentence of clause (d) below) assuming that all such investments, acquisitions, dispositions, mergers, consolidations, Fiber Network Asset Transfers and Retained Collections Contributions (and the change in any associated fixed charge obligations and the change in Aggregate Annualized Run Rate Revenue resulting therefrom had occurred on the first day of the Quarterly Calculation Period. If since the beginning of such Quarterly Calculation Period any Person that subsequently became a Loan Party or was merged with or into any Loan Party since the beginning of such Quarterly Calculation Period shall have made any investment, acquisition, disposition, merger, consolidation, Fiber Network Asset Transfers and Retained Collections Contributions, in each case that would have required adjustment pursuant to this </w:t>
      </w:r>
      <w:r>
        <w:rPr>
          <w:rFonts w:ascii="Times New Roman;sans-serif" w:hAnsi="Times New Roman;sans-serif"/>
          <w:b w:val="false"/>
          <w:color w:val="000000"/>
          <w:sz w:val="24"/>
          <w:u w:val="single"/>
        </w:rPr>
        <w:t>Section 1.4</w:t>
      </w:r>
      <w:r>
        <w:rPr>
          <w:rFonts w:ascii="Times New Roman;sans-serif" w:hAnsi="Times New Roman;sans-serif"/>
          <w:b w:val="false"/>
          <w:color w:val="000000"/>
          <w:sz w:val="24"/>
        </w:rPr>
        <w:t>, then the applicable Ratio shall be calculated giving pro forma effect thereto for such Quarterly Calculation Period as if such investment, acquisition, disposition, merger, consolidation, Fiber Network Asset Transfers and Retained Collections Contributions (and the change in any associated fixed charge obligations and the change in Aggregate Annualized Run Rate Revenue resulting therefrom) had occurred at the beginning of the applicable Quarterly Calculation Period.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(d)    For purposes of making the computation referred to above, whenever pro forma effect is to be given to a transaction, the pro forma calculations shall be made in good faith by a responsible financial or accounting officer of the Borrower or the Manager on its behalf. If any Indebtedness bears a floating rate of interest and is being given pro forma effect, the interest on such Indebtedness shall be calculated as if the rate in effect on the Ratio Calculation Date had been the applicable rate for the entire Quarterly Calculation Period (taking into account any Swap Obligations or the Interest Rate Protection Agreement applicable to such Indebtedness);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in the case of repayment of any Indebtedness to the extent actual interest related thereto was included during all or any portion of the applicable Quarterly Calculation Period, the actual interest may be used for the applicable portion of such Quarterly Calculation Period and to give pro forma effect to such repayment. Interest on Indebtedness that may optionally be determined at an interest rate based upon a factor of a prime or similar rate, or other rate, shall be deemed to have been based upon the rate actually chosen, or, if none, then based upon such optional rate chosen as the Borrower may designate. </w:t>
      </w:r>
    </w:p>
    <w:p>
      <w:pPr>
        <w:pStyle w:val="TextBody"/>
        <w:bidi w:val="0"/>
        <w:spacing w:lineRule="auto" w:line="288" w:before="0" w:after="240"/>
        <w:ind w:left="0" w:right="0" w:firstLine="720"/>
        <w:jc w:val="both"/>
        <w:rPr/>
      </w:pPr>
      <w:r>
        <w:rPr>
          <w:rFonts w:ascii="Times New Roman;sans-serif" w:hAnsi="Times New Roman;sans-serif"/>
          <w:b/>
          <w:color w:val="000000"/>
          <w:sz w:val="24"/>
        </w:rPr>
        <w:t>1.5    Timing of Payment and Performance</w:t>
      </w:r>
      <w:r>
        <w:rPr>
          <w:rFonts w:ascii="Times New Roman;sans-serif" w:hAnsi="Times New Roman;sans-serif"/>
          <w:b w:val="false"/>
          <w:color w:val="000000"/>
          <w:sz w:val="24"/>
        </w:rPr>
        <w:t xml:space="preserve">. When payment of any obligation or the performance of any covenant, duty or obligation is stated to be due or required on a day which is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55345"/>
                <wp:effectExtent l="0" t="0" r="0" b="0"/>
                <wp:wrapNone/>
                <wp:docPr id="113" name="Frame11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spacing w:lineRule="auto" w:line="288" w:before="0" w:after="480"/>
        <w:ind w:left="0" w:right="0" w:firstLine="720"/>
        <w:jc w:val="both"/>
        <w:rPr/>
      </w:pPr>
      <w:r>
        <w:rPr>
          <w:rFonts w:ascii="Times New Roman;sans-serif" w:hAnsi="Times New Roman;sans-serif"/>
          <w:b/>
          <w:color w:val="000000"/>
          <w:sz w:val="24"/>
        </w:rPr>
        <w:t>1.6    REIT Status</w:t>
      </w:r>
      <w:r>
        <w:rPr>
          <w:rFonts w:ascii="Times New Roman;sans-serif" w:hAnsi="Times New Roman;sans-serif"/>
          <w:b w:val="false"/>
          <w:color w:val="000000"/>
          <w:sz w:val="24"/>
        </w:rPr>
        <w:t xml:space="preserve">. Notwithstanding anything to the contrary in </w:t>
      </w:r>
      <w:r>
        <w:rPr>
          <w:rFonts w:ascii="Times New Roman;sans-serif" w:hAnsi="Times New Roman;sans-serif"/>
          <w:b w:val="false"/>
          <w:color w:val="000000"/>
          <w:sz w:val="24"/>
          <w:u w:val="single"/>
        </w:rPr>
        <w:t>Article VII</w:t>
      </w:r>
      <w:r>
        <w:rPr>
          <w:rFonts w:ascii="Times New Roman;sans-serif" w:hAnsi="Times New Roman;sans-serif"/>
          <w:b w:val="false"/>
          <w:color w:val="000000"/>
          <w:sz w:val="24"/>
        </w:rPr>
        <w:t>, Holdings, the Borrower and their respective Subsidiaries shall be permitted to take any actions as are necessary or required to maintain the treatment of Uniti Fiber OpCo Holdings as a REIT for tax purposes, subject to (other than in connection with a Permitted Reorganization) the consent of the Administrative Agent (acting at the direction of the Requisite Lenders) not to be unreasonably withheld, conditioned or delayed.</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II.    LOANS, PAYMENTS, INTEREST AND COLLATERAL</w:t>
      </w:r>
    </w:p>
    <w:p>
      <w:pPr>
        <w:pStyle w:val="TextBody"/>
        <w:bidi w:val="0"/>
        <w:spacing w:lineRule="atLeast" w:line="276" w:before="7" w:after="240"/>
        <w:ind w:left="0" w:right="0" w:firstLine="720"/>
        <w:jc w:val="both"/>
        <w:rPr/>
      </w:pPr>
      <w:r>
        <w:rPr>
          <w:rFonts w:ascii="Times New Roman;sans-serif" w:hAnsi="Times New Roman;sans-serif"/>
          <w:b/>
          <w:color w:val="000000"/>
          <w:sz w:val="24"/>
        </w:rPr>
        <w:t>2.1    Commitments; Term Loans</w:t>
      </w:r>
      <w:r>
        <w:rPr>
          <w:rFonts w:ascii="Times New Roman;sans-serif" w:hAnsi="Times New Roman;sans-serif"/>
          <w:b w:val="false"/>
          <w:color w:val="000000"/>
          <w:sz w:val="24"/>
        </w:rPr>
        <w:t xml:space="preserve">. Subject to the terms and conditions set forth herein, each Lender severally agrees to (a) provide, on the Effective Date, its Commitment to the Borrower in the amount set forth on </w:t>
      </w:r>
      <w:r>
        <w:rPr>
          <w:rFonts w:ascii="Times New Roman;sans-serif" w:hAnsi="Times New Roman;sans-serif"/>
          <w:b w:val="false"/>
          <w:color w:val="000000"/>
          <w:sz w:val="24"/>
          <w:u w:val="single"/>
        </w:rPr>
        <w:t>Annex 1</w:t>
      </w:r>
      <w:r>
        <w:rPr>
          <w:rFonts w:ascii="Times New Roman;sans-serif" w:hAnsi="Times New Roman;sans-serif"/>
          <w:b w:val="false"/>
          <w:color w:val="000000"/>
          <w:sz w:val="24"/>
        </w:rPr>
        <w:t>, subject to any adjustment or reduction thereof pursuant to the terms and conditions hereof and (b) make (i) on the Closing Date, one or more Term Loans (the “</w:t>
      </w:r>
      <w:r>
        <w:rPr>
          <w:rFonts w:ascii="Times New Roman;sans-serif" w:hAnsi="Times New Roman;sans-serif"/>
          <w:b/>
          <w:color w:val="000000"/>
          <w:sz w:val="24"/>
        </w:rPr>
        <w:t>Closing Date Loans</w:t>
      </w:r>
      <w:r>
        <w:rPr>
          <w:color w:val="000000"/>
        </w:rPr>
        <w:t>”</w:t>
      </w:r>
      <w:r>
        <w:rPr>
          <w:rFonts w:ascii="Times New Roman;sans-serif" w:hAnsi="Times New Roman;sans-serif"/>
          <w:b w:val="false"/>
          <w:color w:val="000000"/>
          <w:sz w:val="24"/>
        </w:rPr>
        <w:t>) to Borrower in Dollars in an aggregate amount not to exceed at any time the lesser of (x) such Lender’s Commitment and (y) such Lender’s Pro Rata Share of an amount equal to the Maximum Loan Amount as of such date and (ii) after the Closing Date, from time to time during the Delayed Draw Availability Period, one or more Term Loans (the “</w:t>
      </w:r>
      <w:r>
        <w:rPr>
          <w:rFonts w:ascii="Times New Roman;sans-serif" w:hAnsi="Times New Roman;sans-serif"/>
          <w:b/>
          <w:color w:val="000000"/>
          <w:sz w:val="24"/>
        </w:rPr>
        <w:t>Delayed Draw Loans</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to the Borrower in Dollars in an aggregate amount not to exceed at any time the lesser of (x) such Lender’s Commitment and (y) such Lender’s Pro Rata Share of an amount equal to the Maximum Loan Amount as of such date. Term Loans borrowed under the Facility that are repaid or prepaid may not be reborrowed. Each Lender’s Commitment shall terminate immediately and without further action (x) immediately upon the funding of any Loan (in the amount of such Loan funded) and (y) to the extent remaining after the Closing Date, at the expiration of the Delayed Draw Availability Period.</w:t>
      </w:r>
    </w:p>
    <w:p>
      <w:pPr>
        <w:pStyle w:val="TextBody"/>
        <w:bidi w:val="0"/>
        <w:spacing w:lineRule="auto" w:line="288" w:before="0" w:after="240"/>
        <w:ind w:left="0" w:right="0" w:firstLine="720"/>
        <w:jc w:val="both"/>
        <w:rPr/>
      </w:pPr>
      <w:r>
        <w:rPr>
          <w:rFonts w:ascii="Times New Roman;sans-serif" w:hAnsi="Times New Roman;sans-serif"/>
          <w:b/>
          <w:color w:val="000000"/>
          <w:sz w:val="24"/>
        </w:rPr>
        <w:t>2.2    Minimum Borrowing Amount</w:t>
      </w:r>
      <w:r>
        <w:rPr>
          <w:rFonts w:ascii="Times New Roman;sans-serif" w:hAnsi="Times New Roman;sans-serif"/>
          <w:b w:val="false"/>
          <w:color w:val="000000"/>
          <w:sz w:val="24"/>
        </w:rPr>
        <w:t>. The principal amount of each Term Loan shall not be less than the lesser of (i) $5,000,000 and (ii) the then-remaining aggregate amount of Commitments of all Lenders.</w:t>
      </w:r>
    </w:p>
    <w:p>
      <w:pPr>
        <w:pStyle w:val="TextBody"/>
        <w:bidi w:val="0"/>
        <w:spacing w:lineRule="auto" w:line="288" w:before="0" w:after="240"/>
        <w:ind w:left="0" w:right="0" w:firstLine="720"/>
        <w:jc w:val="both"/>
        <w:rPr/>
      </w:pPr>
      <w:r>
        <w:rPr>
          <w:rFonts w:ascii="Times New Roman;sans-serif" w:hAnsi="Times New Roman;sans-serif"/>
          <w:b/>
          <w:color w:val="000000"/>
          <w:sz w:val="24"/>
        </w:rPr>
        <w:t>2.3    Request for Term Loan</w:t>
      </w:r>
      <w:r>
        <w:rPr>
          <w:rFonts w:ascii="Times New Roman;sans-serif" w:hAnsi="Times New Roman;sans-serif"/>
          <w:b w:val="false"/>
          <w:color w:val="000000"/>
          <w:sz w:val="24"/>
        </w:rPr>
        <w:t>. (a) Each Loan shall be made on notice, given not later than (x) 12:00 p.m. (New York City time) on the third Business Day prior to the date of the proposed Loan (or one Business Day prior to the date of the Closing Date Loan) in the case of a Loan consisting of SOFR Loans or (y) 12:00 p.m. (New York City time) one (1) Business Day prior to the date of the proposed Loan in the case of a Loans consisting of Base Rate Loans, by the Borrower to the Administrative Agent, which shall give to each Lender prompt notice thereof by electronic mail. Each such notice of a Loan (a “</w:t>
      </w:r>
      <w:r>
        <w:rPr>
          <w:rFonts w:ascii="Times New Roman;sans-serif" w:hAnsi="Times New Roman;sans-serif"/>
          <w:b/>
          <w:color w:val="000000"/>
          <w:sz w:val="24"/>
        </w:rPr>
        <w:t>Borrowing Request</w:t>
      </w:r>
      <w:r>
        <w:rPr>
          <w:color w:val="000000"/>
        </w:rPr>
        <w:t>”</w:t>
      </w:r>
      <w:r>
        <w:rPr>
          <w:rFonts w:ascii="Times New Roman;sans-serif" w:hAnsi="Times New Roman;sans-serif"/>
          <w:b w:val="false"/>
          <w:color w:val="000000"/>
          <w:sz w:val="24"/>
        </w:rPr>
        <w:t xml:space="preserve">) shall be by electronic mail, in substantially the form of Exhibit B hereto, specifying therein the requested (i) date of such Loan (which shall be a Business Day), (ii) Type of Loan, (iii) aggregate amount of such Loan, (iv) wiring instructions for the Loan Account and (v) in the case of a Loan consisting of a SOFR Loan, initial Interest Period for such Loan. Each Lender shall, before 1:00 p.m.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55345"/>
                <wp:effectExtent l="0" t="0" r="0" b="0"/>
                <wp:wrapNone/>
                <wp:docPr id="114" name="Frame11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(New York City time) on the date of such Loan, make available to the Administrative Agent to the Administrative Agent’s Account, in same day funds, such Lender’s ratable portion of such Loan. After the Administrative Agent’s receipt of such funds and upon fulfillment of the applicable conditions set forth in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 xml:space="preserve">(or, in the case of the initial Loan, </w:t>
      </w:r>
      <w:r>
        <w:rPr>
          <w:rFonts w:ascii="Times New Roman;sans-serif" w:hAnsi="Times New Roman;sans-serif"/>
          <w:b w:val="false"/>
          <w:color w:val="000000"/>
          <w:sz w:val="24"/>
          <w:u w:val="single"/>
        </w:rPr>
        <w:t>Sections 4.1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4.2</w:t>
      </w:r>
      <w:r>
        <w:rPr>
          <w:rFonts w:ascii="Times New Roman;sans-serif" w:hAnsi="Times New Roman;sans-serif"/>
          <w:b w:val="false"/>
          <w:color w:val="000000"/>
          <w:sz w:val="24"/>
        </w:rPr>
        <w:t xml:space="preserve">), the Administrative Agent will make such funds received available to the Borrower in same day funds at the Loan Account.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After the Borrower delivers a Borrowing Request pursuant to </w:t>
      </w:r>
      <w:r>
        <w:rPr>
          <w:rFonts w:ascii="Times New Roman;sans-serif" w:hAnsi="Times New Roman;sans-serif"/>
          <w:b w:val="false"/>
          <w:color w:val="000000"/>
          <w:sz w:val="24"/>
          <w:u w:val="single"/>
        </w:rPr>
        <w:t>Section 2.3(a)</w:t>
      </w:r>
      <w:r>
        <w:rPr>
          <w:color w:val="000000"/>
        </w:rPr>
        <w:t xml:space="preserve"> </w:t>
      </w:r>
      <w:r>
        <w:rPr>
          <w:rFonts w:ascii="Times New Roman;sans-serif" w:hAnsi="Times New Roman;sans-serif"/>
          <w:b w:val="false"/>
          <w:color w:val="000000"/>
          <w:sz w:val="24"/>
        </w:rPr>
        <w:t>hereof, any Lender that is chartered in the United Kingdom (but not including any non-United Kingdom chartered bank with a branch located in the United Kingdom) may, not later than 2:00 p.m. (New York City time) on the date that is one (1) Business Day prior to the proposed Loan Date, deliver a written notice (a “</w:t>
      </w:r>
      <w:r>
        <w:rPr>
          <w:rFonts w:ascii="Times New Roman;sans-serif" w:hAnsi="Times New Roman;sans-serif"/>
          <w:b/>
          <w:color w:val="000000"/>
          <w:sz w:val="24"/>
        </w:rPr>
        <w:t>Delayed Funding Notice</w:t>
      </w:r>
      <w:r>
        <w:rPr>
          <w:rFonts w:ascii="Times New Roman;sans-serif" w:hAnsi="Times New Roman;sans-serif"/>
          <w:b w:val="false"/>
          <w:color w:val="000000"/>
          <w:sz w:val="24"/>
        </w:rPr>
        <w:t>,” and the date of such delivery, the “</w:t>
      </w:r>
      <w:r>
        <w:rPr>
          <w:rFonts w:ascii="Times New Roman;sans-serif" w:hAnsi="Times New Roman;sans-serif"/>
          <w:b/>
          <w:color w:val="000000"/>
          <w:sz w:val="24"/>
        </w:rPr>
        <w:t>Delayed Funding Notice Date</w:t>
      </w:r>
      <w:r>
        <w:rPr>
          <w:color w:val="000000"/>
        </w:rPr>
        <w:t>”</w:t>
      </w:r>
      <w:r>
        <w:rPr>
          <w:rFonts w:ascii="Times New Roman;sans-serif" w:hAnsi="Times New Roman;sans-serif"/>
          <w:b w:val="false"/>
          <w:color w:val="000000"/>
          <w:sz w:val="24"/>
        </w:rPr>
        <w:t>) to the Borrower and the Administrative Agent of its intention to fund the related Loan (such amount, the “</w:t>
      </w:r>
      <w:r>
        <w:rPr>
          <w:rFonts w:ascii="Times New Roman;sans-serif" w:hAnsi="Times New Roman;sans-serif"/>
          <w:b/>
          <w:color w:val="000000"/>
          <w:sz w:val="24"/>
        </w:rPr>
        <w:t>Delayed Amount</w:t>
      </w:r>
      <w:r>
        <w:rPr>
          <w:color w:val="000000"/>
        </w:rPr>
        <w:t>”</w:t>
      </w:r>
      <w:r>
        <w:rPr>
          <w:rFonts w:ascii="Times New Roman;sans-serif" w:hAnsi="Times New Roman;sans-serif"/>
          <w:b w:val="false"/>
          <w:color w:val="000000"/>
          <w:sz w:val="24"/>
        </w:rPr>
        <w:t>) on a date (the date of such funding, the “</w:t>
      </w:r>
      <w:r>
        <w:rPr>
          <w:rFonts w:ascii="Times New Roman;sans-serif" w:hAnsi="Times New Roman;sans-serif"/>
          <w:b/>
          <w:color w:val="000000"/>
          <w:sz w:val="24"/>
        </w:rPr>
        <w:t>Delayed Funding Date</w:t>
      </w:r>
      <w:r>
        <w:rPr>
          <w:color w:val="000000"/>
        </w:rPr>
        <w:t>”</w:t>
      </w:r>
      <w:r>
        <w:rPr>
          <w:rFonts w:ascii="Times New Roman;sans-serif" w:hAnsi="Times New Roman;sans-serif"/>
          <w:b w:val="false"/>
          <w:color w:val="000000"/>
          <w:sz w:val="24"/>
        </w:rPr>
        <w:t>) that is on or before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xml:space="preserve">) day following the date of such request for a Loan (or if such day is not a Business Day, then on the next succeeding Business Day) rather than on the requested Loan date (and such Lender that has provided the Delayed Funding Notice shall provide written notice to the Administrative Agent of the Delayed Funding Date by no later than 11:00 a.m. (New York City time) one Business Day prior to such Delayed Funding Date). By delivery of a Delayed Funding Notice, such Lender shall be deemed to represent and warrant that (x) charges relating to the “liquidity coverage ratio” under Basel III have been incurred on the related Lender’s interests or obligations hereunder and (y) it is seeking or has obtained a delayed funding option in transactions similar to the transactions contemplated hereby as of the date of such Delayed Funding Notice. If the conditions to any Loan described in </w:t>
      </w:r>
      <w:r>
        <w:rPr>
          <w:rFonts w:ascii="Times New Roman;sans-serif" w:hAnsi="Times New Roman;sans-serif"/>
          <w:b w:val="false"/>
          <w:color w:val="000000"/>
          <w:sz w:val="24"/>
          <w:u w:val="single"/>
        </w:rPr>
        <w:t>Section 4.2</w:t>
      </w:r>
      <w:r>
        <w:rPr>
          <w:color w:val="000000"/>
        </w:rPr>
        <w:t xml:space="preserve"> </w:t>
      </w:r>
      <w:r>
        <w:rPr>
          <w:rFonts w:ascii="Times New Roman;sans-serif" w:hAnsi="Times New Roman;sans-serif"/>
          <w:b w:val="false"/>
          <w:color w:val="000000"/>
          <w:sz w:val="24"/>
        </w:rPr>
        <w:t xml:space="preserve">are satisfied on the requested Loan date, there shall be no conditions whatsoever to the obligation of the applicable Lenders to fund the requested amount on the related Delayed Funding Date. For the avoidance of doubt, unless and until a Loan subject to a Delayed Funding Notice is actually funded by the applicable Lender, such Loan shall not be deemed to be outstanding and the portion of such Lender’s Commitment in respect of such Loan shall not be deemed to be utilized (including for purposes of calculating accrued interest on the Loans and calculating the Unused Fee);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Delayed Amount shall be included as Total Outstandings and utilization of the Commitment of the applicable Lender for purposes of determining Availability.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Unless the Administrative Agent shall have received notice from a Lender prior to the proposed date of any borrowing of a Loan that such Lender will not make available to the Administrative Agent such Lender’s share of such Loan, the Administrative Agent may assume that such Lender has made such share available on such date in accordance with prior paragraph of this Section and may, in reliance on such assumption and in its sole discretion, make available to the Borrower a corresponding amount. In such event, if a Lender has not in fact made its share of the applicable Loan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the corresponding amount to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55345"/>
                <wp:effectExtent l="0" t="0" r="0" b="0"/>
                <wp:wrapNone/>
                <wp:docPr id="115" name="Frame11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forthwith on demand. The Administrative Agent shall also be entitled to recover from such Lender or the Borrower interest on such corresponding amount, for each day from and including the date such amount is made available to the Borrowers to but excluding the date of payment to the Administrative Agent, at (i) in the case of such Lender, the greater of the Federal Funds Rate and a rate determined by the Administrative Agent in accordance with banking industry rules on interbank compensation or (ii) in the case of the Borrower, the interest rate applicable to such Loan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If such Lender pays such amount to the Administrative Agent, then such amount shall constitute such Lender’s Loan included in such borrowing.</w:t>
      </w:r>
    </w:p>
    <w:p>
      <w:pPr>
        <w:pStyle w:val="TextBody"/>
        <w:bidi w:val="0"/>
        <w:spacing w:lineRule="auto" w:line="288" w:before="0" w:after="240"/>
        <w:ind w:left="0" w:right="0" w:firstLine="720"/>
        <w:jc w:val="both"/>
        <w:rPr/>
      </w:pPr>
      <w:r>
        <w:rPr>
          <w:rFonts w:ascii="Times New Roman;sans-serif" w:hAnsi="Times New Roman;sans-serif"/>
          <w:b/>
          <w:color w:val="000000"/>
          <w:sz w:val="24"/>
        </w:rPr>
        <w:t>2.4    Register; Notes</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Each Lender shall maintain on its internal records an account or accounts evidencing the Obligations of Borrower to such Lender, including the amounts of the Term Loans made by it and each repayment and prepayment in respect thereof. Any such recordation shall be conclusive and binding on Borrower, absent manifest error;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failure to make any such recordation, or any error in such recordation, shall not affect any Lender’s Commitments or Borrower’s Obligations in respect of any applicable Term Loans; and </w:t>
      </w:r>
      <w:r>
        <w:rPr>
          <w:rFonts w:ascii="Times New Roman;sans-serif" w:hAnsi="Times New Roman;sans-serif"/>
          <w:b w:val="false"/>
          <w:color w:val="000000"/>
          <w:sz w:val="24"/>
          <w:u w:val="single"/>
        </w:rPr>
        <w:t>provided</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in the event of any inconsistency between the Register and any Lender’s records, the recordations in the Register shall govern.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The Administrative Agent, acting for this purpose as a non-fiduciary agent of Borrower, shall maintain a register for the recordation of the names and addresses of the Lenders and the Commitments and Term Loans of each Lender from time to time (the “</w:t>
      </w:r>
      <w:r>
        <w:rPr>
          <w:rFonts w:ascii="Times New Roman;sans-serif" w:hAnsi="Times New Roman;sans-serif"/>
          <w:b/>
          <w:color w:val="000000"/>
          <w:sz w:val="24"/>
        </w:rPr>
        <w:t>Register</w:t>
      </w:r>
      <w:r>
        <w:rPr>
          <w:color w:val="000000"/>
        </w:rPr>
        <w:t>”</w:t>
      </w:r>
      <w:r>
        <w:rPr>
          <w:rFonts w:ascii="Times New Roman;sans-serif" w:hAnsi="Times New Roman;sans-serif"/>
          <w:b w:val="false"/>
          <w:color w:val="000000"/>
          <w:sz w:val="24"/>
        </w:rPr>
        <w:t xml:space="preserve">). The Register shall be available for inspection by the Borrower or any Lender at any reasonable time and from time to time upon reasonable prior notice. The Administrative Agent shall record in the Register the Commitments and the Term Loans, and each repayment or prepayment in respect of the principal amount (and each payment of stated interest) of the Term Loans, and any such recordation shall be conclusive and binding on the Borrower and each Lender, absent manifest error. The Borrower hereby designates the entity serving as the Administrative Agent to serve as Borrower’s non-fiduciary agent solely for purposes of maintaining the Register as provided in this </w:t>
      </w:r>
      <w:r>
        <w:rPr>
          <w:rFonts w:ascii="Times New Roman;sans-serif" w:hAnsi="Times New Roman;sans-serif"/>
          <w:b w:val="false"/>
          <w:color w:val="000000"/>
          <w:sz w:val="24"/>
          <w:u w:val="single"/>
        </w:rPr>
        <w:t>Section 2.4(b)</w:t>
      </w:r>
      <w:r>
        <w:rPr>
          <w:rFonts w:ascii="Times New Roman;sans-serif" w:hAnsi="Times New Roman;sans-serif"/>
          <w:b w:val="false"/>
          <w:color w:val="000000"/>
          <w:sz w:val="24"/>
        </w:rPr>
        <w:t>, and the Borrower hereby agrees that, to the extent such entity serves in such capacity, the entity serving as the Administrative Agent and its officers, directors, employees, agents and Affiliates shall constitute “Indemnified Persons.”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The Borrower agrees that upon written notice by any Lender to the Borrower that a promissory note is requested by such Lender to evidence the Obligations payable to such Lender, the Borrower shall promptly execute and deliver to such Lender an appropriate promissory note or notes substantially in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note shall not be in duplication of any other outstanding Note delivered by the Borrower.</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2.5    Interest on the Term Loans.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color w:val="000000"/>
          <w:sz w:val="24"/>
          <w:u w:val="single"/>
        </w:rPr>
        <w:t>Base Rate Loans.</w:t>
      </w:r>
      <w:r>
        <w:rPr>
          <w:color w:val="000000"/>
        </w:rPr>
        <w:t xml:space="preserve"> </w:t>
      </w:r>
      <w:r>
        <w:rPr>
          <w:rFonts w:ascii="Times New Roman;sans-serif" w:hAnsi="Times New Roman;sans-serif"/>
          <w:b w:val="false"/>
          <w:color w:val="000000"/>
          <w:sz w:val="24"/>
        </w:rPr>
        <w:t xml:space="preserve">During such periods as any Loan is a Base Rate Loan, interest shall accrue on such Base Rate Loan at a rate per annum equal at all times to the sum of (A) the Base Rate in effect at such time plus (B) the Applicable Margin applicable to Base Rate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55345"/>
                <wp:effectExtent l="0" t="0" r="0" b="0"/>
                <wp:wrapNone/>
                <wp:docPr id="116" name="Frame11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Loans in effect at such time, payable in arrears on each Payment Date in an amount equal to the interest accrued on the Total Outstandings that are Base Rate Loans during each day of the most recently ended Monthly Collection Period, and on the date such Base Rate Loan shall be Converted or paid in full.</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color w:val="000000"/>
          <w:sz w:val="24"/>
          <w:u w:val="single"/>
        </w:rPr>
        <w:t>SOFR Loans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During such periods as any Loan is a SOFR Loan, interest shall accrue on such SOFR Loan at a rate per annum equal at all times during each Interest Period for such Loan to the sum of (A) Term SOFR for such Interest Period at such time for such Loan plus (B) the Applicable Margin applicable to SOFR Loans in effect at such time, payable in arrears on each Payment Date in an amount equal to the interest accrued on the Total Outstandings that are SOFR Loans during each day of the most recently ended Monthly Collection Period (for the avoidance of doubt, without any penalty or other fees owed for not paying such interest at the end of an Interest Period).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color w:val="000000"/>
          <w:sz w:val="24"/>
          <w:u w:val="single"/>
        </w:rPr>
        <w:t>Default Rate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Notwithstanding anything herein to the contrary, after the occurrence and during the continuation of any Specified Event of Default, interest on all overdue Obligations shall accrue at the applicable Default Rate to the fullest extent permitted by Applicable Law.</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color w:val="000000"/>
          <w:sz w:val="24"/>
          <w:u w:val="single"/>
        </w:rPr>
        <w:t>Computation of Interest</w:t>
      </w:r>
      <w:r>
        <w:rPr>
          <w:rFonts w:ascii="Times New Roman;sans-serif" w:hAnsi="Times New Roman;sans-serif"/>
          <w:b w:val="false"/>
          <w:color w:val="000000"/>
          <w:sz w:val="24"/>
        </w:rPr>
        <w:t>. Interest on the Term Loans and all other Obligations owing to the Lenders shall be computed on the basis of a 365-day year, and shall be charged for the actual number of days elapsed during any interest period or other accrual period.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(e)    </w:t>
      </w:r>
      <w:r>
        <w:rPr>
          <w:rFonts w:ascii="Times New Roman;sans-serif" w:hAnsi="Times New Roman;sans-serif"/>
          <w:b/>
          <w:color w:val="000000"/>
          <w:sz w:val="24"/>
          <w:u w:val="single"/>
        </w:rPr>
        <w:t>Interest Laws</w:t>
      </w:r>
      <w:r>
        <w:rPr>
          <w:rFonts w:ascii="Times New Roman;sans-serif" w:hAnsi="Times New Roman;sans-serif"/>
          <w:b w:val="false"/>
          <w:color w:val="000000"/>
          <w:sz w:val="24"/>
        </w:rPr>
        <w:t>. Notwithstanding any provision to the contrary contained herein or in the Note or the other Transaction Documents, the Borrower shall not be required to pay, and Lender shall not be permitted to collect, any amount of interest in excess of the maximum amount of interest permitted by law (the “</w:t>
      </w:r>
      <w:r>
        <w:rPr>
          <w:rFonts w:ascii="Times New Roman;sans-serif" w:hAnsi="Times New Roman;sans-serif"/>
          <w:b/>
          <w:color w:val="000000"/>
          <w:sz w:val="24"/>
        </w:rPr>
        <w:t>Excess Interest</w:t>
      </w:r>
      <w:r>
        <w:rPr>
          <w:color w:val="000000"/>
        </w:rPr>
        <w:t>”</w:t>
      </w:r>
      <w:r>
        <w:rPr>
          <w:rFonts w:ascii="Times New Roman;sans-serif" w:hAnsi="Times New Roman;sans-serif"/>
          <w:b w:val="false"/>
          <w:color w:val="000000"/>
          <w:sz w:val="24"/>
        </w:rPr>
        <w:t>). If any Excess Interest is provided for, whether in the Default Rate, through any contingency or event, or otherwise, or is determined by a court of competent jurisdiction to have been provided for herein or in the Note or in any of the other Transaction Documents, then in such event: (1) the provisions of this subsection shall govern and control; (2) the Borrower shall not be obligated to pay any Excess Interest; (3) any Excess Interest that any Lender may have received hereunder shall be, at such Lender’s option, to the fullest extent provided by applicable law: (a) applied as a credit against either or both of the outstanding principal balance of the Loan or accrued and unpaid interest thereunder (not to exceed the maximum amount permitted by law), (b) refunded to the payor thereof or (c) any combination of the foregoing; (4) the Applicable Margin provided for herein shall be automatically reduced to the maximum lawful rate allowed from time to time under applicable law (the “</w:t>
      </w:r>
      <w:r>
        <w:rPr>
          <w:rFonts w:ascii="Times New Roman;sans-serif" w:hAnsi="Times New Roman;sans-serif"/>
          <w:b/>
          <w:color w:val="000000"/>
          <w:sz w:val="24"/>
        </w:rPr>
        <w:t>Maximum Rate</w:t>
      </w:r>
      <w:r>
        <w:rPr>
          <w:color w:val="000000"/>
        </w:rPr>
        <w:t>”</w:t>
      </w:r>
      <w:r>
        <w:rPr>
          <w:rFonts w:ascii="Times New Roman;sans-serif" w:hAnsi="Times New Roman;sans-serif"/>
          <w:b w:val="false"/>
          <w:color w:val="000000"/>
          <w:sz w:val="24"/>
        </w:rPr>
        <w:t xml:space="preserve">), and this Agreement, the Note and the other Transaction Documents shall be deemed to have been and shall be, reformed and modified to reflect such reduction; and (5) the Borrower shall not have any action against any Lender for any monetary damages arising out of the payment or collection of any Excess Interest, other than arising solely from any Lender’s gross negligence or willful conduct in exercising its remedies under this </w:t>
      </w:r>
      <w:r>
        <w:rPr>
          <w:rFonts w:ascii="Times New Roman;sans-serif" w:hAnsi="Times New Roman;sans-serif"/>
          <w:b w:val="false"/>
          <w:color w:val="000000"/>
          <w:sz w:val="24"/>
          <w:u w:val="single"/>
        </w:rPr>
        <w:t>Section 2.5(e)</w:t>
      </w:r>
      <w:r>
        <w:rPr>
          <w:rFonts w:ascii="Times New Roman;sans-serif" w:hAnsi="Times New Roman;sans-serif"/>
          <w:b w:val="false"/>
          <w:color w:val="000000"/>
          <w:sz w:val="24"/>
        </w:rPr>
        <w:t xml:space="preserve">. Notwithstanding the foregoing, if for any period of time interest on any Obligation is calculated at the Maximum Rate rather than the applicable rate under the Note of any Lender, and thereafter such applicable rate becomes less than the Maximum Rate, the rate of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55345"/>
                <wp:effectExtent l="0" t="0" r="0" b="0"/>
                <wp:wrapNone/>
                <wp:docPr id="117" name="Frame11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interest payable on such Obligations shall, to the extent permitted by law, remain at the Maximum Rate until such Lender shall have received or accrued the amount of interest which such Lender would have received or accrued during such period on Obligations had the rate of interest not been limited to the Maximum Rate during such period. If the Default Rate shall be finally determined to be unlawful, then the Applicable Margin shall be applicable during any time when the Default Rate would have been applicable 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Maximum Rate is greater or lesser than the Applicable Margin, then the foregoing provisions of this paragraph shall apply.</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(f)    </w:t>
      </w:r>
      <w:r>
        <w:rPr>
          <w:rFonts w:ascii="Times New Roman;sans-serif" w:hAnsi="Times New Roman;sans-serif"/>
          <w:b/>
          <w:color w:val="000000"/>
          <w:sz w:val="24"/>
          <w:u w:val="single"/>
        </w:rPr>
        <w:t>Benchmark Replacement Conforming Changes</w:t>
      </w:r>
      <w:r>
        <w:rPr>
          <w:rFonts w:ascii="Times New Roman;sans-serif" w:hAnsi="Times New Roman;sans-serif"/>
          <w:b w:val="false"/>
          <w:color w:val="000000"/>
          <w:sz w:val="24"/>
        </w:rPr>
        <w:t>. In connection with the implementation or administration of Term SOFR or a Benchmark Replacement, Administrative Agent (acting at the direction of the Requisite Lenders) will have the right, with the consent of the Borrower, to make Benchmark Replacement Conforming Changes from time to time and, notwithstanding anything to the contrary herein or in any other Transaction Document, any amendments implementing such Benchmark Replacement Conforming Changes will become effective without requiring any further action by or consent of any other party to this Agreement or any other Transaction Document (and the Lenders hereby (i) authorize and direct the Administrative Agent to make any Benchmark Replacement Conforming Changes (and to enter into any modifications to this Agreement or other Transaction Documents implementing such Benchmark Replacement Conforming Changes) that have been consented or agreed to by the Requisite Lenders, or in respect of which the Administrative Agent has received a direction from the Requisite Lenders to implement and (ii) acknowledge and agree that the Administrative Agent shall be entitled to all of the exculpations, protections and indemnifications provided for in this Agreement in favor of the Administrative Agent in implementing any Benchmark Replacement Conforming Changes (or in entering into any modifications to this Agreement or the other Transaction Documents implementing the same) that have been consented or agreed to by the Requisite Lenders, or in respect of which the Administrative Agent has received a direction from the Requisite Lenders to implement).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(g)    </w:t>
      </w:r>
      <w:r>
        <w:rPr>
          <w:rFonts w:ascii="Times New Roman;sans-serif" w:hAnsi="Times New Roman;sans-serif"/>
          <w:b/>
          <w:color w:val="000000"/>
          <w:sz w:val="24"/>
          <w:u w:val="single"/>
        </w:rPr>
        <w:t>Benchmark Replacement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Notwithstanding anything to the contrary herein or in any other Transaction Document, if a Benchmark Transition Event and a Benchmark Replacement Date with respect thereto have occurred prior to the Reference Time in connection with any setting of the then-current Benchmark, then such Benchmark Replacement will replace the then-current Benchmark for all purposes under this Agreement and under any other Transaction Document in respect of such Benchmark setting and subsequent Benchmark settings without requiring any amendment to, or requiring any further action by or consent of any other party to, this Agreement or any other Transaction Document.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Administrative Agent will promptly notify all the parties hereto of (i) any occurrence of (A) a Benchmark Transition Event and (B) the Benchmark Replacement Date with respect thereto, (ii) the implementation of any Benchmark Replacement, and (iii) the effectiveness of any Benchmark Replacement Conforming Changes.</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55345"/>
                <wp:effectExtent l="0" t="0" r="0" b="0"/>
                <wp:wrapNone/>
                <wp:docPr id="118" name="Frame11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Any determination, decision or election that may be made by the Administrative Agent pursuant to this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the Administrative Agent’s sole discretion and without consent from any other party to this Agreement or any other Transaction Document.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Notwithstanding anything to the contrary herein or in any other Transaction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(acting at the direction of the Requisite Lenders) may, in consultation with the Borrower, modify by providing notice thereof (which may be via email) to the Borrower and the Lenders the definition of “Interest Period” (or any similar or analogous definition) for any Benchmark settings at or after such time to remove such unavailable or non-representative tenor and (ii) if a tenor that was removed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by providing notice thereof (which may be via email) to the Borrower and the Lenders the definition of “Interest Period” (or any similar or analogous definition) for all Benchmark settings at or after such time to reinstate such previously removed tenor.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Other than as expressly set forth in this Agreement, the Administrative Agent shall not be under any obligation (i) to monitor, determine or verify the unavailability or cessation of the Term SOFR Reference Rate (or any other applicable Benchmark) or whether or when there has occurred, or to give notice to any other transaction party of the occurrence of (except as directed by the Requisite Lenders), any termination date relating to the Term SOFR Reference Rate (or any other applicable Benchmark), (ii) to select determine or designate any alternative rate, or other successor or replacement benchmark index, or whether any conditions to the designation of such a rate have been satisfied, (iii) to select, determine or designate any other modifier to any alternative rate or (iv) to determine whether or what alternative rate changes are necessary or advisable, if any, in connection with any of the foregoing. The Administrative Agent shall not be liable for any inability, failure or delay on its part to perform any of its duties set forth in this Agreement as a result of the unavailability of the Term SOFR Reference Rate (or any other applicable Benchmark) and absence of a designated replacement benchmark, including as a result of any inability, delay, error or inaccuracy on the part of the Requisite Lenders in providing any direction, instruction,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55345"/>
                <wp:effectExtent l="0" t="0" r="0" b="0"/>
                <wp:wrapNone/>
                <wp:docPr id="119" name="Frame11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notice or information required or contemplated by the terms of this Agreement and reasonably required for the performance of such duties. The Administrative Agent does not warrant or accept any responsibility for, and shall not have any liability with respect to, the administration, submission or any other matter related to any alternate replacement index to the Term SOFR Reference Rate, including without limitation, whether the composition or characteristics of any such alternate replacement index to the Term SOFR Reference Rate will be similar to, or produce the same value or economic equivalence of, the Term SOFR Reference Rate or have the same volume or liquidity as did the Term SOFR Reference Rate prior to its discontinuance or unavailability.</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(h)    In no event shall the Account Bank or Verification Agent have any liability or obligation with respect to any determination of (i) the occurrence of (A) a Benchmark Transition Event and (B) the Benchmark Replacement Date with respect thereto, (ii) the implementation of any Benchmark Replacement, (iii) the effectiveness of any Benchmark Replacement Conforming Changes or (iv) any other determination, decision or election that may be made by pursuant to this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2.6    Optional Conversion of Loans</w:t>
      </w:r>
      <w:r>
        <w:rPr>
          <w:rFonts w:ascii="Times New Roman;sans-serif" w:hAnsi="Times New Roman;sans-serif"/>
          <w:b w:val="false"/>
          <w:color w:val="000000"/>
          <w:sz w:val="24"/>
        </w:rPr>
        <w:t>. The Borrower may on any Business Day, upon written notice given to the Administrative Agent in the form of an Interest Election Request not later than 11:00 A.M. (New York City time) on the third Business Day prior to the date of the proposed Conversion or continuation, (x) Convert Loans of one Type comprising the same Loan into Loans of the other Type or (y) continue Loans of one Type as a Loan of the same Type. Each such Interest Election Request shall specify (a) the date of such Conversion or continuation (which date shall be a Payment Date), (b) the Loans to be Converted or continued (and whether the resulting Loan is to be a Base Rate Loan or a SOFR Loan) and (c) if such Conversion or continuation is into SOFR Loans, the initial Interest Period for such Loan. Each Interest Election Request shall be irrevocable and binding on the Borrower. If the Borrower fails to notify the Administrative Agent that a SOFR Loan shall be Converted or continued by the end of its Interest Period, such SOFR Loan shall continue as a SOFR Loan for an Interest Period of one month.</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 xml:space="preserve">2.7    Prepayments and Repayments of the Term Loans; Commitment Reductions.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Voluntary Prepayments</w:t>
      </w:r>
      <w:r>
        <w:rPr>
          <w:rFonts w:ascii="Times New Roman;sans-serif" w:hAnsi="Times New Roman;sans-serif"/>
          <w:b w:val="false"/>
          <w:color w:val="000000"/>
          <w:sz w:val="24"/>
        </w:rPr>
        <w:t>. The Borrower may, upon prior written notice to the Administrative Agent provided to the Administrative Agent no later than 2:00 p.m. (New York City time) (x) three (3) Business Days prior to the proposed prepayment date in the case of a SOFR Loan or (y) one (1) Business Day prior to the proposed prepayment date in the case of a Base Rate Loan (which notice shall state the proposed date and aggregate principal amount of the prepayment), and if such notice is given the Borrower shall, prepay the outstanding principal amount of such Loans in whole or ratably in part, together with accrued interest to the date of such prepayment on the principal amount prepaid.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Mandatory Prepayments</w:t>
      </w:r>
      <w:r>
        <w:rPr>
          <w:rFonts w:ascii="Times New Roman;sans-serif" w:hAnsi="Times New Roman;sans-serif"/>
          <w:b w:val="false"/>
          <w:color w:val="000000"/>
          <w:sz w:val="24"/>
        </w:rPr>
        <w:t xml:space="preserve">. In the event and on each occasion that any Net Proceeds are received by the Borrower or any other Loan Party in respect of any Prepayment Event, (x) the Borrower shall furnish the Administrative Agent with written notice thereof pursuant to </w:t>
      </w:r>
      <w:r>
        <w:rPr>
          <w:rFonts w:ascii="Times New Roman;sans-serif" w:hAnsi="Times New Roman;sans-serif"/>
          <w:b w:val="false"/>
          <w:color w:val="000000"/>
          <w:sz w:val="24"/>
          <w:u w:val="single"/>
        </w:rPr>
        <w:t>Section 2.7(c)</w:t>
      </w:r>
      <w:r>
        <w:rPr>
          <w:color w:val="000000"/>
        </w:rPr>
        <w:t xml:space="preserve"> </w:t>
      </w:r>
      <w:r>
        <w:rPr>
          <w:rFonts w:ascii="Times New Roman;sans-serif" w:hAnsi="Times New Roman;sans-serif"/>
          <w:b w:val="false"/>
          <w:color w:val="000000"/>
          <w:sz w:val="24"/>
        </w:rPr>
        <w:t xml:space="preserve">and (y) within five (5) Business Days of receipt of such Net Proceeds,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55345"/>
                <wp:effectExtent l="0" t="0" r="0" b="0"/>
                <wp:wrapNone/>
                <wp:docPr id="120" name="Frame12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Borrower shall pay to the Administrative Agent, in respect of the principal of the Loans, for the ratable benefit of the Lenders: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in the case of a Prepayment Event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the definition thereof, an aggregate amount equal to 100% of such Net Proceeds;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 respect to this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xml:space="preserve">, if the Borrower or any other Loan Party invests (or commits to invest) the Net Proceeds from such Prepayment Event (or a portion thereof) within three months after receipt of such Net Proceeds by the Borrower or such other Loan Party (including pursuant to any permitted acquisition, capital expenditures, acquisition of intellectual property and/or other investments permitted hereunder), then, at the option of the Borrower, no prepayment shall be required pursuant to this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in respect of such Net Proceeds in respect of such Prepayment Event (or, the applicable portion of such Net Proceeds, if applicable) except to the extent of the amount of any such Net Proceeds therefrom that have not been so invested (or committed to be invested) by the end of such three-month period (or if committed to be so invested within such three-month period, have not been so invested within three months after the end of the initial three-month period), at which time a prepayment shall be required in an amount equal to 100% of the amount of such Net Proceeds that have not been so invested (or committed to be invested);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(x) the Borrower may elect to deem expenditures that otherwise would be permissible investments that occur prior to receipt of the Net Proceeds from such Prepayment Event to have been invested in accordance with the provisions hereof (it being agreed that such deemed expenditure shall have been made no earlier than the earliest of (A) notice of such intended Prepayment Event, (B) execution of a definitive agreement for such Prepayment Event (if applicable) and (C) consummation of such Prepayment Event) and (y) for the avoidance of doubt, during such reinvestment period, notwithstanding any further prepayment obligations arising from this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the Borrower may, in its sole discretion, utilize such Net Proceeds for purposes not otherwise prohibited by this Agreement;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in the case of a Prepayment Event described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of the definition thereof, an aggregate amount equal to 100% of the amount of such Net Proceeds.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Notification and Application of Prepayments</w:t>
      </w:r>
      <w:r>
        <w:rPr>
          <w:rFonts w:ascii="Times New Roman;sans-serif" w:hAnsi="Times New Roman;sans-serif"/>
          <w:b w:val="false"/>
          <w:color w:val="000000"/>
          <w:sz w:val="24"/>
        </w:rPr>
        <w:t>. The Borrower shall notify the Administrative Agent by email or other written transmission of any voluntary prepayment of the Loans under Section 2.7(a) not later than the deadline set forth in Section 2.7(a). By no later than 2:00 p.m. (New York City time), three (3) Business Days prior to any prepayment of the Loans under Section 2.7(b), the Borrower shall notify the Administrative Agent by email or other written transmission, and include the amount of the applicable prepayment. Promptly following Receipt of any notice of prepayment, the Administrative Agent shall advise each Lender of the contents thereof, and of the amount of such Lender’s Pro Rata Share of such prepayment. Each such prepayment shall be applied to the Term Loans of the Lenders in accordance with their respective Pro Rata Shares.</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55345"/>
                <wp:effectExtent l="0" t="0" r="0" b="0"/>
                <wp:wrapNone/>
                <wp:docPr id="121" name="Frame12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Repayment of Loans</w:t>
      </w:r>
      <w:r>
        <w:rPr>
          <w:rFonts w:ascii="Times New Roman;sans-serif" w:hAnsi="Times New Roman;sans-serif"/>
          <w:b w:val="false"/>
          <w:color w:val="000000"/>
          <w:sz w:val="24"/>
        </w:rPr>
        <w:t xml:space="preserve">. If, as of any Determination Date, the Scheduled Amortization Percentage is greater than 0%, the Borrower shall be obligated to, and shall, make repayments of outstanding Loans on the immediately succeeding Payment Date following such Determination Date, in accordance with the Priority of Payments, in an amount equal to the amount allocated under clause </w:t>
      </w:r>
      <w:r>
        <w:rPr>
          <w:rFonts w:ascii="Times New Roman;sans-serif" w:hAnsi="Times New Roman;sans-serif"/>
          <w:b w:val="false"/>
          <w:color w:val="000000"/>
          <w:sz w:val="24"/>
          <w:u w:val="single"/>
        </w:rPr>
        <w:t>seventh</w:t>
      </w:r>
      <w:r>
        <w:rPr>
          <w:color w:val="000000"/>
        </w:rPr>
        <w:t xml:space="preserve"> </w:t>
      </w:r>
      <w:r>
        <w:rPr>
          <w:rFonts w:ascii="Times New Roman;sans-serif" w:hAnsi="Times New Roman;sans-serif"/>
          <w:b w:val="false"/>
          <w:color w:val="000000"/>
          <w:sz w:val="24"/>
        </w:rPr>
        <w:t>of the Priority of Payments. To the extent not previously paid, on the Maturity Date for the Loans, the Borrower shall repay Loans in an amount equal to the aggregate principal amount of all Loans outstanding on such date.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Reduction or Termination of Commitments</w:t>
      </w:r>
      <w:r>
        <w:rPr>
          <w:rFonts w:ascii="Times New Roman;sans-serif" w:hAnsi="Times New Roman;sans-serif"/>
          <w:b w:val="false"/>
          <w:color w:val="000000"/>
          <w:sz w:val="24"/>
        </w:rPr>
        <w:t>. Unless previously terminated, (i) on the Closing Date (immediately after the funding of the Closing Date Loans to be made on such date), the Commitments of each applicable Lender shall be reduced immediately by an amount equal to the Closing Date Loans actually funded by such Lender on the Closing Date, (ii) on each Credit Date (immediately after the funding of the Delayed Draw Loans to be made on such date), the Commitments of each applicable Lender shall be reduced immediately by an amount equal to the Delayed Draw Loans actually funded by such Lender on such Credit Date and (iii) the Commitments shall terminate immediately and without further action upon the expiration of the Delayed Draw Availability Period. In addition, the Borrower may at any time terminate, or from time to time reduce, the Commitments upon prior written notice provided to the Administrative Agent no later than 3:00 p.m. (New York City time) one Business Day prior to the proposed effective date of such Commitment reduction (which notice shall state the proposed effective date and aggregate principal amount of the Commitment reduction).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(f)    All prepayments of the Term Loans pursuant to </w:t>
      </w:r>
      <w:r>
        <w:rPr>
          <w:rFonts w:ascii="Times New Roman;sans-serif" w:hAnsi="Times New Roman;sans-serif"/>
          <w:b w:val="false"/>
          <w:color w:val="000000"/>
          <w:sz w:val="24"/>
          <w:u w:val="single"/>
        </w:rPr>
        <w:t>Sections 2.7(a)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2.7(b)</w:t>
      </w:r>
      <w:r>
        <w:rPr>
          <w:color w:val="000000"/>
        </w:rPr>
        <w:t xml:space="preserve"> </w:t>
      </w:r>
      <w:r>
        <w:rPr>
          <w:rFonts w:ascii="Times New Roman;sans-serif" w:hAnsi="Times New Roman;sans-serif"/>
          <w:b w:val="false"/>
          <w:color w:val="000000"/>
          <w:sz w:val="24"/>
        </w:rPr>
        <w:t xml:space="preserve">shall be accompanied by accrued interest to the date of prepayment, together with any amounts payable pursuant to </w:t>
      </w: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2.8    Priority of Payments</w:t>
      </w:r>
      <w:r>
        <w:rPr>
          <w:rFonts w:ascii="Times New Roman;sans-serif" w:hAnsi="Times New Roman;sans-serif"/>
          <w:b w:val="false"/>
          <w:color w:val="000000"/>
          <w:sz w:val="24"/>
        </w:rPr>
        <w:t>. On each Payment Date, funds on deposit in the Facility Collection Account plus any amounts received by the Borrower pursuant to the Interest Rate Protection Agreement during the applicable Collection Period and, to the extent there is any shortfall on payment of any interest, funds on deposit in the Interest Reserve Account (collectively, the “</w:t>
      </w:r>
      <w:r>
        <w:rPr>
          <w:rFonts w:ascii="Times New Roman;sans-serif" w:hAnsi="Times New Roman;sans-serif"/>
          <w:b/>
          <w:color w:val="000000"/>
          <w:sz w:val="24"/>
        </w:rPr>
        <w:t>Available Funds</w:t>
      </w:r>
      <w:r>
        <w:rPr>
          <w:color w:val="000000"/>
        </w:rPr>
        <w:t>”</w:t>
      </w:r>
      <w:r>
        <w:rPr>
          <w:rFonts w:ascii="Times New Roman;sans-serif" w:hAnsi="Times New Roman;sans-serif"/>
          <w:b w:val="false"/>
          <w:color w:val="000000"/>
          <w:sz w:val="24"/>
        </w:rPr>
        <w:t>) shall be allocated and distributed by the Account Bank in accordance with the Manager Report, pursuant to the following priorities (the “</w:t>
      </w:r>
      <w:r>
        <w:rPr>
          <w:rFonts w:ascii="Times New Roman;sans-serif" w:hAnsi="Times New Roman;sans-serif"/>
          <w:b/>
          <w:color w:val="000000"/>
          <w:sz w:val="24"/>
        </w:rPr>
        <w:t>Priority of Payments</w:t>
      </w:r>
      <w:r>
        <w:rPr>
          <w:color w:val="000000"/>
        </w:rPr>
        <w:t>”</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the amounts received by the Borrower pursuant to the Interest Rate Protection Agreement shall be allocated and distributed first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and thereafter to priorities following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without duplication, in each case to the extent applicable on such Payment Date (A) to the Administrative Agent for payment of Administrative Agent Fees and other fees, costs, expenses and indemnities owing to the Administrative Agent as of such Payment Date pursuant to this Agreement and the other Transaction Documents and (B) to the Account Bank and the Verification Agent for payment of the Account Bank Fees and Verification Agent Fees and other costs, expenses and indemnities owing to the Account Bank and the Verification Agent pursuant to this Agreement and the other Transaction Documents;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without duplication, (i) to the Network Expense and Insurance Reserve Account, until the Network Expense and Insurance Reserve Account has on deposit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55345"/>
                <wp:effectExtent l="0" t="0" r="0" b="0"/>
                <wp:wrapNone/>
                <wp:docPr id="122" name="Frame12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therein the amount required (or permitted) pursuant to </w:t>
      </w:r>
      <w:r>
        <w:rPr>
          <w:rFonts w:ascii="Times New Roman;sans-serif" w:hAnsi="Times New Roman;sans-serif"/>
          <w:b w:val="false"/>
          <w:color w:val="000000"/>
          <w:sz w:val="24"/>
          <w:u w:val="single"/>
        </w:rPr>
        <w:t>Section 6.12(g)</w:t>
      </w:r>
      <w:r>
        <w:rPr>
          <w:color w:val="000000"/>
        </w:rPr>
        <w:t xml:space="preserve"> </w:t>
      </w:r>
      <w:r>
        <w:rPr>
          <w:rFonts w:ascii="Times New Roman;sans-serif" w:hAnsi="Times New Roman;sans-serif"/>
          <w:b w:val="false"/>
          <w:color w:val="000000"/>
          <w:sz w:val="24"/>
        </w:rPr>
        <w:t>to be on deposit in such account on such Payment Date, and then (ii) to the Borrower for the payment of any Monthly Fiber Network Operating Expenses for the current Collection Period (including, at the direction of the Manager or the Borrower, to the Operating Account, the Network Expense and Insurance Reserve Account or such other account or location as may be directed by the Borrower to effect such payments);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Administrative Agent for distribution to the Lenders, pro rata, in respect of interest due as of such Payment Date with respect to the Loans;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to the Manager, the Management Fee with respect to the preceding Collection Period;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fifth,</w:t>
      </w:r>
      <w:r>
        <w:rPr>
          <w:color w:val="000000"/>
        </w:rPr>
        <w:t xml:space="preserve"> </w:t>
      </w:r>
      <w:r>
        <w:rPr>
          <w:rFonts w:ascii="Times New Roman;sans-serif" w:hAnsi="Times New Roman;sans-serif"/>
          <w:b w:val="false"/>
          <w:color w:val="000000"/>
          <w:sz w:val="24"/>
        </w:rPr>
        <w:t>so long as no Rapid Amortization Event or Event of Default has occurred and is continuing, to the Interest Reserve Account until the amount on deposit therein equals the Interest Reserve Required Amount as of such Payment Date;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Manager, Permitted Tax Distributions;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seventh</w:t>
      </w:r>
      <w:r>
        <w:rPr>
          <w:rFonts w:ascii="Times New Roman;sans-serif" w:hAnsi="Times New Roman;sans-serif"/>
          <w:b w:val="false"/>
          <w:color w:val="000000"/>
          <w:sz w:val="24"/>
        </w:rPr>
        <w:t xml:space="preserve">, to the extent required pursuant to </w:t>
      </w:r>
      <w:r>
        <w:rPr>
          <w:rFonts w:ascii="Times New Roman;sans-serif" w:hAnsi="Times New Roman;sans-serif"/>
          <w:b w:val="false"/>
          <w:color w:val="000000"/>
          <w:sz w:val="24"/>
          <w:u w:val="single"/>
        </w:rPr>
        <w:t>Section 2.7(d)</w:t>
      </w:r>
      <w:r>
        <w:rPr>
          <w:rFonts w:ascii="Times New Roman;sans-serif" w:hAnsi="Times New Roman;sans-serif"/>
          <w:b w:val="false"/>
          <w:color w:val="000000"/>
          <w:sz w:val="24"/>
        </w:rPr>
        <w:t xml:space="preserve">, to the Administrative Agent for distribution to the Lenders to pay the Scheduled Amortization Percentage of any remaining Available Funds in the Facility Collection Account to the Lenders, pro rata, in respect of principal;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eighth</w:t>
      </w:r>
      <w:r>
        <w:rPr>
          <w:rFonts w:ascii="Times New Roman;sans-serif" w:hAnsi="Times New Roman;sans-serif"/>
          <w:b w:val="false"/>
          <w:color w:val="000000"/>
          <w:sz w:val="24"/>
        </w:rPr>
        <w:t>, [reserved];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ninth</w:t>
      </w:r>
      <w:r>
        <w:rPr>
          <w:rFonts w:ascii="Times New Roman;sans-serif" w:hAnsi="Times New Roman;sans-serif"/>
          <w:b w:val="false"/>
          <w:color w:val="000000"/>
          <w:sz w:val="24"/>
        </w:rPr>
        <w:t>, [reserved];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tenth</w:t>
      </w:r>
      <w:r>
        <w:rPr>
          <w:rFonts w:ascii="Times New Roman;sans-serif" w:hAnsi="Times New Roman;sans-serif"/>
          <w:b w:val="false"/>
          <w:color w:val="000000"/>
          <w:sz w:val="24"/>
        </w:rPr>
        <w:t xml:space="preserve">, solely to the extent a Rapid Amortization Event is then continuing, to the Administrative Agent for distribution to the Lenders to pay 100% of any remaining Available Funds in the Facility Collection Account to the Lenders, pro rata, in respect of principal;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eleventh,</w:t>
      </w:r>
      <w:r>
        <w:rPr>
          <w:color w:val="000000"/>
        </w:rPr>
        <w:t xml:space="preserve"> </w:t>
      </w:r>
      <w:r>
        <w:rPr>
          <w:rFonts w:ascii="Times New Roman;sans-serif" w:hAnsi="Times New Roman;sans-serif"/>
          <w:b w:val="false"/>
          <w:color w:val="000000"/>
          <w:sz w:val="24"/>
        </w:rPr>
        <w:t>to the Manager, for reimbursement for any advance made by the Manager, along with the interest payable thereon; and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twelfth</w:t>
      </w:r>
      <w:r>
        <w:rPr>
          <w:rFonts w:ascii="Times New Roman;sans-serif" w:hAnsi="Times New Roman;sans-serif"/>
          <w:b w:val="false"/>
          <w:color w:val="000000"/>
          <w:sz w:val="24"/>
        </w:rPr>
        <w:t xml:space="preserve">, any remaining Available Funds, to the Operating Account or to such other account or location as may be directed by the Borrower (including, at the direction of the Manager or the Borrower, to the Collections Account as a Retained Collections Contribution pursuant to </w:t>
      </w:r>
      <w:r>
        <w:rPr>
          <w:rFonts w:ascii="Times New Roman;sans-serif" w:hAnsi="Times New Roman;sans-serif"/>
          <w:b w:val="false"/>
          <w:color w:val="000000"/>
          <w:sz w:val="24"/>
          <w:u w:val="single"/>
        </w:rPr>
        <w:t>Section 2.16(b)</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2.9    [Reserved]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2.10    Grant of Security Interest; Collateral</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To secure the timely payment and performance of the Secured Obligations, each Loan Party hereby grants to the Administrative Agent, for the benefit of itself and the other Beneficiaries, a continuing security interest (the “</w:t>
      </w:r>
      <w:r>
        <w:rPr>
          <w:rFonts w:ascii="Times New Roman;sans-serif" w:hAnsi="Times New Roman;sans-serif"/>
          <w:b/>
          <w:color w:val="000000"/>
          <w:sz w:val="24"/>
        </w:rPr>
        <w:t>Security Interest</w:t>
      </w:r>
      <w:r>
        <w:rPr>
          <w:color w:val="000000"/>
        </w:rPr>
        <w:t>”</w:t>
      </w:r>
      <w:r>
        <w:rPr>
          <w:rFonts w:ascii="Times New Roman;sans-serif" w:hAnsi="Times New Roman;sans-serif"/>
          <w:b w:val="false"/>
          <w:color w:val="000000"/>
          <w:sz w:val="24"/>
        </w:rPr>
        <w:t xml:space="preserve">) in, and Lien upon, and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55345"/>
                <wp:effectExtent l="0" t="0" r="0" b="0"/>
                <wp:wrapNone/>
                <wp:docPr id="123" name="Frame12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pledges to the Administrative Agent, for the benefit of itself and the other Beneficiaries, all of such Loan Party’s right, title and interest in, to and under all of the following assets now owned or at any time hereafter acquired by such Loan Party or in which such Loan Party now has or at any time in the future may acquire any right, title or interest: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the Account Collateral;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(x) all Fiber Network Assets and (y) all the following personal property of such Loan Party: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all Equipment (as defined in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all Fixtures (as defined in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all Documents (as defined in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all Accounts (as defined in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all Inventory (as defined in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all Goods (as defined in the UCC);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all Commercial Tort Claims (as defined in the UCC) with a value in excess of $2,000,000;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all General Intangibles (as defined in the UCC), including any limited liability company or other ownership interests which are not “securities” as provided under Section 8-103 of the UCC;</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all Investment Property (as defined in the UCC), excluding Pledged Collateral pledged pursuant to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below;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all Money, cash, cash equivalents, Deposit Accounts and Securities Accounts (each as defined in the UCC), including the Reserve Accounts, each Collections Account and the Loan Account;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all Chattel Paper (as defined in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all Instruments (as defined in the UCC);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     to the extent not otherwise included, (1) all IRU Agreements and any assets initially subject to an IRU Agreement upon transfer to a Loan Party, (2) the Closing Date Contributed Contracts and any other Customer Contracts with respect to the Fiber Network Assets, (3) the Management Agreement, the Interest Rate Protection Agreement and the other Transaction Documents and (4) any and all rights, remedies and proceeds under the foregoing and derived therefrom (including all rights to payment thereunder, if any);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55345"/>
                <wp:effectExtent l="0" t="0" r="0" b="0"/>
                <wp:wrapNone/>
                <wp:docPr id="124" name="Frame12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    all books and records pertaining to the foregoing Collateral described in this </w:t>
      </w:r>
      <w:r>
        <w:rPr>
          <w:rFonts w:ascii="Times New Roman;sans-serif" w:hAnsi="Times New Roman;sans-serif"/>
          <w:b w:val="false"/>
          <w:color w:val="000000"/>
          <w:sz w:val="24"/>
          <w:u w:val="single"/>
        </w:rPr>
        <w:t>clause (ii)</w:t>
      </w:r>
      <w:r>
        <w:rPr>
          <w:rFonts w:ascii="Times New Roman;sans-serif" w:hAnsi="Times New Roman;sans-serif"/>
          <w:b w:val="false"/>
          <w:color w:val="000000"/>
          <w:sz w:val="24"/>
        </w:rPr>
        <w: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(O)    to the extent not otherwise included, all Proceeds (as defined in the UCC) and products of the foregoing and all supporting obligations, collateral security and guarantees given by any Person with respect to any of the foregoing (all of the foregoing described in this </w:t>
      </w:r>
      <w:r>
        <w:rPr>
          <w:rFonts w:ascii="Times New Roman;sans-serif" w:hAnsi="Times New Roman;sans-serif"/>
          <w:b w:val="false"/>
          <w:color w:val="000000"/>
          <w:sz w:val="24"/>
          <w:u w:val="single"/>
        </w:rPr>
        <w:t>clause (ii)</w:t>
      </w:r>
      <w:r>
        <w:rPr>
          <w:rFonts w:ascii="Times New Roman;sans-serif" w:hAnsi="Times New Roman;sans-serif"/>
          <w:b w:val="false"/>
          <w:color w:val="000000"/>
          <w:sz w:val="24"/>
        </w:rPr>
        <w:t>, collectively, the “</w:t>
      </w:r>
      <w:r>
        <w:rPr>
          <w:rFonts w:ascii="Times New Roman;sans-serif" w:hAnsi="Times New Roman;sans-serif"/>
          <w:b/>
          <w:color w:val="000000"/>
          <w:sz w:val="24"/>
        </w:rPr>
        <w:t>Article 9 Collateral</w:t>
      </w:r>
      <w:r>
        <w:rPr>
          <w:color w:val="000000"/>
        </w:rPr>
        <w:t>”</w:t>
      </w:r>
      <w:r>
        <w:rPr>
          <w:rFonts w:ascii="Times New Roman;sans-serif" w:hAnsi="Times New Roman;sans-serif"/>
          <w:b w:val="false"/>
          <w:color w:val="000000"/>
          <w:sz w:val="24"/>
        </w:rPr>
        <w: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(A) the issued and outstanding Equity Interests owned by such Loan Party, including, without limitation, any such Equity Interests set forth on </w:t>
      </w:r>
      <w:r>
        <w:rPr>
          <w:rFonts w:ascii="Times New Roman;sans-serif" w:hAnsi="Times New Roman;sans-serif"/>
          <w:b w:val="false"/>
          <w:color w:val="000000"/>
          <w:sz w:val="24"/>
          <w:u w:val="single"/>
        </w:rPr>
        <w:t>Schedule 2.10</w:t>
      </w:r>
      <w:r>
        <w:rPr>
          <w:rFonts w:ascii="Times New Roman;sans-serif" w:hAnsi="Times New Roman;sans-serif"/>
          <w:b w:val="false"/>
          <w:color w:val="000000"/>
          <w:sz w:val="24"/>
        </w:rPr>
        <w:t>, (B) any additional Equity Interests obtained in the future by such Loan Party, (C)  all of its voting rights in respect of such Equity Interests owned by it, (D) the certificates, if any, representing such Equity Interests and any interest of it on the books and records of the issuer of such Equity Interests or on the books and records of any securities intermediary pertaining to such Equity Interest, (E) any Instruments, debt securities and promissory notes issued to or otherwise acquired by such Loan Party and (F) all dividends, distributions, cash, warrants, rights, options, instruments, securities and other property or Proceeds (as defined in the UCC) from time to time received, receivable or otherwise distributed in respect of or in exchange for any or all of such Equity Interests and Investments (collectively, the “</w:t>
      </w:r>
      <w:r>
        <w:rPr>
          <w:rFonts w:ascii="Times New Roman;sans-serif" w:hAnsi="Times New Roman;sans-serif"/>
          <w:b/>
          <w:color w:val="000000"/>
          <w:sz w:val="24"/>
        </w:rPr>
        <w:t>Pledged Collateral</w:t>
      </w:r>
      <w:r>
        <w:rPr>
          <w:color w:val="000000"/>
        </w:rPr>
        <w:t>”</w:t>
      </w:r>
      <w:r>
        <w:rPr>
          <w:rFonts w:ascii="Times New Roman;sans-serif" w:hAnsi="Times New Roman;sans-serif"/>
          <w:b w:val="false"/>
          <w:color w:val="000000"/>
          <w:sz w:val="24"/>
        </w:rPr>
        <w:t>, and together with the Article 9 Collateral and the Account Collateral, the “</w:t>
      </w:r>
      <w:r>
        <w:rPr>
          <w:rFonts w:ascii="Times New Roman;sans-serif" w:hAnsi="Times New Roman;sans-serif"/>
          <w:b/>
          <w:color w:val="000000"/>
          <w:sz w:val="24"/>
        </w:rPr>
        <w:t>Collateral</w:t>
      </w:r>
      <w:r>
        <w:rPr>
          <w:color w:val="000000"/>
        </w:rPr>
        <w:t>”</w:t>
      </w:r>
      <w:r>
        <w:rPr>
          <w:rFonts w:ascii="Times New Roman;sans-serif" w:hAnsi="Times New Roman;sans-serif"/>
          <w:b w:val="false"/>
          <w:color w:val="000000"/>
          <w:sz w:val="24"/>
        </w:rPr>
        <w:t>);</w: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in no event shall the Security Interest attach to any right, title or interest of any Loan Party in, to or under any Excluded Property (it being understood that, to the extent the Security Interest shall not have attached to any such asset as a result of such asset being an Excluded Property, the term “Collateral” shall not include such asset);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Security Interest shall immediately attach to, and the Collateral shall immediately include, any such asset (or portion thereof) upon such asset (or such portion) ceasing to be Excluded Property.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Each Loan Party has full right and power to grant to the Administrative Agent, for the benefit of itself and the other Beneficiaries, a perfected, first-priority security interest in and Lien on the Collateral pursuant to this Agreement, subject to the terms of this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 xml:space="preserve">. This Agreement is effective to create a legal, valid and enforceable Lien on, and security interest in, the Collateral in which a security interest may be perfected by filing a financing statement under the UCC, and, subject to the terms of this </w:t>
      </w:r>
      <w:r>
        <w:rPr>
          <w:rFonts w:ascii="Times New Roman;sans-serif" w:hAnsi="Times New Roman;sans-serif"/>
          <w:b w:val="false"/>
          <w:color w:val="000000"/>
          <w:sz w:val="24"/>
          <w:u w:val="single"/>
        </w:rPr>
        <w:t>Section 2.10</w:t>
      </w:r>
      <w:r>
        <w:rPr>
          <w:color w:val="000000"/>
        </w:rPr>
        <w:t xml:space="preserve"> </w:t>
      </w:r>
      <w:r>
        <w:rPr>
          <w:rFonts w:ascii="Times New Roman;sans-serif" w:hAnsi="Times New Roman;sans-serif"/>
          <w:b w:val="false"/>
          <w:color w:val="000000"/>
          <w:sz w:val="24"/>
        </w:rPr>
        <w:t xml:space="preserve">and the satisfaction of the applicable perfection actions with respect to the Security Interest, the Administrative Agent will have a fully perfected Lien on the Collateral securing the Secured Obligations to the extent required by this Agreement. Upon the execution and delivery of this Agreement, and upon (i)filing of the necessary and appropriate financing statements with the office of the Secretary of State or other appropriate office of the state of organization of each applicable Loan Party, (ii) delivery of all Instruments, Chattel Paper and certificated Equity Interests and pledged indebtedness, in each case together with instruments of transfer executed in blank, (iii) execution of the applicable Account Control Agreement establishing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55345"/>
                <wp:effectExtent l="0" t="0" r="0" b="0"/>
                <wp:wrapNone/>
                <wp:docPr id="125" name="Frame12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Administrative Agent’s “control” (within the meaning of Section 8-106, 9-106 or 9-104 of the UCC, as applicable) with respect to the Controlled Accounts, (iv) recordation and/or filing of the Security Interest granted hereunder in patents, trademarks and copyrights in the applicable intellectual property registries, including but not limited to the filing of appropriate assignments, notices or appropriate filings with the United States Patent and Trademark Office and the United States Copyright Office, as applicable, without any further action, the Administrative Agent will have a good, valid and first-priority perfected Lien and security interest in the personal property and Collateral, subject to Permitted Liens. As of the Closing Date, no financing statement (other than those naming any Customer as “debtor” and a Loan Party as “secured party” thereunder) relating to any of the Collateral, as applicable, is on file in any public office except those on behalf of the Administrative Agent and those related to the Permitted Liens. As of the Closing Date, no Loan Party is party to any agreement, document or instrument that conflicts with this </w:t>
      </w:r>
      <w:r>
        <w:rPr>
          <w:rFonts w:ascii="Times New Roman;sans-serif" w:hAnsi="Times New Roman;sans-serif"/>
          <w:b w:val="false"/>
          <w:color w:val="000000"/>
          <w:sz w:val="24"/>
          <w:u w:val="single"/>
        </w:rPr>
        <w:t>Section 2.10</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Each Loan Party hereby authorizes the Administrative Agent (or its designee) to prepare and file financing statements (including transmitting utility financing statements) provided for by the UCC (which financing statements may describe the Collateral as “all assets” of the Loan Parties) and to take such other action as may be required, in the Administrative Agent’s or Requisite Lenders’ judgment, in order to perfect and to continue the perfection of Administrative Agent’s security interests in the Collateral, as applicable, unless prohibited by Applicable Law.</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(d)    The Borrower agrees that it will take any or all steps in order for Administrative Agent, for the benefit of itself and the Lenders, to obtain control in accordance with Sections 8-106, 9-104, 9-105, 9-106, and 9-107 of the UCC with respect to all of its Pledged Accounts and Pledged Collateral that constitute Collateral. Upon the occurrence and during the continuance of an Event of Default, and provided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the Administrative Agent may notify any bank or securities intermediary to liquidate the applicable Pledged Account or any related investment property maintained or held thereby and remit the proceeds thereof to the Administrative Agent.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(e)    At any time upon the reasonable request of the Administrative Agent or the Requisite Lenders, the Loan Parties shall execute or deliver to the Administrative Agent, any and all financing statements, security agreements, pledges, assignments, written description of such commercial tort claims, endorsements of certificates of title, and all other documents (collectively, the “</w:t>
      </w:r>
      <w:r>
        <w:rPr>
          <w:rFonts w:ascii="Times New Roman;sans-serif" w:hAnsi="Times New Roman;sans-serif"/>
          <w:b/>
          <w:color w:val="000000"/>
          <w:sz w:val="24"/>
        </w:rPr>
        <w:t>Additional Documents</w:t>
      </w:r>
      <w:r>
        <w:rPr>
          <w:color w:val="000000"/>
        </w:rPr>
        <w:t>”</w:t>
      </w:r>
      <w:r>
        <w:rPr>
          <w:rFonts w:ascii="Times New Roman;sans-serif" w:hAnsi="Times New Roman;sans-serif"/>
          <w:b w:val="false"/>
          <w:color w:val="000000"/>
          <w:sz w:val="24"/>
        </w:rPr>
        <w:t xml:space="preserve">) that the Administrative Agent or the Requisite Lenders may request in its reasonable discretion, in form and substance reasonably satisfactory to the Administrative Agent (acting at the direction of the Requisite Lenders), to create, perfect, continue or improve the priority of the Administrative Agent’s Liens in the Collateral of the Loan Parties (whether now owned or hereafter arising or acquired, tangible or intangible, real or personal). To the maximum extent permitted by Applicable Law, upon the occurrence and during the continuance of an Event of Default, each Loan Party authorizes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55345"/>
                <wp:effectExtent l="0" t="0" r="0" b="0"/>
                <wp:wrapNone/>
                <wp:docPr id="126" name="Frame12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Agent to execute any such Additional Documents in such Loan Party’s name and authorizes the Administrative Agent to file such executed Additional Documents in any appropriate filing office.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(f)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Upon the occurrence and during the continuation of an Event of Default, and provided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all rights of the applicable Loan Parties to exercise or refrain from exercising the voting and other consensual rights which it would otherwise be entitled to exercise pursuant to the applicable Organizational Documents in respect of the Pledged Collateral, as well as the rights of such Loan Party to receive any distributions, payments or other proceeds on the applicable Pledged Collateral, shall cease and all such rights shall thereupon become vested in the Administrative Agent who shall thereupon have the sole right to exercise such voting and other consensual rights, as well as rights to receive any distributions, payments or other proceeds on such Pledged Collateral, as if it were the absolute owner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upon the cure or waiver of such Event of Default, the foregoing rights shall automatically and immediately, without any further action, revert to the applicable Loan Parties;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in order to permit the Administrative Agent to exercise the voting and other consensual rights which it may be entitled to exercise pursuant hereto and to receive all dividends and other distributions which it may be entitled to receive hereunder, upon an Event of Default occurring and continuing, and provided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each Loan Party hereby irrevocably constitutes and appoints the Administrative Agent and any officer or agent thereof, with full power of substitution, as its true and lawful attorney-in-fact with full irrevocable power and authority in the place and stead of such Loan Party and in the name of such Loan Party or in its own name, for the purpose of carrying out the terms of this </w:t>
      </w:r>
      <w:r>
        <w:rPr>
          <w:rFonts w:ascii="Times New Roman;sans-serif" w:hAnsi="Times New Roman;sans-serif"/>
          <w:b w:val="false"/>
          <w:color w:val="000000"/>
          <w:sz w:val="24"/>
          <w:u w:val="single"/>
        </w:rPr>
        <w:t>Section 2.10(f)</w:t>
      </w:r>
      <w:r>
        <w:rPr>
          <w:rFonts w:ascii="Times New Roman;sans-serif" w:hAnsi="Times New Roman;sans-serif"/>
          <w:b w:val="false"/>
          <w:color w:val="000000"/>
          <w:sz w:val="24"/>
        </w:rPr>
        <w:t xml:space="preserve">, to take any and all appropriate action and to execute any and all documents and instruments which may be necessary or desirable to accomplish the purposes of this </w:t>
      </w:r>
      <w:r>
        <w:rPr>
          <w:rFonts w:ascii="Times New Roman;sans-serif" w:hAnsi="Times New Roman;sans-serif"/>
          <w:b w:val="false"/>
          <w:color w:val="000000"/>
          <w:sz w:val="24"/>
          <w:u w:val="single"/>
        </w:rPr>
        <w:t>Section 2.10(f)</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Administrative Agent shall have no duty or obligation to so act except upon direction from the Requisite Lenders. Anything in this </w:t>
      </w:r>
      <w:r>
        <w:rPr>
          <w:rFonts w:ascii="Times New Roman;sans-serif" w:hAnsi="Times New Roman;sans-serif"/>
          <w:b w:val="false"/>
          <w:color w:val="000000"/>
          <w:sz w:val="24"/>
          <w:u w:val="single"/>
        </w:rPr>
        <w:t>Section 2.10(f)</w:t>
      </w:r>
      <w:r>
        <w:rPr>
          <w:color w:val="000000"/>
        </w:rPr>
        <w:t xml:space="preserve"> </w:t>
      </w:r>
      <w:r>
        <w:rPr>
          <w:rFonts w:ascii="Times New Roman;sans-serif" w:hAnsi="Times New Roman;sans-serif"/>
          <w:b w:val="false"/>
          <w:color w:val="000000"/>
          <w:sz w:val="24"/>
        </w:rPr>
        <w:t xml:space="preserve">to the contrary notwithstanding, the Administrative Agent agrees that it will not exercise any rights under the power of attorney provided for in this </w:t>
      </w:r>
      <w:r>
        <w:rPr>
          <w:rFonts w:ascii="Times New Roman;sans-serif" w:hAnsi="Times New Roman;sans-serif"/>
          <w:b w:val="false"/>
          <w:color w:val="000000"/>
          <w:sz w:val="24"/>
          <w:u w:val="single"/>
        </w:rPr>
        <w:t>Section 2.10(f)</w:t>
      </w:r>
      <w:r>
        <w:rPr>
          <w:color w:val="000000"/>
        </w:rPr>
        <w:t xml:space="preserve"> </w:t>
      </w:r>
      <w:r>
        <w:rPr>
          <w:rFonts w:ascii="Times New Roman;sans-serif" w:hAnsi="Times New Roman;sans-serif"/>
          <w:b w:val="false"/>
          <w:color w:val="000000"/>
          <w:sz w:val="24"/>
        </w:rPr>
        <w:t xml:space="preserve">unless an Event of Default shall have occurred and be continuing and the Administrative Agent (acting at the direction of the Requisite Lenders) shall have provided five (5) Business Days’ prior written notice to the Borrower (solely for an Event of Default that is not a Specified Event of Default, and a Specified Event of Default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55345"/>
                <wp:effectExtent l="0" t="0" r="0" b="0"/>
                <wp:wrapNone/>
                <wp:docPr id="127" name="Frame12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require any prior written notice to the Borrower). Each Loan Party acknowledges that the Administrative Agent may utilize the power of attorney set forth herein in connection therewith.</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(g)    Notwithstanding anything herein to the contrary, (a) each applicable Loan Party shall remain liable for all obligations with respect to its applicable Collateral pledged hereunder and nothing contained herein is intended or shall be construed to be a delegation of duties to Administrative Agent or any Lender;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following any foreclosure or transfer in lieu thereof, such obligations and duties of ownership of the Collateral shall pass to the succeeding owner thereof, (b) each applicable Loan Party shall remain liable under each of the agreements with respect to its respective Collateral to perform all of the obligations undertaken by it thereunder all in accordance with and pursuant to the terms and provisions thereof, and neither the Administrative Agent nor any Lender shall have any obligation or liability under any of such agreements by reason of or arising out of this Agreement or any other document related thereto nor shall the Administrative Agent nor any Lender have any obligation to make any inquiry as to the nature or sufficiency of any payment received by it or have any obligation to take any action to collect or enforce any rights under any agreement related to its respective Collateral, and (c) the exercise by the Administrative Agent of any of its rights hereunder shall not release any applicable Loan Party from any of its duties or obligations under such contracts or agreements.</w:t>
      </w:r>
    </w:p>
    <w:p>
      <w:pPr>
        <w:pStyle w:val="TextBody"/>
        <w:bidi w:val="0"/>
        <w:spacing w:lineRule="auto" w:line="288" w:before="0" w:after="240"/>
        <w:ind w:left="0" w:right="0" w:firstLine="720"/>
        <w:jc w:val="both"/>
        <w:rPr/>
      </w:pPr>
      <w:r>
        <w:rPr>
          <w:rFonts w:ascii="Times New Roman;sans-serif" w:hAnsi="Times New Roman;sans-serif"/>
          <w:b/>
          <w:color w:val="000000"/>
          <w:sz w:val="24"/>
        </w:rPr>
        <w:t>2.11    Collateral Administration</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As and when determined by the Administrative Agent or the Requisite Lenders in its or their reasonable discretion, upon the occurrence and during the continuation of a Default or an Event of Default, the Administrative Agent or the Requisite Lenders may, at the Borrower’s expense, perform UCC, judgment, litigation, tax Lien and other similar searches, in any jurisdictions determined by Administrative Agent or the Requisite Lenders from time to time, against any Loan Party.</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The Borrower, and Manager, as applicable, shall keep accurate and complete records of the Customer Contracts and all payments and Collections thereon and shall submit such records to Administrative Agent on such periodic basis (and at least quarterly) as the Administrative Agent or the Requisite Lenders may reasonably request. If requested by the Administrative Agent (acting at the direction of the Requisite Lenders), the Borrower, and each other Loan Party, as applicable, shall execute and deliver to the Administrative Agent, formal written assignments or allonges, in form and substance reasonably acceptable to the Administrative Agent (acting at the direction of the Requisite Lenders), of any or all of the Customer Contracts as the Administrative Agent (acting at the direction of the Requisite Lenders) may reasonably request, together with copies of claims, invoices and/or other information related thereto.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Borrower shall, upon the Administrative Agent’s written request upon the occurrence and during the continuation of an Event of Default, (i) provide prompt written notice to each Customer that the Administrative Agent has been granted a Lien on and security interest in, upon and to all Customer Contracts payable by such Customer and (ii) shall do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55345"/>
                <wp:effectExtent l="0" t="0" r="0" b="0"/>
                <wp:wrapNone/>
                <wp:docPr id="128" name="Frame12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anything further that may be lawfully required under Applicable Law and requested in writing by the Administrative Agent or the Requisite Lenders in their reasonable discretion to secure the Administrative Agent’s interest in the Collateral and effectuate the intentions of this Agreement.</w:t>
      </w:r>
    </w:p>
    <w:p>
      <w:pPr>
        <w:pStyle w:val="TextBody"/>
        <w:bidi w:val="0"/>
        <w:spacing w:lineRule="atLeast" w:line="275" w:before="20" w:after="240"/>
        <w:ind w:left="0" w:right="0" w:firstLine="648"/>
        <w:jc w:val="both"/>
        <w:rPr/>
      </w:pPr>
      <w:r>
        <w:rPr>
          <w:rFonts w:ascii="Times New Roman;sans-serif" w:hAnsi="Times New Roman;sans-serif"/>
          <w:b/>
          <w:color w:val="000000"/>
          <w:sz w:val="24"/>
        </w:rPr>
        <w:t>2.12    Power of Attorney</w:t>
      </w:r>
      <w:r>
        <w:rPr>
          <w:rFonts w:ascii="Times New Roman;sans-serif" w:hAnsi="Times New Roman;sans-serif"/>
          <w:b w:val="false"/>
          <w:color w:val="000000"/>
          <w:sz w:val="24"/>
        </w:rPr>
        <w:t>. Each Loan Party, as applicable, hereby agrees and acknowledges that the Administrative Agent is hereby irrevocably made, constituted and appointed the true and lawful attorney for such Loan Party (without requiring Administrative Agent to act as such) with full power of substitution to do the following upon the occurrence and during the continuation of an Event of Default (in each case, so long as the Administrative Agent (acting at the direction of the Requisite Lenders) shall have provided five (5) Business Days’ prior written notice to the Borrower (solely for an Event of Default that is not a Specified Event of Default, and a Specified Event of Default shall not require any prior written notice to the Borrower) prior to taking any of the following actions): (i) endorse the name of the Borrower upon any and all checks, drafts, money orders and other instruments for the payment of money that are payable to the Borrower and constitute Collections on Customer Contracts or other Accounts of the Borrower; (ii) execute and/or file in the name of such Loan Party any financing statements, amendments to financing statements, schedules to financing statements, releases or terminations thereof, assignments, instruments or documents that it is obligated to execute and/or file under any of the Transaction Documents (to the extent such Loan Party fails to so execute and/or file any of the foregoing within two (2) Business Days of the Administrative Agent’s written request or the time when such Loan Party is otherwise obligated to do so); and (iii) do such other and further acts and deeds in the name of such Loan Party that the Administrative Agent may deem necessary to enforce, make, create, maintain, continue, enforce or perfect the Administrative Agent’s security interest, Lien or rights in any Collateral.</w:t>
      </w:r>
    </w:p>
    <w:p>
      <w:pPr>
        <w:pStyle w:val="TextBody"/>
        <w:bidi w:val="0"/>
        <w:spacing w:lineRule="auto" w:line="288" w:before="0" w:after="240"/>
        <w:ind w:left="0" w:right="0" w:firstLine="720"/>
        <w:jc w:val="both"/>
        <w:rPr/>
      </w:pPr>
      <w:r>
        <w:rPr>
          <w:rFonts w:ascii="Times New Roman;sans-serif" w:hAnsi="Times New Roman;sans-serif"/>
          <w:b/>
          <w:color w:val="000000"/>
          <w:sz w:val="24"/>
        </w:rPr>
        <w:t>2.13    Release of Lien on Fiber Network Assets</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Release Upon Sale</w:t>
      </w:r>
      <w:r>
        <w:rPr>
          <w:rFonts w:ascii="Times New Roman;sans-serif" w:hAnsi="Times New Roman;sans-serif"/>
          <w:b w:val="false"/>
          <w:color w:val="000000"/>
          <w:sz w:val="24"/>
        </w:rPr>
        <w:t xml:space="preserve">. With respect to any Collateral or any Guarantor, in connection with a Disposition by any Loan Party of such Collateral (or in respect of any such Guarantor) in a transaction permitted under </w:t>
      </w:r>
      <w:r>
        <w:rPr>
          <w:rFonts w:ascii="Times New Roman;sans-serif" w:hAnsi="Times New Roman;sans-serif"/>
          <w:b w:val="false"/>
          <w:color w:val="000000"/>
          <w:sz w:val="24"/>
          <w:u w:val="single"/>
        </w:rPr>
        <w:t>Section 7.13</w:t>
      </w:r>
      <w:r>
        <w:rPr>
          <w:color w:val="000000"/>
        </w:rPr>
        <w:t xml:space="preserve"> </w:t>
      </w:r>
      <w:r>
        <w:rPr>
          <w:rFonts w:ascii="Times New Roman;sans-serif" w:hAnsi="Times New Roman;sans-serif"/>
          <w:b w:val="false"/>
          <w:color w:val="000000"/>
          <w:sz w:val="24"/>
        </w:rPr>
        <w:t xml:space="preserve">of this Agreement (other than any such sale, transfer or other Disposition to Holdings, the Borrower or any Subsidiary Guarantor (it being understood and agreed that, in the case of a transfer among Loan Parties, the applicable Lien shall be released with respect to the transferor Loan Party to the extent such asset will be (substantially contemporaneously therewith) pledged by the transferee Loan Party)), the Security Interest and other Liens in such Collateral created by this Agreement or any other Transaction Document, and any applicable Guaranty by such Guarantor, shall in each case be automatically released upon the consummation of any such sale, transfer or other Disposition. Upon such sale, transfer or other Disposition, the Administrative Agent shall (and the Lenders hereby irrevocably authorize and direct the Administrative Agent to), upon receipt of the related Net Proceeds thereof for prepayment of the Loans pursuant to this Agreement, (x) deliver to the Borrower (at the Borrower’s sole cost and expense), any evidence of release, satisfaction, discharge and/or termination agreements or similar instruments or filings reasonably requested by the Borrower and in form and substance reasonably satisfactory to the Administrative Agent to evidence in the public record such automatic release and (y) return any applicable Collateral to the Borrower, or any other Loan Party,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prior to delivery of any such evidence of release, satisfaction, discharge and/or termination from the Administrative Agent, the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55345"/>
                <wp:effectExtent l="0" t="0" r="0" b="0"/>
                <wp:wrapNone/>
                <wp:docPr id="129" name="Frame12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shall have delivered to the Administrative Agent a certificate executed by a Responsible Officer of the Borrower certifying that such release, satisfaction, discharge and/or termination, as applicable, is permitted under the Transaction Documents and this </w:t>
      </w:r>
      <w:r>
        <w:rPr>
          <w:rFonts w:ascii="Times New Roman;sans-serif" w:hAnsi="Times New Roman;sans-serif"/>
          <w:b w:val="false"/>
          <w:color w:val="000000"/>
          <w:sz w:val="24"/>
          <w:u w:val="single"/>
        </w:rPr>
        <w:t>Section 2.13(a)</w:t>
      </w:r>
      <w:r>
        <w:rPr>
          <w:color w:val="000000"/>
        </w:rPr>
        <w:t xml:space="preserve"> </w:t>
      </w:r>
      <w:r>
        <w:rPr>
          <w:rFonts w:ascii="Times New Roman;sans-serif" w:hAnsi="Times New Roman;sans-serif"/>
          <w:b w:val="false"/>
          <w:color w:val="000000"/>
          <w:sz w:val="24"/>
        </w:rPr>
        <w:t xml:space="preserve">(and the Lenders hereby authorize and direct the Administrative Agent to rely on such certificate in performing its obligations under this </w:t>
      </w:r>
      <w:r>
        <w:rPr>
          <w:rFonts w:ascii="Times New Roman;sans-serif" w:hAnsi="Times New Roman;sans-serif"/>
          <w:b w:val="false"/>
          <w:color w:val="000000"/>
          <w:sz w:val="24"/>
          <w:u w:val="single"/>
        </w:rPr>
        <w:t>Section 2.13(a)</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Release Upon Termination of Transaction Documents</w:t>
      </w:r>
      <w:r>
        <w:rPr>
          <w:rFonts w:ascii="Times New Roman;sans-serif" w:hAnsi="Times New Roman;sans-serif"/>
          <w:b w:val="false"/>
          <w:color w:val="000000"/>
          <w:sz w:val="24"/>
        </w:rPr>
        <w:t xml:space="preserve">. On the Termination Date, the security interests and other Liens in all the Collateral created by this Agreement or any other Transaction Document, and the Guaranty by each Guarantor, shall in each case be automatically and irrevocably terminated and released. Promptly upon such termination and release, at the request of the Borrower, the Administrative Agent shall (and Lenders hereby irrevocably authorize and direct Administrative Agent to) (i) execute and deliver such documents, at the Borrower’s sole cost and expense, as are reasonably requested by the Borrower to evidence such automatic termination and release and (ii) return the Collateral to the Borrower, or any other Loan Party,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parties agree that, notwithstanding any such termination or release or the execution, delivery or filing of any such documents or the return of any Collateral, if and to the extent that any such payment made or received with respect to the Obligations is subsequently invalidated, determined to be fraudulent or preferential, set aside, defeased or required to be repaid to a trustee, debtor in possession, receiver, common law or equitable cause or any other Applicable Law, then the Obligations intended to be satisfied by such payment shall be revived and shall continue as if such payment had not been received by Administrative Agent. The Administrative Agent shall not be deemed to have made any representation or warranty with respect to any Collateral so delivered except that such Collateral is free and clear, on the date of such delivery, of any and all Liens arising from the Administrative Agent’s own acts.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Release as Permitted by Transaction Documents</w:t>
      </w:r>
      <w:r>
        <w:rPr>
          <w:rFonts w:ascii="Times New Roman;sans-serif" w:hAnsi="Times New Roman;sans-serif"/>
          <w:b w:val="false"/>
          <w:color w:val="000000"/>
          <w:sz w:val="24"/>
        </w:rPr>
        <w:t xml:space="preserve">. At the Borrower’s sole cost and expense, promptly upon receipt of a certificate of a Responsible Officer of the Borrower confirming that any conditions under the Transaction Documents pursuant to which Collateral may be released from the Lien under the Transaction Documents (and/or any Guarantor released from its obligations under this Agreement and the other Transaction Documents) has been met, the Administrative Agent shall (and the Lenders hereby irrevocably authorize and direct Administrative Agent to) (x) deliver any necessary documents to the Borrower or its designee to evidence such termination and release and (y) return any applicable Collateral to the Borrower, or any other Loan Party, as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release documents may be delivered to an escrow agent acceptable to the Administrative Agent and the Borrower for release to the Borrower or its designee immediately following the Administrative Agent’s confirmation that such conditions have been satisfied (or the Administrative Agent’s receipt of the certificate of the Borrower, as applicable), as reasonably satisfactory to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4"/>
        </w:rPr>
        <w:t>2.14    Verification Agent</w:t>
      </w:r>
      <w:r>
        <w:rPr>
          <w:rFonts w:ascii="Times New Roman;sans-serif" w:hAnsi="Times New Roman;sans-serif"/>
          <w:b w:val="false"/>
          <w:color w:val="000000"/>
          <w:sz w:val="24"/>
        </w:rPr>
        <w:t>. The Borrower shall appoint a verification agent (the “</w:t>
      </w:r>
      <w:r>
        <w:rPr>
          <w:rFonts w:ascii="Times New Roman;sans-serif" w:hAnsi="Times New Roman;sans-serif"/>
          <w:b/>
          <w:color w:val="000000"/>
          <w:sz w:val="24"/>
        </w:rPr>
        <w:t>Verification Agent</w:t>
      </w:r>
      <w:r>
        <w:rPr>
          <w:color w:val="000000"/>
        </w:rPr>
        <w:t>”</w:t>
      </w:r>
      <w:r>
        <w:rPr>
          <w:rFonts w:ascii="Times New Roman;sans-serif" w:hAnsi="Times New Roman;sans-serif"/>
          <w:b w:val="false"/>
          <w:color w:val="000000"/>
          <w:sz w:val="24"/>
        </w:rPr>
        <w:t xml:space="preserve">) who will review, recalculate and confirm the calculations of any DSCR and Leverage Ratio calculations contained in each Manager Report and Compliance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55345"/>
                <wp:effectExtent l="0" t="0" r="0" b="0"/>
                <wp:wrapNone/>
                <wp:docPr id="130" name="Frame13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applicable, and any other calculations therein reasonably requested by the Requisite Lenders and as agreed to by the Verification Agent. The Borrower may appoint one or more additional verification agents with the consent of the Administrative Agent (acting at the direction of the Requisite Lenders). The term “Verification Agent” shall include any additional verification agent. The Borrower may not change the Verification Agent without the consent of the Requisite Lenders. The Borrower shall notify the Administrative Agent in writing of the name and address of any Verification Agent not a party to this Agreement. Wilmington is hereby initially appointed as the Verification Agent. The Verification Agent shall be entitled to all rights, protections, privileges and immunities afforded to the Account Bank hereunder.</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2.15    Payments Generally.</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The Borrower shall make each payment required to be made by it under any Transaction Document (whether of principal, interest, fees or other amounts) on or prior to the time expressly required hereunder or under such other Transaction Document for such payment (or, if no such time is expressly required, on or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that payments pursuant to </w:t>
      </w: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Section 12.4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12.7</w:t>
      </w:r>
      <w:r>
        <w:rPr>
          <w:color w:val="000000"/>
        </w:rPr>
        <w:t xml:space="preserve"> </w:t>
      </w:r>
      <w:r>
        <w:rPr>
          <w:rFonts w:ascii="Times New Roman;sans-serif" w:hAnsi="Times New Roman;sans-serif"/>
          <w:b w:val="false"/>
          <w:color w:val="000000"/>
          <w:sz w:val="24"/>
        </w:rPr>
        <w:t xml:space="preserve">shall be made directly to the Persons entitled thereto and payments pursuant to other Transaction Documents shall be made to the Persons specified therein. The Administrative Agent shall distribute any such payments received by it for the account of any other Person to the appropriate recipient promptly following receipt thereof. If any payment (other than payments on the SOFR Loans) under any Transaction Document shall be due on a day that is not a Business Day, the date for payment shall be extended to the next succeeding Business Day. If any payment on a SOFR Loan becomes due and payable on a day other than a Business Day (other than any such payment due and payable on the Maturity Date which shall be governed by, and subject to, </w:t>
      </w:r>
      <w:r>
        <w:rPr>
          <w:rFonts w:ascii="Times New Roman;sans-serif" w:hAnsi="Times New Roman;sans-serif"/>
          <w:b w:val="false"/>
          <w:color w:val="000000"/>
          <w:sz w:val="24"/>
          <w:u w:val="single"/>
        </w:rPr>
        <w:t>Section 1.5</w:t>
      </w:r>
      <w:r>
        <w:rPr>
          <w:rFonts w:ascii="Times New Roman;sans-serif" w:hAnsi="Times New Roman;sans-serif"/>
          <w:b w:val="false"/>
          <w:color w:val="000000"/>
          <w:sz w:val="24"/>
        </w:rPr>
        <w:t>),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under each Transaction Document shall be made in Dollars.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If at any time insufficient funds are received by, and available to, the Administrative Agent to pay fully all amounts of principal, interest and fees then due hereunder, subject to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 xml:space="preserve">hereof, such funds shall be applied (i) first, towards payment of interest and fees then due hereunder, ratably among the parties entitled thereto in accordance with the amounts of interest and fees then due to such parties (with such amounts being applied to fees prior to interest), and (ii) second, towards payment of principal then due hereunder, ratably among the parties entitled thereto in accordance with the amounts of principal then due to such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55345"/>
                <wp:effectExtent l="0" t="0" r="0" b="0"/>
                <wp:wrapNone/>
                <wp:docPr id="131" name="Frame13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Unless the Administrative Agent shall have received notice from the Borrower prior to the date on which any payment is due to the Administrative Agent for the account of the Lenders that the Borrower will not make such payment, the Administrative Agent may assume that the Borrower has made such payment on such date in accordance herewith and may, in reliance upon such assumption and in its sole discretion,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2.16    Additional Contributed Uniti Fiber Business Assets; Retained Collections Contributions.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Additional Contributed Uniti Fiber Business Assets</w:t>
      </w:r>
      <w:r>
        <w:rPr>
          <w:rFonts w:ascii="Times New Roman;sans-serif" w:hAnsi="Times New Roman;sans-serif"/>
          <w:b w:val="false"/>
          <w:color w:val="000000"/>
          <w:sz w:val="24"/>
        </w:rPr>
        <w:t xml:space="preserve">. From time to time the Manager may, but is not required to, effect additional Fiber Network Assets Transfers as additional Collateral for the Secured Obligations;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connection with each such Fiber Network Assets Transfer, (i) the Person that is the transferee with respect to the applicable Uniti Fiber Business Assets either (x) is an Asset Entity party hereto or (y) concurrently therewith, executes and delivers to the Administrative Agent, a Joinder Agreement to become an Assent Entity and party hereto as a Loan Party and (ii) immediately after giving effect thereto, the Manager’s reasonable estimate of the Aggregate Annualized Run Rate Revenue of the proposed additional Collateral, as delivered to the Administrative Agent by the Manager, shall be included on a Pro Forma Basis as “Aggregate Annualized Run Rate Revenue” for all purposes under this Agreement (including with respect to determining compliance with any Leverage Ratio or DSCR test hereunder). In connection with any such addition, the Manager may designate one or more additional Uniti OpCos to act as shared infrastructure asset companies in connection with the operation of the related additional Uniti Fiber Business Assets, in which case the Loan Parties may enter into shared infrastructure services agreements and shared infrastructure management agreements on terms substantially similar to (to the extent applicable) the Management Agreement or otherwise reasonably acceptable to the Borrower with respect to shared infrastructure assets relating to such additional Uniti Fiber Business Assets.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Retained Collections Contributions</w:t>
      </w:r>
      <w:r>
        <w:rPr>
          <w:rFonts w:ascii="Times New Roman;sans-serif" w:hAnsi="Times New Roman;sans-serif"/>
          <w:b w:val="false"/>
          <w:color w:val="000000"/>
          <w:sz w:val="24"/>
        </w:rPr>
        <w:t xml:space="preserve">. The Borrower may designate (x) cash capital contributions made to any Loan Party at any time by the Manager or any Uniti OpCo or Affiliate thereof or (y) any amount allocated under clause </w:t>
      </w:r>
      <w:r>
        <w:rPr>
          <w:rFonts w:ascii="Times New Roman;sans-serif" w:hAnsi="Times New Roman;sans-serif"/>
          <w:b w:val="false"/>
          <w:color w:val="000000"/>
          <w:sz w:val="24"/>
          <w:u w:val="single"/>
        </w:rPr>
        <w:t>twelfth</w:t>
      </w:r>
      <w:r>
        <w:rPr>
          <w:color w:val="000000"/>
        </w:rPr>
        <w:t xml:space="preserve"> </w:t>
      </w:r>
      <w:r>
        <w:rPr>
          <w:rFonts w:ascii="Times New Roman;sans-serif" w:hAnsi="Times New Roman;sans-serif"/>
          <w:b w:val="false"/>
          <w:color w:val="000000"/>
          <w:sz w:val="24"/>
        </w:rPr>
        <w:t>of the Priority of Payments on any Payment Date that is retained by the Borrower and, in each case, deposited into the Collections Account, as a “</w:t>
      </w:r>
      <w:r>
        <w:rPr>
          <w:rFonts w:ascii="Times New Roman;sans-serif" w:hAnsi="Times New Roman;sans-serif"/>
          <w:b/>
          <w:color w:val="000000"/>
          <w:sz w:val="24"/>
        </w:rPr>
        <w:t>Retained Collections Contribution</w:t>
      </w:r>
      <w:r>
        <w:rPr>
          <w:color w:val="000000"/>
        </w:rPr>
        <w:t>”</w:t>
      </w:r>
      <w:r>
        <w:rPr>
          <w:rFonts w:ascii="Times New Roman;sans-serif" w:hAnsi="Times New Roman;sans-serif"/>
          <w:b w:val="false"/>
          <w:color w:val="000000"/>
          <w:sz w:val="24"/>
        </w:rPr>
        <w:t xml:space="preserve">. Any Retained Collections Contribution made following a Collection Period, but on or before the related Payment Date may, at the Borrower’s discretion as designated in the applicable Manager Report, be included in Aggregate Annualized Run Rate Revenue as of the related Determination Date (and, immediately after giving effect thereto, such amount of additional Aggregate Annualized Run Rate Revenue shall be included on a Pro Forma Basis as “Aggregate Annualized Run Rate Revenue” for all purposes under this Agreement (including with respect to determining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55345"/>
                <wp:effectExtent l="0" t="0" r="0" b="0"/>
                <wp:wrapNone/>
                <wp:docPr id="132" name="Frame13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compliance with the Financial Covenant or any other Leverage Ratio test hereunder)) so long as such amounts do not exceed (x) with respect to aggregate Retained Collections Contributions in any calendar month, the greater of (A) 15% of Aggregate Annualized Run Rate Revenue as of the last day of the immediately preceding calendar month and (B) $15,000,000 over any period of four (4) consecutive calendar quarters and (y) with respect to the aggregate amount of all Retained Collections Contributions after the Closing Date, the greater of (A) 25% of Aggregate Annualized Run Rate Revenue and (B) $21,000,000. Any Retained Collections Contributions will be part of Aggregate Annualized Run Rate Revenue for up to ninety (90) days from the related deposit date. Any Retained Collections Contribution will be required to be retained in a Controlled Account for no less than ninety (90) days after its related deposit date. Upon the expiration of such one-year period, the Borrower (or the Manager on its behalf) may instruct the Account Bank in writing to release the related Retained Collections Contributions from such Controlled Account and deposit such amount to the Facility Collections Account on the following Payment Date for application in accordance with the Priority of Payments on such Payment Date pursuant to the related Manager Report. For the avoidance of doubt, Retained Collections Contributions will not be annualized. </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III.    FEES AND OTHER CHARGES</w:t>
      </w:r>
    </w:p>
    <w:p>
      <w:pPr>
        <w:pStyle w:val="TextBody"/>
        <w:bidi w:val="0"/>
        <w:spacing w:lineRule="auto" w:line="288" w:before="0" w:after="240"/>
        <w:ind w:left="0" w:right="0" w:firstLine="720"/>
        <w:jc w:val="both"/>
        <w:rPr/>
      </w:pPr>
      <w:r>
        <w:rPr>
          <w:rFonts w:ascii="Times New Roman;sans-serif" w:hAnsi="Times New Roman;sans-serif"/>
          <w:b/>
          <w:color w:val="000000"/>
          <w:sz w:val="24"/>
        </w:rPr>
        <w:t>3.1    [Reserved]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3.2    Yield Protection and Illegality</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Increased Costs; Capital Adequacy</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If any Change in Law shall (A) impose, modify or deem applicable any reserve, special deposit or similar requirement against assets of, deposits with or for the account of, or credit extended by, any Lender or (B) subject any Lender to any Taxes (other than (x) Taxes indemnified pursuant to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xml:space="preserve">, (y) Taxes that are excluded from indemnification by reason of </w:t>
      </w:r>
      <w:r>
        <w:rPr>
          <w:rFonts w:ascii="Times New Roman;sans-serif" w:hAnsi="Times New Roman;sans-serif"/>
          <w:b w:val="false"/>
          <w:color w:val="000000"/>
          <w:sz w:val="24"/>
          <w:u w:val="single"/>
        </w:rPr>
        <w:t>Section 13.8(g)</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w:t>
      </w:r>
      <w:r>
        <w:rPr>
          <w:rFonts w:ascii="Times New Roman;sans-serif" w:hAnsi="Times New Roman;sans-serif"/>
          <w:b w:val="false"/>
          <w:color w:val="000000"/>
          <w:sz w:val="24"/>
        </w:rPr>
        <w:t>, or (z) any Connection Income Taxes on its loans, loan principal, letters of credit, commitments, or other obligations, or its deposits, reserves, other liabilities or capital attributable thereto, and the result of any of the foregoing shall be to increase the cost to such Lender of making or maintaining the Term Loans (or of maintaining its obligation to make any such Term Loans) or to reduce the amount of any sum received or receivable by such Lender hereunder (whether of principal, interest or otherwise), Borrower shall pay to such Lender such additional amount or amounts as will compensate such Lender for such additional costs incurred or reduction suffered.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If any Lender determines that any Change in Law regarding capital requirements has or would have the effect of reducing the rate of return on such Lender’s capital or on the capital of such Lender’s holding company, if any, as a consequence of this Agreement or the Term Loans made by such Lender to a level below that which such Lender or such Lender’s holding company, as applicable, could have achieved but for such Change in Law (taking into consideration such Lender’s policies and the policies of such Lender’s holding company, as applicable, with respect to capital adequacy), then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55345"/>
                <wp:effectExtent l="0" t="0" r="0" b="0"/>
                <wp:wrapNone/>
                <wp:docPr id="133" name="Frame13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from time to time, Borrower will pay to such Lender such additional amount or amounts as will compensate such Lender’s or such Lender’s holding company, as applicable, for any such reduction suffered.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A certificate of a Lender setting forth the amount or amounts necessary to compensate such Lender or such Lender’s holding company, as the case may be, as specified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shall be delivered to Borrower (with a copy to the Administrative Agent) and shall be conclusive absent manifest error. Borrower shall pay such Lender the amount shown as due on any such certificate within ten (10) days after receipt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 respect to any notice given to the Borrower under this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the Borrower shall not be under any obligation to pay any amount with respect to any period prior to the date that is nine (9) months prior to such notice;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further, if the Change in Law giving rise to such Increased Costs is retroactive, then the nine-month period referred to above shall be extended to include the period of retroactive effect thereof. A Lender will, within a reasonable period of time after the officer of such Lender having primary responsibility for administering the Loan becomes aware of the occurrence of an event or the existence of a condition that would entitle such Lender to receive payments under this </w:t>
      </w: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 xml:space="preserve">, to avoid or reduce any increased or additional costs or any other amounts payable by Borrowers under this </w:t>
      </w: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 xml:space="preserve">, to the extent not inconsistent with the internal policies of such Lender and any applicable legal or regulatory restrictions, use reasonable efforts to (i) make, issue, fund or maintain its portion of the Term Loan through another office of such Lender, or (ii) take such other measures as such Lender may deem reasonable, if as a result thereof the circumstances which would cause the additional amounts which would otherwise be required to be paid to such Lender pursuant to this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to be materially reduced and if, as determined by such Lender in its reasonable discretion, the making, issuing, funding or maintaining of its portion of the Term Loan through such other office or in accordance with such other measures, as the case may be, would not otherwise adversely affect the interests of such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Failure or delay on the part of any Lender to demand compensation pursuant to this </w:t>
      </w:r>
      <w:r>
        <w:rPr>
          <w:rFonts w:ascii="Times New Roman;sans-serif" w:hAnsi="Times New Roman;sans-serif"/>
          <w:b w:val="false"/>
          <w:color w:val="000000"/>
          <w:sz w:val="24"/>
          <w:u w:val="single"/>
        </w:rPr>
        <w:t>Section 3.2(a)</w:t>
      </w:r>
      <w:r>
        <w:rPr>
          <w:color w:val="000000"/>
        </w:rPr>
        <w:t xml:space="preserve"> </w:t>
      </w:r>
      <w:r>
        <w:rPr>
          <w:rFonts w:ascii="Times New Roman;sans-serif" w:hAnsi="Times New Roman;sans-serif"/>
          <w:b w:val="false"/>
          <w:color w:val="000000"/>
          <w:sz w:val="24"/>
        </w:rPr>
        <w:t xml:space="preserve">shall not constitute a waiver of such Lender’s right to demand such compensation;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Borrower shall not be required to compensate any Lender pursuant to this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for any increased costs or reductions or other amounts suffered more than sixty (60) days prior to the date that such Lender notifies Borrower of the event or the existence of a condition that would entitle such Lender to receive payments under this </w:t>
      </w:r>
      <w:r>
        <w:rPr>
          <w:rFonts w:ascii="Times New Roman;sans-serif" w:hAnsi="Times New Roman;sans-serif"/>
          <w:b w:val="false"/>
          <w:color w:val="000000"/>
          <w:sz w:val="24"/>
          <w:u w:val="single"/>
        </w:rPr>
        <w:t>Section 3.2</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xml:space="preserve">. If any Lender determines that any Applicable Law has made it unlawful, or that any Governmental Authority has asserted that it is unlawful, for such Lender to continue to make Term Loans or to determine or charge interest rates based upon the Term SOFR Reference Rate, such Lender shall give notice thereof to Borrower through Administrative Agent. Upon Receipt of such notice, Borrower shall, upon demand from such Lender (with a copy to Administrative Agent), either (i) prepay in full all Term Loans owing to such Lender, either on the next succeeding Payment Date in respect of thereof, if such Lender may lawfully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55345"/>
                <wp:effectExtent l="0" t="0" r="0" b="0"/>
                <wp:wrapNone/>
                <wp:docPr id="134" name="Frame13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continue to maintain Term Loans until such date, or immediately, if such Lender may not lawfully continue to do so, or (ii) at the option of Borrower, pay interest on such Lender’s Term Loans at a rate per annum equal to the Base Rate (determined without giving effect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thereof) (taking into account any increased cost to such Lender of continuing to maintain Term Loans). Upon any such prepayment, Borrower shall also pay accrued interest on the amount so prepaid, but such prepayment shall not be subject to any prepayment penalty or fee.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Inability to Determine Rates</w:t>
      </w:r>
      <w:r>
        <w:rPr>
          <w:rFonts w:ascii="Times New Roman;sans-serif" w:hAnsi="Times New Roman;sans-serif"/>
          <w:b w:val="false"/>
          <w:color w:val="000000"/>
          <w:sz w:val="24"/>
        </w:rPr>
        <w:t xml:space="preserve">. If (x) Administrative Agent determines that for any reason adequate and reasonable means do not exist (other than as a result of a Benchmark Transition Event in respect of which a Benchmark Replacement for Term SOFR has been implemented in accordance with the terms hereof) for determining Term SOFR for any period for any Term Loans, or (y) the Requisite Lenders determine that Term SOFR with respect to any period for any Term Loans does not adequately and fairly reflect the cost to the Lenders of maintaining such Term Loans, Administrative Agent will promptly so notify Borrower and each Lender. Thereafter, the Term Loans shall bear interest at the Base Rate (determined without giving effect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thereof) until Administrative Agent determines (or, in the case of </w:t>
      </w:r>
      <w:r>
        <w:rPr>
          <w:rFonts w:ascii="Times New Roman;sans-serif" w:hAnsi="Times New Roman;sans-serif"/>
          <w:b w:val="false"/>
          <w:color w:val="000000"/>
          <w:sz w:val="24"/>
          <w:u w:val="single"/>
        </w:rPr>
        <w:t>clause (y)</w:t>
      </w:r>
      <w:r>
        <w:rPr>
          <w:rFonts w:ascii="Times New Roman;sans-serif" w:hAnsi="Times New Roman;sans-serif"/>
          <w:b w:val="false"/>
          <w:color w:val="000000"/>
          <w:sz w:val="24"/>
        </w:rPr>
        <w:t>, the Requisite Lenders determine) that the conditions giving rise to such change no longer exist.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Funding Losses</w:t>
      </w:r>
      <w:r>
        <w:rPr>
          <w:rFonts w:ascii="Times New Roman;sans-serif" w:hAnsi="Times New Roman;sans-serif"/>
          <w:b w:val="false"/>
          <w:color w:val="000000"/>
          <w:sz w:val="24"/>
        </w:rPr>
        <w:t xml:space="preserve">. Upon demand, from time to time, of any Lender (with a copy to Administrative Agent), Borrower shall promptly compensate such Lender for, and hold such Lender harmless from, any loss and any cost or expense incurred by it as a result of any payment or prepayment of any Term Loan (whether by reason of acceleration or otherwise) on a day other than a Payment Date, the Maturity Date, or on the date specified in a notice of prepayment issued in accordance with </w:t>
      </w:r>
      <w:r>
        <w:rPr>
          <w:rFonts w:ascii="Times New Roman;sans-serif" w:hAnsi="Times New Roman;sans-serif"/>
          <w:b w:val="false"/>
          <w:color w:val="000000"/>
          <w:sz w:val="24"/>
          <w:u w:val="single"/>
        </w:rPr>
        <w:t>Section 2.7(c)</w:t>
      </w:r>
      <w:r>
        <w:rPr>
          <w:rFonts w:ascii="Times New Roman;sans-serif" w:hAnsi="Times New Roman;sans-serif"/>
          <w:b w:val="false"/>
          <w:color w:val="000000"/>
          <w:sz w:val="24"/>
        </w:rPr>
        <w:t xml:space="preserve">, including any loss or expense arising from the liquidation or reemployment of funds obtained by it to purchase, hold or make Term Loans or from fees payable to terminate the deposits from which such funds were obtained. For purposes of calculating amounts payable by Borrower to any Lender under this </w:t>
      </w:r>
      <w:r>
        <w:rPr>
          <w:rFonts w:ascii="Times New Roman;sans-serif" w:hAnsi="Times New Roman;sans-serif"/>
          <w:b w:val="false"/>
          <w:color w:val="000000"/>
          <w:sz w:val="24"/>
          <w:u w:val="single"/>
        </w:rPr>
        <w:t>Section 3.2(d)</w:t>
      </w:r>
      <w:r>
        <w:rPr>
          <w:rFonts w:ascii="Times New Roman;sans-serif" w:hAnsi="Times New Roman;sans-serif"/>
          <w:b w:val="false"/>
          <w:color w:val="000000"/>
          <w:sz w:val="24"/>
        </w:rPr>
        <w:t xml:space="preserve">, such Lender shall be deemed to have funded Term Loans at the Applicable Margin thereto by a matching deposit or other borrowing for a comparable amount and for a comparable period, whether or not the Term Loans were in fact so funded; in each case,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Lender delivers to Borrower (with a copy to the Administrative Agent) a certificate showing in reasonable detail the calculations used in determining the amounts payable by the Borrower under this </w:t>
      </w:r>
      <w:r>
        <w:rPr>
          <w:rFonts w:ascii="Times New Roman;sans-serif" w:hAnsi="Times New Roman;sans-serif"/>
          <w:b w:val="false"/>
          <w:color w:val="000000"/>
          <w:sz w:val="24"/>
          <w:u w:val="single"/>
        </w:rPr>
        <w:t>Section 3.2(d)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3.3    Fees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Closing Fee</w:t>
      </w:r>
      <w:r>
        <w:rPr>
          <w:rFonts w:ascii="Times New Roman;sans-serif" w:hAnsi="Times New Roman;sans-serif"/>
          <w:b w:val="false"/>
          <w:color w:val="000000"/>
          <w:sz w:val="24"/>
        </w:rPr>
        <w:t xml:space="preserve">. On the Closing Date, the Borrower agrees to pay to each Lender that provides a Commitment on the Effective Date and funds a Closing Date Loan, an upfront fee equal to 1.25% of the stated principal amount of such Lender’s Commitments in respect of the Facility as of the Closing Date (it being understood and agreed that, (i) such upfront fees will be fully earned and due and payable on, and subject to the occurrence of, the Closing Date, (ii) such upfront fee may, at the option of the Borrower in consultation with the applicable Lender, be structured as original issue discount or upfront fee and (iii) such upfront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55345"/>
                <wp:effectExtent l="0" t="0" r="0" b="0"/>
                <wp:wrapNone/>
                <wp:docPr id="135" name="Frame13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fees shall be payable with the proceeds of the Closing Date Loans (and the Closing Date Loans may be net funded on the Closing Date to account for such fees).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Administrative Agent Fees</w:t>
      </w:r>
      <w:r>
        <w:rPr>
          <w:rFonts w:ascii="Times New Roman;sans-serif" w:hAnsi="Times New Roman;sans-serif"/>
          <w:b w:val="false"/>
          <w:color w:val="000000"/>
          <w:sz w:val="24"/>
        </w:rPr>
        <w:t>.    The Borrower agrees to pay to the Administrative Agent, for its own account, fees payable in the amounts and at the times set forth in the Administrative Agent Fee Letter.</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IV.    CONDITIONS PRECEDENT</w:t>
      </w:r>
    </w:p>
    <w:p>
      <w:pPr>
        <w:pStyle w:val="TextBody"/>
        <w:bidi w:val="0"/>
        <w:spacing w:lineRule="auto" w:line="288" w:before="0" w:after="240"/>
        <w:ind w:left="0" w:right="0" w:firstLine="720"/>
        <w:jc w:val="both"/>
        <w:rPr/>
      </w:pPr>
      <w:r>
        <w:rPr>
          <w:rFonts w:ascii="Times New Roman;sans-serif" w:hAnsi="Times New Roman;sans-serif"/>
          <w:b/>
          <w:color w:val="000000"/>
          <w:sz w:val="24"/>
        </w:rPr>
        <w:t>4.1    Closing Date</w:t>
      </w:r>
      <w:r>
        <w:rPr>
          <w:rFonts w:ascii="Times New Roman;sans-serif" w:hAnsi="Times New Roman;sans-serif"/>
          <w:b w:val="false"/>
          <w:color w:val="000000"/>
          <w:sz w:val="24"/>
        </w:rPr>
        <w:t>. The obligation of each Lender to fund its Closing Date Loans shall become effective on the first date on which each of the following conditions precedent are satisfied (or waived) to the satisfaction of 100% of the Lenders (such date, the “</w:t>
      </w:r>
      <w:r>
        <w:rPr>
          <w:rFonts w:ascii="Times New Roman;sans-serif" w:hAnsi="Times New Roman;sans-serif"/>
          <w:b/>
          <w:color w:val="000000"/>
          <w:sz w:val="24"/>
        </w:rPr>
        <w:t>Closing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subject to the last paragraph of this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the Facility Agent (or its counsel) and the Administrative Agent (or its counsel) shall have received fully executed copies of this Agreement and each other Closing Date Transaction Document;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subject to the last paragraph of this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the Facility Agent (or its counsel) shall have received (i) a report of UCC financing statement, tax, judgment and litigation Lien searches performed with respect to each Loan Party in such Loan Party’s jurisdiction of incorporation, organization or formation, as applicable, and/or the State(s) of operation of the relevant Fiber Networks, and such report shall show no Liens on the Collateral (other than Permitted Liens) and (ii) each document (including, without limitation, drafts of any UCC financing statement) required by any Closing Date Transaction Document to be filed, registered or recorded to create, in favor of the Administrative Agent, for the benefit of itself and the Lenders, a first priority and perfected security interest upon the Collateral that constitutes personal property and a perfected security interest upon the Collateral that constitutes fixtures;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the Facility Agent (or its counsel) shall have received a certificate of (or on behalf of) each Loan Party, dated on or prior to the Closing Date and executed by a secretary, assistant secretary or other senior officer (as the case may be) thereof, which shall (i) certify that attached thereto is a true and complete copy of each Organizational Document of each applicable Loan Party, certified by the appropriate governmental office; (ii) identify by name and title and bear the signatures of (x) the officers, managers, directors or authorized signatories of such Loan Party authorized to sign the applicable Transaction Documents to which it is a party on the Closing Date and/or (y) the individuals to whom such officers, managers, directors or other authorized signatories of such Loan Party have granted powers of attorney to sign such Transaction Documents; (iii) certify that attached thereto is a true and complete copy of the resolutions (or other evidence of authorization acceptable to the Facility Agent) of the board of directors or similar governing body of each such Loan Party approving and authorizing the execution, delivery and performance of this Agreement and the other Transaction Documents to which it is a party, and that such resolutions (or other evidence of authorization) have not been modified, rescinded or amended (other than as attached thereto) and are in full force and effect as of the Closing Date; and (iv) attach thereto a good standing certificate for each applicable Loan Party as of a recent date from the applicable Governmental Authority of such Loan Party’s jurisdiction of incorporation, organization or 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55345"/>
                <wp:effectExtent l="0" t="0" r="0" b="0"/>
                <wp:wrapNone/>
                <wp:docPr id="136" name="Frame13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(d)    the Facility Agent (or its counsel) shall have received a customary written opinion of (i) Davis Polk &amp; Wardwell LLP, in its capacity as special New York counsel to the Loan Parties and (ii) </w:t>
      </w:r>
      <w:r>
        <w:rPr>
          <w:rFonts w:ascii="Times New Roman;sans-serif" w:hAnsi="Times New Roman;sans-serif"/>
          <w:b w:val="false"/>
          <w:color w:val="000000"/>
          <w:sz w:val="24"/>
          <w:shd w:fill="FFFFFF" w:val="clear"/>
        </w:rPr>
        <w:t>Morris, Nichols, Arsht &amp; Tunnell LLP, in its capacity as Delaware counsel for the Loan Parties</w:t>
      </w:r>
      <w:r>
        <w:rPr>
          <w:rFonts w:ascii="Times New Roman;sans-serif" w:hAnsi="Times New Roman;sans-serif"/>
          <w:b w:val="false"/>
          <w:color w:val="000000"/>
          <w:sz w:val="24"/>
        </w:rPr>
        <w:t>, in each case, (x) dated as of the Closing Date and addressed to the Administrative Agent and the Lenders and (y) substantially consistent with the form and substance of legal opinions most recently delivered to the lenders pursuant to the Uniti OpCo Credit Agreement (including as to matters with respect to non-contravention with the Uniti OpCo Credit Agreement and the Uniti Notes Indentures) or otherwise in substance reasonably satisfactory to the Facility Agent;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(e)    immediately after giving effect to the initial borrowing of the Loans hereunder, no “Default” or “Event of Default” (each as defined in the Uniti OpCo Credit Agreement) shall have occurred or be continuing under the Uniti OpCo Credit Agreement and the Uniti Note Indentures on account of the consummation of the Transactions;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(f)    prior to (or substantially concurrently with) the initial funding of the Loans hereunder, the Administrative Agent and the Lenders shall have received (i) all fees required to be paid by the Borrower on or prior to the Closing Date pursuant to the Transaction Documents (including pursuant to </w:t>
      </w:r>
      <w:r>
        <w:rPr>
          <w:rFonts w:ascii="Times New Roman;sans-serif" w:hAnsi="Times New Roman;sans-serif"/>
          <w:b w:val="false"/>
          <w:color w:val="000000"/>
          <w:sz w:val="24"/>
          <w:u w:val="single"/>
        </w:rPr>
        <w:t xml:space="preserve">Section 3.3) </w:t>
      </w:r>
      <w:r>
        <w:rPr>
          <w:rFonts w:ascii="Times New Roman;sans-serif" w:hAnsi="Times New Roman;sans-serif"/>
          <w:b w:val="false"/>
          <w:color w:val="000000"/>
          <w:sz w:val="24"/>
        </w:rPr>
        <w:t>and (ii) all expenses required to be paid by the Borrower for which reasonably detailed invoices have been presented at least three (3) Business Days prior to the Closing Date (or such shorter period agreed among the Borrower and the applicable Lender or Administrative Agent) (including the reasonable and documented fees and expenses of Milbank LLP in its capacity as legal counsel for the Lenders and Arnold &amp; Porter Kaye Scholer LLP in its capacity as legal counsel for the Administrative Agent), in each case, which amounts, in the Borrower’s sole discretion, may be offset against the proceeds of the Loans (other than amounts consisting of fees and expenses owing to the Administrative Agent or its legal counsel) or may be paid from the proceeds of the Loans, and the Administrative Agent shall have received a fully executed copy of the Administrative Agent Fee Letter;</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    the Facility Agent (or its counsel) shall have received a customary written opinion of Davis Polk &amp; Wardwell LLP, in its capacity as special New York counsel to the Loan Parties, with respect to non-consolidation, true sale and contributions matters (limited to the Closing Date Fiber Network Assets Transfers, but not the IRU Agreements) in form and substance reasonably satisfactory to the Facility Agent;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(h)    the Facility Agent (or its counsel) shall have received a solvency certificate dated as of the Closing Date in substantially the form 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from the chief financial officer (or other officer with reasonably equivalent responsibilities) of Holdings or the Borrower certifying as to the matters set forth therein;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(i)    the Facility Agent (or its counsel) shall have received a risk retention letter agreement dated as of the Closing Date in substantially the form of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from Uniti Fiber OpCo Holdings (or an Affiliate thereof) (the “</w:t>
      </w:r>
      <w:r>
        <w:rPr>
          <w:rFonts w:ascii="Times New Roman;sans-serif" w:hAnsi="Times New Roman;sans-serif"/>
          <w:b/>
          <w:color w:val="000000"/>
          <w:sz w:val="24"/>
        </w:rPr>
        <w:t>Risk Retention Letter</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    the Administrative Agent (or its counsel) (for distribution by the Administrative Agent to the Lenders and each other Agent) shall have received a Borrowing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55345"/>
                <wp:effectExtent l="0" t="0" r="0" b="0"/>
                <wp:wrapNone/>
                <wp:docPr id="137" name="Frame13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Request from the Borrower for the Closing Date Loans in an aggregate amount not to exceed the Maximum Loan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for the avoidance of doubt, that the aggregate amount of the Closing Date Loans funded on the Closing Date may be reduced by the Borrower in its sole discretion in satisfaction of the condition set forth in this clause;</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(k)    the Facility Agent (or its counsel) (on behalf of the Lenders) and the Administrative Agent shall have received at least three (3) Business Days prior to the Closing Date (or such shorter period agreed among the Borrower and the applicable Lender or Administrative Agent), (x) all documentation and other information about the Loan Parties that is reasonably requested in writing by the Administrative Agent and the Lenders at least ten (10) Business Days prior to the Closing Date (or such shorter period agreed among the Borrower and the applicable Lender or Administrative Agent) and is required by United States regulatory authorities under applicable “know your customer” and anti-money laundering rules and regulations, including without limitation Title III of the Patriot Act and (y) if the Borrower qualifies as a “legal entity customer” under the Beneficial Ownership Regulations, a Beneficial Ownership Certification (limited to a single LSTA form beneficial ownership certification) in relation to the Borrower, so long as such information is requested in writing at least ten (10) Business Days prior to the Closing Date (or such shorter period agreed among the Borrower and the applicable Lender or Administrative Agent);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(l)    on or prior to the Closing Date, pursuant to (i) that certain Credit Agreement, dated as of April 24, 2015, by and among the OpCo Parent, as holdings and parent guarantor, Uniti Group LP, a Delaware limited partnership (the “</w:t>
      </w:r>
      <w:r>
        <w:rPr>
          <w:rFonts w:ascii="Times New Roman;sans-serif" w:hAnsi="Times New Roman;sans-serif"/>
          <w:b/>
          <w:color w:val="000000"/>
          <w:sz w:val="24"/>
        </w:rPr>
        <w:t>Assumed OpCo Borrower</w:t>
      </w:r>
      <w:r>
        <w:rPr>
          <w:color w:val="000000"/>
        </w:rPr>
        <w:t>”</w:t>
      </w:r>
      <w:r>
        <w:rPr>
          <w:rFonts w:ascii="Times New Roman;sans-serif" w:hAnsi="Times New Roman;sans-serif"/>
          <w:b w:val="false"/>
          <w:color w:val="000000"/>
          <w:sz w:val="24"/>
        </w:rPr>
        <w:t>), Uniti Group Finance 2019 Inc. (f/k/a Uniti Group Finance Inc.), a Delaware corporation (“</w:t>
      </w:r>
      <w:r>
        <w:rPr>
          <w:rFonts w:ascii="Times New Roman;sans-serif" w:hAnsi="Times New Roman;sans-serif"/>
          <w:b/>
          <w:color w:val="000000"/>
          <w:sz w:val="24"/>
        </w:rPr>
        <w:t>OpCo FinCo</w:t>
      </w:r>
      <w:r>
        <w:rPr>
          <w:color w:val="000000"/>
        </w:rPr>
        <w:t>”</w:t>
      </w:r>
      <w:r>
        <w:rPr>
          <w:rFonts w:ascii="Times New Roman;sans-serif" w:hAnsi="Times New Roman;sans-serif"/>
          <w:b w:val="false"/>
          <w:color w:val="000000"/>
          <w:sz w:val="24"/>
        </w:rPr>
        <w:t>), CSL Capital, LLC (“</w:t>
      </w:r>
      <w:r>
        <w:rPr>
          <w:rFonts w:ascii="Times New Roman;sans-serif" w:hAnsi="Times New Roman;sans-serif"/>
          <w:b/>
          <w:color w:val="000000"/>
          <w:sz w:val="24"/>
        </w:rPr>
        <w:t>CSL Capital</w:t>
      </w:r>
      <w:r>
        <w:rPr>
          <w:color w:val="000000"/>
        </w:rPr>
        <w:t xml:space="preserve">” </w:t>
      </w:r>
      <w:r>
        <w:rPr>
          <w:rFonts w:ascii="Times New Roman;sans-serif" w:hAnsi="Times New Roman;sans-serif"/>
          <w:b w:val="false"/>
          <w:color w:val="000000"/>
          <w:sz w:val="24"/>
        </w:rPr>
        <w:t>and, collectively with the Assumed OpCo Borrower and OpCo Finco, the “</w:t>
      </w:r>
      <w:r>
        <w:rPr>
          <w:rFonts w:ascii="Times New Roman;sans-serif" w:hAnsi="Times New Roman;sans-serif"/>
          <w:b/>
          <w:color w:val="000000"/>
          <w:sz w:val="24"/>
        </w:rPr>
        <w:t>Uniti</w:t>
      </w:r>
      <w:r>
        <w:rPr>
          <w:color w:val="000000"/>
        </w:rPr>
        <w:t xml:space="preserve"> </w:t>
      </w:r>
      <w:r>
        <w:rPr>
          <w:rFonts w:ascii="Times New Roman;sans-serif" w:hAnsi="Times New Roman;sans-serif"/>
          <w:b/>
          <w:color w:val="000000"/>
          <w:sz w:val="24"/>
        </w:rPr>
        <w:t>OpCo Borrowers</w:t>
      </w:r>
      <w:r>
        <w:rPr>
          <w:color w:val="000000"/>
        </w:rPr>
        <w:t>”</w:t>
      </w:r>
      <w:r>
        <w:rPr>
          <w:rFonts w:ascii="Times New Roman;sans-serif" w:hAnsi="Times New Roman;sans-serif"/>
          <w:b w:val="false"/>
          <w:color w:val="000000"/>
          <w:sz w:val="24"/>
        </w:rPr>
        <w:t>), the lenders party thereto from time to time and Bank of America, N.A., as administrative agent and collateral agent (as the same may be amended, restated, amended and restated, supplemented, waived or otherwise modified from time to time, the “</w:t>
      </w:r>
      <w:r>
        <w:rPr>
          <w:rFonts w:ascii="Times New Roman;sans-serif" w:hAnsi="Times New Roman;sans-serif"/>
          <w:b/>
          <w:color w:val="000000"/>
          <w:sz w:val="24"/>
        </w:rPr>
        <w:t>Uniti OpCo Credit Agreement</w:t>
      </w:r>
      <w:r>
        <w:rPr>
          <w:color w:val="000000"/>
        </w:rPr>
        <w:t>”</w:t>
      </w:r>
      <w:r>
        <w:rPr>
          <w:rFonts w:ascii="Times New Roman;sans-serif" w:hAnsi="Times New Roman;sans-serif"/>
          <w:b w:val="false"/>
          <w:color w:val="000000"/>
          <w:sz w:val="24"/>
        </w:rPr>
        <w:t>) and (ii) the various indentures in effect as of the Closing Date governing the notes issued by Uniti OpCo Parent, the Uniti OpCo Borrowers and/or their respective affiliates (collectively, the “</w:t>
      </w:r>
      <w:r>
        <w:rPr>
          <w:rFonts w:ascii="Times New Roman;sans-serif" w:hAnsi="Times New Roman;sans-serif"/>
          <w:b/>
          <w:color w:val="000000"/>
          <w:sz w:val="24"/>
        </w:rPr>
        <w:t>Uniti</w:t>
      </w:r>
      <w:r>
        <w:rPr>
          <w:color w:val="000000"/>
        </w:rPr>
        <w:t xml:space="preserve"> </w:t>
      </w:r>
      <w:r>
        <w:rPr>
          <w:rFonts w:ascii="Times New Roman;sans-serif" w:hAnsi="Times New Roman;sans-serif"/>
          <w:b/>
          <w:color w:val="000000"/>
          <w:sz w:val="24"/>
        </w:rPr>
        <w:t>Note Indentures</w:t>
      </w:r>
      <w:r>
        <w:rPr>
          <w:color w:val="000000"/>
        </w:rPr>
        <w:t>”</w:t>
      </w:r>
      <w:r>
        <w:rPr>
          <w:rFonts w:ascii="Times New Roman;sans-serif" w:hAnsi="Times New Roman;sans-serif"/>
          <w:b w:val="false"/>
          <w:color w:val="000000"/>
          <w:sz w:val="24"/>
        </w:rPr>
        <w:t>), the Uniti OpCo Borrowers (or their applicable affiliates) shall have designated each of the Loans Parties as an “Unrestricted Subsidiary” under, and as defined in, the Uniti OpCo Credit Agreement and such Uniti Note Indentures (to the extent applicable) (the foregoing transactions described in this clause, collectively, the “</w:t>
      </w:r>
      <w:r>
        <w:rPr>
          <w:rFonts w:ascii="Times New Roman;sans-serif" w:hAnsi="Times New Roman;sans-serif"/>
          <w:b/>
          <w:color w:val="000000"/>
          <w:sz w:val="24"/>
        </w:rPr>
        <w:t>UnSub Designations</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(m)    on or prior to the Closing Date, Uniti OpCo Parent and Uniti Fiber OpCo Holdings will, directly or indirectly, contribute, sell and/or otherwise transfer to the applicable Loan Parties (i) the Closing Date Contributed Contracts relating to the Uniti Fiber Business (but excluding, for the avoidance of doubt, E-Rate revenue, Intrastate Regulated Services revenue (Transport) and any Non-Regulated or Interstate customer revenue that requires consent for transfer) and (ii) Closing Date Contributed Equipment relating to the Uniti Fiber Business (but excluding, for the avoidance of doubt, core “Layer 1” equipment and shared “Layer 2” distribution and/or aggregation routers, access to which shall be governed by certain provisions as set forth in the Transaction Documents) (clauses (i) and (ii), collectively, the “</w:t>
      </w:r>
      <w:r>
        <w:rPr>
          <w:rFonts w:ascii="Times New Roman;sans-serif" w:hAnsi="Times New Roman;sans-serif"/>
          <w:b/>
          <w:color w:val="000000"/>
          <w:sz w:val="24"/>
        </w:rPr>
        <w:t xml:space="preserve">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55345"/>
                <wp:effectExtent l="0" t="0" r="0" b="0"/>
                <wp:wrapNone/>
                <wp:docPr id="138" name="Frame13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Fiber Network Assets Transfers</w:t>
      </w:r>
      <w:r>
        <w:rPr>
          <w:color w:val="000000"/>
        </w:rPr>
        <w:t>”</w:t>
      </w:r>
      <w:r>
        <w:rPr>
          <w:rFonts w:ascii="Times New Roman;sans-serif" w:hAnsi="Times New Roman;sans-serif"/>
          <w:b w:val="false"/>
          <w:color w:val="000000"/>
          <w:sz w:val="24"/>
        </w:rPr>
        <w:t>), which Closing Date Fiber Network Assets Transfers shall constitute permitted dispositions (or, failing that, permitted investments) under the Uniti OpCo Credit Agreement and the Uniti Note Indentures (to the extent applicable); and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(n)    on or prior to the Closing Date, the execution and delivery to the Facility Agent (or its counsel) of (i) the initial IRU Agreements, and which IRU Agreements shall constitute permitted dispositions (or, failing that, permitted investments) under the Uniti OpCo Credit Agreement and the Uniti Note Indentures (to the extent applicable)) and (ii) the Management Agreement for management of the Fiber Network and other services with respect to such Uniti Fiber Business Assets on the terms set forth therein.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For purposes of determining compliance with the conditions specified in this </w:t>
      </w:r>
      <w:r>
        <w:rPr>
          <w:rFonts w:ascii="Times New Roman;sans-serif" w:hAnsi="Times New Roman;sans-serif"/>
          <w:b w:val="false"/>
          <w:color w:val="000000"/>
          <w:sz w:val="24"/>
          <w:u w:val="single"/>
        </w:rPr>
        <w:t>Section 4.1</w:t>
      </w:r>
      <w:r>
        <w:rPr>
          <w:rFonts w:ascii="Times New Roman;sans-serif" w:hAnsi="Times New Roman;sans-serif"/>
          <w:b w:val="false"/>
          <w:color w:val="000000"/>
          <w:sz w:val="24"/>
        </w:rPr>
        <w:t>, each Lender that has delivered an executed signature page to this Agreement shall be deemed to have received, consented to, approved accepted or to be satisfied with, each document or other matter required thereunder to be received,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the foregoing or anything herein or in any other Transaction Document to the contrary, to the extent any lien search or, if applicable, Collateral (including the creation or perfection of any security interest) is not or cannot be provided on the Closing Date (other than, if applicable, the perfection of Liens on Collateral that may be perfected by the filing of financing statements under the UCC (including both “all assets” UCC-1 financing statements in the jurisdictions of organization of the Loan Parties and “transmitting utility” UCC financing statements in the jurisdiction of operation of the applicable Asset Entity) and the delivery of stock certificates of the Borrower and each Asset Entity (in each case, to the extent certificated) evidencing the Equity Interests required to be pledged pursuant to this Agreement with respect to which a Lien may be perfected by the delivery of a stock or equivalent certificate) after the Borrower’s use of commercially reasonable efforts to do so without undue burden or expense, then the provision of any such lien search and/or Collateral (including the creation or perfection of any security interest) shall not constitute a condition precedent to the availability or funding of the Closing Date Loans on the Closing Date, but may instead be provided within thirty (30) days after the Closing Date pursuant to arrangements reasonably acceptable to the Administrative Agent (acting at the direction of the Requisite Lenders) or the Requisite Lenders (including pursuant to </w:t>
      </w:r>
      <w:r>
        <w:rPr>
          <w:rFonts w:ascii="Times New Roman;sans-serif" w:hAnsi="Times New Roman;sans-serif"/>
          <w:b w:val="false"/>
          <w:color w:val="000000"/>
          <w:sz w:val="24"/>
          <w:u w:val="single"/>
        </w:rPr>
        <w:t>Section 6.20</w:t>
      </w:r>
      <w:r>
        <w:rPr>
          <w:rFonts w:ascii="Times New Roman;sans-serif" w:hAnsi="Times New Roman;sans-serif"/>
          <w:b w:val="false"/>
          <w:color w:val="000000"/>
          <w:sz w:val="24"/>
        </w:rPr>
        <w:t>), in each case subject to such extensions as are reasonably agreed by the Administrative Agent (acting at the direction of the Requisite Lenders) and/or the Requisite Lenders.</w:t>
      </w:r>
    </w:p>
    <w:p>
      <w:pPr>
        <w:pStyle w:val="TextBody"/>
        <w:bidi w:val="0"/>
        <w:spacing w:lineRule="auto" w:line="288" w:before="0" w:after="240"/>
        <w:ind w:left="0" w:right="0" w:firstLine="720"/>
        <w:jc w:val="both"/>
        <w:rPr/>
      </w:pPr>
      <w:r>
        <w:rPr>
          <w:rFonts w:ascii="Times New Roman;sans-serif" w:hAnsi="Times New Roman;sans-serif"/>
          <w:b/>
          <w:color w:val="000000"/>
          <w:sz w:val="24"/>
        </w:rPr>
        <w:t>4.2    Conditions Precedent to each Delayed Draw Loan</w:t>
      </w:r>
      <w:r>
        <w:rPr>
          <w:rFonts w:ascii="Times New Roman;sans-serif" w:hAnsi="Times New Roman;sans-serif"/>
          <w:b w:val="false"/>
          <w:color w:val="000000"/>
          <w:sz w:val="24"/>
        </w:rPr>
        <w:t>. The obligation of each Lender to make any Term Loan after the Closing Date is subject to the satisfaction, or waiver in accordance with the terms hereof, of the following conditions precedent: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No Default, Event of Default or Manager Termination Event will be occurring and continuing at the time of or immediately following such Term Loan;</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55345"/>
                <wp:effectExtent l="0" t="0" r="0" b="0"/>
                <wp:wrapNone/>
                <wp:docPr id="139" name="Frame13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(b)    immediately after giving effect to such Delayed Draw Loan, (x) the DSCR, calculated on a Pro Forma Basis, is greater than or equal to 1.75:1.00 and (y) the Leverage Ratio, calculated on a Pro Forma Basis, is less than or equal to 7.00:1.00;</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the Administrative Agent shall have received a Borrowing Request with respect to such Delayed Draw Loans; and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(d)    as of date of the funding of such Delayed Draw Loan, the representations and warranties made to the Administrative Agent or the Lenders by the Loan Parties contained herein and in the other Transaction Documents shall be true and correct in all material respects on and as of such date to the same extent as though made on and as of that date (unless any such representation and warranty is qualified as to materiality or Material Adverse Effect, in which case such representation and warranty is true and correct in all respects after giving effect to such qualifier), except to the extent such representations and warranties specifically relate to an earlier date, in which case such representations and warranties shall have been true and correct in all material respects on such date (unless any such representation and warranty is qualified as to materiality or Material Adverse Effect, in which case such representation and warranty is true and correct in all respects after giving effect to such qualifier).</w:t>
      </w:r>
    </w:p>
    <w:p>
      <w:pPr>
        <w:pStyle w:val="TextBody"/>
        <w:bidi w:val="0"/>
        <w:spacing w:lineRule="auto" w:line="288" w:before="0" w:after="24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V.    REPRESENTATIONS AND WARRANTIES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Loan Party, as applicable, represents and warrants to the Administrative Agent and each Lender, as of the Closing Date and each Credit Date, as follows: </w:t>
      </w:r>
    </w:p>
    <w:p>
      <w:pPr>
        <w:pStyle w:val="TextBody"/>
        <w:bidi w:val="0"/>
        <w:spacing w:lineRule="auto" w:line="288" w:before="0" w:after="240"/>
        <w:ind w:left="0" w:right="0" w:firstLine="720"/>
        <w:jc w:val="both"/>
        <w:rPr/>
      </w:pPr>
      <w:r>
        <w:rPr>
          <w:rFonts w:ascii="Times New Roman;sans-serif" w:hAnsi="Times New Roman;sans-serif"/>
          <w:b/>
          <w:color w:val="000000"/>
          <w:sz w:val="24"/>
        </w:rPr>
        <w:t>5.1    Organization, Powers, Capitalization, Good Standing, Business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Organization and Powers</w:t>
      </w:r>
      <w:r>
        <w:rPr>
          <w:rFonts w:ascii="Times New Roman;sans-serif" w:hAnsi="Times New Roman;sans-serif"/>
          <w:b w:val="false"/>
          <w:color w:val="000000"/>
          <w:sz w:val="24"/>
        </w:rPr>
        <w:t>. It is duly organized, validly existing and in good standing under the law of the jurisdiction in which such entity was organized and has the power and authority to execute, deliver and perform its obligations under each Transaction Document that it has entered into.</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Qualification</w:t>
      </w:r>
      <w:r>
        <w:rPr>
          <w:rFonts w:ascii="Times New Roman;sans-serif" w:hAnsi="Times New Roman;sans-serif"/>
          <w:b w:val="false"/>
          <w:color w:val="000000"/>
          <w:sz w:val="24"/>
        </w:rPr>
        <w:t>. It is duly qualified and in good standing in each jurisdiction where necessary to carry on its present businesses and operations, except in jurisdictions in which the failure to be qualified and in good standing has not had and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5.2    Authorization of Borrowing, Authority, etc.</w:t>
      </w:r>
      <w:r>
        <w:rPr>
          <w:rFonts w:ascii="Times New Roman;sans-serif" w:hAnsi="Times New Roman;sans-serif"/>
          <w:b w:val="false"/>
          <w:color w:val="000000"/>
          <w:sz w:val="24"/>
        </w:rPr>
        <w:t>. It has the power and authority to incur or guarantee the Indebtedness evidenced by this Agreement. The execution, delivery and performance by it of the Transaction Documents to which it is a party and the consummation of the transactions contemplated thereby have been duly authorized by all necessary limited liability company, corporate or other action, as the case may be.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 Conflict</w:t>
      </w:r>
      <w:r>
        <w:rPr>
          <w:rFonts w:ascii="Times New Roman;sans-serif" w:hAnsi="Times New Roman;sans-serif"/>
          <w:b w:val="false"/>
          <w:color w:val="000000"/>
          <w:sz w:val="24"/>
        </w:rPr>
        <w:t xml:space="preserve">. The execution, delivery and performance by it of the Transaction Documents to which each is a party and the consummation of the transactions contemplated thereby do not: (1) contravene (x) any provision of its applicable Organizational Documents, (y) any provision of law applicable to it (except where such violation will not cause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55345"/>
                <wp:effectExtent l="0" t="0" r="0" b="0"/>
                <wp:wrapNone/>
                <wp:docPr id="140" name="Frame14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Material Adverse Effect) or (z) any order, judgment or decree of any Governmental Authority binding on it or any of its property (except where such violation will not cause a Material Adverse Effect); (2) result in a breach of or constitute (with due notice or lapse of time or both) a default under any contractual obligation binding upon it or its property (except where such breach or default will not cause a Material Adverse Effect); or (3) result in or require the creation or imposition of any Lien (other than the Lien of the Transaction Documents or any other Permitted Lien) upon its assets.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Consents</w:t>
      </w:r>
      <w:r>
        <w:rPr>
          <w:rFonts w:ascii="Times New Roman;sans-serif" w:hAnsi="Times New Roman;sans-serif"/>
          <w:b w:val="false"/>
          <w:color w:val="000000"/>
          <w:sz w:val="24"/>
        </w:rPr>
        <w:t>. The execution and delivery by it of the Transaction Documents to which it is a party, and the consummation of the transactions contemplated thereby do not require any registration with, consent or approval of, or notice to, or other action to, with or by, any Governmental Authority or any other Person which has not been obtained or made and is in full force and effect, other than any of the foregoing the failure to have made or obtained which will not cause a Material Adverse Effect.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Binding Obligations</w:t>
      </w:r>
      <w:r>
        <w:rPr>
          <w:rFonts w:ascii="Times New Roman;sans-serif" w:hAnsi="Times New Roman;sans-serif"/>
          <w:b w:val="false"/>
          <w:color w:val="000000"/>
          <w:sz w:val="24"/>
        </w:rPr>
        <w:t xml:space="preserve">. This Agreement is, and each of the other Transaction Documents to which such Loan Party is a party, when executed and delivered by such Loan Party will be, the legally valid and binding obligation of such Loan Party, enforceable against it in accordance with its respective terms, subject to bankruptcy, insolvency, moratorium, reorganization and other similar laws affecting creditors’ rights. </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5.3    Fiber Network Assets </w:t>
      </w:r>
      <w:r>
        <w:rPr>
          <w:rFonts w:ascii="Times New Roman;sans-serif" w:hAnsi="Times New Roman;sans-serif"/>
          <w:b w:val="false"/>
          <w:color w:val="000000"/>
          <w:sz w:val="24"/>
        </w:rPr>
        <w:t xml:space="preserve">. Each of the Loan Parties has an interest in the Fiber Network Assets and the access rights granted pursuant to the IRU Agreements, held by it, free and clear of all Liens except for Permitted Liens. Upon the filing of appropriate financing statements with the office of the Secretary of State or other appropriate office of the state of organization of the applicable Loan Party, (i) a perfected security interest in all personal property constituting Article 9 Collateral in which a security interest is created and may be perfected by filing, recording or registering a financing statement or analogous document in such office will, upon such filing be a perfected first-priority security interests in and to such personal property in connection therewith and (ii) a perfected security interest in all fixtures constituting Collateral in which a security interest is created and may be perfected by filing, recording or registering a financing statement or analogous document in such office will, upon such filing be a perfected security interests in all such fixtures, in each case of (i) and (ii), subject only to Permitted Liens. There are (i) no proceedings in condemnation or eminent domain affecting any of the Fiber Network Assets, and to the Knowledge of the Loan Parties, none is threatened, that in either case would individually or in the aggregate cause a Material Adverse Effect, and (ii) no mechanic’s, materialman’s or other similar liens or claims which have been filed for work, labor or materials affecting the Fiber Network Assets the effect of which is reasonably likely to have a Material Adverse Effect. The Permitted Liens, in the aggregate, do not (w) materially interfere with the benefits of the security intended to be provided by the UCC financing statements and this Agreement, (x) materially and adversely affect the value of the Fiber Network Assets taken as a whole, (y) materially impair the use or operations of the Fiber Network Assets or (z) materially impair the Loan Parties’ ability to pay their respective obligations in a timely manner.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55345"/>
                <wp:effectExtent l="0" t="0" r="0" b="0"/>
                <wp:wrapNone/>
                <wp:docPr id="141" name="Frame14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5.4    Customer Contracts; Agreements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Customer Contracts; Agreements</w:t>
      </w:r>
      <w:r>
        <w:rPr>
          <w:rFonts w:ascii="Times New Roman;sans-serif" w:hAnsi="Times New Roman;sans-serif"/>
          <w:b w:val="false"/>
          <w:color w:val="000000"/>
          <w:sz w:val="24"/>
        </w:rPr>
        <w:t>. The Loan Parties have delivered to the Lenders (i) true and complete copies (in all material respects) of all Material Customer Contracts as in effect on the Closing Date and (ii) a list of all Material Agreements affecting the operation and management of the Fiber Network Assets as in effect on the Closing Date, and such Material Customer Contracts and Material Agreements have not been modified or amended, except pursuant to amendments or modifications made available to the Administrative Agent. Except for the rights of the Manager pursuant to the Management Agreement, no Person has any right or obligation to manage any of the Fiber Network Assets on behalf of the Loan Parties or to receive compensation in connection with such management. Except for the parties to any leasing brokerage agreement that has been delivered to the Administrative Agent, no Person (other than the Manager pursuant to the Management Agreement) has any right or obligation to enter into customer contracts for the Fiber Network Assets, or (except for cooperating outside brokers) to receive compensation in connection with such contracts.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Management Agreement</w:t>
      </w:r>
      <w:r>
        <w:rPr>
          <w:rFonts w:ascii="Times New Roman;sans-serif" w:hAnsi="Times New Roman;sans-serif"/>
          <w:b w:val="false"/>
          <w:color w:val="000000"/>
          <w:sz w:val="24"/>
        </w:rPr>
        <w:t>. The Borrower has delivered to the Administrative Agent a true and complete copy of the Management Agreement as in effect on the Closing Date, and such Management Agreement has not been modified or amended, except pursuant to amendments or modifications delivered to the Administrative Agent. The Management Agreement is in full force and effect and no default by any of the parties thereto exists thereunder.</w:t>
      </w:r>
    </w:p>
    <w:p>
      <w:pPr>
        <w:pStyle w:val="TextBody"/>
        <w:bidi w:val="0"/>
        <w:spacing w:lineRule="auto" w:line="288" w:before="0" w:after="240"/>
        <w:ind w:left="0" w:right="0" w:firstLine="720"/>
        <w:jc w:val="both"/>
        <w:rPr/>
      </w:pPr>
      <w:r>
        <w:rPr>
          <w:rFonts w:ascii="Times New Roman;sans-serif" w:hAnsi="Times New Roman;sans-serif"/>
          <w:b/>
          <w:color w:val="000000"/>
          <w:sz w:val="24"/>
        </w:rPr>
        <w:t>5.5    Litigation; Adverse Facts</w:t>
      </w:r>
      <w:r>
        <w:rPr>
          <w:rFonts w:ascii="Times New Roman;sans-serif" w:hAnsi="Times New Roman;sans-serif"/>
          <w:b w:val="false"/>
          <w:color w:val="000000"/>
          <w:sz w:val="24"/>
        </w:rPr>
        <w:t xml:space="preserve">. There are no judgments outstanding against the Loan Parties, or affecting any of the Fiber Network Assets or any property of the Loan Parties, nor to the Loan Parties’ Knowledge is there any action, charge, claim, demand, suit, proceeding, petition, governmental investigation or arbitration now pending or threatened against the Loan Parties, respectively, or any of the Fiber Network Assets that would, in the aggregate, reasonably be expected to result in a Material Adverse Effect. </w:t>
      </w:r>
    </w:p>
    <w:p>
      <w:pPr>
        <w:pStyle w:val="TextBody"/>
        <w:bidi w:val="0"/>
        <w:spacing w:lineRule="auto" w:line="288" w:before="0" w:after="240"/>
        <w:ind w:left="0" w:right="0" w:firstLine="720"/>
        <w:jc w:val="both"/>
        <w:rPr/>
      </w:pPr>
      <w:r>
        <w:rPr>
          <w:rFonts w:ascii="Times New Roman;sans-serif" w:hAnsi="Times New Roman;sans-serif"/>
          <w:b/>
          <w:color w:val="000000"/>
          <w:sz w:val="24"/>
        </w:rPr>
        <w:t>5.6    Payment of Taxes</w:t>
      </w:r>
      <w:r>
        <w:rPr>
          <w:rFonts w:ascii="Times New Roman;sans-serif" w:hAnsi="Times New Roman;sans-serif"/>
          <w:b w:val="false"/>
          <w:color w:val="000000"/>
          <w:sz w:val="24"/>
        </w:rPr>
        <w:t>. All federal, state, provincial, territorial, local and foreign tax returns and reports of the Borrower and each other Loan Party required to be filed have been timely filed (or each such Person has timely filed for an extension and the applicable extension has not expired), and all taxes, assessments, fees and other governmental charges (including any payments in lieu of taxes) upon such Persons and upon their respective properties, assets, income, profits, businesses and franchises which are due and payable have been timely paid except to the extent (i) the same are being contested in good faith by appropriate proceedings promptly instituted and diligently conducted and as to which adequate reserves are being maintained in accordance with GAAP or (ii) the effect of the failure to file such tax returns and reports or to pay such taxes, assessments, fees and other governmental charges would not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5.7    Performance of Agreements; No Material Adverse Effect</w:t>
      </w:r>
      <w:r>
        <w:rPr>
          <w:rFonts w:ascii="Times New Roman;sans-serif" w:hAnsi="Times New Roman;sans-serif"/>
          <w:b w:val="false"/>
          <w:color w:val="000000"/>
          <w:sz w:val="24"/>
        </w:rPr>
        <w:t xml:space="preserve">. To the Borrower’s Knowledge, (a) neither the Borrower nor the Loan Parties are in default in the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55345"/>
                <wp:effectExtent l="0" t="0" r="0" b="0"/>
                <wp:wrapNone/>
                <wp:docPr id="142" name="Frame14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observance or fulfillment of any of the obligations, covenants or conditions contained in any contractual obligation of any such Persons which would, in the aggregate, reasonably be expected to have a Material Adverse Effect; and (b) since the Closing Date, there has not been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5.8    Compliance with Law; ERISA</w:t>
      </w:r>
      <w:r>
        <w:rPr>
          <w:rFonts w:ascii="Times New Roman;sans-serif" w:hAnsi="Times New Roman;sans-serif"/>
          <w:b w:val="false"/>
          <w:color w:val="000000"/>
          <w:sz w:val="24"/>
        </w:rPr>
        <w:t xml:space="preserve">. Each Loan Party is in compliance with all material Applicable Laws except where failure to do so, in the aggregate, would not reasonably be expected to have a Material Adverse Effect. No Loan Party has received any notice that such Loan Party is not in material compliance in any respect with any of the requirements of any of the foregoing. No Loan Party has established, nor does it maintain or contribute to any “benefit plan” that is covered by Title IV of ERISA. </w:t>
      </w:r>
    </w:p>
    <w:p>
      <w:pPr>
        <w:pStyle w:val="TextBody"/>
        <w:bidi w:val="0"/>
        <w:spacing w:lineRule="auto" w:line="288" w:before="0" w:after="240"/>
        <w:ind w:left="0" w:right="0" w:firstLine="720"/>
        <w:jc w:val="both"/>
        <w:rPr/>
      </w:pPr>
      <w:r>
        <w:rPr>
          <w:rFonts w:ascii="Times New Roman;sans-serif" w:hAnsi="Times New Roman;sans-serif"/>
          <w:b/>
          <w:color w:val="000000"/>
          <w:sz w:val="24"/>
        </w:rPr>
        <w:t>5.9    Governmental Regulation</w:t>
      </w:r>
      <w:r>
        <w:rPr>
          <w:rFonts w:ascii="Times New Roman;sans-serif" w:hAnsi="Times New Roman;sans-serif"/>
          <w:b w:val="false"/>
          <w:color w:val="000000"/>
          <w:sz w:val="24"/>
        </w:rPr>
        <w:t>. None of Holdings, the Borrower or any other Loan Party is required to be registered as an “investment company” under the Investment Company Act of 1940, as amended from time to time. The Borrower does not constitute a “covered fund” within the meaning of the final regulations issued on December 10, 2013, implementing Section 619 of the Dodd-Frank Wall Street Reform and Consumer Protection Act, Pub. L. No. 111-203, 124 Stat. 1376 (2010), also known as the Volcker Rule.</w:t>
      </w:r>
    </w:p>
    <w:p>
      <w:pPr>
        <w:pStyle w:val="TextBody"/>
        <w:bidi w:val="0"/>
        <w:spacing w:lineRule="auto" w:line="288" w:before="0" w:after="240"/>
        <w:ind w:left="0" w:right="0" w:firstLine="720"/>
        <w:jc w:val="both"/>
        <w:rPr/>
      </w:pPr>
      <w:r>
        <w:rPr>
          <w:rFonts w:ascii="Times New Roman;sans-serif" w:hAnsi="Times New Roman;sans-serif"/>
          <w:b/>
          <w:color w:val="000000"/>
          <w:sz w:val="24"/>
        </w:rPr>
        <w:t>5.10    [Reserved]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5.11    Employee Benefit Plans</w:t>
      </w:r>
      <w:r>
        <w:rPr>
          <w:rFonts w:ascii="Times New Roman;sans-serif" w:hAnsi="Times New Roman;sans-serif"/>
          <w:b w:val="false"/>
          <w:color w:val="000000"/>
          <w:sz w:val="24"/>
        </w:rPr>
        <w:t>. The Loan Parties do not maintain or contribute to, or have any obligation (including any Contingent Obligation) under, any Employee Benefit Plans.</w:t>
      </w:r>
    </w:p>
    <w:p>
      <w:pPr>
        <w:pStyle w:val="TextBody"/>
        <w:bidi w:val="0"/>
        <w:spacing w:lineRule="auto" w:line="288" w:before="0" w:after="240"/>
        <w:ind w:left="0" w:right="0" w:firstLine="720"/>
        <w:jc w:val="both"/>
        <w:rPr/>
      </w:pPr>
      <w:r>
        <w:rPr>
          <w:rFonts w:ascii="Times New Roman;sans-serif" w:hAnsi="Times New Roman;sans-serif"/>
          <w:b/>
          <w:color w:val="000000"/>
          <w:sz w:val="24"/>
        </w:rPr>
        <w:t>5.12    Solvency</w:t>
      </w:r>
      <w:r>
        <w:rPr>
          <w:rFonts w:ascii="Times New Roman;sans-serif" w:hAnsi="Times New Roman;sans-serif"/>
          <w:b w:val="false"/>
          <w:color w:val="000000"/>
          <w:sz w:val="24"/>
        </w:rPr>
        <w:t xml:space="preserve">. On the Closing Date, after giving effect to the Transactions, Holdings and its Subsidiaries, on a consolidated basis, are Solvent;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representation shall be satisfied by delivery of the certificate described in </w:t>
      </w:r>
      <w:r>
        <w:rPr>
          <w:rFonts w:ascii="Times New Roman;sans-serif" w:hAnsi="Times New Roman;sans-serif"/>
          <w:b w:val="false"/>
          <w:color w:val="000000"/>
          <w:sz w:val="24"/>
          <w:u w:val="single"/>
        </w:rPr>
        <w:t>Section 4.1(h)</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5.13    Use of Proceeds and Margin Security</w:t>
      </w:r>
      <w:r>
        <w:rPr>
          <w:rFonts w:ascii="Times New Roman;sans-serif" w:hAnsi="Times New Roman;sans-serif"/>
          <w:b w:val="false"/>
          <w:color w:val="000000"/>
          <w:sz w:val="24"/>
        </w:rPr>
        <w:t>. No portion of the proceeds of the Term Loans shall be used by the Borrower or, to the Knowledge of the Borrower any other Person, to purchase or carry any “Margin Stock” (as such term is defined in Regulation U of the Board of Governors of the Federal Reserve System of the United States as from time to time in effect and all official rulings and interpretations thereunder or thereof) or to refinance any Indebtedness originally incurred for such purpose, or for any other purpose, in each case in a manner that constitutes a violation of the provisions of Regulations U or X of the Board of Governors.</w:t>
      </w:r>
    </w:p>
    <w:p>
      <w:pPr>
        <w:pStyle w:val="TextBody"/>
        <w:bidi w:val="0"/>
        <w:spacing w:lineRule="auto" w:line="288" w:before="0" w:after="240"/>
        <w:ind w:left="0" w:right="0" w:firstLine="720"/>
        <w:jc w:val="both"/>
        <w:rPr/>
      </w:pPr>
      <w:r>
        <w:rPr>
          <w:rFonts w:ascii="Times New Roman;sans-serif" w:hAnsi="Times New Roman;sans-serif"/>
          <w:b/>
          <w:color w:val="000000"/>
          <w:sz w:val="24"/>
        </w:rPr>
        <w:t>5.14    [Reserved]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5.15    Investments; Ownership of the Loan Parties</w:t>
      </w:r>
      <w:r>
        <w:rPr>
          <w:rFonts w:ascii="Times New Roman;sans-serif" w:hAnsi="Times New Roman;sans-serif"/>
          <w:b w:val="false"/>
          <w:color w:val="000000"/>
          <w:sz w:val="24"/>
        </w:rPr>
        <w:t>. The Loan Parties have no (i) direct or indirect Equity Interest in any other Person (other than any other Loan Party) or (ii) direct or indirect loan, advance or capital contribution to any other Person (other than another Loan Party or disclosed to the Administrative Agent in writing after the Closing Date). Schedule 5.15 (as may be updated from time to time by the Borrower to reflect any new Loan Parties) correctly sets forth (x) the direct holders of the ownership interests of the Borrower and each of the other Loan Parties and (y) the respective Subsidiaries of the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55345"/>
                <wp:effectExtent l="0" t="0" r="0" b="0"/>
                <wp:wrapNone/>
                <wp:docPr id="143" name="Frame14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5.16    Environmental Compliance</w:t>
      </w:r>
      <w:r>
        <w:rPr>
          <w:rFonts w:ascii="Times New Roman;sans-serif" w:hAnsi="Times New Roman;sans-serif"/>
          <w:b w:val="false"/>
          <w:color w:val="000000"/>
          <w:sz w:val="24"/>
        </w:rPr>
        <w:t>. Except to the extent the effect of the following representations not being true would not reasonably be expected to have a Material Adverse Effect: the Fiber Network Assets are in compliance with all applicable Environmental Laws; no written notice of violation of such Environmental Laws has been issued by any Governmental Authority which has not been resolved; and no Hazardous Materials are present at the Fiber Network Assets, except in quantities that do not violate applicable Environmental Laws.</w:t>
      </w:r>
    </w:p>
    <w:p>
      <w:pPr>
        <w:pStyle w:val="TextBody"/>
        <w:bidi w:val="0"/>
        <w:spacing w:lineRule="auto" w:line="288" w:before="0" w:after="240"/>
        <w:ind w:left="0" w:right="0" w:firstLine="720"/>
        <w:jc w:val="both"/>
        <w:rPr/>
      </w:pPr>
      <w:r>
        <w:rPr>
          <w:rFonts w:ascii="Times New Roman;sans-serif" w:hAnsi="Times New Roman;sans-serif"/>
          <w:b/>
          <w:color w:val="000000"/>
          <w:sz w:val="24"/>
        </w:rPr>
        <w:t>5.17    Anti-Corruption Laws and Sanctions</w:t>
      </w:r>
      <w:r>
        <w:rPr>
          <w:rFonts w:ascii="Times New Roman;sans-serif" w:hAnsi="Times New Roman;sans-serif"/>
          <w:b w:val="false"/>
          <w:color w:val="000000"/>
          <w:sz w:val="24"/>
        </w:rPr>
        <w:t>. (a)     None of the Loan Parties nor any director, officer, nor to their Knowledge, any agent, employee or Affiliate or other person acting on behalf of such Loan Party is currently the subject or the target of any sanctions administered or enforced by the Governments of the United States, United Kingdom, or European Union and any European Union member states, including, without limitation, the U.S. Department of the Treasury’s Office of Foreign Assets Control, the U.S. Department of State, His Majesty’s Treasury of the United Kingdom’s Office of Financial Sanctions Implementation (collectively, “</w:t>
      </w:r>
      <w:r>
        <w:rPr>
          <w:rFonts w:ascii="Times New Roman;sans-serif" w:hAnsi="Times New Roman;sans-serif"/>
          <w:b/>
          <w:color w:val="000000"/>
          <w:sz w:val="24"/>
        </w:rPr>
        <w:t>Sanctions</w:t>
      </w:r>
      <w:r>
        <w:rPr>
          <w:color w:val="000000"/>
        </w:rPr>
        <w:t>”</w:t>
      </w:r>
      <w:r>
        <w:rPr>
          <w:rFonts w:ascii="Times New Roman;sans-serif" w:hAnsi="Times New Roman;sans-serif"/>
          <w:b w:val="false"/>
          <w:color w:val="000000"/>
          <w:sz w:val="24"/>
        </w:rPr>
        <w:t>); nor is such relevant entity located, organized or resident in a country or territory which is the target of comprehensive country or territory-wide sanctions, which presently includes Iran, North Korea, Cuba, Crimea, Syria, Afghanistan, occupied territories in “Kherson” region of Ukraine, occupied territories in “Zaporizhzhia” region of Ukraine, the so-called Donetsk People’s Republic and the so-called Luhansk People’s Republic; the Borrower shall not directly or knowingly indirectly make payments in violation of Sanctions and the Loan Parties (or the Manager on their behalf) maintain policies and procedures designed to ensure, and which are reasonably expected to continue to ensure, compliance with Sanctions.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None of the Loan Parties nor any Affiliate, director, officer, manager, member, agent, employee or other person acting on behalf of such Loan Party, has in the past five (5) years (i) made any direct or, to the knowledge of any Loan Party, indirect unlawful payment to any domestic governmental official or “foreign official” (as defined in the U.S. Foreign Corrupt Practices Act of 1977, as amended, and the rules and regulations thereunder (collectively, the “</w:t>
      </w:r>
      <w:r>
        <w:rPr>
          <w:rFonts w:ascii="Times New Roman;sans-serif" w:hAnsi="Times New Roman;sans-serif"/>
          <w:b/>
          <w:color w:val="000000"/>
          <w:sz w:val="24"/>
        </w:rPr>
        <w:t>FCPA</w:t>
      </w:r>
      <w:r>
        <w:rPr>
          <w:color w:val="000000"/>
        </w:rPr>
        <w:t>”</w:t>
      </w:r>
      <w:r>
        <w:rPr>
          <w:rFonts w:ascii="Times New Roman;sans-serif" w:hAnsi="Times New Roman;sans-serif"/>
          <w:b w:val="false"/>
          <w:color w:val="000000"/>
          <w:sz w:val="24"/>
        </w:rPr>
        <w:t>)) in violation of the FCPA; (ii) violated or is in violation of any provision of the FCPA, the Bribery Act of 2010 of the United Kingdom or any applicable non-U.S. anti-bribery statute or regulation of any other jurisdiction in which it operates its business, including, in each case, the rules and regulations thereunder, in violation of such anti-bribery statutes or regulations; or (iii) made any bribe, rebate, payoff, influence payment, kickback or other unlawful payment in violation of the FCPA or applicable anti-bribery statutes or regulations; and the Loan Parties (or the Manager on their behalf) maintain policies and procedures designed to ensure, and which are reasonably expected to continue to ensure, compliance with the FCPA.</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The operations of the Loan Parties are and have been conducted at all times in compliance with applicable financial record-keeping and reporting requirements of the Currency and Foreign Transactions Reporting Act of 1970, as amended, the money laundering statutes of all applicable jurisdictions and the rules and regulations thereunder (collectively, the “Money Laundering Laws”) and no action, suit or proceeding by or before any court or governmental agency, authority or body or any arbitrator involving the any of the Loan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55345"/>
                <wp:effectExtent l="0" t="0" r="0" b="0"/>
                <wp:wrapNone/>
                <wp:docPr id="144" name="Frame14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Money Laundering Laws is pending or, to the knowledge of any Loan Party, threatened.</w:t>
      </w:r>
    </w:p>
    <w:p>
      <w:pPr>
        <w:pStyle w:val="TextBody"/>
        <w:bidi w:val="0"/>
        <w:spacing w:lineRule="auto" w:line="288" w:before="0" w:after="240"/>
        <w:ind w:left="0" w:right="0" w:firstLine="720"/>
        <w:jc w:val="both"/>
        <w:rPr/>
      </w:pPr>
      <w:r>
        <w:rPr>
          <w:rFonts w:ascii="Times New Roman;sans-serif" w:hAnsi="Times New Roman;sans-serif"/>
          <w:b/>
          <w:color w:val="000000"/>
          <w:sz w:val="24"/>
        </w:rPr>
        <w:t>5.18    Separate Legal Entity.</w:t>
      </w:r>
      <w:r>
        <w:rPr>
          <w:color w:val="000000"/>
        </w:rPr>
        <w:t xml:space="preserve"> </w:t>
      </w:r>
      <w:r>
        <w:rPr>
          <w:rFonts w:ascii="Times New Roman;sans-serif" w:hAnsi="Times New Roman;sans-serif"/>
          <w:b w:val="false"/>
          <w:color w:val="000000"/>
          <w:sz w:val="24"/>
        </w:rPr>
        <w:t>Each Loan Party hereby acknowledges that the Lenders are entering into the transactions contemplated by this Agreement and the other Transaction Documents in reliance upon such Loan Party’s identity as a legal entity separate from any other Person. Each Loan Party has taken all reasonable steps to continue Borrower’s identity as a separate legal entity and to make it apparent to third Persons that such Loan Party is an entity with assets and liabilities distinct from those of any other Person, and is not a division of any other Person.</w:t>
      </w:r>
    </w:p>
    <w:p>
      <w:pPr>
        <w:pStyle w:val="TextBody"/>
        <w:bidi w:val="0"/>
        <w:spacing w:lineRule="auto" w:line="288" w:before="0" w:after="240"/>
        <w:ind w:left="0" w:right="0" w:firstLine="720"/>
        <w:jc w:val="both"/>
        <w:rPr/>
      </w:pPr>
      <w:r>
        <w:rPr>
          <w:rFonts w:ascii="Times New Roman;sans-serif" w:hAnsi="Times New Roman;sans-serif"/>
          <w:b/>
          <w:color w:val="000000"/>
          <w:sz w:val="24"/>
        </w:rPr>
        <w:t>5.19    Financial Statements.</w:t>
      </w:r>
      <w:r>
        <w:rPr>
          <w:color w:val="000000"/>
        </w:rPr>
        <w:t xml:space="preserve"> </w:t>
      </w:r>
      <w:r>
        <w:rPr>
          <w:rFonts w:ascii="Times New Roman;sans-serif" w:hAnsi="Times New Roman;sans-serif"/>
          <w:b w:val="false"/>
          <w:color w:val="000000"/>
          <w:sz w:val="24"/>
        </w:rPr>
        <w:t xml:space="preserve">All financial statements which have been furnished by or on behalf of the Loan Parties to the Administrative Agent pursuant to </w:t>
      </w:r>
      <w:r>
        <w:rPr>
          <w:rFonts w:ascii="Times New Roman;sans-serif" w:hAnsi="Times New Roman;sans-serif"/>
          <w:b w:val="false"/>
          <w:color w:val="000000"/>
          <w:sz w:val="24"/>
          <w:u w:val="single"/>
        </w:rPr>
        <w:t>Section 6.1(a)</w:t>
      </w:r>
      <w:r>
        <w:rPr>
          <w:color w:val="000000"/>
        </w:rPr>
        <w:t xml:space="preserve"> </w:t>
      </w:r>
      <w:r>
        <w:rPr>
          <w:rFonts w:ascii="Times New Roman;sans-serif" w:hAnsi="Times New Roman;sans-serif"/>
          <w:b w:val="false"/>
          <w:color w:val="000000"/>
          <w:sz w:val="24"/>
        </w:rPr>
        <w:t>present fairly in all material respects the financial condition of the Persons covered thereby in accordance with GAAP or otherwise as expressly set forth therein.</w:t>
      </w:r>
    </w:p>
    <w:p>
      <w:pPr>
        <w:pStyle w:val="TextBody"/>
        <w:bidi w:val="0"/>
        <w:spacing w:lineRule="auto" w:line="288" w:before="0" w:after="240"/>
        <w:ind w:left="0" w:right="0" w:firstLine="720"/>
        <w:jc w:val="both"/>
        <w:rPr/>
      </w:pPr>
      <w:r>
        <w:rPr>
          <w:rFonts w:ascii="Times New Roman;sans-serif" w:hAnsi="Times New Roman;sans-serif"/>
          <w:b/>
          <w:color w:val="000000"/>
          <w:sz w:val="24"/>
        </w:rPr>
        <w:t>5.20    Accuracy of Disclosure</w:t>
      </w:r>
      <w:r>
        <w:rPr>
          <w:rFonts w:ascii="Times New Roman;sans-serif" w:hAnsi="Times New Roman;sans-serif"/>
          <w:b w:val="false"/>
          <w:color w:val="000000"/>
          <w:sz w:val="24"/>
        </w:rPr>
        <w:t>. As of the Closing Date, to the Knowledge of the Borrower, no written information (other than customary financial statement forecasts of the Borrower and other forward-looking information (“</w:t>
      </w:r>
      <w:r>
        <w:rPr>
          <w:rFonts w:ascii="Times New Roman;sans-serif" w:hAnsi="Times New Roman;sans-serif"/>
          <w:b/>
          <w:color w:val="000000"/>
          <w:sz w:val="24"/>
        </w:rPr>
        <w:t>Projections</w:t>
      </w:r>
      <w:r>
        <w:rPr>
          <w:color w:val="000000"/>
        </w:rPr>
        <w:t>”</w:t>
      </w:r>
      <w:r>
        <w:rPr>
          <w:rFonts w:ascii="Times New Roman;sans-serif" w:hAnsi="Times New Roman;sans-serif"/>
          <w:b w:val="false"/>
          <w:color w:val="000000"/>
          <w:sz w:val="24"/>
        </w:rPr>
        <w:t>), and information of a general economic or general industry specific nature) (such non-excluded items, the “</w:t>
      </w:r>
      <w:r>
        <w:rPr>
          <w:rFonts w:ascii="Times New Roman;sans-serif" w:hAnsi="Times New Roman;sans-serif"/>
          <w:b/>
          <w:color w:val="000000"/>
          <w:sz w:val="24"/>
        </w:rPr>
        <w:t>Information</w:t>
      </w:r>
      <w:r>
        <w:rPr>
          <w:color w:val="000000"/>
        </w:rPr>
        <w:t>”</w:t>
      </w:r>
      <w:r>
        <w:rPr>
          <w:rFonts w:ascii="Times New Roman;sans-serif" w:hAnsi="Times New Roman;sans-serif"/>
          <w:b w:val="false"/>
          <w:color w:val="000000"/>
          <w:sz w:val="24"/>
        </w:rPr>
        <w:t xml:space="preserve">), in each case as modified or supplemented by supplements, updates and other information so furnished to the Lenders in connection with the Transactions, when taken as a whole, did not, when furnished, contain any untrue statement of a material fact or omit to state a material fact necessary in order to make the statements contained therein not materially misleading in light of the circumstances under which such statements were made (in each case after giving effect to all supplements and updates thereto from time to time);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with respect to the Projections, the Loan Parties only represent such information was prepared in good faith based upon assumptions believed to be reasonable (at the time furnished), it being understood that (i) such Projections are predictions as to future events, and by their nature, are inherently uncertain and contingent and are not to be viewed as facts, (ii) such Projections are subject to significant uncertainties and contingencies, many of which are beyond the control of the Loan Parties, (ii) no assurances are being given that the results reflected in the Projections will be achieved and (iv) actual results during the period or periods covered thereby may differ significantly from the projected results and such differences may be material.</w:t>
      </w:r>
    </w:p>
    <w:p>
      <w:pPr>
        <w:pStyle w:val="TextBody"/>
        <w:bidi w:val="0"/>
        <w:spacing w:lineRule="auto" w:line="288" w:before="0" w:after="240"/>
        <w:ind w:left="0" w:right="0" w:firstLine="720"/>
        <w:jc w:val="both"/>
        <w:rPr/>
      </w:pPr>
      <w:r>
        <w:rPr>
          <w:rFonts w:ascii="Times New Roman;sans-serif" w:hAnsi="Times New Roman;sans-serif"/>
          <w:b/>
          <w:color w:val="000000"/>
          <w:sz w:val="24"/>
        </w:rPr>
        <w:t>5.21    Beneficial Ownership</w:t>
      </w:r>
      <w:r>
        <w:rPr>
          <w:rFonts w:ascii="Times New Roman;sans-serif" w:hAnsi="Times New Roman;sans-serif"/>
          <w:b w:val="false"/>
          <w:color w:val="000000"/>
          <w:sz w:val="24"/>
        </w:rPr>
        <w:t>. The information included in the most recent Beneficial Ownership Certification delivered to the Lenders with respect to the Borrower is true and correct in all material respects.</w:t>
      </w:r>
    </w:p>
    <w:p>
      <w:pPr>
        <w:pStyle w:val="TextBody"/>
        <w:bidi w:val="0"/>
        <w:spacing w:lineRule="auto" w:line="288" w:before="0" w:after="240"/>
        <w:ind w:left="0" w:right="0" w:firstLine="720"/>
        <w:jc w:val="both"/>
        <w:rPr/>
      </w:pPr>
      <w:r>
        <w:rPr>
          <w:rFonts w:ascii="Times New Roman;sans-serif" w:hAnsi="Times New Roman;sans-serif"/>
          <w:b/>
          <w:color w:val="000000"/>
          <w:sz w:val="24"/>
        </w:rPr>
        <w:t>5.22    Risk Retention</w:t>
      </w:r>
      <w:r>
        <w:rPr>
          <w:rFonts w:ascii="Times New Roman;sans-serif" w:hAnsi="Times New Roman;sans-serif"/>
          <w:b w:val="false"/>
          <w:color w:val="000000"/>
          <w:sz w:val="24"/>
        </w:rPr>
        <w:t>. To the Knowledge of the Borrower, the “SR Retention Holder” (as defined in the Risk Retention Letter) retains the SR Retained Interest (as defined in the Risk Retention Letter).</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55345"/>
                <wp:effectExtent l="0" t="0" r="0" b="0"/>
                <wp:wrapNone/>
                <wp:docPr id="145" name="Frame14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VI.    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From the Closing Date until the Termination Date, the Borrower and each Subsidiary Guarantor party hereto hereby covenants and agrees that:</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 xml:space="preserve">6.1    Financial Statements, Reports and Other Information.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color w:val="000000"/>
          <w:sz w:val="24"/>
        </w:rPr>
        <w:t>Manager Report; Financial Reports</w:t>
      </w:r>
      <w:r>
        <w:rPr>
          <w:rFonts w:ascii="Times New Roman;sans-serif" w:hAnsi="Times New Roman;sans-serif"/>
          <w:b w:val="false"/>
          <w:color w:val="000000"/>
          <w:sz w:val="24"/>
        </w:rPr>
        <w:t>. The Borrower shall furnish to the Administrative Agent, or cause to be furnished (or, in the case of clause (i) below, use reasonable best efforts to cause the Manager to furnish) to the Administrative Agent (for distribution by the Administrative Agent to the Lenders, each other Agent and, in the case of clause (i) below, the Account Bank), each of the following:</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after the end of each calendar month (commencing with the first full month after the Closing Date), and in any event at least three (3) Business Days prior to the applicable Payment Date, a copy of the Manager Report for the month then ended (which Manager Report shall include an update progress report on approval and non-approval of the transfer of the relevant assets relating to the Uniti Fiber Business from the applicable Uniti OpCo (or Affiliate thereof) to the applicable Loan Parties);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within forty-five (45) days after the end of each of the first three (3) fiscal quarters of each fiscal year of the Borrower (or 60 days in the case of the first three of such fiscal quarters ending after the Closing Date) (commencing with the first full fiscal quarter after the Closing Date), a consolidated balance sheet of the Borrower and its Subsidiaries as at the end of such fiscal quarter and the related (x) consolidated statements of income or operations for such fiscal quarter and for the portion of the fiscal year then ended and (y) consolidated statements of cash flows for the portion of the fiscal year then ended, all in reasonable detail and certified by a Responsible Officer of the Borrower as fairly presenting in all material respects the financial condition, results of operations, stockholders’ equity and cash flows of the Borrower and its Subsidiaries in accordance with GAAP, subject only to normal year-end audit adjustments and the absence of footnotes;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within one-hundred twenty (120) days after the end of each fiscal year of the Borrower (beginning with the fiscal year ending December 31, 2024), a consolidated balance sheet of the Borrower and its Subsidiaries as at the end of such fiscal year, and the related consolidated statements of income or operations, stockholders’ equity and cash flows for such fiscal year, all in reasonable detail and prepared in accordance with GAAP, audited and accompanied by a report and opinion of KPMG LLP or any other independent registered public accounting firm of nationally recognized standing (without a “going concern” or like qualification or exception or any qualification or exception as to the scope of such audit (except for any such qualification pertaining to, or disclosure of an exception or qualification resulting from, the maturity (or impending maturity) of any Indebtedness within one year of the date of such opinion or any breach or anticipated breach of any financial covenant) but may include a “going concern” or “emphasis of matter” explanatory paragraph or like statement) to the effect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55345"/>
                <wp:effectExtent l="0" t="0" r="0" b="0"/>
                <wp:wrapNone/>
                <wp:docPr id="146" name="Frame14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consolidated financial statements present fairly in all material respects the financial condition and results of operations of the Borrower and its Subsidiaries on a consolidated basis in accordance with GAAP consistently applied.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color w:val="000000"/>
          <w:sz w:val="24"/>
        </w:rPr>
        <w:t>Quarterly Compliance Certificate</w:t>
      </w:r>
      <w:r>
        <w:rPr>
          <w:rFonts w:ascii="Times New Roman;sans-serif" w:hAnsi="Times New Roman;sans-serif"/>
          <w:b w:val="false"/>
          <w:color w:val="000000"/>
          <w:sz w:val="24"/>
        </w:rPr>
        <w:t xml:space="preserve">. No later than five (5) days after the delivery of the financial statements referred to in </w:t>
      </w:r>
      <w:r>
        <w:rPr>
          <w:rFonts w:ascii="Times New Roman;sans-serif" w:hAnsi="Times New Roman;sans-serif"/>
          <w:b w:val="false"/>
          <w:color w:val="000000"/>
          <w:sz w:val="24"/>
          <w:u w:val="single"/>
        </w:rPr>
        <w:t>Section 6.1(a)(ii)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(a)(iii)</w:t>
      </w:r>
      <w:r>
        <w:rPr>
          <w:rFonts w:ascii="Times New Roman;sans-serif" w:hAnsi="Times New Roman;sans-serif"/>
          <w:b w:val="false"/>
          <w:color w:val="000000"/>
          <w:sz w:val="24"/>
        </w:rPr>
        <w:t>, the Borrower shall furnish to the Administrative Agent (for distribution by the Administrative Agent to the Lenders and the Verification Agent), a duly completed Compliance Certificate signed by a Responsible Officer of the Borrower, which Compliance Certificate shall set forth, as of the last day of the applicable fiscal quarter (i) the DSCR as of such date, (ii) the Leverage Ratio as of such date and (iii) a statement of Aggregate Annualized Run Rate Revenue.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color w:val="000000"/>
          <w:sz w:val="24"/>
        </w:rPr>
        <w:t>Notices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    The Borrower shall promptly deliver, or cause to be delivered, to the Administrative Agent (for distribution to the Lenders) notice of any matter (including in regard to any court suit or action) that has resulted in, or would reasonably be expected to result in, a Material Adverse Effect (including, to the extent resulting in, or would result in a Material Adverse Effect, (x) copies of any and all notices of a material default or breach which is reasonably expected to result in a termination of any Material Agreement or any Material Customer Contract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after and during the continuance of an Event of Default, the Borrower shall promptly deliver to the Administrative Agent (for distribution to the Lenders) copies of any and all notices of a material default or breach which is reasonably expected to result in a termination of any Material Agreement or any Material Customer Contract) and (y) copies of all notices received with respect to a default under any term or condition related to any Material Indebtedness of any Loan Party).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Borrower shall promptly, after any Responsible Officer of the Borrower obtains Knowledge thereof, deliver to the Administrative Agent notice of the occurrence of any event which constitutes a Default or an Event of Default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Notwithstanding the foregoing (but subject to the immediately preceding sentence), the obligations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 xml:space="preserve">may be satisfied with respect to financial information of the Borrower and its Subsidiaries by furnishing (A) the applicable financial statements of Holdings or any other Parent Company or (B) the Form 10-K or 10-Q, as applicable, filed with the Securities and Exchange Commission (or any Governmental Authority succeeding to any of its principal functions) of any Parent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(x) to the extent such information relates to Holdings or any other Parent Company and such Person has material assets, operations or liabilities aside from its ownership of the Borrower, such information is accompanied by consolidating information that explains in reasonable detail the differences between the information relating to Holdings (or such other Parent Company), on the one hand, and the information relating to the Borrower and the Subsidiaries on a stand-alone basis, on the other hand, (y) in the case of clause (B), the Administrative Agent shall have no responsibility for, or obligation or duty with respect to, providing notice to the Lenders of any such filing with the Securities and Exchange Commission (or any Governmental Authority succeeding to any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855345"/>
                <wp:effectExtent l="0" t="0" r="0" b="0"/>
                <wp:wrapNone/>
                <wp:docPr id="147" name="Frame14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principal functions) and (z)</w:t>
      </w:r>
      <w:r>
        <w:rPr>
          <w:color w:val="000000"/>
        </w:rPr>
        <w:t xml:space="preserve"> </w:t>
      </w:r>
      <w:r>
        <w:rPr>
          <w:rFonts w:ascii="Times New Roman;sans-serif" w:hAnsi="Times New Roman;sans-serif"/>
          <w:b w:val="false"/>
          <w:color w:val="000000"/>
          <w:sz w:val="24"/>
        </w:rPr>
        <w:t xml:space="preserve">where applicable, appropriate notation shall be made on such consolidated financial statements of such Parent Company to indicate the separateness of the Borrower and the Loan Parties from such Affiliates and to indicate that the Loan Parties’ assets and credit are not available to satisfy the debts and other obligations of such Parent Company.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or anything herein or any other Transaction Document to the contrary, none of Holdings, the Borrower or any Subsidiary thereof shall be required to disclose or provide any information (i) that constitutes non-financial trade secrets or non-financial proprietary information of Uniti, Holdings, the Borrower or any of its Subsidiaries or any of their respective customers and/or suppliers, (ii) in respect of which disclosure to the Administrative Agent, any Lender or any authorized representative designated by the Requisite Lenders is then prohibited by law or contract (not created in contemplation thereof), (iii) that is subject to attorney-client or similar privilege or constitutes attorney work product or (iv) in respect of which Uniti, Holdings, the Borrower or any Subsidiary thereof owes confidentiality obligations to any third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Documents required to be delivered pursuant to this </w:t>
      </w:r>
      <w:r>
        <w:rPr>
          <w:rFonts w:ascii="Times New Roman;sans-serif" w:hAnsi="Times New Roman;sans-serif"/>
          <w:b w:val="false"/>
          <w:color w:val="000000"/>
          <w:sz w:val="24"/>
          <w:u w:val="single"/>
        </w:rPr>
        <w:t>Section 6.1</w:t>
      </w:r>
      <w:r>
        <w:rPr>
          <w:color w:val="000000"/>
        </w:rPr>
        <w:t xml:space="preserve"> </w:t>
      </w:r>
      <w:r>
        <w:rPr>
          <w:rFonts w:ascii="Times New Roman;sans-serif" w:hAnsi="Times New Roman;sans-serif"/>
          <w:b w:val="false"/>
          <w:color w:val="000000"/>
          <w:sz w:val="24"/>
        </w:rPr>
        <w:t>may be delivered electronically and if so delivered, shall be deemed to have been delivered on the date (i) on which the Borrower (or any Parent Company thereof) posts such documents, or provides a link thereto, at the website address listed on Schedule 12.5 or such other website as may be identified in a written notice from the Borrower to the Administrative Agent; or (ii) on which such documents are posted on the Borrower’s behalf on IntraLinks or another relevant website (including without limitation the EDGAR website of the Securities and Exchange Commission), if any, to which each Lender and the Administrative Agent have access (whether a commercial, third-party website or whether sponsored by the Administrative Agent).</w:t>
      </w:r>
    </w:p>
    <w:p>
      <w:pPr>
        <w:pStyle w:val="TextBody"/>
        <w:bidi w:val="0"/>
        <w:spacing w:lineRule="auto" w:line="288" w:before="0" w:after="240"/>
        <w:ind w:left="0" w:right="0" w:firstLine="720"/>
        <w:jc w:val="both"/>
        <w:rPr/>
      </w:pPr>
      <w:r>
        <w:rPr>
          <w:rFonts w:ascii="Times New Roman;sans-serif" w:hAnsi="Times New Roman;sans-serif"/>
          <w:b/>
          <w:color w:val="000000"/>
          <w:sz w:val="24"/>
        </w:rPr>
        <w:t>6.2    Payment of Obligations</w:t>
      </w:r>
      <w:r>
        <w:rPr>
          <w:rFonts w:ascii="Times New Roman;sans-serif" w:hAnsi="Times New Roman;sans-serif"/>
          <w:b w:val="false"/>
          <w:color w:val="000000"/>
          <w:sz w:val="24"/>
        </w:rPr>
        <w:t>. Borrower shall make full and timely payment in cash of the principal of and interest on the Term Loans and each Loan Party shall make full and timely payment in cash of all other Obligations thereof when due and payable (other than contingent indemnification Obligations in respect of which no claim has been asserted).</w:t>
      </w:r>
    </w:p>
    <w:p>
      <w:pPr>
        <w:pStyle w:val="TextBody"/>
        <w:bidi w:val="0"/>
        <w:spacing w:lineRule="auto" w:line="288" w:before="0" w:after="240"/>
        <w:ind w:left="0" w:right="0" w:firstLine="720"/>
        <w:jc w:val="both"/>
        <w:rPr/>
      </w:pPr>
      <w:r>
        <w:rPr>
          <w:rFonts w:ascii="Times New Roman;sans-serif" w:hAnsi="Times New Roman;sans-serif"/>
          <w:b/>
          <w:color w:val="000000"/>
          <w:sz w:val="24"/>
        </w:rPr>
        <w:t>6.3    Conduct of Business and Maintenance of Existence and Assets</w:t>
      </w:r>
      <w:r>
        <w:rPr>
          <w:rFonts w:ascii="Times New Roman;sans-serif" w:hAnsi="Times New Roman;sans-serif"/>
          <w:b w:val="false"/>
          <w:color w:val="000000"/>
          <w:sz w:val="24"/>
        </w:rPr>
        <w:t xml:space="preserve">. Each Loan Party shall (a) conduct its business in accordance with its Organizational Documents and its current business practices and in which failure to conduct its business in such a manner would reasonably be expected to result in a Material Adverse Effect, (b) maintain all of its Collateral used or useful in its business in good repair, working order and condition (normal wear and tear excepted and except as may be disposed of in the ordinary course of business and in accordance with the terms of the Transaction Documents) and in which failure to maintain such Collateral would reasonably be expected to result in a Material Adverse Effect, (c) from time to time to make all necessary repairs, renewals and replacements thereof and in which failure to make such repairs would reasonably be expected to result in a Material Adverse Effect; (d) maintain and keep in full force and effect (x) its existence and (y) all material Permits and qualifications to do business and good standing in its jurisdiction of formation and each other jurisdiction in which the ownership or lease of property or the nature of its business makes such Permits or qualification necessary and in which failure to maintain such Permits or qualification would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855345"/>
                <wp:effectExtent l="0" t="0" r="0" b="0"/>
                <wp:wrapNone/>
                <wp:docPr id="148" name="Frame14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reasonably be expected to result in a Material Adverse Effect; (e) remain in good standing and maintain operations in all jurisdictions in which currently located, except where the failure to remain in good standing or maintain operations would not reasonably be expected to result in a Material Adverse Effect; and (g) maintain, comply with and keep in full force and effect its existence and all intellectual property and permits necessary to conduct its business, except in each case where the failure to maintain, comply with or keep in full force and effect would not reasonably be expected to result in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6.4    Compliance with Legal and Other Obligations</w:t>
      </w:r>
      <w:r>
        <w:rPr>
          <w:rFonts w:ascii="Times New Roman;sans-serif" w:hAnsi="Times New Roman;sans-serif"/>
          <w:b w:val="false"/>
          <w:color w:val="000000"/>
          <w:sz w:val="24"/>
        </w:rPr>
        <w:t>. Except, in each case, as would not reasonably be expected to result in a Material Adverse Effect, each Loan Party shall (a) comply with all Applicable Laws, (b) pay all taxes, assessments, fees, governmental charges, claims for labor, supplies, rent and all other obligations or liabilities of any kind when due and payable, except liabilities being contested in good faith and against which adequate reserves have been established in accordance with GAAP consistently applied, (c) perform, in all material respects, in accordance with its terms each contract, agreement or other arrangement to which it is a party or by which it or any of the Collateral is bound and (d) properly file all reports required to be filed with any Governmental Authority.</w:t>
      </w:r>
    </w:p>
    <w:p>
      <w:pPr>
        <w:pStyle w:val="TextBody"/>
        <w:bidi w:val="0"/>
        <w:spacing w:lineRule="auto" w:line="288" w:before="0" w:after="240"/>
        <w:ind w:left="0" w:right="0" w:firstLine="720"/>
        <w:jc w:val="both"/>
        <w:rPr/>
      </w:pPr>
      <w:r>
        <w:rPr>
          <w:rFonts w:ascii="Times New Roman;sans-serif" w:hAnsi="Times New Roman;sans-serif"/>
          <w:b/>
          <w:color w:val="000000"/>
          <w:sz w:val="24"/>
        </w:rPr>
        <w:t>6.5    Insurance</w:t>
      </w:r>
      <w:r>
        <w:rPr>
          <w:rFonts w:ascii="Times New Roman;sans-serif" w:hAnsi="Times New Roman;sans-serif"/>
          <w:b w:val="false"/>
          <w:color w:val="000000"/>
          <w:sz w:val="24"/>
        </w:rPr>
        <w:t>. Subject to availability on a commercially reasonable basis, the Borrower shall continuously maintain, on behalf of the Loan Parties, the following described policies of insurance with respect to all Fiber Network Assets without cost to the Administrative Agent or the Manager (the “</w:t>
      </w:r>
      <w:r>
        <w:rPr>
          <w:rFonts w:ascii="Times New Roman;sans-serif" w:hAnsi="Times New Roman;sans-serif"/>
          <w:b w:val="false"/>
          <w:color w:val="000000"/>
          <w:sz w:val="24"/>
          <w:u w:val="single"/>
        </w:rPr>
        <w:t>Insurance Policies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general liability insurance, including contractual liability with limits not less than $1,000,000 per occurrence and $2,000,000 in the aggregate for any bodily injury and third-party property damage, including products and completed operations;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    an umbrella</w:t>
      </w:r>
      <w:r>
        <w:rPr>
          <w:color w:val="000000"/>
        </w:rPr>
        <w:t xml:space="preserve"> </w:t>
      </w:r>
      <w:r>
        <w:rPr>
          <w:rFonts w:ascii="Times New Roman;sans-serif" w:hAnsi="Times New Roman;sans-serif"/>
          <w:b w:val="false"/>
          <w:color w:val="000000"/>
          <w:sz w:val="24"/>
        </w:rPr>
        <w:t>or follow form excess liability policy with a limit of not less than $10,000,000 in the annual in aggregate, which shall provide additional limits over primary general liability and business automobile insurance to include coverage for bodily injury, property damage and contractual liability coverage.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All Insurance Policies shall be in content (including endorsements or exclusions, if any), form, and amounts, and issued by companies, reasonably satisfactory to the Manager from time to time and, to the extent permissible, the Borrower shall use commercially reasonable efforts to (i) name the Administrative Agent on behalf of the Lenders and its successors and assignees as their interests may appear as an “additional insured” for each of the policies under this </w:t>
      </w:r>
      <w:r>
        <w:rPr>
          <w:rFonts w:ascii="Times New Roman;sans-serif" w:hAnsi="Times New Roman;sans-serif"/>
          <w:b w:val="false"/>
          <w:color w:val="000000"/>
          <w:sz w:val="24"/>
          <w:u w:val="single"/>
        </w:rPr>
        <w:t>Section 6.5</w:t>
      </w:r>
      <w:r>
        <w:rPr>
          <w:color w:val="000000"/>
        </w:rPr>
        <w:t xml:space="preserve"> </w:t>
      </w:r>
      <w:r>
        <w:rPr>
          <w:rFonts w:ascii="Times New Roman;sans-serif" w:hAnsi="Times New Roman;sans-serif"/>
          <w:b w:val="false"/>
          <w:color w:val="000000"/>
          <w:sz w:val="24"/>
        </w:rPr>
        <w:t xml:space="preserve">and (ii) contain a waiver of subrogation clause reasonably acceptable to the Manager. The Borrower shall use commercially reasonable efforts to have all Insurance Policies provide, to the extent permissible, that (x) the coverage shall not be modified without ten (10) days’ advance written notice to the Administrative Agent and the Manager and (y) no claims shall be paid thereunder to a Person other than the Loan Parties, without ten (10) days’ advance written notice to the Administrative Agent and the Manager. The Borrower may obtain any insurance required by this </w:t>
      </w:r>
      <w:r>
        <w:rPr>
          <w:rFonts w:ascii="Times New Roman;sans-serif" w:hAnsi="Times New Roman;sans-serif"/>
          <w:b w:val="false"/>
          <w:color w:val="000000"/>
          <w:sz w:val="24"/>
          <w:u w:val="single"/>
        </w:rPr>
        <w:t>Section 6.5</w:t>
      </w:r>
      <w:r>
        <w:rPr>
          <w:color w:val="000000"/>
        </w:rPr>
        <w:t xml:space="preserve"> </w:t>
      </w:r>
      <w:r>
        <w:rPr>
          <w:rFonts w:ascii="Times New Roman;sans-serif" w:hAnsi="Times New Roman;sans-serif"/>
          <w:b w:val="false"/>
          <w:color w:val="000000"/>
          <w:sz w:val="24"/>
        </w:rPr>
        <w:t xml:space="preserve">through blanket policies;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such blanket policies shall separately set forth the amount of insurance in force (together with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855345"/>
                <wp:effectExtent l="0" t="0" r="0" b="0"/>
                <wp:wrapNone/>
                <wp:docPr id="149" name="Frame14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deductibles, and per occurrence limits) with respect to the Fiber Network Assets and shall afford all the protections to the Administrative Agent to the extent required under this </w:t>
      </w:r>
      <w:r>
        <w:rPr>
          <w:rFonts w:ascii="Times New Roman;sans-serif" w:hAnsi="Times New Roman;sans-serif"/>
          <w:b w:val="false"/>
          <w:color w:val="000000"/>
          <w:sz w:val="24"/>
          <w:u w:val="single"/>
        </w:rPr>
        <w:t>Section 6.5</w:t>
      </w:r>
      <w:r>
        <w:rPr>
          <w:rFonts w:ascii="Times New Roman;sans-serif" w:hAnsi="Times New Roman;sans-serif"/>
          <w:b w:val="false"/>
          <w:color w:val="000000"/>
          <w:sz w:val="24"/>
        </w:rPr>
        <w:t xml:space="preserve">. If a blanket policy is issued, a certified copy of said policy shall be furnished, together with a certificate indicating that the Administrative Agent is an additional insured under such policy in the designated amount. For the avoidance of doubt, in no event shall the Administrative Agent have any duty to monitor the Borrower’s compliance with or to review any documents delivered in connection with this </w:t>
      </w:r>
      <w:r>
        <w:rPr>
          <w:rFonts w:ascii="Times New Roman;sans-serif" w:hAnsi="Times New Roman;sans-serif"/>
          <w:b w:val="false"/>
          <w:color w:val="000000"/>
          <w:sz w:val="24"/>
          <w:u w:val="single"/>
        </w:rPr>
        <w:t>Section 6.5</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6.6    True Books; Underlying Collateral Matters</w:t>
      </w:r>
      <w:r>
        <w:rPr>
          <w:rFonts w:ascii="Times New Roman;sans-serif" w:hAnsi="Times New Roman;sans-serif"/>
          <w:b w:val="false"/>
          <w:color w:val="000000"/>
          <w:sz w:val="24"/>
        </w:rPr>
        <w:t>. The Borrower shall, and shall cause each other Loan Party to (and shall use commercially reasonable efforts to cause the Manger to) (a) keep true, complete and accurate (in accordance with GAAP, except for the omission of footnotes and year-end adjustments in interim financial statements) books of record and account in accordance with commercially reasonable business practices in which true and correct entries are made of all of its dealings and transactions in all material respects; and (b) set up and maintain on its books such reserves as may be required by GAAP with respect to doubtful accounts and all taxes, assessments, charges, levies and claims and with respect to its business.</w:t>
      </w:r>
    </w:p>
    <w:p>
      <w:pPr>
        <w:pStyle w:val="TextBody"/>
        <w:bidi w:val="0"/>
        <w:spacing w:lineRule="auto" w:line="288" w:before="0" w:after="240"/>
        <w:ind w:left="0" w:right="0" w:firstLine="720"/>
        <w:jc w:val="both"/>
        <w:rPr/>
      </w:pPr>
      <w:r>
        <w:rPr>
          <w:rFonts w:ascii="Times New Roman;sans-serif" w:hAnsi="Times New Roman;sans-serif"/>
          <w:b/>
          <w:color w:val="000000"/>
          <w:sz w:val="24"/>
        </w:rPr>
        <w:t>6.7    [Reserved]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6.8    Further Assurances; Additional Loan Parties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At the Borrower’s reasonable cost and expense, each Loan Party shall after Administrative Agent’s or the Requisite Lenders’ written demand, take such further actions, obtain such consents and approvals and shall duly execute and deliver such further agreements, assignments, instructions or documents as Administrative Agent or the Requisite Lenders may request (in good faith) in its reasonable discretion in order to effectuate the express terms and conditions of the Transaction Documents, whether before, at or after the occurrence and during the continuation of a Default or Event of Default. In addition, the Loan Parties shall use commercially reasonable efforts to obtain consents for the contribution, sale and/or other transfer, from the applicable Uniti OpCos to the applicable Loan Parties, of the Specified Contracts.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The Borrower shall promptly notify the Administrative Agent of (i) the creation or acquisition (including by division) of a Person that becomes a Subsidiary of the Borrower, within fifteen (15) Business Days of such creation or acquisition, cause such Subsidiary to (A) become a Loan Party by guaranteeing the Guaranteed Obligations, and grant a security interest in all Collateral (subject to the exceptions specified herein) owned by such Subsidiary, by delivering to the Administrative Agent a duly executed Joinder Agreement or such other document as the Administrative Agent (acting at the direction of the Requisite Lenders) shall deem appropriate for such purpose, (B) deliver to the Administrative Agent such opinions, documents and certificates of the type referred to in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 xml:space="preserve">as may be reasonably requested by the Administrative Agent or the Requisite Lenders, (C) if the Equity Interests of such Subsidiary are certificated, deliver to the Administrative Agent such original certificated Equity Interests of such Person, together with undated stock powers or other instruments of transfer with respect thereto endorsed in blank, in each case as applicable, (D) deliver to the Administrative Agent an updated Schedule 2.13 to this Agreement as reasonably requested by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855345"/>
                <wp:effectExtent l="0" t="0" r="0" b="0"/>
                <wp:wrapNone/>
                <wp:docPr id="150" name="Frame15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Administrative Agent or the Requisite Lenders with respect to such Subsidiary and (E) deliver to the Administrative Agent such other documents as may be reasonably requested by the Administrative Agent or the Requisite Lenders to create or perfect the security interest in the Collateral of such Subsidiary to the extent otherwise expressly required by the terms of this Agreement, all in form, content and scope reasonably satisfactory to the Administrative Agent (acting at the direction of the Requisite Lenders). </w:t>
      </w:r>
    </w:p>
    <w:p>
      <w:pPr>
        <w:pStyle w:val="TextBody"/>
        <w:bidi w:val="0"/>
        <w:spacing w:lineRule="auto" w:line="288" w:before="0" w:after="240"/>
        <w:ind w:left="0" w:right="0" w:firstLine="720"/>
        <w:jc w:val="both"/>
        <w:rPr/>
      </w:pPr>
      <w:r>
        <w:rPr>
          <w:rFonts w:ascii="Times New Roman;sans-serif" w:hAnsi="Times New Roman;sans-serif"/>
          <w:b/>
          <w:color w:val="000000"/>
          <w:sz w:val="24"/>
        </w:rPr>
        <w:t>6.9    Use of Proceeds</w:t>
      </w:r>
      <w:r>
        <w:rPr>
          <w:rFonts w:ascii="Times New Roman;sans-serif" w:hAnsi="Times New Roman;sans-serif"/>
          <w:b w:val="false"/>
          <w:color w:val="000000"/>
          <w:sz w:val="24"/>
        </w:rPr>
        <w:t>. The Borrower shall use the proceeds of the Term Loans (i) to finance all or a portion of the Transactions (including (x) purchase price for the Fiber Network Assets Transfers and the grants pursuant to the IRU Agreements to be paid to the applicable Uniti OpCo(s) and/or (y) any fees required to be paid on or after the Closing Date and the payment of the other Transaction Costs) and (ii) for working capital and other general corporate purposes.</w:t>
      </w:r>
    </w:p>
    <w:p>
      <w:pPr>
        <w:pStyle w:val="TextBody"/>
        <w:bidi w:val="0"/>
        <w:spacing w:lineRule="auto" w:line="288" w:before="0" w:after="240"/>
        <w:ind w:left="0" w:right="0" w:firstLine="720"/>
        <w:jc w:val="both"/>
        <w:rPr/>
      </w:pPr>
      <w:r>
        <w:rPr>
          <w:rFonts w:ascii="Times New Roman;sans-serif" w:hAnsi="Times New Roman;sans-serif"/>
          <w:b/>
          <w:color w:val="000000"/>
          <w:sz w:val="24"/>
        </w:rPr>
        <w:t>6.10    Performance of Agreements</w:t>
      </w:r>
      <w:r>
        <w:rPr>
          <w:rFonts w:ascii="Times New Roman;sans-serif" w:hAnsi="Times New Roman;sans-serif"/>
          <w:b w:val="false"/>
          <w:color w:val="000000"/>
          <w:sz w:val="24"/>
        </w:rPr>
        <w:t xml:space="preserve">. The Borrower shall, and shall cause each Loan Party to, duly and timely perform, observe and comply in all material respects with all of the terms, provisions, conditions, covenants and agreements on its part to be performed, observed and complied with (i) hereunder and under the other Transaction Documents to which it is a party, (ii) under all Material Agreements and Customer Contracts and (iii) all other agreements entered into or assumed by such Person in connection with the Fiber Network Assets, and will not suffer or permit any material default or any event of default (giving effect to any applicable notice requirements and cure periods) to exist under any of the foregoing except where the failure to perform, observe or comply with any agreement referred to in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6.10</w:t>
      </w:r>
      <w:r>
        <w:rPr>
          <w:color w:val="000000"/>
        </w:rPr>
        <w:t xml:space="preserve"> </w:t>
      </w:r>
      <w:r>
        <w:rPr>
          <w:rFonts w:ascii="Times New Roman;sans-serif" w:hAnsi="Times New Roman;sans-serif"/>
          <w:b w:val="false"/>
          <w:color w:val="000000"/>
          <w:sz w:val="24"/>
        </w:rPr>
        <w:t xml:space="preserve">would not reasonably be expected to have a Material Adverse Effect. No Loan Party shall consent to any amendment, waiver or termination of, or with respect to, any Transaction Document (or any agreement which requires consent of any Loan Party to amend under the terms of any Transaction Document) without consent of the Administrative Agent and/or the Requisite Lenders, as applicable, if so required by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6.11    Interest Reserve</w:t>
      </w:r>
      <w:r>
        <w:rPr>
          <w:rFonts w:ascii="Times New Roman;sans-serif" w:hAnsi="Times New Roman;sans-serif"/>
          <w:b w:val="false"/>
          <w:color w:val="000000"/>
          <w:sz w:val="24"/>
        </w:rPr>
        <w:t>. The Borrower shall be required, as of the Closing Date and as of each Payment Date thereafter, to maintain on reserve in a segregated trust account at Account Bank held in the name of Borrower, for the benefit of the Lenders (with account number ending in 6-001 as of the Closing Date) (the “</w:t>
      </w:r>
      <w:r>
        <w:rPr>
          <w:rFonts w:ascii="Times New Roman;sans-serif" w:hAnsi="Times New Roman;sans-serif"/>
          <w:b/>
          <w:color w:val="000000"/>
          <w:sz w:val="24"/>
        </w:rPr>
        <w:t>Interest Reserve Account</w:t>
      </w:r>
      <w:r>
        <w:rPr>
          <w:color w:val="000000"/>
        </w:rPr>
        <w:t>”</w:t>
      </w:r>
      <w:r>
        <w:rPr>
          <w:rFonts w:ascii="Times New Roman;sans-serif" w:hAnsi="Times New Roman;sans-serif"/>
          <w:b w:val="false"/>
          <w:color w:val="000000"/>
          <w:sz w:val="24"/>
        </w:rPr>
        <w:t>), an amount, determined as of the date of submission of the initial Borrowing Request and then as of the date of delivery of each Manager Report thereafter, equal to interest on the Facility for the succeeding three (3) months of interest, pro-forma for the then-current drawn amount as of such date of determination based on the less of (a) the amount of interest that would accrue on such pro-forma outstanding amount of Loans, assuming such Loans are Term SOFR Loans with an Interest Period of three (3) months commencing on such date of determination and (b) the amount of interest that would accrue on such pro-forma outstanding amount of Loans, assuming such Loans accrue interest at the applicable strike rate for the Interest Rate Protection Agreement as of such date of determination (the “</w:t>
      </w:r>
      <w:r>
        <w:rPr>
          <w:rFonts w:ascii="Times New Roman;sans-serif" w:hAnsi="Times New Roman;sans-serif"/>
          <w:b/>
          <w:color w:val="000000"/>
          <w:sz w:val="24"/>
        </w:rPr>
        <w:t>Interest Reserve Required Amount</w:t>
      </w:r>
      <w:r>
        <w:rPr>
          <w:color w:val="000000"/>
        </w:rPr>
        <w:t>”</w:t>
      </w:r>
      <w:r>
        <w:rPr>
          <w:rFonts w:ascii="Times New Roman;sans-serif" w:hAnsi="Times New Roman;sans-serif"/>
          <w:b w:val="false"/>
          <w:color w:val="000000"/>
          <w:sz w:val="24"/>
        </w:rPr>
        <w:t xml:space="preserve">). Such Interest Reserve Account shall be funded in connection with each borrowing of Loans and refilled in accordance with the Priority of Payments as of each Payment Date to the extent the amount on deposit as of such date is less than the Interest Reserve Required Amount. The Borrower may deposit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855345"/>
                <wp:effectExtent l="0" t="0" r="0" b="0"/>
                <wp:wrapNone/>
                <wp:docPr id="151" name="Frame15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amounts into the Interest Reserve Account beyond the Interest Reserve Required Amount at its option on the Closing Date and thereafter from time to time prior to the expiration of the Delayed Draw Availability Period. On any date that the amount on deposit in the Interest Reserve Account is greater than the Interest Reserve Required Amount, such excess amount may be withdrawn from the Interest Reserve Account in the Borrower’s (or the Manager’s on its behalf) discretion and deposited into the Facility Collection Account for distribution in accordance with the Priority of Payments on the next applicable Payment Date. In the event that on any Payment Date, the amount on deposit in the Facility Collection Account available pursuant to </w:t>
      </w:r>
      <w:r>
        <w:rPr>
          <w:rFonts w:ascii="Times New Roman;sans-serif" w:hAnsi="Times New Roman;sans-serif"/>
          <w:b w:val="false"/>
          <w:color w:val="000000"/>
          <w:sz w:val="24"/>
          <w:u w:val="single"/>
        </w:rPr>
        <w:t>Section 2.8(c)</w:t>
      </w:r>
      <w:r>
        <w:rPr>
          <w:color w:val="000000"/>
        </w:rPr>
        <w:t xml:space="preserve"> </w:t>
      </w:r>
      <w:r>
        <w:rPr>
          <w:rFonts w:ascii="Times New Roman;sans-serif" w:hAnsi="Times New Roman;sans-serif"/>
          <w:b w:val="false"/>
          <w:color w:val="000000"/>
          <w:sz w:val="24"/>
        </w:rPr>
        <w:t xml:space="preserve">is insufficient for the payment of accrued interest payable on such Payment Date, the Account Bank pursuant to the Manager Report shall withdraw from the Interest Reserve Account an amount equal to the lesser of (x) the amount of such insufficiency and (y) the amount on deposit therein, and shall apply such funds in accordance with </w:t>
      </w:r>
      <w:r>
        <w:rPr>
          <w:rFonts w:ascii="Times New Roman;sans-serif" w:hAnsi="Times New Roman;sans-serif"/>
          <w:b w:val="false"/>
          <w:color w:val="000000"/>
          <w:sz w:val="24"/>
          <w:u w:val="single"/>
        </w:rPr>
        <w:t>Section 2.8(c)</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6.12    Cash Management Systems</w:t>
      </w:r>
      <w:r>
        <w:rPr>
          <w:rFonts w:ascii="Times New Roman;sans-serif" w:hAnsi="Times New Roman;sans-serif"/>
          <w:b w:val="false"/>
          <w:color w:val="000000"/>
          <w:sz w:val="24"/>
        </w:rPr>
        <w:t>(a)    </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(a) The Borrower shall at all times maintain the Interest Reserve Account, the Network Expense and Insurance Reserve Account and the Facility Collection Account with the Account Bank (each, a “</w:t>
      </w:r>
      <w:r>
        <w:rPr>
          <w:rFonts w:ascii="Times New Roman;sans-serif" w:hAnsi="Times New Roman;sans-serif"/>
          <w:b/>
          <w:color w:val="000000"/>
          <w:sz w:val="24"/>
        </w:rPr>
        <w:t>Designated Account</w:t>
      </w:r>
      <w:r>
        <w:rPr>
          <w:color w:val="000000"/>
        </w:rPr>
        <w:t>”</w:t>
      </w:r>
      <w:r>
        <w:rPr>
          <w:rFonts w:ascii="Times New Roman;sans-serif" w:hAnsi="Times New Roman;sans-serif"/>
          <w:b w:val="false"/>
          <w:color w:val="000000"/>
          <w:sz w:val="24"/>
        </w:rPr>
        <w:t xml:space="preserve">). If any Designated Account ceases to be an Eligible Account, within forty-five (45) days (or such later date approved by the Administrative Agent (acting at the direction of the Requisite Lenders) or the Requisite Lenders) of obtaining Knowledge thereof, the Borrower shall (i) establish a new Interest Reserve Account, Network Expense and Insurance Reserve Account and/or Facility Collection Account, as applicable, that is an Eligible Account and (ii) cause the depositary maintaining such new Interest Reserve Account, Network Expense and Insurance Reserve Account and/or Facility Collection Account, as applicable, to assume the obligations of the existing Account Bank under this Agreement.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With respect to each Loan Party’s Collections Accounts existing as of the Closing Date, within the time period set forth on </w:t>
      </w:r>
      <w:r>
        <w:rPr>
          <w:rFonts w:ascii="Times New Roman;sans-serif" w:hAnsi="Times New Roman;sans-serif"/>
          <w:b w:val="false"/>
          <w:color w:val="000000"/>
          <w:sz w:val="24"/>
          <w:u w:val="single"/>
        </w:rPr>
        <w:t>Schedule 6.20</w:t>
      </w:r>
      <w:r>
        <w:rPr>
          <w:color w:val="000000"/>
        </w:rPr>
        <w:t xml:space="preserve"> </w:t>
      </w:r>
      <w:r>
        <w:rPr>
          <w:rFonts w:ascii="Times New Roman;sans-serif" w:hAnsi="Times New Roman;sans-serif"/>
          <w:b w:val="false"/>
          <w:color w:val="000000"/>
          <w:sz w:val="24"/>
        </w:rPr>
        <w:t>(or such later date as the Administrative Agent (acting at the direction of the Requisite Lenders) or the Requisite Lenders may agree in their reasonable discretion) or, if opened following the Closing Date, within 45 days of the opening of such Collections Account (or such later date as the Administrative Agent (acting at the direction of the Requisite Lenders) or the Requisite Lenders may agree in their reasonable discretion), (i) each Loan Party shall use commercially reasonable efforts to ensure that all payments received from any Account Debtor with respect to Accounts shall be deposited into such Collections Account or into Excluded Accounts promptly following receipt thereof (and no later than two (2) Business Days following receipt thereof), (ii) each Loan Party shall instruct (the “</w:t>
      </w:r>
      <w:r>
        <w:rPr>
          <w:rFonts w:ascii="Times New Roman;sans-serif" w:hAnsi="Times New Roman;sans-serif"/>
          <w:b/>
          <w:color w:val="000000"/>
          <w:sz w:val="24"/>
        </w:rPr>
        <w:t>Collections Account Instruction</w:t>
      </w:r>
      <w:r>
        <w:rPr>
          <w:color w:val="000000"/>
        </w:rPr>
        <w:t>”</w:t>
      </w:r>
      <w:r>
        <w:rPr>
          <w:rFonts w:ascii="Times New Roman;sans-serif" w:hAnsi="Times New Roman;sans-serif"/>
          <w:b w:val="false"/>
          <w:color w:val="000000"/>
          <w:sz w:val="24"/>
        </w:rPr>
        <w:t xml:space="preserve">) each bank or other depository institution that maintains such Collections Account to cause all amounts on deposit and available at the close of business on each Friday of each calendar week in such Collections Account (net of any required minimum balance and solely to the extent the Manager has identified such amounts as constituting Collections) to be swept (including by wire transfer (or transfer via the ACH System)) to the Facility Collections Account every Business Day and (iii) each Loan Party shall obtain from each bank or other depository institution that maintains such Collections Account an Account Control Agreement with respect to such Collections Account that provides for such bank or other depository institution, following its receipt of a written notice of exclusive control from the Administrative Agent, at the instruction of the Requisite Lenders (it being understood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855345"/>
                <wp:effectExtent l="0" t="0" r="0" b="0"/>
                <wp:wrapNone/>
                <wp:docPr id="152" name="Frame15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that the Administrative Agent and the Requisite Lenders shall not provide and/or instruct the Administrative Agent to provide any such notice unless an Event of Default has occurred and is continuing), to comply with instructions originated by the Administrative Agent directing disposition of the funds in such Collections Account without further consent from any other Person (including the Borrower). From and after the dates required as set forth above, the Borrower shall ensure that the foregoing provisions of </w:t>
      </w:r>
      <w:r>
        <w:rPr>
          <w:rFonts w:ascii="Times New Roman;sans-serif" w:hAnsi="Times New Roman;sans-serif"/>
          <w:b w:val="false"/>
          <w:color w:val="000000"/>
          <w:sz w:val="24"/>
          <w:u w:val="single"/>
        </w:rPr>
        <w:t>clauses (b)(i)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(b)(iii)</w:t>
      </w:r>
      <w:r>
        <w:rPr>
          <w:color w:val="000000"/>
        </w:rPr>
        <w:t xml:space="preserve"> </w:t>
      </w:r>
      <w:r>
        <w:rPr>
          <w:rFonts w:ascii="Times New Roman;sans-serif" w:hAnsi="Times New Roman;sans-serif"/>
          <w:b w:val="false"/>
          <w:color w:val="000000"/>
          <w:sz w:val="24"/>
        </w:rPr>
        <w:t xml:space="preserve">are satisfied in all material respects at all times; it being understood and agreed that if any Collections Account ceases to be a Controlled Account, within forty-five (45) days (or such later date approved by the Administrative Agent (acting at the direction of the Requisite Lenders) or the Requisite Lenders) of obtaining Knowledge thereof, the Borrower shall establish a new Collections Account that is a Controlled Account satisfying the requirements of this </w:t>
      </w:r>
      <w:r>
        <w:rPr>
          <w:rFonts w:ascii="Times New Roman;sans-serif" w:hAnsi="Times New Roman;sans-serif"/>
          <w:b w:val="false"/>
          <w:color w:val="000000"/>
          <w:sz w:val="24"/>
          <w:u w:val="single"/>
        </w:rPr>
        <w:t>Section 6.12(b)</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The Loan Parties acknowledge and confirm that they have established and will maintain the Loan Account subject to an Account Control Agreement into which the proceeds of all Loans will be deposited in accordance with </w:t>
      </w:r>
      <w:r>
        <w:rPr>
          <w:rFonts w:ascii="Times New Roman;sans-serif" w:hAnsi="Times New Roman;sans-serif"/>
          <w:b w:val="false"/>
          <w:color w:val="000000"/>
          <w:sz w:val="24"/>
          <w:u w:val="single"/>
        </w:rPr>
        <w:t>Section 2.3(a)</w:t>
      </w:r>
      <w:r>
        <w:rPr>
          <w:rFonts w:ascii="Times New Roman;sans-serif" w:hAnsi="Times New Roman;sans-serif"/>
          <w:b w:val="false"/>
          <w:color w:val="000000"/>
          <w:sz w:val="24"/>
        </w:rPr>
        <w:t xml:space="preserve">. The Loan Parties (or the Manager on their behalf) may only withdraw funds from the Loan Account for use in accordance with </w:t>
      </w:r>
      <w:r>
        <w:rPr>
          <w:rFonts w:ascii="Times New Roman;sans-serif" w:hAnsi="Times New Roman;sans-serif"/>
          <w:b w:val="false"/>
          <w:color w:val="000000"/>
          <w:sz w:val="24"/>
          <w:u w:val="single"/>
        </w:rPr>
        <w:t>Section 6.9</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(d)    The Account Bank shall, from time to time and in accordance with the direction of the Manager, without regard to the limitations described under </w:t>
      </w:r>
      <w:r>
        <w:rPr>
          <w:rFonts w:ascii="Times New Roman;sans-serif" w:hAnsi="Times New Roman;sans-serif"/>
          <w:b w:val="false"/>
          <w:color w:val="000000"/>
          <w:sz w:val="24"/>
          <w:u w:val="single"/>
        </w:rPr>
        <w:t>Section 2.3</w:t>
      </w:r>
      <w:r>
        <w:rPr>
          <w:rFonts w:ascii="Times New Roman;sans-serif" w:hAnsi="Times New Roman;sans-serif"/>
          <w:b w:val="false"/>
          <w:color w:val="000000"/>
          <w:sz w:val="24"/>
        </w:rPr>
        <w:t>, make withdrawals from the Facility Collection Account (i) to pay to the Persons entitled thereto any amounts deposited in error, (ii) to pay to the Administrative Agent, the Account Bank and the Verification Agent, the Administrative Agent Fee, the Account Bank Fee and the Verification Agent Fee, respectively, and, in each case, accrued and unpaid expenses and indemnities payable to the Administrative Agent, the Account Bank and the Verification Agent, as applicable, and (iii) on the Termination Date, to such account(s) and/or Person(s) as the Borrower (or its designee) may direct (it being understood and agreed that, on the Termination Date, the Account Bank is hereby authorized to clear and terminate the Facility Collection Account upon direction from the Borrower (or its designee).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(e)    If, notwithstanding the provisions of this </w:t>
      </w:r>
      <w:r>
        <w:rPr>
          <w:rFonts w:ascii="Times New Roman;sans-serif" w:hAnsi="Times New Roman;sans-serif"/>
          <w:b w:val="false"/>
          <w:color w:val="000000"/>
          <w:sz w:val="24"/>
          <w:u w:val="single"/>
        </w:rPr>
        <w:t>Section 6.12</w:t>
      </w:r>
      <w:r>
        <w:rPr>
          <w:rFonts w:ascii="Times New Roman;sans-serif" w:hAnsi="Times New Roman;sans-serif"/>
          <w:b w:val="false"/>
          <w:color w:val="000000"/>
          <w:sz w:val="24"/>
        </w:rPr>
        <w:t>, the Loan Parties or the Manager receives any the Collections, the Loan Parties or the Manager shall deposit such amounts in a Collections Account or the Facility Collection Account within five (5) Business Days of Knowledge thereof and the identification of such amounts.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(g)    The Account Bank shall, in accordance with the Manager Report, deposit an amount from Collections available for such purpose in accordance with the Priority of Payments on each Payment Date into the Network Expense and Insurance Reserve Account such that the amount on deposit in the Network Expense and Insurance Reserve Account on such Payment Date is equal to the sum, without duplication, of (x) the amount of Monthly Fiber Network Operating Expenses that the Manager reasonably estimates will be payable with respect to the Fiber Network Assets during the immediately succeeding Monthly Collection Period,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(y) the amount of insurance expenses that the Manager reasonably estimates will be payable with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855345"/>
                <wp:effectExtent l="0" t="0" r="0" b="0"/>
                <wp:wrapNone/>
                <wp:docPr id="153" name="Frame15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respect to the Fiber Network Assets during the immediately succeeding Monthly Collection Period. So long as (i) no Event of Default has occurred and is continuing and (ii) the Loan Parties have (or the Manager on their behalf has) provided the Account Bank with the foregoing information, at the Manager’s direction, the Account Bank shall disburse funds available in the Network Expense and Insurance Reserve Account in order to (x) pay any applicable Monthly Fiber Network Operating Expenses, impositions and insurance expenses (including Insurance Premiums) directly, (y) disburse to the Manager or the Loan Parties, as applicable, an amount sufficient to pay such Monthly Fiber Network Operating Expenses, impositions and insurance expenses (including Insurance Premiums) and/or (z) reimburse the Manager or the Loan Parties for such Monthly Fiber Network Operating Expenses, impositions and insurance expenses (including Insurance Premiums) previously paid by the Manager or the Loan Parties, as applicable.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(h)    Sums on deposit in the Facility Collection Account, Loan Account and the Reserve Accounts shall be invested in Permitted Investments. Each of the Permitted Investments may be purchased by the Account Bank (or the Loan Account Bank in respect of the Loan Account) or through an Affiliate of the Account Bank (or the Loan Account Bank in respect of the Loan Account). Except during the continuance of an Event of Default, the Manager, acting on behalf of the Borrower, shall have the right to direct the Account Bank (or the Loan Account Bank in respect of the Loan Account) in writing, which may be standing instructions, to invest sums on deposit in the Facility Collection Account, Loan Account or the Reserve Accounts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in no event shall the Manager direct the Account Bank (or the Loan Account Bank in respect of the Loan Account) to make a Permitted Investment if the maturity or liquidation date of that Permitted Investment is later than the Business Day prior to the date on which the invested sums are required for payment of an obligation for which the Account was created. In the absence of such written instruction, such funds shall remain uninvested. After an Event of Default of which a Responsible Officer of the Account Bank (or the Loan Account Bank in respect of the Loan Account) shall have received written notice thereof and during the continuance thereof, sums on deposit in the Facility Collection Account, Loan Account and the Reserve Accounts shall remain uninvested, unless otherwise directed in writing by the Requisite Lenders. The Loan Parties hereby irrevocably authorize the Account Bank to apply any interest or income earned from Permitted Investments to the Facility Collection Account and the respective Reserve Accounts in accordance with the priorities set forth in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hereof with any such interest or income available on any Payment Date being deemed to be attributable to the immediately preceding Collection Period for such purposes. The Loan Parties shall be responsible for payment of any federal, state or local income or other tax applicable to income earned from Permitted Investments. The Facility Collection Account, the Loan Account and the Reserve Accounts shall be assigned the federal tax identification number of the Borrower. In no event shall the Account Bank or the Loan Account Bank be responsible for, or incur any liability with respect to, any investment losses on investments made in accordance with the terms of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6.13    [Reserved]</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855345"/>
                <wp:effectExtent l="0" t="0" r="0" b="0"/>
                <wp:wrapNone/>
                <wp:docPr id="154" name="Frame15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6.14    Operation and Maintenance of the Fiber Network Assets</w:t>
      </w:r>
      <w:r>
        <w:rPr>
          <w:rFonts w:ascii="Times New Roman;sans-serif" w:hAnsi="Times New Roman;sans-serif"/>
          <w:b w:val="false"/>
          <w:color w:val="000000"/>
          <w:sz w:val="24"/>
        </w:rPr>
        <w:t>. The Borrower shall cause each Loan Party to maintain or cause to be maintained in good repair, working order and condition all material property necessary for use in the business of such Loan Party, including the applicable Fiber Network Assets, and to make or cause to be made all appropriate repairs, renewals and replacements thereof except to the extent the failure to do so would not reasonably be expected to have a Material Adverse Effect. All work required or permitted under this Agreement shall be performed in a workmanlike manner and in compliance with all applicable laws except to the extent the failure to do so would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6.15    Inspection. </w:t>
      </w:r>
      <w:r>
        <w:rPr>
          <w:rFonts w:ascii="Times New Roman;sans-serif" w:hAnsi="Times New Roman;sans-serif"/>
          <w:b w:val="false"/>
          <w:color w:val="000000"/>
          <w:sz w:val="24"/>
        </w:rPr>
        <w:t xml:space="preserve">The Borrower shall permit, and shall cause each Loan Party to permit, any authorized representative designated by the Requisite Lenders and reasonably acceptable to the Borrower to visit and inspect at such reasonable times during normal business hours its Fiber Network Assets and its business, including its financial and accounting records, and to discuss its affairs, finances and business with its officers and independent public accountants (with such party’s representative(s) present), at such reasonable times during normal business hours to be agreed, and in each case upon reasonable advance notice to the Borrower;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such inspection visit is (x) conducted in such a manner as to not unreasonably interfere with such Loan Party’s business and (y) only to the extent permitted under the relevant IRU Agreements;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subsurface investigations or other investigations that would reasonably be deemed to be intrusive shall be conducted. Unless an Event of Default has occurred and is continuing, the Requisite Lenders shall not be entitled to more than one (1) such visit and inspection. </w:t>
      </w:r>
    </w:p>
    <w:p>
      <w:pPr>
        <w:pStyle w:val="TextBody"/>
        <w:bidi w:val="0"/>
        <w:spacing w:lineRule="auto" w:line="288" w:before="0" w:after="240"/>
        <w:ind w:left="0" w:right="0" w:firstLine="720"/>
        <w:jc w:val="both"/>
        <w:rPr/>
      </w:pPr>
      <w:r>
        <w:rPr>
          <w:rFonts w:ascii="Times New Roman;sans-serif" w:hAnsi="Times New Roman;sans-serif"/>
          <w:b/>
          <w:color w:val="000000"/>
          <w:sz w:val="24"/>
        </w:rPr>
        <w:t>6.16    IRU Agreements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Modification</w:t>
      </w:r>
      <w:r>
        <w:rPr>
          <w:rFonts w:ascii="Times New Roman;sans-serif" w:hAnsi="Times New Roman;sans-serif"/>
          <w:b w:val="false"/>
          <w:color w:val="000000"/>
          <w:sz w:val="24"/>
        </w:rPr>
        <w:t xml:space="preserve">. Except as provided in this </w:t>
      </w:r>
      <w:r>
        <w:rPr>
          <w:rFonts w:ascii="Times New Roman;sans-serif" w:hAnsi="Times New Roman;sans-serif"/>
          <w:b w:val="false"/>
          <w:color w:val="000000"/>
          <w:sz w:val="24"/>
          <w:u w:val="single"/>
        </w:rPr>
        <w:t>Section 6.16</w:t>
      </w:r>
      <w:r>
        <w:rPr>
          <w:rFonts w:ascii="Times New Roman;sans-serif" w:hAnsi="Times New Roman;sans-serif"/>
          <w:b w:val="false"/>
          <w:color w:val="000000"/>
          <w:sz w:val="24"/>
        </w:rPr>
        <w:t>, the Borrower shall not, and shall not permit the Loan Parties to, modify or amend any material substantive or economic terms of, or, subject to the terms herein, terminate or surrender any IRU Agreement, in each case without the prior written consent of the Requisite Lenders, which consent shall not be unreasonably withheld, conditioned or delayed. Any such attempted or purported material modification, amendment, or any surrender, termination, sale or assignment of any IRU Agreement without the Requisite Lenders’ prior written consent shall be null and void and of no force or effect. Notwithstanding the foregoing to the contrary, the Loan Parties shall be permitted, without the Administrative Agent’s or Requisite Lenders’ consent, to and solely in connection with transactions otherwise permitted under the IRU Agreement and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extend or expand the terms of the IRU Agreements on commercially reasonable substantive and economic terms;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    release from the IRU Agreements such Fiber Network Assets which the Borrower reasonably deems necessary in accordance with prudent business practices subject to the provisions of </w:t>
      </w:r>
      <w:r>
        <w:rPr>
          <w:rFonts w:ascii="Times New Roman;sans-serif" w:hAnsi="Times New Roman;sans-serif"/>
          <w:b w:val="false"/>
          <w:color w:val="000000"/>
          <w:sz w:val="24"/>
          <w:u w:val="single"/>
        </w:rPr>
        <w:t>Section 6.3</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Performance of IRU Agreements</w:t>
      </w:r>
      <w:r>
        <w:rPr>
          <w:rFonts w:ascii="Times New Roman;sans-serif" w:hAnsi="Times New Roman;sans-serif"/>
          <w:b w:val="false"/>
          <w:color w:val="000000"/>
          <w:sz w:val="24"/>
        </w:rPr>
        <w:t xml:space="preserve">. The Borrower shall cause each other Loan Party to fully perform as and when due each and all of its material obligations under each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855345"/>
                <wp:effectExtent l="0" t="0" r="0" b="0"/>
                <wp:wrapNone/>
                <wp:docPr id="155" name="Frame15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applicable IRU Agreement in accordance with the terms of such IRU Agreement and shall not permit such Loan Party to cause or suffer to occur any material breach or default in any of such obligations.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Notice of Default</w:t>
      </w:r>
      <w:r>
        <w:rPr>
          <w:rFonts w:ascii="Times New Roman;sans-serif" w:hAnsi="Times New Roman;sans-serif"/>
          <w:b w:val="false"/>
          <w:color w:val="000000"/>
          <w:sz w:val="24"/>
        </w:rPr>
        <w:t>. If any Loan Party shall have or receive any written notice that any default under any IRU Agreement has occurred, the effect of which, in such Loan Party’s reasonable opinion, is likely to result in the termination of the applicable IRU Agreement, then the Borrower shall, within ten (10) Business Days of receipt of such notice, notify the Administrative Agent and the Manager in writing of the same and deliver to the Administrative Agent and the Manager a true and complete copy of each such notice. Further, the Borrower shall provide such documents and information as the Administrative Agent and the Manager shall reasonably request concerning such default.</w:t>
      </w:r>
    </w:p>
    <w:p>
      <w:pPr>
        <w:pStyle w:val="TextBody"/>
        <w:bidi w:val="0"/>
        <w:spacing w:lineRule="auto" w:line="288" w:before="0" w:after="240"/>
        <w:ind w:left="0" w:right="0" w:firstLine="720"/>
        <w:jc w:val="both"/>
        <w:rPr/>
      </w:pPr>
      <w:r>
        <w:rPr>
          <w:rFonts w:ascii="Times New Roman;sans-serif" w:hAnsi="Times New Roman;sans-serif"/>
          <w:b/>
          <w:color w:val="000000"/>
          <w:sz w:val="24"/>
        </w:rPr>
        <w:t>6.17    Risk Retention</w:t>
      </w:r>
      <w:r>
        <w:rPr>
          <w:rFonts w:ascii="Times New Roman;sans-serif" w:hAnsi="Times New Roman;sans-serif"/>
          <w:b w:val="false"/>
          <w:color w:val="000000"/>
          <w:sz w:val="24"/>
        </w:rPr>
        <w:t>. The Borrower will use commercially reasonable efforts to cause the “SR Retention Holder” (as defined in the Risk Retention Letter) to comply with the provisions of the Risk Retention Letter.</w:t>
      </w:r>
    </w:p>
    <w:p>
      <w:pPr>
        <w:pStyle w:val="TextBody"/>
        <w:bidi w:val="0"/>
        <w:spacing w:lineRule="auto" w:line="288" w:before="0" w:after="240"/>
        <w:ind w:left="0" w:right="0" w:firstLine="720"/>
        <w:jc w:val="both"/>
        <w:rPr/>
      </w:pPr>
      <w:r>
        <w:rPr>
          <w:rFonts w:ascii="Times New Roman;sans-serif" w:hAnsi="Times New Roman;sans-serif"/>
          <w:b/>
          <w:color w:val="000000"/>
          <w:sz w:val="24"/>
        </w:rPr>
        <w:t>6.18    Management Agreement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The Borrower shall, or shall cause the applicable Loan Party to, (i) perform and observe all of the material terms, covenants and conditions of the Management Agreement on the part of such Loan Party to be performed and observed, (ii) promptly notify the Manager of any notice to the Borrower of any material default under the Management Agreement of which it has Knowledge, and (iii) other than in connection with a Manager Termination Event prior to any automatic termination of the Manager in accordance with the terms of the Management Agreement, use commercially reasonable efforts to renew the Management Agreement prior to each expiration date thereunder in accordance with its terms. If any Loan Party shall default in the performance or observance of any material term, covenant or condition of the Management Agreement on the part of a Loan Party to be performed or observed, then, without limiting the Lenders’ other rights or remedies under this Agreement or the other Transaction Documents, and without waiving or releasing such Loan Party from any of its obligations hereunder or under the Management Agreement, the Borrower hereby grants the Administrative Agent on its behalf the right, upon prior written notice to such Loan Party, to pay any sums and to perform any act as may be reasonably appropriate to cause such material conditions of the Management Agreement on the part of such Loan Party to be performed or observed.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(b)    The Borrower shall not surrender, terminate, cancel, or modify (other than non-material changes), the Management Agreement, or enter into any other Management Agreement with any new Manager (other than an Acceptable Manager), or consent to the assignment by the Manager of its interest under the Management Agreement, in each case without written consent of the Requisite Lenders. If at any time the Requisite Lenders consent to the appointment of a new Manager, then the Borrower shall, as a condition of the Lenders’ consent, execute a subordination of management agreement in substantially the form delivered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855345"/>
                <wp:effectExtent l="0" t="0" r="0" b="0"/>
                <wp:wrapNone/>
                <wp:docPr id="156" name="Frame15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The Requisite Lenders shall have the right to require that the Manager be replaced in the manner set forth in </w:t>
      </w:r>
      <w:r>
        <w:rPr>
          <w:rFonts w:ascii="Times New Roman;sans-serif" w:hAnsi="Times New Roman;sans-serif"/>
          <w:b w:val="false"/>
          <w:color w:val="000000"/>
          <w:sz w:val="24"/>
          <w:u w:val="single"/>
        </w:rPr>
        <w:t>Section 19(b)</w:t>
      </w:r>
      <w:r>
        <w:rPr>
          <w:color w:val="000000"/>
        </w:rPr>
        <w:t xml:space="preserve"> </w:t>
      </w:r>
      <w:r>
        <w:rPr>
          <w:rFonts w:ascii="Times New Roman;sans-serif" w:hAnsi="Times New Roman;sans-serif"/>
          <w:b w:val="false"/>
          <w:color w:val="000000"/>
          <w:sz w:val="24"/>
        </w:rPr>
        <w:t xml:space="preserve">of the Management Agreement following the occurrence and continuation of a Manager Termination Event pursuant to </w:t>
      </w:r>
      <w:r>
        <w:rPr>
          <w:rFonts w:ascii="Times New Roman;sans-serif" w:hAnsi="Times New Roman;sans-serif"/>
          <w:b w:val="false"/>
          <w:color w:val="000000"/>
          <w:sz w:val="24"/>
          <w:u w:val="single"/>
        </w:rPr>
        <w:t>Section 19(b)</w:t>
      </w:r>
      <w:r>
        <w:rPr>
          <w:color w:val="000000"/>
        </w:rPr>
        <w:t xml:space="preserve"> </w:t>
      </w:r>
      <w:r>
        <w:rPr>
          <w:rFonts w:ascii="Times New Roman;sans-serif" w:hAnsi="Times New Roman;sans-serif"/>
          <w:b w:val="false"/>
          <w:color w:val="000000"/>
          <w:sz w:val="24"/>
        </w:rPr>
        <w:t xml:space="preserve">of the Management Agreement. </w:t>
      </w:r>
    </w:p>
    <w:p>
      <w:pPr>
        <w:pStyle w:val="TextBody"/>
        <w:bidi w:val="0"/>
        <w:spacing w:lineRule="auto" w:line="288" w:before="0" w:after="240"/>
        <w:ind w:left="0" w:right="0" w:firstLine="720"/>
        <w:jc w:val="both"/>
        <w:rPr/>
      </w:pPr>
      <w:r>
        <w:rPr>
          <w:rFonts w:ascii="Times New Roman;sans-serif" w:hAnsi="Times New Roman;sans-serif"/>
          <w:b/>
          <w:color w:val="000000"/>
          <w:sz w:val="24"/>
        </w:rPr>
        <w:t>6.19    Interest Rate Protection</w:t>
      </w:r>
      <w:r>
        <w:rPr>
          <w:rFonts w:ascii="Times New Roman;sans-serif" w:hAnsi="Times New Roman;sans-serif"/>
          <w:b w:val="false"/>
          <w:color w:val="000000"/>
          <w:sz w:val="24"/>
        </w:rPr>
        <w:t>. The Borrower shall enter into one or more Interest Rate Protection Agreements within thirty (30) days following the Closing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Borrower is using reasonable good faith efforts during such thirty-day period and is unable to enter into such Interest Rate Protection Agreements meeting the requirements of this </w:t>
      </w:r>
      <w:r>
        <w:rPr>
          <w:rFonts w:ascii="Times New Roman;sans-serif" w:hAnsi="Times New Roman;sans-serif"/>
          <w:b w:val="false"/>
          <w:color w:val="000000"/>
          <w:sz w:val="24"/>
          <w:u w:val="single"/>
        </w:rPr>
        <w:t>Section 6.19</w:t>
      </w:r>
      <w:r>
        <w:rPr>
          <w:color w:val="000000"/>
        </w:rPr>
        <w:t xml:space="preserve"> </w:t>
      </w:r>
      <w:r>
        <w:rPr>
          <w:rFonts w:ascii="Times New Roman;sans-serif" w:hAnsi="Times New Roman;sans-serif"/>
          <w:b w:val="false"/>
          <w:color w:val="000000"/>
          <w:sz w:val="24"/>
        </w:rPr>
        <w:t>in such period, it shall have an additional ten (10) Business Days to enter into such Interest Rate Protection Agreements) (or, in each case such later date agreed to by the Administrative Agent (acting at the direction of the Requisite Lenders) or the Requisite Lenders), which Interest Rate Protection Agreements (i) shall be in effect until the repayment of the corresponding Loans covered thereby, (ii) shall have a strike rate that is reasonably expected to satisfy a DSCR of no less than 1.75:1.00, determined by the Borrower in good faith as of the date of entry into such Interest Rate Protection Agreement (or otherwise in form and substance reasonably satisfactory to the Administrative Agent (acting at the direction of the Requisite Lenders)) and (iii) shall have an aggregate notional amount equal to no less than 100% of the Total Outstandings as of each date such Interest Rate Protection Agreements are in effect. Any amounts received by the Borrower pursuant to any Interest Rate Protection Agreement (other than payments related solely to the termination or unwinding of an Interest Rate Protection Agreement) shall be deposited in the Facility Collection Account (or another Controlled Account determined by the Borrower) for distribution in accordance with the Priority of Payments. Notwithstanding the foregoing, the Borrower shall furnish a copy of such Interest Rate Protection Agreement within five (5) Business Days of the execution and delivery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6.20    Post-Closing Actions</w:t>
      </w:r>
      <w:r>
        <w:rPr>
          <w:rFonts w:ascii="Times New Roman;sans-serif" w:hAnsi="Times New Roman;sans-serif"/>
          <w:b w:val="false"/>
          <w:color w:val="000000"/>
          <w:sz w:val="24"/>
        </w:rPr>
        <w:t xml:space="preserve">. The Borrower agrees that it will, or will cause its relevant Subsidiaries to, complete each of the actions described on </w:t>
      </w:r>
      <w:r>
        <w:rPr>
          <w:rFonts w:ascii="Times New Roman;sans-serif" w:hAnsi="Times New Roman;sans-serif"/>
          <w:b w:val="false"/>
          <w:color w:val="000000"/>
          <w:sz w:val="24"/>
          <w:u w:val="single"/>
        </w:rPr>
        <w:t>Schedule 6.20</w:t>
      </w:r>
      <w:r>
        <w:rPr>
          <w:color w:val="000000"/>
        </w:rPr>
        <w:t xml:space="preserve"> </w:t>
      </w:r>
      <w:r>
        <w:rPr>
          <w:rFonts w:ascii="Times New Roman;sans-serif" w:hAnsi="Times New Roman;sans-serif"/>
          <w:b w:val="false"/>
          <w:color w:val="000000"/>
          <w:sz w:val="24"/>
        </w:rPr>
        <w:t xml:space="preserve">by no later than the date set forth therein (or such later date as the Administrative Agent (acting at the direction of the Requisite Lenders) or the Requisite Lenders may reasonably agree). This </w:t>
      </w:r>
      <w:r>
        <w:rPr>
          <w:rFonts w:ascii="Times New Roman;sans-serif" w:hAnsi="Times New Roman;sans-serif"/>
          <w:b w:val="false"/>
          <w:color w:val="000000"/>
          <w:sz w:val="24"/>
          <w:u w:val="single"/>
        </w:rPr>
        <w:t>Section 6.20</w:t>
      </w:r>
      <w:r>
        <w:rPr>
          <w:color w:val="000000"/>
        </w:rPr>
        <w:t xml:space="preserve"> </w:t>
      </w:r>
      <w:r>
        <w:rPr>
          <w:rFonts w:ascii="Times New Roman;sans-serif" w:hAnsi="Times New Roman;sans-serif"/>
          <w:b w:val="false"/>
          <w:color w:val="000000"/>
          <w:sz w:val="24"/>
        </w:rPr>
        <w:t xml:space="preserve">shall be deemed to qualify the representations, warranties, covenants and other agreements in the Transactions Documents such that no inaccuracy or breach thereof shall arise in respect of the matters set forth on Schedule 6.20 prior to the time by which such actions are required to be taken pursuant to this </w:t>
      </w:r>
      <w:r>
        <w:rPr>
          <w:rFonts w:ascii="Times New Roman;sans-serif" w:hAnsi="Times New Roman;sans-serif"/>
          <w:b w:val="false"/>
          <w:color w:val="000000"/>
          <w:sz w:val="24"/>
          <w:u w:val="single"/>
        </w:rPr>
        <w:t>Section 6.20</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6.21    Separateness Covenants</w:t>
      </w:r>
      <w:r>
        <w:rPr>
          <w:rFonts w:ascii="Times New Roman;sans-serif" w:hAnsi="Times New Roman;sans-serif"/>
          <w:b w:val="false"/>
          <w:color w:val="000000"/>
          <w:sz w:val="24"/>
        </w:rPr>
        <w:t>. Each of Holdings and the Borrower agrees that it will, and will cause the Subsidiary Guarantors to (as applicable):</w:t>
      </w:r>
      <w:r>
        <w:rPr>
          <w:color w:val="000000"/>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except for properties, or interests therein, which such Loan Party has sold and for which such Loan Party has no continuing obligations or liabilities, not own any assets other than with respect to each Loan Party, the direct or indirect ownership interests in any Fiber Network Assets, Customer Contracts, other property interests and related property in respect of the Collateral (including Equity Interests in subsidiaries, the IRU Agreements, the Closing Date Contributed Equipment and the Closing Date Contributed Contracts) and any other relevant assets used for the Uniti Fiber Business (the “</w:t>
      </w:r>
      <w:r>
        <w:rPr>
          <w:rFonts w:ascii="Times New Roman;sans-serif" w:hAnsi="Times New Roman;sans-serif"/>
          <w:b/>
          <w:color w:val="000000"/>
          <w:sz w:val="24"/>
        </w:rPr>
        <w:t>Underlying Interests</w:t>
      </w:r>
      <w:r>
        <w:rPr>
          <w:color w:val="000000"/>
        </w:rPr>
        <w:t>”</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855345"/>
                <wp:effectExtent l="0" t="0" r="0" b="0"/>
                <wp:wrapNone/>
                <wp:docPr id="157" name="Frame15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not engage in any material business, directly or indirectly, other than the ownership, management and operation of the Underlying Interests, as applicable;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except as permitted by </w:t>
      </w:r>
      <w:r>
        <w:rPr>
          <w:rFonts w:ascii="Times New Roman;sans-serif" w:hAnsi="Times New Roman;sans-serif"/>
          <w:b w:val="false"/>
          <w:color w:val="000000"/>
          <w:sz w:val="24"/>
          <w:u w:val="single"/>
        </w:rPr>
        <w:t>Section 7.4</w:t>
      </w:r>
      <w:r>
        <w:rPr>
          <w:rFonts w:ascii="Times New Roman;sans-serif" w:hAnsi="Times New Roman;sans-serif"/>
          <w:b w:val="false"/>
          <w:color w:val="000000"/>
          <w:sz w:val="24"/>
        </w:rPr>
        <w:t>, not enter into any contract or agreement with any Related Party except in the ordinary course of business and upon terms and conditions that are commercially reasonable and substantially similar to those that would be available on an arm’s-length basis with third parties other than a Related Party;</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(d)    [reserved];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(e)    [reserved];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(f)    remain solvent and pay its own liabilities, indebtedness, and obligations of any kind from its own separate assets as the same shall become due, and maintain adequate capital for its obligations in light of its contemplated business operations;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shall not require any equityholder of a Loan Party to make additional capital contributions or provide other financial support to such Loan Party;</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(g)    do all things necessary to preserve its existence and not amend, modify or otherwise change its articles of incorporation, by-laws, articles of organization, operating agreement or other organizational documents in any manner with respect to the matters set forth in this </w:t>
      </w:r>
      <w:r>
        <w:rPr>
          <w:rFonts w:ascii="Times New Roman;sans-serif" w:hAnsi="Times New Roman;sans-serif"/>
          <w:b w:val="false"/>
          <w:color w:val="000000"/>
          <w:sz w:val="24"/>
          <w:u w:val="single"/>
        </w:rPr>
        <w:t>Article VI</w:t>
      </w:r>
      <w:r>
        <w:rPr>
          <w:color w:val="000000"/>
        </w:rPr>
        <w:t xml:space="preserve"> </w:t>
      </w:r>
      <w:r>
        <w:rPr>
          <w:rFonts w:ascii="Times New Roman;sans-serif" w:hAnsi="Times New Roman;sans-serif"/>
          <w:b w:val="false"/>
          <w:color w:val="000000"/>
          <w:sz w:val="24"/>
        </w:rPr>
        <w:t>except as otherwise permitted under such organizational documents;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(h)    continuously maintain its qualifications to do business in all jurisdictions necessary to carry on its business, except where the failure to so qualify would not reasonably be expected to have a Material Adverse Effect;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(i)    [reserved];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(j)    maintain books and records and bank accounts separate from those of its Related Parties and any other Person (other than the Loan Parties) and maintain consolidated financial statements of Holdings, the Borrower and its subsidiaries that are separate from their Affiliates (it being understood that the Loan Parties’ assets may also be included in consolidated financial statements of their Affiliates);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(k)    hold itself out to the public as a legal entity separate and distinct from any other Person (including any of its Related Parties), and not as a department or division of any Person (other than the other Loan Parties) and will correct any misunderstandings to its Knowledge regarding its existence as a separate legal entity (it being understood that the Loan Parties are expressly permitted to do business as, and use trade names, assumed names and/or fictitious business names referring to themselves as “Uniti Fiber” and similar nomenclature);</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(l)    [reserved];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(m)    allocate, fairly and reasonably any shared expenses with Related Parties (including shared office space);</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855345"/>
                <wp:effectExtent l="0" t="0" r="0" b="0"/>
                <wp:wrapNone/>
                <wp:docPr id="158" name="Frame15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(n)    use invoices and checks bearing its own name and separate from those of any Related Party (it being understood that the Loan Parties are expressly permitted to use common stationery, invoices and checks among the Loan Parties);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(o)    file all such separate tax returns with respect to a Loan Party (or consolidated tax returns for two or more Loan Parties, if applicable) that are required under applicable law except where failure to so file would not reasonably be expected to have a Material Adverse Effect;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(p)    not seek, acquiesce in, or suffer or permit, its liquidation, dissolution or winding up, in whole or in part;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(q)    except as otherwise permitted in the Transaction Documents (including a Permitted Change of Control or a Permitted Reorganization), not enter into any transaction of merger, consolidation, amalgamation, sell all or substantially all of its assets or acquire by purchase or otherwise all or substantially all of the business or assets (unless in the case of an asset acquisition, all such assets consist of Fiber Network Assets, Customer Contracts and related property) of or any stock or beneficial ownership of, any Person;</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(r)    not commingle or permit to be commingled, its funds or other assets with those of any other Person (other than, with respect to the Loan Parties, each other Loan Party, or as may be held by the Manager, as agent, for the Borrower pursuant to the terms of the Management Agreement);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(s)    [reserved];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(t)    not hold itself out to have guaranteed or otherwise be responsible for the debts or obligations of any other Person (other than any obligations of another Loan Party, including the Obligations);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(u)    not guarantee or otherwise become liable on any obligation for borrowed money (other than the Obligations) of any Related Party (other than the other Loan Parties) that remains outstanding;</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(v)    not pledge its assets to secure obligations for borrowed money of any Related Party (other than the other Loan Parties);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(w)    except for funds deposited into the Pledged Accounts in accordance with the Transaction Documents, hold all of its assets solely in its own name or in the name of another Loan Party;</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(x)    observe all limited liability company or other applicable corporate formalities; and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(y)    not form, acquire or hold Equity Interests in any Subsidiary (other than another Loan Party or otherwise permitted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855345"/>
                <wp:effectExtent l="0" t="0" r="0" b="0"/>
                <wp:wrapNone/>
                <wp:docPr id="159" name="Frame15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VII.    NEGATIVE COVENANTS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From the Closing Date until the Termination Date, the Borrower and each Subsidiary Guarantor party hereto hereby covenants and agrees that (and, solely with respect to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Holdings agrees that):</w:t>
      </w:r>
    </w:p>
    <w:p>
      <w:pPr>
        <w:pStyle w:val="TextBody"/>
        <w:bidi w:val="0"/>
        <w:spacing w:lineRule="auto" w:line="288" w:before="0" w:after="240"/>
        <w:ind w:left="0" w:right="0" w:firstLine="720"/>
        <w:jc w:val="both"/>
        <w:rPr/>
      </w:pPr>
      <w:r>
        <w:rPr>
          <w:rFonts w:ascii="Times New Roman;sans-serif" w:hAnsi="Times New Roman;sans-serif"/>
          <w:b/>
          <w:color w:val="000000"/>
          <w:sz w:val="24"/>
        </w:rPr>
        <w:t>7.1    Indebtedness</w:t>
      </w:r>
      <w:r>
        <w:rPr>
          <w:rFonts w:ascii="Times New Roman;sans-serif" w:hAnsi="Times New Roman;sans-serif"/>
          <w:b w:val="false"/>
          <w:color w:val="000000"/>
          <w:sz w:val="24"/>
        </w:rPr>
        <w:t>. No Loan Party shall create, incur, assume, guarantee, or otherwise become or remain directly or indirectly liable with respect to any Indebtedness except for the following (collectively, “</w:t>
      </w:r>
      <w:r>
        <w:rPr>
          <w:rFonts w:ascii="Times New Roman;sans-serif" w:hAnsi="Times New Roman;sans-serif"/>
          <w:b w:val="false"/>
          <w:color w:val="000000"/>
          <w:sz w:val="24"/>
          <w:u w:val="single"/>
        </w:rPr>
        <w:t>Permitted Indebtedness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(i) the Secured Obligations and (ii) Swap Obligations (excluding Swap Obligations entered into for speculative purposes);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(i) unsecured trade payables not evidenced by a note and arising out of purchases of goods or services in the ordinary course of business, (ii) Indebtedness incurred in the financing of equipment or other personal property used at the Fiber Network in the ordinary course of business and solely secured (if secured) by purchase money security interests in such equipment, (iii) reimbursement obligations to the Manager payable solely in accordance with the Priority of Payments and (iv) obligations incurred or created in the ordinary course of business in respect of (x) performance of statutory, regulatory or licensing obligations, surety or appeal bonds, performance bonds, bids or tenders, letters of credit, workers’ compensation, unemployment insurance and other social security legislation and liability to insurance carriers under insurance or self-insurance arrangements or (y) bonding or other commercial arrangements customarily required in respect of construction or other work on or operation of the Fiber Network;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at the time of incurrence thereof, the aggregate outstanding principal amount of all Indebtedness referred to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7.1(b)</w:t>
      </w:r>
      <w:r>
        <w:rPr>
          <w:color w:val="000000"/>
        </w:rPr>
        <w:t xml:space="preserve"> </w:t>
      </w:r>
      <w:r>
        <w:rPr>
          <w:rFonts w:ascii="Times New Roman;sans-serif" w:hAnsi="Times New Roman;sans-serif"/>
          <w:b w:val="false"/>
          <w:color w:val="000000"/>
          <w:sz w:val="24"/>
        </w:rPr>
        <w:t>for all the Loan Parties (which, for the avoidance of doubt, excludes Fiber Network Operating Expenses) shall not exceed the greater of (A) 5% of Aggregate Annualized Run Rate Revenue and (B) $5,000,000;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Indebtedness owed to any Loan Party.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no event shall any Indebtedness (including any Permitted Indebtedness) other than the Secured Obligations be secured, in whole or in part, by the Collateral or other Assets or any portion thereof or interest therein or any proceeds of any of the foregoing (other than Permitted Liens).</w:t>
      </w:r>
    </w:p>
    <w:p>
      <w:pPr>
        <w:pStyle w:val="TextBody"/>
        <w:bidi w:val="0"/>
        <w:spacing w:lineRule="auto" w:line="288" w:before="0" w:after="240"/>
        <w:ind w:left="0" w:right="0" w:firstLine="720"/>
        <w:jc w:val="both"/>
        <w:rPr/>
      </w:pPr>
      <w:r>
        <w:rPr>
          <w:rFonts w:ascii="Times New Roman;sans-serif" w:hAnsi="Times New Roman;sans-serif"/>
          <w:b/>
          <w:color w:val="000000"/>
          <w:sz w:val="24"/>
        </w:rPr>
        <w:t>7.2    Liens; Negative Pledges</w:t>
      </w:r>
      <w:r>
        <w:rPr>
          <w:rFonts w:ascii="Times New Roman;sans-serif" w:hAnsi="Times New Roman;sans-serif"/>
          <w:b w:val="false"/>
          <w:color w:val="000000"/>
          <w:sz w:val="24"/>
        </w:rPr>
        <w:t>. No Loan Party shall create, incur, assume or suffer to exist any Lien on any of the Collateral or any of its properties or assets or any of its shares, securities or other equity or ownership interests, whether now owned or hereafter acquired, except for Permitted Liens. The Borrower shall not enter into or permit to exist any agreement or other arrangement that (I) prohibits the ability of any Loan Party to create, incur or permit to exist any Lien upon any Collateral, whether now owned or hereafter acquired, to secure the Obligations or (II) requires that any Fiber Network Assets originated or otherwise acquired by any Loan Party be financed or pledged under any other credit facility for borrowed money.</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855345"/>
                <wp:effectExtent l="0" t="0" r="0" b="0"/>
                <wp:wrapNone/>
                <wp:docPr id="160" name="Frame16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7.3    Restricted Payments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No Loan Party shall make any Restricted Payment;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Loan Party may declare, pay or make (and, solely in the case of (x) Permitted Distributions described in clause (b) of the definition thereof and (y) Restricted Payments described in clauses (ii), (iii), (v) and (vi) below, only so long as no Event of Default shall have occurred and be continuing): (i) Permitted Distributions or Permitted Affiliate Payments (including with any funds received pursuant to </w:t>
      </w:r>
      <w:r>
        <w:rPr>
          <w:rFonts w:ascii="Times New Roman;sans-serif" w:hAnsi="Times New Roman;sans-serif"/>
          <w:b w:val="false"/>
          <w:color w:val="000000"/>
          <w:sz w:val="24"/>
          <w:u w:val="single"/>
        </w:rPr>
        <w:t>clause eleven</w:t>
      </w:r>
      <w:r>
        <w:rPr>
          <w:color w:val="000000"/>
        </w:rPr>
        <w:t xml:space="preserve"> </w:t>
      </w:r>
      <w:r>
        <w:rPr>
          <w:rFonts w:ascii="Times New Roman;sans-serif" w:hAnsi="Times New Roman;sans-serif"/>
          <w:b w:val="false"/>
          <w:color w:val="000000"/>
          <w:sz w:val="24"/>
        </w:rPr>
        <w:t xml:space="preserve">of the Priority of Payments), (ii) Restricted Payments of amounts or assets constituting dispositions of Fiber Network Assets to the extent permitted under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 xml:space="preserve">, (iii) Restricted Payments to the Borrower or any of its direct or indirect Subsidiaries, (iv) Restricted Payments consisting of any part of an Excluded Amount, (v) Restricted Payments for any lawful purpose (including payments in amounts enabling any direct or indirect Parent Company or any of its Affiliates to pay any applicable tax liabilities) made with any Available Funds received pursuant to clause </w:t>
      </w:r>
      <w:r>
        <w:rPr>
          <w:rFonts w:ascii="Times New Roman;sans-serif" w:hAnsi="Times New Roman;sans-serif"/>
          <w:b w:val="false"/>
          <w:color w:val="000000"/>
          <w:sz w:val="24"/>
          <w:u w:val="single"/>
        </w:rPr>
        <w:t>twelfth</w:t>
      </w:r>
      <w:r>
        <w:rPr>
          <w:color w:val="000000"/>
        </w:rPr>
        <w:t xml:space="preserve"> </w:t>
      </w:r>
      <w:r>
        <w:rPr>
          <w:rFonts w:ascii="Times New Roman;sans-serif" w:hAnsi="Times New Roman;sans-serif"/>
          <w:b w:val="false"/>
          <w:color w:val="000000"/>
          <w:sz w:val="24"/>
        </w:rPr>
        <w:t xml:space="preserve">of the Priority of Payments and (vi) Restricted Payments constituting or otherwise made in connection with or relating to any Permitted Reorganization or Permitted Change of Control;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immediately after giving Pro Forma Effect to any such Permitted Reorganization or Permitted Change of Control, as applicable, and the transactions to be consummated in connection therewith, any distributed asset ceases to be owned by the Loan Parties (or any entity ceases to be a Loan Party), the applicable portion of such Restricted Payment must be otherwise permitted under another provision of this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(and constitute utilization of such other Restricted Payment exception or capacity).</w:t>
      </w:r>
    </w:p>
    <w:p>
      <w:pPr>
        <w:pStyle w:val="TextBody"/>
        <w:bidi w:val="0"/>
        <w:spacing w:lineRule="auto" w:line="288" w:before="0" w:after="240"/>
        <w:ind w:left="0" w:right="0" w:firstLine="720"/>
        <w:jc w:val="both"/>
        <w:rPr/>
      </w:pPr>
      <w:r>
        <w:rPr>
          <w:rFonts w:ascii="Times New Roman;sans-serif" w:hAnsi="Times New Roman;sans-serif"/>
          <w:b/>
          <w:color w:val="000000"/>
          <w:sz w:val="24"/>
        </w:rPr>
        <w:t>7.4    Transactions with Affiliates</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No Loan Party shall enter into or consummate any transaction of any kind with any of its Related Parties other than (i) the transactions contemplated hereby and by the other Transaction Documents (including, execution, delivery and performance of its obligations under the IRU Agreements, the Management Agreement and the other Transaction Documents from time to time), (ii) (x) Permitted Affiliate Transactions and (y) other transactions upon fair and reasonable terms materially no less favorable to such Loan Party than would be obtained in a comparable arms-length transaction with a non-Affiliate (as determined by the Borrower in good faith), (iii) Restricted Payments permitted by </w:t>
      </w:r>
      <w:r>
        <w:rPr>
          <w:rFonts w:ascii="Times New Roman;sans-serif" w:hAnsi="Times New Roman;sans-serif"/>
          <w:b w:val="false"/>
          <w:color w:val="000000"/>
          <w:sz w:val="24"/>
          <w:u w:val="single"/>
        </w:rPr>
        <w:t>Section 7.3</w:t>
      </w:r>
      <w:r>
        <w:rPr>
          <w:color w:val="000000"/>
        </w:rPr>
        <w:t xml:space="preserve"> </w:t>
      </w:r>
      <w:r>
        <w:rPr>
          <w:rFonts w:ascii="Times New Roman;sans-serif" w:hAnsi="Times New Roman;sans-serif"/>
          <w:b w:val="false"/>
          <w:color w:val="000000"/>
          <w:sz w:val="24"/>
        </w:rPr>
        <w:t xml:space="preserve">and dispositions of Fiber Network Assets in accordance with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 (iv) transactions approved by the majority of the Board of Directors or a majority of the disinterested members of the Board of Directors of Holdings in good faith, (v) transactions among the Loan Parties and their Subsidiaries and (vi) transactions undertaken or consummated or otherwise be subject to any Permitted Reorganization or Permitted Change of Control.</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No Loan Party shall sell, refinance or otherwise transfer any Fiber Network Assets (pursuant to the terms hereof) other than pursuant a sale, refinancing, disposition or other transfer (i) to a third-party, non-Affiliate of any Loan Party on an arms-length basis;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purchase price received by Borrower for such Fiber Network Assets is equal to or greater than the fair market value of such Fiber Network Assets and is deposited to the Facility Collection Account, (ii) dispositions of Fiber Network Assets in accordance with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855345"/>
                <wp:effectExtent l="0" t="0" r="0" b="0"/>
                <wp:wrapNone/>
                <wp:docPr id="161" name="Frame16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(iii) as otherwise agreed to by Administrative Agent (acting at the direction of the Requisite Lenders in their sole discretion).</w:t>
      </w:r>
    </w:p>
    <w:p>
      <w:pPr>
        <w:pStyle w:val="TextBody"/>
        <w:bidi w:val="0"/>
        <w:spacing w:lineRule="auto" w:line="288" w:before="0" w:after="240"/>
        <w:ind w:left="0" w:right="0" w:firstLine="720"/>
        <w:jc w:val="both"/>
        <w:rPr/>
      </w:pPr>
      <w:r>
        <w:rPr>
          <w:rFonts w:ascii="Times New Roman;sans-serif" w:hAnsi="Times New Roman;sans-serif"/>
          <w:b/>
          <w:color w:val="000000"/>
          <w:sz w:val="24"/>
        </w:rPr>
        <w:t>7.5    Organizational Documents; Fiscal Year; Use of Proceeds</w:t>
      </w:r>
      <w:r>
        <w:rPr>
          <w:rFonts w:ascii="Times New Roman;sans-serif" w:hAnsi="Times New Roman;sans-serif"/>
          <w:b w:val="false"/>
          <w:color w:val="000000"/>
          <w:sz w:val="24"/>
        </w:rPr>
        <w:t>. Without the consent of the Requisite Lenders, no Loan Party shall (a) amend, modify, restate, change or terminate any of its Organizational Documents in any way that would cause it to cease to comply with the requirements hereunder or that would be materially adverse to the Lenders, taken as a whole (in their capacities as such), (b) change its state of organization or change its corporate name without written notice to Administrative Agent within fifteen (15) Business Days of any such change, (c) change its fiscal year without fifteen (15) calendar days prior written notice to the Administrative Agent, (d) [reserved], (e) use any proceeds of any Term Loan for any purchase not contemplated or permitted by this Agreement or (f) certificate, or cause to have certificated, any Equity Interest in any Loan Party in existence as of the Closing Date that is not evidenced by a certificate as of the Closing Date that is Collateral subject to this Agreement, in each case unless such certificated Equity Interest is delivered to the Administrative Agent together with undated stock powers or other instruments of transfer with respect thereto endorsed in blank.</w:t>
      </w:r>
    </w:p>
    <w:p>
      <w:pPr>
        <w:pStyle w:val="TextBody"/>
        <w:bidi w:val="0"/>
        <w:spacing w:lineRule="auto" w:line="288" w:before="0" w:after="240"/>
        <w:ind w:left="0" w:right="0" w:firstLine="720"/>
        <w:jc w:val="both"/>
        <w:rPr/>
      </w:pPr>
      <w:r>
        <w:rPr>
          <w:rFonts w:ascii="Times New Roman;sans-serif" w:hAnsi="Times New Roman;sans-serif"/>
          <w:b/>
          <w:color w:val="000000"/>
          <w:sz w:val="24"/>
        </w:rPr>
        <w:t>7.6    Transfer of Collateral</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No Loan Party shall Dispose of any Collateral to any Person (other than a Loan Party) outside of the ordinary course of business other than (x) Permitted Dispositions or (y) otherwise as expressly permitted by this Agreement or any other Transaction Document.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Notwithstanding anything set forth herein to the contrary (and subject to the relevant provisions of this Agreement), the Borrower shall not, without the prior written consent of Administrative Agent (acting at the direction of the Requisite Lenders), (i) consent to any agreement in any proceeding under any Debtor Relief Law relating to any Fiber Network Assets or Customer, including, without limitation, voting for a plan of reorganization, (ii) [reserved], (iii) deposit Collections (including any sale proceeds referenced in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above) in any manner other than as set forth in </w:t>
      </w:r>
      <w:r>
        <w:rPr>
          <w:rFonts w:ascii="Times New Roman;sans-serif" w:hAnsi="Times New Roman;sans-serif"/>
          <w:b w:val="false"/>
          <w:color w:val="000000"/>
          <w:sz w:val="24"/>
          <w:u w:val="single"/>
        </w:rPr>
        <w:t>Section 6.12</w:t>
      </w:r>
      <w:r>
        <w:rPr>
          <w:color w:val="000000"/>
        </w:rPr>
        <w:t xml:space="preserve"> </w:t>
      </w:r>
      <w:r>
        <w:rPr>
          <w:rFonts w:ascii="Times New Roman;sans-serif" w:hAnsi="Times New Roman;sans-serif"/>
          <w:b w:val="false"/>
          <w:color w:val="000000"/>
          <w:sz w:val="24"/>
        </w:rPr>
        <w:t>or (iv) take any other action or make or propose any modification or amendment to any IRU Agreement that would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7.7    Contingent Obligations and Risks</w:t>
      </w:r>
      <w:r>
        <w:rPr>
          <w:rFonts w:ascii="Times New Roman;sans-serif" w:hAnsi="Times New Roman;sans-serif"/>
          <w:b w:val="false"/>
          <w:color w:val="000000"/>
          <w:sz w:val="24"/>
        </w:rPr>
        <w:t>. Other than Permitted Indebtedness, no Loan Party shall create or become or be liable with respect to any material Contingent Obligation outside the ordinary course of business.</w:t>
      </w:r>
    </w:p>
    <w:p>
      <w:pPr>
        <w:pStyle w:val="TextBody"/>
        <w:bidi w:val="0"/>
        <w:spacing w:lineRule="auto" w:line="288" w:before="0" w:after="240"/>
        <w:ind w:left="0" w:right="0" w:firstLine="720"/>
        <w:jc w:val="both"/>
        <w:rPr/>
      </w:pPr>
      <w:r>
        <w:rPr>
          <w:rFonts w:ascii="Times New Roman;sans-serif" w:hAnsi="Times New Roman;sans-serif"/>
          <w:b/>
          <w:color w:val="000000"/>
          <w:sz w:val="24"/>
        </w:rPr>
        <w:t>7.8    Permitted Activities of Holdings</w:t>
      </w:r>
      <w:r>
        <w:rPr>
          <w:rFonts w:ascii="Times New Roman;sans-serif" w:hAnsi="Times New Roman;sans-serif"/>
          <w:b w:val="false"/>
          <w:color w:val="000000"/>
          <w:sz w:val="24"/>
        </w:rPr>
        <w:t>. Holdings shall not engage at any time in any active trade or any material operations or business other than through the Borrower and its Subsidiaries; it being understood and agreed that Holdings shall not: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incur any Indebtedness for borrowed money other than (i) the Indebtedness permitted to be incurred by Holdings under the Transaction Documents or otherwise in connection with the Transactions, (ii) Guarantees of Indebtedness or other obligations of the Borrower and/or any Subsidiary thereof, which Indebtedness or other obligations are otherwise permitted hereunder, (iii) Indebtedness owed to the Borrower or any Subsidiary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855345"/>
                <wp:effectExtent l="0" t="0" r="0" b="0"/>
                <wp:wrapNone/>
                <wp:docPr id="162" name="Frame16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permitted hereunder and (iv) any Indebtedness that is contractually subordinated in right of payment to the Loan Obligations;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(b)    create or suffer to exist any Lien on any property or asset now owned or hereafter acquired by it securing Indebtedness for borrowed money other than (i) the Liens created under this Agreement and the other Security Documents, (ii) any other Lien created in connection with the Transactions and (iii) Permitted Liens; or</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engage in any material business activity or own any material assets other than (i) holding the Equity Interests in the Borrower and, indirectly, any other Subsidiary of the Borrower; (ii) performing its obligations under this Agreement and the other Transaction Documents and other Indebtedness, Liens (including the granting of Liens) and Guarantees permitted hereunder; (iii) issuing its own Equity Interests (including, for the avoidance of doubt, the making of any dividend or distribution on account of, or any redemption, retirement, sinking fund or similar payment, purchase or other acquisition for value of, any shares of any class of capital stock permitted hereunder); (iv) filing tax reports and paying taxes; (v) preparing reports to Governmental Authorities and to its shareholders; (vi) holding director and shareholder meetings, preparing organizational records and other organizational activities required to maintain its separate organizational structure or to comply with Applicable Law; (vii) effecting any initial public offering of its capital stock; (viii) holding (A) cash, cash equivalents and other assets received in connection with permitted distributions or dividends received from, or permitted Investments or permitted Dispositions made by, any of its subsidiaries or permitted contributions to the capital of, or proceeds from the issuance of capital stock of, Holdings pending the application thereof, or otherwise received and held so long as such other assets are not “operated” and (B) the proceeds of Permitted Indebtedness; (ix) providing indemnification for its officers, directors, members of management, employees and advisors or consultants; (x) participating in tax, accounting and other administrative matters; (xi) performance of its obligations under any document, agreement and/or Investment contemplated by the Transactions or otherwise not prohibited under this Agreement; (xii) complying with Applicable Law (including with respect to the maintenance of its existence); (xiii) financing activities, including the issuance of securities, incurrence of debt, receipt and payment of dividends and distributions, making contributions to the capital of its Subsidiaries and guaranteeing the obligations of the Borrower and its other Subsidiaries to the extent permitted hereunder; (xiv) consummating any Permitted Reorganization; (xv) any transaction expressly permitted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and/or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7.8</w:t>
      </w:r>
      <w:r>
        <w:rPr>
          <w:rFonts w:ascii="Times New Roman;sans-serif" w:hAnsi="Times New Roman;sans-serif"/>
          <w:b w:val="false"/>
          <w:color w:val="000000"/>
          <w:sz w:val="24"/>
        </w:rPr>
        <w:t>; and (xvi) activities incidental or reasonably related to any of the foregoing.</w:t>
      </w:r>
    </w:p>
    <w:p>
      <w:pPr>
        <w:pStyle w:val="TextBody"/>
        <w:bidi w:val="0"/>
        <w:spacing w:lineRule="auto" w:line="288" w:before="0" w:after="240"/>
        <w:ind w:left="0" w:right="0" w:firstLine="720"/>
        <w:jc w:val="both"/>
        <w:rPr/>
      </w:pPr>
      <w:r>
        <w:rPr>
          <w:rFonts w:ascii="Times New Roman;sans-serif" w:hAnsi="Times New Roman;sans-serif"/>
          <w:b/>
          <w:color w:val="000000"/>
          <w:sz w:val="24"/>
        </w:rPr>
        <w:t>7.9    Anti-Terrorism</w:t>
      </w:r>
      <w:r>
        <w:rPr>
          <w:rFonts w:ascii="Times New Roman;sans-serif" w:hAnsi="Times New Roman;sans-serif"/>
          <w:b w:val="false"/>
          <w:color w:val="000000"/>
          <w:sz w:val="24"/>
        </w:rPr>
        <w:t>. No Loan Party shall (a) be or become a Sanctioned Person, (b) engage in any dealings or transactions prohibited by anti-terrorism law, or otherwise be associated with any Sanctioned Person in any manner violative of any anti-terrorism law, or (c) use the proceeds of any borrowing or contribute or otherwise make available such proceeds for the purpose of making payments in violation of Sanctions or any anti-terrorism law.</w:t>
      </w:r>
    </w:p>
    <w:p>
      <w:pPr>
        <w:pStyle w:val="TextBody"/>
        <w:bidi w:val="0"/>
        <w:spacing w:lineRule="auto" w:line="288" w:before="0" w:after="240"/>
        <w:ind w:left="0" w:right="0" w:firstLine="720"/>
        <w:jc w:val="both"/>
        <w:rPr/>
      </w:pPr>
      <w:r>
        <w:rPr>
          <w:rFonts w:ascii="Times New Roman;sans-serif" w:hAnsi="Times New Roman;sans-serif"/>
          <w:b/>
          <w:color w:val="000000"/>
          <w:sz w:val="24"/>
        </w:rPr>
        <w:t>7.10    [Reserved]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7.11    [Reserved]</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855345"/>
                <wp:effectExtent l="0" t="0" r="0" b="0"/>
                <wp:wrapNone/>
                <wp:docPr id="163" name="Frame16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7.12    [Reserved].</w:t>
      </w:r>
      <w:r>
        <w:rPr>
          <w:color w:val="000000"/>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7.13    Disposition of Fiber Network Assets</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The Loan Parties shall not Dispose Fiber Network Assets to any Person (other than a Loan Party), except for Dispositions as expressly permitted in this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Subject to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 xml:space="preserve">, the Loan Parties may Dispose of Fiber Network Assets at any time to one or more Persons (including affiliates of the Loan Parties);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immediately following such disposition, the DSCR, determined on a Pro Forma Basis after giving </w:t>
      </w:r>
      <w:r>
        <w:rPr>
          <w:rFonts w:ascii="Times New Roman;sans-serif" w:hAnsi="Times New Roman;sans-serif"/>
          <w:b w:val="false"/>
          <w:i/>
          <w:color w:val="000000"/>
          <w:sz w:val="24"/>
        </w:rPr>
        <w:t xml:space="preserve">Pro Forma Effect </w:t>
      </w:r>
      <w:r>
        <w:rPr>
          <w:rFonts w:ascii="Times New Roman;sans-serif" w:hAnsi="Times New Roman;sans-serif"/>
          <w:b w:val="false"/>
          <w:color w:val="000000"/>
          <w:sz w:val="24"/>
        </w:rPr>
        <w:t xml:space="preserve">to such disposition and any concurrent repayment of the Loans, is greater than or equal to 2.00:1.00 and (ii) the Net Proceeds thereof are applied to prepay the Term Loans in an amount equal to the applicable Release Price for such Fiber Network Assets.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Notwithstanding the foregoing, the Loan Parties may (x) dispose of Fiber Network Assets with a value less than $5,000,000 in the aggregate in accordance with prudent business practices;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applicable Loan Party has provided written certification to the Administrative Agent and the Manager that such Loan Party has reasonably determined that it is necessary to terminate or otherwise dispose of such Fiber Network Assets in accordance with prudent business practices and the terms hereof in order to maximize the aggregate revenue of all Fiber Network Assets as a whole; and (y) make Permitted Dispositions.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(d)    In connection with any Disposition permitted by this </w:t>
      </w:r>
      <w:r>
        <w:rPr>
          <w:rFonts w:ascii="Times New Roman;sans-serif" w:hAnsi="Times New Roman;sans-serif"/>
          <w:b w:val="false"/>
          <w:color w:val="000000"/>
          <w:sz w:val="24"/>
          <w:u w:val="single"/>
        </w:rPr>
        <w:t>Section 7.13</w:t>
      </w:r>
      <w:r>
        <w:rPr>
          <w:rFonts w:ascii="Times New Roman;sans-serif" w:hAnsi="Times New Roman;sans-serif"/>
          <w:b w:val="false"/>
          <w:color w:val="000000"/>
          <w:sz w:val="24"/>
        </w:rPr>
        <w:t xml:space="preserve">, the Manager may deliver a certificate of a Responsible Officer to the Administrative Agent to the effect that any applicable conditions to such Disposition have been (or will concurrently therewith be) satisfied and directing the Administrative Agent to execute and deliver to the Borrower (or its designee) (at the Borrower’s sole cost and expense), any evidence of release, satisfaction, discharge and/or termination agreements or similar instruments or filings reasonably requested by the Borrower in form and substance reasonably satisfactory to the Administrative Agent to evidence in the public record the automatic release of security interests in favor of the Beneficiaries on the Disposed Fiber Network Assets pursuant to </w:t>
      </w:r>
      <w:r>
        <w:rPr>
          <w:rFonts w:ascii="Times New Roman;sans-serif" w:hAnsi="Times New Roman;sans-serif"/>
          <w:b w:val="false"/>
          <w:color w:val="000000"/>
          <w:sz w:val="24"/>
          <w:u w:val="single"/>
        </w:rPr>
        <w:t>Section 2.13</w:t>
      </w:r>
      <w:r>
        <w:rPr>
          <w:rFonts w:ascii="Times New Roman;sans-serif" w:hAnsi="Times New Roman;sans-serif"/>
          <w:b w:val="false"/>
          <w:color w:val="000000"/>
          <w:sz w:val="24"/>
        </w:rPr>
        <w:t xml:space="preserve">, and the Administrative Agent shall thereupon take such actions as directed to evidence such release on the Collateral associated with the disposed Fiber Network Assets as the Borrower may reasonably request in writing (and the Lenders hereby authorize and direct the Administrative Agent to rely on such certificate in performing its obligations under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(e)    The Borrower will be permitted to make dispositions of real property interests owned by the Borrower that are not Fiber Network Assets without regard to the provisions applicable to dispositions set forth in this </w:t>
      </w:r>
      <w:r>
        <w:rPr>
          <w:rFonts w:ascii="Times New Roman;sans-serif" w:hAnsi="Times New Roman;sans-serif"/>
          <w:b w:val="false"/>
          <w:color w:val="000000"/>
          <w:sz w:val="24"/>
          <w:u w:val="single"/>
        </w:rPr>
        <w:t>Section 7.13</w:t>
      </w:r>
      <w:r>
        <w:rPr>
          <w:color w:val="000000"/>
        </w:rPr>
        <w:t xml:space="preserve"> </w:t>
      </w:r>
      <w:r>
        <w:rPr>
          <w:rFonts w:ascii="Times New Roman;sans-serif" w:hAnsi="Times New Roman;sans-serif"/>
          <w:b w:val="false"/>
          <w:color w:val="000000"/>
          <w:sz w:val="24"/>
        </w:rPr>
        <w:t>so long as such disposition does not result in a decrease in the Aggregate Annualized Run Rate Revenue of all Fiber Network Assets.</w:t>
      </w:r>
    </w:p>
    <w:p>
      <w:pPr>
        <w:pStyle w:val="TextBody"/>
        <w:bidi w:val="0"/>
        <w:spacing w:lineRule="auto" w:line="288" w:before="0" w:after="240"/>
        <w:ind w:left="0" w:right="0" w:firstLine="720"/>
        <w:jc w:val="both"/>
        <w:rPr/>
      </w:pPr>
      <w:r>
        <w:rPr>
          <w:rFonts w:ascii="Times New Roman;sans-serif" w:hAnsi="Times New Roman;sans-serif"/>
          <w:b/>
          <w:color w:val="000000"/>
          <w:sz w:val="24"/>
        </w:rPr>
        <w:t>7.14    Financial Maintenance Covenant</w:t>
      </w:r>
      <w:r>
        <w:rPr>
          <w:rFonts w:ascii="Times New Roman;sans-serif" w:hAnsi="Times New Roman;sans-serif"/>
          <w:b w:val="false"/>
          <w:color w:val="000000"/>
          <w:sz w:val="24"/>
        </w:rPr>
        <w:t xml:space="preserve">. The Borrower will not permit the Leverage Ratio as of any Determination Date, commencing </w:t>
      </w:r>
      <w:r>
        <w:rPr>
          <w:rFonts w:ascii="Times New Roman;sans-serif" w:hAnsi="Times New Roman;sans-serif"/>
          <w:b w:val="false"/>
          <w:color w:val="000000"/>
          <w:sz w:val="24"/>
          <w:shd w:fill="FFFFFF" w:val="clear"/>
        </w:rPr>
        <w:t>with September 30, 2024, to be greater than 7.50:1.00.</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855345"/>
                <wp:effectExtent l="0" t="0" r="0" b="0"/>
                <wp:wrapNone/>
                <wp:docPr id="164" name="Frame16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VIII.    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The occurrence of any one or more of the following shall constitute an “</w:t>
      </w:r>
      <w:r>
        <w:rPr>
          <w:rFonts w:ascii="Times New Roman;sans-serif" w:hAnsi="Times New Roman;sans-serif"/>
          <w:b/>
          <w:color w:val="000000"/>
          <w:sz w:val="24"/>
        </w:rPr>
        <w:t>Event of Default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(i) the Borrower fails to pay interest or principal when and as required to be paid on any applicable Payment Date as set forth herein and such failure shall not have been remedied or waived within five (5) Business Days (it being understood that the failure of the Borrower to pay any scheduled principal payments or amortization amounts on any such Payment Date for which funds are not available in accordance with </w:t>
      </w:r>
      <w:r>
        <w:rPr>
          <w:rFonts w:ascii="Times New Roman;sans-serif" w:hAnsi="Times New Roman;sans-serif"/>
          <w:b w:val="false"/>
          <w:color w:val="000000"/>
          <w:sz w:val="24"/>
          <w:u w:val="single"/>
        </w:rPr>
        <w:t>Section 2.8(g)</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2.8(j)</w:t>
      </w:r>
      <w:r>
        <w:rPr>
          <w:color w:val="000000"/>
        </w:rPr>
        <w:t xml:space="preserve"> </w:t>
      </w:r>
      <w:r>
        <w:rPr>
          <w:rFonts w:ascii="Times New Roman;sans-serif" w:hAnsi="Times New Roman;sans-serif"/>
          <w:b w:val="false"/>
          <w:color w:val="000000"/>
          <w:sz w:val="24"/>
        </w:rPr>
        <w:t>of the Priority of Payments shall not constitute a Default or Event of Default hereunder); or (ii) the Loan Parties fail to pay, on the Maturity Date, all amounts outstanding under the Facility;</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(i) the Borrower fails to perform or observe any term, covenant or agreement contained in any of </w:t>
      </w:r>
      <w:r>
        <w:rPr>
          <w:rFonts w:ascii="Times New Roman;sans-serif" w:hAnsi="Times New Roman;sans-serif"/>
          <w:b w:val="false"/>
          <w:color w:val="000000"/>
          <w:sz w:val="24"/>
          <w:u w:val="single"/>
        </w:rPr>
        <w:t>Sections 6.1(d)(iv)</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6.3(d)(x)</w:t>
      </w:r>
      <w:r>
        <w:rPr>
          <w:color w:val="000000"/>
        </w:rPr>
        <w:t xml:space="preserve"> </w:t>
      </w:r>
      <w:r>
        <w:rPr>
          <w:rFonts w:ascii="Times New Roman;sans-serif" w:hAnsi="Times New Roman;sans-serif"/>
          <w:b w:val="false"/>
          <w:color w:val="000000"/>
          <w:sz w:val="24"/>
        </w:rPr>
        <w:t xml:space="preserve">(solely with respect to the obligation of the Borrower to maintain its existence) or Article VII;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such failure as a result of a breach of the Financial Covenant (a “</w:t>
      </w:r>
      <w:r>
        <w:rPr>
          <w:rFonts w:ascii="Times New Roman;sans-serif" w:hAnsi="Times New Roman;sans-serif"/>
          <w:b/>
          <w:color w:val="000000"/>
          <w:sz w:val="24"/>
        </w:rPr>
        <w:t>Financial Covenant Breach</w:t>
      </w:r>
      <w:r>
        <w:rPr>
          <w:color w:val="000000"/>
        </w:rPr>
        <w:t>”</w:t>
      </w:r>
      <w:r>
        <w:rPr>
          <w:rFonts w:ascii="Times New Roman;sans-serif" w:hAnsi="Times New Roman;sans-serif"/>
          <w:b w:val="false"/>
          <w:color w:val="000000"/>
          <w:sz w:val="24"/>
        </w:rPr>
        <w:t xml:space="preserve">) shall not constitute a Default or Event of Default unless such failure shall not have been cured, remedied or waived within six (6) months or (ii) any Loan Party fails to perform or observe any other term, covenant or agreement contained in this Agreement or any other Transaction Document (not specified in the foregoing clauses (a) or (b)(i) above) and such failure continues unremedied for a period of forty-five (45) days after the earlier of (x) notice thereof from the Administrative Agent to the Borrower or (y) the date on which the Manager obtains Knowledge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if such default or breach is reasonably susceptible of cure, but not cured within such 45-day period, then the applicable Loan Party may be permitted up to an additional fifteen (15) days to cure such default or breach in the manner provided in the Transaction Documents provided that such Loan Party diligently and continuously pursues such cure;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 court enters a decree or order for relief with respect to any Loan Party in an Involuntary Bankruptcy, which decree or order is not stayed or other similar relief is not granted under any applicable law unless dismissed within sixty (60) days; (ii) the occurrence and continuance of any of the following events for sixty (60) days unless dismissed or discharged within such time: (x) an involuntary case under the Bankruptcy Code or any other applicable bankruptcy, insolvency or other similar law now or hereafter in effect, is commenced, in which any Loan Party is a debtor or any portion of the Fiber Network Assets is property of the estate therein, (y) a decree or order of a court for the appointment of a receiver, liquidator, sequestrator, trustee, custodian or other official having similar powers over any Loan Party, over all or a substantial part of its or their property, is entered, or (z) an interim receiver, trustee or other custodian is appointed without the consent of Holdings or any of its direct or indirect Subsidiaries for all or a substantial part of the property of such Person;</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an order for relief is entered with respect to any Loan Party or any Loan Party commences a voluntary case under the Bankruptcy Code or any other applicable bankruptcy, insolvency or other similar law now or hereafter in effect, or consents to the entry of an order for relief in an involuntary case or to the conversion of an involuntary case to a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855345"/>
                <wp:effectExtent l="0" t="0" r="0" b="0"/>
                <wp:wrapNone/>
                <wp:docPr id="165" name="Frame16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voluntary case under any such law or consents to the appointment of or taking possession by a receiver, trustee, custodian or other official having similar powers for Borrower or any of the direct or indirect subsidiaries of the Borrower, for all or any part of the property of the Guarantors or any of its direct or indirect subsidiaries; (ii) any Loan Party makes any assignment for the benefit of creditors; or (iii) the board of directors or other governing body of any Loan Party or any of the direct or indirect subsidiaries of any Loan Party adopts any resolution or otherwise authorizes action to approve any of the actions referred to in this </w:t>
      </w:r>
      <w:r>
        <w:rPr>
          <w:rFonts w:ascii="Times New Roman;sans-serif" w:hAnsi="Times New Roman;sans-serif"/>
          <w:b w:val="false"/>
          <w:color w:val="000000"/>
          <w:sz w:val="24"/>
          <w:u w:val="single"/>
        </w:rPr>
        <w:t>Section 8(d)</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(e)    other than as described in either of </w:t>
      </w:r>
      <w:r>
        <w:rPr>
          <w:rFonts w:ascii="Times New Roman;sans-serif" w:hAnsi="Times New Roman;sans-serif"/>
          <w:b w:val="false"/>
          <w:color w:val="000000"/>
          <w:sz w:val="24"/>
          <w:u w:val="single"/>
        </w:rPr>
        <w:t>clauses (c)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rFonts w:ascii="Times New Roman;sans-serif" w:hAnsi="Times New Roman;sans-serif"/>
          <w:b w:val="false"/>
          <w:color w:val="000000"/>
          <w:sz w:val="24"/>
        </w:rPr>
        <w:t>, all or any material portion of the Collateral becomes property of the estate or subject to the automatic stay in any case or proceeding under the Bankruptcy Code or any other applicable bankruptcy, insolvency or other similar law now or hereafter in effect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the same occurs in the context of an involuntary proceeding, it shall not constitute an Event of Default if it is dismissed or discharged within sixty (60) days following its occurrence);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any monetary default by any Loan Party under any Transaction Document, other than this Agreement, which monetary default continues beyond the applicable cure period set forth in the corresponding Transaction Document, or if no cure period is set forth in such Transaction Document, such default continues unremedied for a period of fifteen (15) Business Days after the date on which written notice of such failure, requiring the same to be remedied, shall have been given to the Borrower by the Administrative Agent;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(g)    any representation or warranty made to the Administrative Agent or the Lenders contained herein or in any other Transaction Document shall be incorrect in any material respect when made and such incorrect representation or warranty (if curable) shall remain incorrect for a period of forty-five (45) days after the earlier of (x) notice thereof from the Administrative Agent to the Borrower or (y) the date on which the Manager obtains Knowledge thereof;</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    (i) any of the Transaction Documents ceases to be in full force and effect (other than (x) in accordance with its terms, including as a result of a transaction permitted hereunder or thereunder or (y) as a result of acts or omissions by the Administrative Agent or any other Beneficiary or the satisfaction of the Obligations on the Termination Date), or (ii) except as otherwise permitted under this Agreement or any other Transaction Document, either (X) any Lien created hereunder or under the other Transaction Documents ceases to constitute a valid perfected Lien on a material portion of the Collateral (including with respect to the IRU Agreements) (subject to Permitted Liens) or (Y) any material portion of the Guaranty ceases to be in full force and effect (other than in accordance with its terms) in each case other than (A) as a result of the Administrative Agent’s (or any other Beneficiary’s) failure to (x) maintain possession of any stock certificate, promissory note or other instrument actually delivered to it pursuant to the Transaction Documents or (y) file UCC filing statements, continuation statements or amendments relating to a Loan Party’s change of name or jurisdiction of formation (in the case of any such amendments, to the extent that the Borrower provides the Administrative Agent written notice thereof in accordance with the Transaction Documents) or to take any other action primarily within its control with respect to the Collateral (it being agreed, for the avoidance of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855345"/>
                <wp:effectExtent l="0" t="0" r="0" b="0"/>
                <wp:wrapNone/>
                <wp:docPr id="166" name="Frame16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doubt, that the Administrative Agent shall not have any duty or obligation to (x) file UCC financing statements, continuation statements or amendments or (y) take other actions with respect to the Collateral, except as expressly provided in the Transaction Documents to which it is a party), (B) as a result of the Administrative Agent’s filing of a UCC amendment, termination or release statement or its recording or filing of any termination, release or transfer of any Collateral subject to a filing by the Administrative Agent with the United States Patent and Trademark Office or of any filing or recording therewith, in any case, not made in accordance with this Agreement, (C) as a result of a transaction permitted hereunder or thereunder, including as a result of the sale or other disposition of the applicable Collateral in a transaction not prohibited by this Agreement, (D) as to Collateral consisting of real property, to the extent that (x) such losses are covered by a lender’s title insurance policy and such insurer has not denied coverage or (y) such deficiency arose through no fault of any Loan Party and such deficiency is corrected with reasonable diligence upon obtaining actual Knowledge thereof or (E) solely as a result of acts or omissions of the Administrative Agent or any other Beneficiary in contravention of such Person’s duties under the applicable Transaction Document;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(i)    (i) an ERISA Event occurs with respect to a Pension Plan or Multiemployer Plan which, when taken either alone or together with all such other ERISA Events, has resulted or would reasonably be expected to result in liability of a Loan Party under Title IV of ERISA in an aggregate amount which would reasonably be expected to result in a Material Adverse Effect, (ii) a Loan Party to pay when due, after the expiration of any applicable grace period, any installment payment with respect to its withdrawal liability under Section 4201 of ERISA under a Multiemployer Plan in an aggregate amount which would reasonably be expected to result in a Material Adverse Effect or (iii) the assets of the Borrower constitute or become assets of an ERISA Plan, and, as a result, one or more of the transactions entered into pursuant to this Agreement constitutes or will constitute a non-exempt prohibited transaction under Section 406 of ERISA or Section 4975 of the Code; or</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(j)    there occurs any Change of Control other than a Permitted Change of Control.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any such event, notwithstanding any other provision of any Transaction Document, (x) Administrative Agent may (and at the request of Requisite Lenders, shall), by notice to the Loan Parties (i) terminate their obligations hereunder, including the Commitments, (ii) substitute immediately any third party Manager acceptable to Administrative Agent (acting at the direction of the Requisite Lenders in their sole discretion), for Manager in all of Manager’s roles and functions as contemplated by the Transaction Documents and the Management Agreement, and any fees, costs and expenses of, for or payable to any third party Manager acceptable to the Administrative Agent (acting at the direction of the Requisite Lenders in their sole discretion), shall be at the Loan Parties’ sole cost and expense, (iii) with respect to the Collateral, (A) terminate the Management Agreement (or replace any Manager) and service the Collateral, including the right to institute collection, foreclosure and other enforcement actions against the Collateral; (B) enter into modification agreements and make extension agreements with respect to payments and other performances; (C) release Customers and other Persons liable for performance; (D) settle and compromise disputes with respect to payments and performances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855345"/>
                <wp:effectExtent l="0" t="0" r="0" b="0"/>
                <wp:wrapNone/>
                <wp:docPr id="167" name="Frame16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claimed due, all without notice to any Loan Party, and all at the Administrative Agent’s direction (acting at the direction of the Requisite Lenders in their sole discretion) and without relieving Loan Party from performance of the obligations hereunder; (E) receive, collect, open and read all mail of any Loan Party for the purpose of obtaining all items pertaining to the Collateral and any collateral described in any Transaction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Administrative Agent promptly returns all mail containing correspondence not on or otherwise related to any Collateral; (F) collect all interest, principal, prepayments (both voluntary and mandatory), and other amounts of any and every description payable by or on behalf of any Customer pursuant to any Customer Contract or any other related documents or instruments directly from such Customer; and (G) apply all amounts in or subsequently deposited in the Facility Collection Account or the Interest Reserve Account to the payment of the unpaid Obligations or otherwise as the Administrative Agent in its sole discretion shall determine; and (iv) declare all or any of the Term Loans and/or Notes, all interest thereon and all other Obligations to be due and payable immediately (except in the case of an Event of Default under </w:t>
      </w:r>
      <w:r>
        <w:rPr>
          <w:rFonts w:ascii="Times New Roman;sans-serif" w:hAnsi="Times New Roman;sans-serif"/>
          <w:b w:val="false"/>
          <w:color w:val="000000"/>
          <w:sz w:val="24"/>
          <w:u w:val="single"/>
        </w:rPr>
        <w:t>clauses (c)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above, in which event all of the foregoing shall automatically and without further act by the Administrative Agent or Lenders be due and payable and Administrative Agent’s or Lenders’ obligations hereunder shall terminate), in each case without presentment, demand, protest or further notice of any kind, all of which are hereby expressly waived by the Loan Parties.</w: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IX.    ADDITIONAL RIGHTS AND REMEDIES AFTER DEFAULT</w:t>
      </w:r>
    </w:p>
    <w:p>
      <w:pPr>
        <w:pStyle w:val="TextBody"/>
        <w:bidi w:val="0"/>
        <w:spacing w:lineRule="auto" w:line="288" w:before="0" w:after="240"/>
        <w:ind w:left="0" w:right="0" w:firstLine="720"/>
        <w:jc w:val="both"/>
        <w:rPr/>
      </w:pPr>
      <w:r>
        <w:rPr>
          <w:rFonts w:ascii="Times New Roman;sans-serif" w:hAnsi="Times New Roman;sans-serif"/>
          <w:b/>
          <w:color w:val="000000"/>
          <w:sz w:val="24"/>
        </w:rPr>
        <w:t>9.1    Additional Rights and Remedies</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In addition to the acceleration provisions set forth in </w:t>
      </w:r>
      <w:r>
        <w:rPr>
          <w:rFonts w:ascii="Times New Roman;sans-serif" w:hAnsi="Times New Roman;sans-serif"/>
          <w:b w:val="false"/>
          <w:color w:val="000000"/>
          <w:sz w:val="24"/>
          <w:u w:val="single"/>
        </w:rPr>
        <w:t>Article VIII</w:t>
      </w:r>
      <w:r>
        <w:rPr>
          <w:color w:val="000000"/>
        </w:rPr>
        <w:t xml:space="preserve"> </w:t>
      </w:r>
      <w:r>
        <w:rPr>
          <w:rFonts w:ascii="Times New Roman;sans-serif" w:hAnsi="Times New Roman;sans-serif"/>
          <w:b w:val="false"/>
          <w:color w:val="000000"/>
          <w:sz w:val="24"/>
        </w:rPr>
        <w:t xml:space="preserve">above, upon the occurrence and continuation of an Event of Default, Administrative Agent shall have the right to (and at the written direction of Requisite Lenders, shall) exercise any and all rights, options and remedies provided for in any Transaction Document, under the UCC or at law or in equity, including, without limitation, the right to (i) apply any property of any Loan Party held by Administrative Agent to reduce the Obligations, (ii) foreclose the Liens created under the Transaction Documents, (iii) realize upon, take possession of and/or sell any Collateral or securities pledged, with or without judicial process, (iv) exercise all rights and powers with respect to the Collateral as any Loan Party might exercise, (v) collect and send notices regarding the Collateral, with or without judicial process, (vi) by its own means or with judicial assistance, enter any premises at which Collateral and/or pledged securities are located, or render any of the foregoing unusable or dispose of the Collateral and/or pledged securities on such premises without any liability for rent, storage, utilities, or other sums, and no Loan Party shall resist or interfere with such action, (vii) at the Loan Parties’ expense, require that all or any part of the Collateral be assembled and made available to Administrative Agent at any place designated by Administrative Agent in its sole discretion and/or (viii) relinquish or abandon any Collateral or securities pledged or any Lien thereon. Notwithstanding any provision of any Transaction Document, upon the earlier of (x) the occurrence and continuance of an Event of Default, (y) the date Administrative Agent determines the actions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 xml:space="preserve">below are necessary to preserve Administrative Agent’s Lien priority or any other similar exigent circumstances, Administrative Agent, in its sole discretion, shall have the right, at any time that any Loan Party fails to do so, and from time to time, without prior notice, to: (A) obtain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855345"/>
                <wp:effectExtent l="0" t="0" r="0" b="0"/>
                <wp:wrapNone/>
                <wp:docPr id="168" name="Frame16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insurance covering any of the Collateral to the extent required hereunder; (B) pay for the performance of any of the Obligations; (C) discharge taxes, levies and/or Liens on any of the Collateral that are in violation of any Transaction Document unless the Loan Parties are in good faith with due diligence by appropriate proceedings contesting those items; and (D) pay for the maintenance, repair and/or preservation of the Collateral. Such expenses and advances shall be deemed Loans hereunder and shall be added to the Obligations until reimbursed to Administrative Agent, for its own account and for the benefit of the other Lenders, and shall be secured by the Collateral, and such payments by Administrative Agent, for its own account and for the benefit of the other Lenders, shall not be construed as a waiver by Administrative Agent or Lenders of any Event of Default or any other rights or remedies of Administrative Agent or Lenders.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(b)    Each Loan Party agrees that, to the extent notice of sale shall be required by law, at least ten (10) days’ notice to such Loan Party of the time and place of any public sale or the time after which any private sale is to be made shall constitute reasonable notification within the meaning of Section 9-611 of the New York UCC or its equivalent in other jurisdictions. At any sale or disposition of Collateral, Administrative Agent may (to the extent permitted by Applicable Law) purchase all or any part thereof free from any right of redemption by any Loan Party which right is hereby waived and released. Each Loan Party covenants and agrees not to interfere with or impose any obstacle to Administrative Agent’s exercise of its rights and remedies with respect to the Collateral. In dealing with or disposing of the Collateral or any part thereof, Administrative Agent shall not be required to give priority or preference to any item of Collateral or otherwise to marshal assets or to take possession or sell any Collateral with judicial process.</w:t>
      </w:r>
    </w:p>
    <w:p>
      <w:pPr>
        <w:pStyle w:val="TextBody"/>
        <w:bidi w:val="0"/>
        <w:spacing w:lineRule="auto" w:line="288" w:before="0" w:after="240"/>
        <w:ind w:left="0" w:right="0" w:firstLine="720"/>
        <w:jc w:val="both"/>
        <w:rPr/>
      </w:pPr>
      <w:r>
        <w:rPr>
          <w:rFonts w:ascii="Times New Roman;sans-serif" w:hAnsi="Times New Roman;sans-serif"/>
          <w:b/>
          <w:color w:val="000000"/>
          <w:sz w:val="24"/>
        </w:rPr>
        <w:t>9.2    Application of Proceeds</w:t>
      </w:r>
      <w:r>
        <w:rPr>
          <w:rFonts w:ascii="Times New Roman;sans-serif" w:hAnsi="Times New Roman;sans-serif"/>
          <w:b w:val="false"/>
          <w:color w:val="000000"/>
          <w:sz w:val="24"/>
        </w:rPr>
        <w:t xml:space="preserve">. Notwithstanding any other provision of this Agreement (including, without limitation, </w:t>
      </w:r>
      <w:r>
        <w:rPr>
          <w:rFonts w:ascii="Times New Roman;sans-serif" w:hAnsi="Times New Roman;sans-serif"/>
          <w:b w:val="false"/>
          <w:color w:val="000000"/>
          <w:sz w:val="24"/>
          <w:u w:val="single"/>
        </w:rPr>
        <w:t>Section 2.11</w:t>
      </w:r>
      <w:r>
        <w:rPr>
          <w:rFonts w:ascii="Times New Roman;sans-serif" w:hAnsi="Times New Roman;sans-serif"/>
          <w:b w:val="false"/>
          <w:color w:val="000000"/>
          <w:sz w:val="24"/>
        </w:rPr>
        <w:t xml:space="preserve">), in addition to any other rights, options and remedies Administrative Agent and Lenders have under the Transaction Documents, the UCC, at law or in equity, all dividends, interest, rents, issues, profits, fees, revenues, income and other proceeds collected or received from collecting, holding, managing, renting, selling, or otherwise disposing of all or any part of the Collateral or any proceeds thereof upon exercise of its remedies hereunder upon the occurrence and continuation of an Event of Default (or upon the acceleration of the Obligations) shall be applied in the following order of priority: (i)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payment of that portion of the Obligations constituting fees, indemnities, expenses and other amounts payable to the Administrative Agent in its capacity as such, (ii)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payment of all costs and expenses of such collection, storage, lease, holding, operation, management, sale, disposition or delivery and of conducting the Borrower’s business and of maintenance, repairs, replacements, alterations, additions and improvements of or to the Collateral, and to the payment of all sums which Administrative Agent or Lenders may be required or may elect to pay, if any, for taxes, assessments, insurance and other charges upon the Collateral or any part thereof, and all other payments that Administrative Agent or Lenders may be required or authorized to make under any provision of this Agreement (including, without limitation, in each such case, legal expenses, search, audit, recording, professional and filing fees and expenses and reasonable attorneys’ fees and all expenses, liabilities and advances made or incurred in connection therewith) payable to third parties, including fees, expenses and indemnities to the Account Bank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855345"/>
                <wp:effectExtent l="0" t="0" r="0" b="0"/>
                <wp:wrapNone/>
                <wp:docPr id="169" name="Frame16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and Verification Agent; (iii)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to payment of that portion of the Obligations constituting fees, indemnities and other amounts (other than principal and interest) payable to the Lenders, ratably among them in proportion to the amounts described in this clause third payable to them; (iv)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to payment of that portion of the Obligations constituting accrued and unpaid interest (including, but not limited to, post-petition interest), ratably among the Lenders in proportion to the respective amounts described in this clause fourth payable to them, (v)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to payment of that portion of the Obligations constituting unpaid principal of the Term Loans and Secured Swap Obligations, ratably among the Lenders and Counterparties in proportion to the respective amounts described in this clause fifth held by them, (vi)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xml:space="preserve">, to the payment of any surplus then remaining to Borrower, unless otherwise provided by Applicable Law or directed by a court of competent jurisdiction; (other than contingent indemnification Obligations in respect of which no claim has been asserted) or any of the other items referred to in this Section (other than </w:t>
      </w:r>
      <w:r>
        <w:rPr>
          <w:rFonts w:ascii="Times New Roman;sans-serif" w:hAnsi="Times New Roman;sans-serif"/>
          <w:b w:val="false"/>
          <w:color w:val="000000"/>
          <w:sz w:val="24"/>
          <w:u w:val="single"/>
        </w:rPr>
        <w:t>clause (vi)</w:t>
      </w:r>
      <w:r>
        <w:rPr>
          <w:color w:val="000000"/>
        </w:rPr>
        <w:t xml:space="preserve"> </w:t>
      </w:r>
      <w:r>
        <w:rPr>
          <w:rFonts w:ascii="Times New Roman;sans-serif" w:hAnsi="Times New Roman;sans-serif"/>
          <w:b w:val="false"/>
          <w:color w:val="000000"/>
          <w:sz w:val="24"/>
        </w:rPr>
        <w:t>above to the extent the Obligations (other than contingent indemnification Obligations in respect of which no claim has been asserted) have been paid in full in cash).</w: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the foregoing, Secured Swap Obligations shall be excluded from the application of payments described above if the Administrative Agent has not received written notice thereof, together with such supporting documentation as the Administrative Agent may reasonably request, from the applicable Counterparty. Each Counterparty not a party to this Agreement that has given the notice contemplated by the preceding sentence shall, by such notice, be deemed to have acknowledged and accepted the appointment of the Administrative Agent pursuant to the terms of this </w:t>
      </w:r>
      <w:r>
        <w:rPr>
          <w:rFonts w:ascii="Times New Roman;sans-serif" w:hAnsi="Times New Roman;sans-serif"/>
          <w:b w:val="false"/>
          <w:color w:val="000000"/>
          <w:sz w:val="24"/>
          <w:u w:val="single"/>
        </w:rPr>
        <w:t>Section 9.2</w:t>
      </w:r>
      <w:r>
        <w:rPr>
          <w:color w:val="000000"/>
        </w:rPr>
        <w:t xml:space="preserve"> </w:t>
      </w:r>
      <w:r>
        <w:rPr>
          <w:rFonts w:ascii="Times New Roman;sans-serif" w:hAnsi="Times New Roman;sans-serif"/>
          <w:b w:val="false"/>
          <w:color w:val="000000"/>
          <w:sz w:val="24"/>
        </w:rPr>
        <w:t>for itself and its Affiliates as if a “Lender” party hereto.</w:t>
      </w:r>
    </w:p>
    <w:p>
      <w:pPr>
        <w:pStyle w:val="TextBody"/>
        <w:bidi w:val="0"/>
        <w:spacing w:lineRule="auto" w:line="288" w:before="0" w:after="240"/>
        <w:ind w:left="0" w:right="0" w:firstLine="720"/>
        <w:jc w:val="both"/>
        <w:rPr/>
      </w:pPr>
      <w:r>
        <w:rPr>
          <w:rFonts w:ascii="Times New Roman;sans-serif" w:hAnsi="Times New Roman;sans-serif"/>
          <w:b/>
          <w:color w:val="000000"/>
          <w:sz w:val="24"/>
        </w:rPr>
        <w:t>9.3    Rights to Appoint Receiver</w:t>
      </w:r>
      <w:r>
        <w:rPr>
          <w:rFonts w:ascii="Times New Roman;sans-serif" w:hAnsi="Times New Roman;sans-serif"/>
          <w:b w:val="false"/>
          <w:color w:val="000000"/>
          <w:sz w:val="24"/>
        </w:rPr>
        <w:t>. Without limiting and in addition to any other rights, options and remedies Administrative Agent and Lenders have under the Transaction Documents, the UCC, at law or in equity, upon the occurrence and continuation of an Event of Default, Administrative Agent shall have the right to apply for and have a receiver appointed by a court of competent jurisdiction in any action taken by Administrative Agent and/or any Lender to enforce its rights and remedies in order to manage, protect and preserve the Collateral and continue the operation of the business of the Loan Parties and to collect all revenues and profits thereof and apply the same to the payment of all expenses and other charges of such receivership including the compensation of the receiver and to the payments as aforesaid until a sale or other disposition of such Collateral shall be finally made and consummated.</w:t>
      </w:r>
    </w:p>
    <w:p>
      <w:pPr>
        <w:pStyle w:val="TextBody"/>
        <w:bidi w:val="0"/>
        <w:spacing w:lineRule="auto" w:line="288" w:before="0" w:after="240"/>
        <w:ind w:left="0" w:right="0" w:firstLine="720"/>
        <w:jc w:val="both"/>
        <w:rPr/>
      </w:pPr>
      <w:r>
        <w:rPr>
          <w:rFonts w:ascii="Times New Roman;sans-serif" w:hAnsi="Times New Roman;sans-serif"/>
          <w:b/>
          <w:color w:val="000000"/>
          <w:sz w:val="24"/>
        </w:rPr>
        <w:t>9.4    Attorney-in-Fact</w:t>
      </w:r>
      <w:r>
        <w:rPr>
          <w:rFonts w:ascii="Times New Roman;sans-serif" w:hAnsi="Times New Roman;sans-serif"/>
          <w:b w:val="false"/>
          <w:color w:val="000000"/>
          <w:sz w:val="24"/>
        </w:rPr>
        <w:t xml:space="preserve">. Each Loan Party hereby irrevocably appoints Administrative Agent as its attorney-in-fact in accordance with </w:t>
      </w:r>
      <w:r>
        <w:rPr>
          <w:rFonts w:ascii="Times New Roman;sans-serif" w:hAnsi="Times New Roman;sans-serif"/>
          <w:b w:val="false"/>
          <w:color w:val="000000"/>
          <w:sz w:val="24"/>
          <w:u w:val="single"/>
        </w:rPr>
        <w:t>Section 2.12</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9.5    Rights and Remedies not Exclusive</w:t>
      </w:r>
      <w:r>
        <w:rPr>
          <w:rFonts w:ascii="Times New Roman;sans-serif" w:hAnsi="Times New Roman;sans-serif"/>
          <w:b w:val="false"/>
          <w:color w:val="000000"/>
          <w:sz w:val="24"/>
        </w:rPr>
        <w:t xml:space="preserve">. The Administrative Agent (acting at the direction of the Requisite Lenders) shall have the right in its sole discretion to determine which rights, Liens and/or remedies Administrative Agent and Lenders may at any time pursue, relinquish, subordinate or modify, and such determination will not in any way modify or affect any of Administrative Agent’s or Lenders’ rights, Liens or remedies under any Transaction Document or Applicable Law. The enumeration of any rights and remedies in any Transaction Document is not intended to be exhaustive, and all rights and remedies of Administrative Agent and Lenders described in any Transaction Document are cumulative and are not alternative to or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855345"/>
                <wp:effectExtent l="0" t="0" r="0" b="0"/>
                <wp:wrapNone/>
                <wp:docPr id="170" name="Frame17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exclusive of any other rights or remedies which Administrative Agent and Lenders otherwise may have. The partial or complete exercise of any right or remedy shall not preclude any other further exercise of such or any other right or remedy.</w: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X.    WAIVERS AND JUDICIAL PROCEEDINGS</w:t>
      </w:r>
    </w:p>
    <w:p>
      <w:pPr>
        <w:pStyle w:val="TextBody"/>
        <w:bidi w:val="0"/>
        <w:spacing w:lineRule="auto" w:line="288" w:before="0" w:after="240"/>
        <w:ind w:left="0" w:right="0" w:firstLine="720"/>
        <w:jc w:val="both"/>
        <w:rPr/>
      </w:pPr>
      <w:r>
        <w:rPr>
          <w:rFonts w:ascii="Times New Roman;sans-serif" w:hAnsi="Times New Roman;sans-serif"/>
          <w:b/>
          <w:color w:val="000000"/>
          <w:sz w:val="24"/>
        </w:rPr>
        <w:t>10.1    Waivers</w:t>
      </w:r>
      <w:r>
        <w:rPr>
          <w:rFonts w:ascii="Times New Roman;sans-serif" w:hAnsi="Times New Roman;sans-serif"/>
          <w:b w:val="false"/>
          <w:color w:val="000000"/>
          <w:sz w:val="24"/>
        </w:rPr>
        <w:t>. Except as expressly provided for herein, each Loan Party hereby waives set off, counterclaim (except compulsory counterclaims), demand, presentment, protest, all defenses with respect to any and all instruments and all notices (except if such notice is expressly required to be given to Loan Party hereunder) and demands of any description, and the pleading of any statute of limitations as a defense to any demand under any Transaction Document. Each Loan Party hereby waives any and all defenses and counterclaims (except compulsory counterclaims and the defense of actual performance) it may have or could interpose in any action or procedure brought by Administrative Agent to obtain an order of court recognizing the assignment of, or Lien of Administrative Agent in and to, any Collateral.</w:t>
      </w:r>
    </w:p>
    <w:p>
      <w:pPr>
        <w:pStyle w:val="TextBody"/>
        <w:bidi w:val="0"/>
        <w:spacing w:lineRule="auto" w:line="288" w:before="0" w:after="240"/>
        <w:ind w:left="0" w:right="0" w:firstLine="720"/>
        <w:jc w:val="both"/>
        <w:rPr/>
      </w:pPr>
      <w:r>
        <w:rPr>
          <w:rFonts w:ascii="Times New Roman;sans-serif" w:hAnsi="Times New Roman;sans-serif"/>
          <w:b/>
          <w:color w:val="000000"/>
          <w:sz w:val="24"/>
        </w:rPr>
        <w:t>10.2    Delay; No Waiver of Defaults</w:t>
      </w:r>
      <w:r>
        <w:rPr>
          <w:rFonts w:ascii="Times New Roman;sans-serif" w:hAnsi="Times New Roman;sans-serif"/>
          <w:b w:val="false"/>
          <w:color w:val="000000"/>
          <w:sz w:val="24"/>
        </w:rPr>
        <w:t>. No course of action or dealing, renewal, release or extension of any provision of any Transaction Document, or single or partial exercise of any such provision, or delay, failure or omission on Administrative Agent’s part in enforcing any such provision shall affect the liability of any Loan Party or operate as a waiver of such provision or preclude any other or further exercise of such provision. No Loan made hereunder shall constitute a waiver of any condition to any Lender’s obligation to make such a Loan unless such waiver is in writing and executed by the Requisite Lenders. No waiver by any party to any Transaction Document of any one or more defaults by any other party in the performance of any of the provisions of any Transaction Document shall operate or be construed as a waiver of any future default, whether of a like or different nature, and each such waiver shall be limited solely to the express terms and provisions of such waiver. Notwithstanding any other provision of any Transaction Document, by entering into this Agreement and/or by making Loans, Administrative Agent and Lenders do not waive any breach of any representation or warranty under any Transaction Document, and all of Administrative Agent’s or any Lender’s claims and rights resulting from any such breach or misrepresentation are specifically reserved.</w:t>
      </w:r>
    </w:p>
    <w:p>
      <w:pPr>
        <w:pStyle w:val="TextBody"/>
        <w:bidi w:val="0"/>
        <w:spacing w:lineRule="auto" w:line="288" w:before="0" w:after="240"/>
        <w:ind w:left="0" w:right="0" w:firstLine="720"/>
        <w:jc w:val="both"/>
        <w:rPr/>
      </w:pPr>
      <w:r>
        <w:rPr>
          <w:rFonts w:ascii="Times New Roman;sans-serif" w:hAnsi="Times New Roman;sans-serif"/>
          <w:b/>
          <w:color w:val="000000"/>
          <w:sz w:val="24"/>
        </w:rPr>
        <w:t>10.3    Jury Waiver;</w:t>
      </w:r>
      <w:r>
        <w:rPr>
          <w:color w:val="000000"/>
        </w:rPr>
        <w:t xml:space="preserve"> </w:t>
      </w:r>
      <w:r>
        <w:rPr>
          <w:rFonts w:ascii="Times New Roman;sans-serif" w:hAnsi="Times New Roman;sans-serif"/>
          <w:b/>
          <w:color w:val="000000"/>
          <w:sz w:val="24"/>
        </w:rPr>
        <w:t>Jurisdiction</w:t>
      </w:r>
      <w:r>
        <w:rPr>
          <w:rFonts w:ascii="Times New Roman;sans-serif" w:hAnsi="Times New Roman;sans-serif"/>
          <w:b w:val="false"/>
          <w:color w:val="000000"/>
          <w:sz w:val="24"/>
        </w:rPr>
        <w:t>. EACH PARTY HEREBY (i) EXPRESSLY, KNOWINGLY AND VOLUNTARILY WAIVES ANY RIGHT TO TRIAL BY JURY OF ANY CLAIM OR CAUSE OF ACTION ARISING UNDER ANY TRANSACTION DOCUMENT OR IN ANY WAY CONNECTED WITH OR INCIDENTAL TO THE DEALINGS OF THE PARTIES WITH RESPECT TO ANY TRANSACTION DOCUMENT OR THE TRANSACTIONS CONTEMPLATED THEREBY, WHETHER NOW EXISTING OR HEREAFTER ARISING, AND WHETHER SOUNDING IN CONTRACT, TORT OR OTHERWISE AND WHETHER AT LAW OR IN EQUITY, AND (ii) AGREES AND CONSENTS THAT ANY SUCH CLAIM OR CAUSE OF ACTION SHALL BE DECIDED BY COURT TRIAL WITHOUT A JURY, AND THAT ANY PARTY TO THIS AGREEMENT MAY FILE AN ORIGINAL COUNTERPART OR A COPY OF THIS SECTION AS WRITTEN EVIDENCE OF THE CONSENTS OF THE PARTIES TO THE WAIVER OF THEIR RESPECTIVE RIGHTS TO TRIAL BY JURY.</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855345"/>
                <wp:effectExtent l="0" t="0" r="0" b="0"/>
                <wp:wrapNone/>
                <wp:docPr id="171" name="Frame17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10.4    Amendment and Waivers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Other than as set forth in </w:t>
      </w:r>
      <w:r>
        <w:rPr>
          <w:rFonts w:ascii="Times New Roman;sans-serif" w:hAnsi="Times New Roman;sans-serif"/>
          <w:b w:val="false"/>
          <w:color w:val="000000"/>
          <w:sz w:val="24"/>
          <w:u w:val="single"/>
        </w:rPr>
        <w:t>Section 10.4(b)</w:t>
      </w:r>
      <w:r>
        <w:rPr>
          <w:rFonts w:ascii="Times New Roman;sans-serif" w:hAnsi="Times New Roman;sans-serif"/>
          <w:b w:val="false"/>
          <w:color w:val="000000"/>
          <w:sz w:val="24"/>
        </w:rPr>
        <w:t xml:space="preserve">, no amendment or waiver of any provision of this Agreement or any other Transaction Document, and no consent to any departure by the Borrower or any other Loan Party therefrom, shall be effective unless in writing signed by the Requisite Lenders, the Borrower and acknowledged by Administrative Agent, and each such waiver or consent shall be effective only in the specific instance and for the specific purpose for which given;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such amendment, waiver or consent shall: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extend or increase the Commitment of any Lender without the written consent of such Lender (it being understood that (x) neither the consent of the Requisite Lenders nor the consent of any other Lender shall be required in connection therewith and (y) no amendment, modification or waiver of, or consent to departure from, any condition precedent to funding of a Loan, Default, Event of Default, representation, warranty, covenant, mandatory prepayment or mandatory reduction of the Commitments shall constitute an extension or increase of any Commitment of any Lender);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postpone any date fixed for any payment of the principal amount or interest due to the Lenders (or any of them) without the written consent of such Lender(s) (it being understood that (x) neither the consent of the Requisite Lenders nor the consent of any other Lender shall be required in connection therewith and (y) a waiver of any Default, Event of Default, representation, warranty, covenant, mandatory prepayment or mandatory reduction of the Commitments (including any amendment of any ratio used in the calculation of such prepayment or reduction amount or in the component definitions thereof and any extensions for administrative convenience as may be agreed by the Administrative Agent (acting at the direction of the Requisite Lenders)) shall not constitute a postponement of any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reduce the principal amount of, or the rate of interest specified herein on, any Term Loan, or any fees or other amounts payable hereunder or under any other Transaction Document, without the written consent of each Lender directly and adversely affected thereby (it being understood that no amendment, modification or waiver of, or consent to departure from, any Default, Event of Default, representation, warranty, covenant, mandatory prepayment or mandatory reduction of the Commitments (including any amendment of any ratio used in the calculation of such prepayment or reduction amount or in the component definitions thereof) and no change to the definition of any ratio used in the calculation of interest rate or fees therein or in the component definitions, shall in any such case be construed as such a reduction or forgiveness; it being further understood that neither the consent of the Requisite Lenders nor the consent of any other Lender shall be required in connection therewith);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the consent of the Requisite Lenders shall be necessary to amend the definition of “Default Rate” to reduce the Default Rate or to waive any obligation of the Borrower to pay interest at the Default Rate;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alter the pro rata sharing of payments required by this Agreement without the written consent of each Lender directly and adversely affected thereby (it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855345"/>
                <wp:effectExtent l="0" t="0" r="0" b="0"/>
                <wp:wrapNone/>
                <wp:docPr id="172" name="Frame17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being understood that neither the consent of the Requisite Lenders nor the consent of any other Lender shall be required in connection therewith);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change any provision of this </w:t>
      </w:r>
      <w:r>
        <w:rPr>
          <w:rFonts w:ascii="Times New Roman;sans-serif" w:hAnsi="Times New Roman;sans-serif"/>
          <w:b w:val="false"/>
          <w:color w:val="000000"/>
          <w:sz w:val="24"/>
          <w:u w:val="single"/>
        </w:rPr>
        <w:t>Section 10.4(a)</w:t>
      </w:r>
      <w:r>
        <w:rPr>
          <w:color w:val="000000"/>
        </w:rPr>
        <w:t xml:space="preserve"> </w:t>
      </w:r>
      <w:r>
        <w:rPr>
          <w:rFonts w:ascii="Times New Roman;sans-serif" w:hAnsi="Times New Roman;sans-serif"/>
          <w:b w:val="false"/>
          <w:color w:val="000000"/>
          <w:sz w:val="24"/>
        </w:rPr>
        <w:t>or the definition of “Requisite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except as otherwise expressly permitted under this Agreement or any other Transaction Document, release a material portion the Collateral securing the Obligations, or all or substantially all of the Guaranty, in each case without the written consent of each Lender;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    change the definition of “Permitted Change of Control New Owner” without the written consent of each Lender;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subordinate the Obligations hereunder or the Liens granted hereunder or under the other Transaction Documents to any other Indebtedness or Lien (including without limitation any Indebtedness or Lien issued under this Agreement or any other agreement), as the case may be, without the written consent of each Lender directly and adversely affected thereby (it being understood that neither the consent of the Requisite Lenders nor the consent of any other Lender shall be required in connection therewith);</w:t>
      </w:r>
    </w:p>
    <w:p>
      <w:pPr>
        <w:pStyle w:val="TextBody"/>
        <w:bidi w:val="0"/>
        <w:spacing w:lineRule="auto" w:line="288" w:before="0" w:after="240"/>
        <w:jc w:val="both"/>
        <w:rPr/>
      </w:pP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(x) no amendment, waiver or consent shall, unless in writing and signed by Administrative Agent in addition to the Lenders required above, affect the rights or duties of Administrative Agent under this Agreement or any other Transaction Document and (y) any amendment or modification to the Administrative Agent Fee Letter, or waiver of any rights or privileges thereunder, shall only require the consent of the Borrower and the Administrative Agent.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the Loan Parties shall be permitted to rely on any consent or waiver executed by Administrative Agent as binding upon Lenders and conclusive evidence that the Requisite Lenders shall have approved, if required under the terms hereof.</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Notwithstanding anything herein to the contrary and subject to the following sentence, this Agreement may be amended in writing by the Borrower and the Administrative Agent without the consent of any other party for the purpose of providing for Subsidiary Guarantors (including Designated Guarantors) to become party hereto and to hold Collateral to the extent 100% of the equity interest in such subsidiary guarantors is pledged as additional Collateral. In furtherance of the foregoing sentence, the Administrative Agent may post a copy of such amendment for the Lenders and if by 5:00 p.m. New York City time on 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Business Day following such posting the Administrative Agent has not received objections from Lenders constituting Requisite Lenders, then such amendment shall be deemed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855345"/>
                <wp:effectExtent l="0" t="0" r="0" b="0"/>
                <wp:wrapNone/>
                <wp:docPr id="173" name="Frame17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consented to by the Requisite Lenders</w:t>
      </w:r>
      <w:r>
        <w:rPr>
          <w:color w:val="000000"/>
        </w:rPr>
        <w:t xml:space="preserve"> </w:t>
      </w:r>
      <w:r>
        <w:rPr>
          <w:rFonts w:ascii="Times New Roman;sans-serif" w:hAnsi="Times New Roman;sans-serif"/>
          <w:b w:val="false"/>
          <w:color w:val="000000"/>
          <w:sz w:val="24"/>
        </w:rPr>
        <w:t xml:space="preserve">and the Administrative Agent shall be entitled to rely upon such consent to execute any such amendment. Notwithstanding anything to the contrary contained in this </w:t>
      </w:r>
      <w:r>
        <w:rPr>
          <w:rFonts w:ascii="Times New Roman;sans-serif" w:hAnsi="Times New Roman;sans-serif"/>
          <w:b w:val="false"/>
          <w:color w:val="000000"/>
          <w:sz w:val="24"/>
          <w:u w:val="single"/>
        </w:rPr>
        <w:t>Section 10.4</w:t>
      </w:r>
      <w:r>
        <w:rPr>
          <w:rFonts w:ascii="Times New Roman;sans-serif" w:hAnsi="Times New Roman;sans-serif"/>
          <w:b w:val="false"/>
          <w:color w:val="000000"/>
          <w:sz w:val="24"/>
        </w:rPr>
        <w:t>, this Agreement, the other Transaction Documents and any guarantees, collateral security documents and related documents executed by Loan Parties in connection with this Agreement may be in a form reasonably determined by the Administrative Agent (acting at the direction of the Requisite Lenders) and may be, together with this Agreement, amended, amended and restated, supplemented and waived with the consent of the Administrative Agent at the request of the Borrower without the need to obtain the consent of any Lender (1) in order to comply with local Applicable Law or advice of local counsel, (2) to cure any ambiguity, mistake, defect, inconsistency, obvious error or any error or omission of a technical or administrative nature or to effect any necessary or desirable technical change and/or (3) in order to cause such guarantee, collateral security document or other document to be consistent with this Agreement and the other Transaction Documents.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herein to the contrary, this Agreement may be amended in writing by the Borrower, the Facility Agent and the Administrative Agent without the consent of any other party for the purpose of making certain mechanical, technical or administrative amendments in order to align payment provisions of this Agreement with the Interest Rate Protection Agreement.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(d)    No amendment, waiver or consent shall, unless in writing and signed by Account Bank or Verification Agent, affect the rights or duties of Account Bank or Verification Agent under this Agreement or any other Transaction Document.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(e)    Notwithstanding anything herein to the contrary (i) the Management Agreement may be amended in accordance with </w:t>
      </w:r>
      <w:r>
        <w:rPr>
          <w:rFonts w:ascii="Times New Roman;sans-serif" w:hAnsi="Times New Roman;sans-serif"/>
          <w:b w:val="false"/>
          <w:color w:val="000000"/>
          <w:sz w:val="24"/>
          <w:u w:val="single"/>
        </w:rPr>
        <w:t>Section 6.18</w:t>
      </w:r>
      <w:r>
        <w:rPr>
          <w:color w:val="000000"/>
        </w:rPr>
        <w:t xml:space="preserve"> </w:t>
      </w:r>
      <w:r>
        <w:rPr>
          <w:rFonts w:ascii="Times New Roman;sans-serif" w:hAnsi="Times New Roman;sans-serif"/>
          <w:b w:val="false"/>
          <w:color w:val="000000"/>
          <w:sz w:val="24"/>
        </w:rPr>
        <w:t>without the need to obtain any additional consents not set forth therein and (ii) the Account Bank Control Agreement may be amended as set forth therein without the need to obtain any additional consents.</w: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XI.    EFFECTIVE DATE AND TERMINATION</w:t>
      </w:r>
    </w:p>
    <w:p>
      <w:pPr>
        <w:pStyle w:val="TextBody"/>
        <w:bidi w:val="0"/>
        <w:spacing w:lineRule="auto" w:line="288" w:before="0" w:after="240"/>
        <w:ind w:left="0" w:right="0" w:firstLine="720"/>
        <w:jc w:val="both"/>
        <w:rPr/>
      </w:pPr>
      <w:r>
        <w:rPr>
          <w:rFonts w:ascii="Times New Roman;sans-serif" w:hAnsi="Times New Roman;sans-serif"/>
          <w:b/>
          <w:color w:val="000000"/>
          <w:sz w:val="24"/>
        </w:rPr>
        <w:t>11.1    Effectiveness and Termination</w:t>
      </w:r>
      <w:r>
        <w:rPr>
          <w:rFonts w:ascii="Times New Roman;sans-serif" w:hAnsi="Times New Roman;sans-serif"/>
          <w:b w:val="false"/>
          <w:color w:val="000000"/>
          <w:sz w:val="24"/>
        </w:rPr>
        <w:t xml:space="preserve">. This Agreement, including the Commitments provided hereunder, shall become effective on the Effective Date and, subject to the Administrative Agent’s right to accelerate the Term Loans and terminate the Commitments upon the occurrence and during the continuation of any Event of Default (in each case, subject to the terms and conditions of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xml:space="preserve">, this Agreement shall continue in full force and effect from and after the Effective Date until the Maturity Date, unless terminated sooner as provided in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xml:space="preserve">. All of the Obligations shall be immediately due and payable upon the earlier of the Maturity Date or the date upon which the Administrative Agent declares all or any of the Obligations to be due and payable pursuant to the terms of </w:t>
      </w:r>
      <w:r>
        <w:rPr>
          <w:rFonts w:ascii="Times New Roman;sans-serif" w:hAnsi="Times New Roman;sans-serif"/>
          <w:b w:val="false"/>
          <w:color w:val="000000"/>
          <w:sz w:val="24"/>
          <w:u w:val="single"/>
        </w:rPr>
        <w:t>Article VIII</w:t>
      </w:r>
      <w:r>
        <w:rPr>
          <w:rFonts w:ascii="Times New Roman;sans-serif" w:hAnsi="Times New Roman;sans-serif"/>
          <w:b w:val="false"/>
          <w:color w:val="000000"/>
          <w:sz w:val="24"/>
        </w:rPr>
        <w:t xml:space="preserve">. Notwithstanding any other provision of any Transaction Document, no termination of this Agreement shall affect the Administrative Agent’s or any Lender’s rights or any of the Obligations existing as of the effective date of such termination to the extent that, by their express terms, such rights or Obligations survive such termination as set forth in Section 11.2, and the provisions of the Transaction Documents shall continue to be fully operative until the Termination Date. The Liens granted to the Administrative Agent hereunder and under the Security Documents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855345"/>
                <wp:effectExtent l="0" t="0" r="0" b="0"/>
                <wp:wrapNone/>
                <wp:docPr id="174" name="Frame17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financing statements filed pursuant thereto and the rights and powers of the Administrative Agent shall continue in full force and effect until the Termination Date. </w:t>
      </w:r>
    </w:p>
    <w:p>
      <w:pPr>
        <w:pStyle w:val="TextBody"/>
        <w:bidi w:val="0"/>
        <w:spacing w:lineRule="auto" w:line="288" w:before="0" w:after="240"/>
        <w:ind w:left="0" w:right="0" w:firstLine="720"/>
        <w:jc w:val="both"/>
        <w:rPr/>
      </w:pPr>
      <w:r>
        <w:rPr>
          <w:rFonts w:ascii="Times New Roman;sans-serif" w:hAnsi="Times New Roman;sans-serif"/>
          <w:b/>
          <w:color w:val="000000"/>
          <w:sz w:val="24"/>
        </w:rPr>
        <w:t>11.2    Survival</w:t>
      </w:r>
      <w:r>
        <w:rPr>
          <w:rFonts w:ascii="Times New Roman;sans-serif" w:hAnsi="Times New Roman;sans-serif"/>
          <w:b w:val="false"/>
          <w:color w:val="000000"/>
          <w:sz w:val="24"/>
        </w:rPr>
        <w:t xml:space="preserve">. All obligations, covenants, agreements, representations, warranties, waivers and indemnities made by any Loan Party in any Transaction Document shall survive the execution and delivery of the Transaction Documents, the making and funding of the Term Loans and any termination of this Agreement until all Obligations (other than indemnity obligations under the Transaction Documents that are not then due and payable or for which any events or claims that would give rise thereto are not then pending) are fully performed and paid in full in cash. The obligations and provisions of </w:t>
      </w:r>
      <w:r>
        <w:rPr>
          <w:rFonts w:ascii="Times New Roman;sans-serif" w:hAnsi="Times New Roman;sans-serif"/>
          <w:b w:val="false"/>
          <w:color w:val="000000"/>
          <w:sz w:val="24"/>
          <w:u w:val="single"/>
        </w:rPr>
        <w:t>Sections 3.2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12.7,</w:t>
      </w:r>
      <w:r>
        <w:rPr>
          <w:color w:val="000000"/>
        </w:rPr>
        <w:t xml:space="preserve"> </w:t>
      </w:r>
      <w:r>
        <w:rPr>
          <w:rFonts w:ascii="Times New Roman;sans-serif" w:hAnsi="Times New Roman;sans-serif"/>
          <w:b w:val="false"/>
          <w:color w:val="000000"/>
          <w:sz w:val="24"/>
          <w:u w:val="single"/>
        </w:rPr>
        <w:t>12.10,</w:t>
      </w:r>
      <w:r>
        <w:rPr>
          <w:color w:val="000000"/>
        </w:rPr>
        <w:t xml:space="preserve"> </w:t>
      </w:r>
      <w:r>
        <w:rPr>
          <w:rFonts w:ascii="Times New Roman;sans-serif" w:hAnsi="Times New Roman;sans-serif"/>
          <w:b w:val="false"/>
          <w:color w:val="000000"/>
          <w:sz w:val="24"/>
          <w:u w:val="single"/>
        </w:rPr>
        <w:t>13.1,</w:t>
      </w:r>
      <w:r>
        <w:rPr>
          <w:color w:val="000000"/>
        </w:rPr>
        <w:t xml:space="preserve"> </w:t>
      </w:r>
      <w:r>
        <w:rPr>
          <w:rFonts w:ascii="Times New Roman;sans-serif" w:hAnsi="Times New Roman;sans-serif"/>
          <w:b w:val="false"/>
          <w:color w:val="000000"/>
          <w:sz w:val="24"/>
          <w:u w:val="single"/>
        </w:rPr>
        <w:t>13.8,</w:t>
      </w:r>
      <w:r>
        <w:rPr>
          <w:color w:val="000000"/>
        </w:rPr>
        <w:t xml:space="preserve"> </w:t>
      </w:r>
      <w:r>
        <w:rPr>
          <w:rFonts w:ascii="Times New Roman;sans-serif" w:hAnsi="Times New Roman;sans-serif"/>
          <w:b w:val="false"/>
          <w:color w:val="000000"/>
          <w:sz w:val="24"/>
          <w:u w:val="single"/>
        </w:rPr>
        <w:t>13.11, 13.13,</w:t>
      </w:r>
      <w:r>
        <w:rPr>
          <w:color w:val="000000"/>
        </w:rPr>
        <w:t xml:space="preserve"> </w:t>
      </w:r>
      <w:r>
        <w:rPr>
          <w:rFonts w:ascii="Times New Roman;sans-serif" w:hAnsi="Times New Roman;sans-serif"/>
          <w:b w:val="false"/>
          <w:color w:val="000000"/>
          <w:sz w:val="24"/>
          <w:u w:val="single"/>
        </w:rPr>
        <w:t>13.14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15.5</w:t>
      </w:r>
      <w:r>
        <w:rPr>
          <w:color w:val="000000"/>
        </w:rPr>
        <w:t xml:space="preserve"> </w:t>
      </w:r>
      <w:r>
        <w:rPr>
          <w:rFonts w:ascii="Times New Roman;sans-serif" w:hAnsi="Times New Roman;sans-serif"/>
          <w:b w:val="false"/>
          <w:color w:val="000000"/>
          <w:sz w:val="24"/>
        </w:rPr>
        <w:t>shall survive termination of the Transaction Documents and any payment, in full or in part, of the Obligations.</w: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XII.    MISCELLANEOUS</w:t>
      </w:r>
    </w:p>
    <w:p>
      <w:pPr>
        <w:pStyle w:val="TextBody"/>
        <w:bidi w:val="0"/>
        <w:spacing w:lineRule="auto" w:line="288" w:before="0" w:after="240"/>
        <w:ind w:left="0" w:right="0" w:firstLine="720"/>
        <w:jc w:val="both"/>
        <w:rPr/>
      </w:pPr>
      <w:r>
        <w:rPr>
          <w:rFonts w:ascii="Times New Roman;sans-serif" w:hAnsi="Times New Roman;sans-serif"/>
          <w:b/>
          <w:color w:val="000000"/>
          <w:sz w:val="24"/>
        </w:rPr>
        <w:t>12.1    Governing Law; Jurisdiction; Service of Process; Venue</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THIS AGREEMENT AND ANY DISPUTE, SUIT, ACTION OR PROCEEDING, WHETHER IN CONTRACT, TORT OR OTHERWISE AND WHETHER AT LAW OR IN EQUITY RELATING TO OR ARISING OUT OF THIS AGREEMENT OR THE TRANSACTIONS CONTEMPLATED HEREBY, AND THE RIGHTS AND OBLIGATIONS OF THE PARTIES HEREUNDER SHALL BE GOVERNED BY, AND SHALL BE CONSTRUED AND ENFORCED IN ACCORDANCE WITH, THE LAWS OF THE STATE OF NEW YORK (INCLUDING, BUT NOT LIMITED TO, PROCEDURAL LAWS) WITHOUT REGARD TO CONFLICT OF LAWS PRINCIPLES (OTHER THAN SECTIONS 5-1401 AND 5-1402 OF THE NEW YORK GENERAL OBLIGATIONS LAW) THEREOF.</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BY EXECUTION AND DELIVERY OF EACH TRANSACTION DOCUMENT TO WHICH IT IS A PARTY,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WHETHER IN CONTRACT, TORT OR OTHERWISE AND WHETHER AT LAW OR IN EQUITY, OR FOR RECOGNITION OR ENFORCEMENT OF ANY JUDGMENT, AND EACH OF THE PARTIES HERETO HEREBY IRREVOCABLY AND UNCONDITIONALLY AGREES THAT ALL CLAIMS IN RESPECT OF ANY SUCH ACTION OR PROCEEDING MAY BE HEARD AND DETERMINED IN SUCH NEW YORK STATE OR, TO THE EXTENT PERMITTED BY APPLICABLE LAW, IN SUCH FEDERAL COURT. EACH OF THE PARTIES HERETO AGREES THAT A FINAL JUDGMENT IN ANY SUCH ACTION OR PROCEEDING MAY BE ENFORCED IN OTHER JURISDICTIONS BY SUIT ON THE JUDGMENT OR IN ANY OTHER MANNER PROVIDED BY APPLICABLE LAW. NOTHING IN THIS AGREEMENT SHALL AFFECT ANY RIGHT THAT AGENT OR ANY LENDER MAY OTHERWISE HAVE TO BRING ANY ACTION OR PROCEEDING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855345"/>
                <wp:effectExtent l="0" t="0" r="0" b="0"/>
                <wp:wrapNone/>
                <wp:docPr id="175" name="Frame17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RELATING TO THIS AGREEMENT AGAINST ANY LOAN PARTY OR ITS PROPERTIES IN THE COURTS OF ANY JURISDICTION.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EACH LOAN PARTY HEREBY IRREVOCABLY AND UNCONDITIONALLY WAIVES, TO THE FULLEST EXTENT IT MAY LEGALLY AND EFFECTIVELY DO SO, ANY OBJECTION WHICH IT MAY NOW OR HEREAFTER HAVE TO THE LAYING OF VENUE OF ANY SUIT, ACTION OR PROCEEDING ARISING OUT OF OR RELATING TO THIS AGREEMENT WHETHER IN CONTRACT, TORT OR OTHERWISE AND WHETHER AT LAW OR IN EQUITY IN ANY COURT REFERRED TO IN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ABOVE.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(d)    EACH OF THE PARTIES HERETO WAIVES PERSONAL SERVICE OF PROCESS IRREVOCABLY CONSENTS TO SERVICE OF PROCESS IN THE MANNER PROVIDED FOR NOTICES IN </w:t>
      </w:r>
      <w:r>
        <w:rPr>
          <w:rFonts w:ascii="Times New Roman;sans-serif" w:hAnsi="Times New Roman;sans-serif"/>
          <w:b w:val="false"/>
          <w:color w:val="000000"/>
          <w:sz w:val="24"/>
          <w:u w:val="single"/>
        </w:rPr>
        <w:t>SECTION 12.5</w:t>
      </w:r>
      <w:r>
        <w:rPr>
          <w:rFonts w:ascii="Times New Roman;sans-serif" w:hAnsi="Times New Roman;sans-serif"/>
          <w:b w:val="false"/>
          <w:color w:val="000000"/>
          <w:sz w:val="24"/>
        </w:rPr>
        <w:t>. NOTHING IN THIS AGREEMENT WILL AFFECT THE RIGHT OF ANY PARTY TO THIS AGREEMENT TO SERVE PROCESS IN ANY OTHER MANNER PERMITTED BY APPLICABLE LAW.</w:t>
      </w:r>
    </w:p>
    <w:p>
      <w:pPr>
        <w:pStyle w:val="TextBody"/>
        <w:bidi w:val="0"/>
        <w:spacing w:lineRule="auto" w:line="288" w:before="0" w:after="240"/>
        <w:ind w:left="0" w:right="0" w:firstLine="720"/>
        <w:jc w:val="both"/>
        <w:rPr/>
      </w:pPr>
      <w:r>
        <w:rPr>
          <w:rFonts w:ascii="Times New Roman;sans-serif" w:hAnsi="Times New Roman;sans-serif"/>
          <w:b/>
          <w:color w:val="000000"/>
          <w:sz w:val="24"/>
        </w:rPr>
        <w:t>12.2    Successors and Assigns; Assignments and Participations</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Conditions to Assignment by Lenders</w:t>
      </w:r>
      <w:r>
        <w:rPr>
          <w:rFonts w:ascii="Times New Roman;sans-serif" w:hAnsi="Times New Roman;sans-serif"/>
          <w:b w:val="false"/>
          <w:color w:val="000000"/>
          <w:sz w:val="24"/>
        </w:rPr>
        <w:t xml:space="preserve">. Except as provided herein, each Lender may assign all or any portion of its Commitments or Term Loans and other rights and obligations under this Agreement to one or more Persons (an “Acquiring Lender”) pursuant to an Assignment Agreement executed by such Acquiring Lender, such assigning Lender, and the Borrower and delivered to the Administrative Agent for recording in the Register, with the prior written consent (not to be unreasonably withheld or delayed) of the Borrower and, unless such assignment is to another Lender or an Affiliate of a Lender,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consent of the Borrower will be required for an assignment in whole or in part (i) to another Lender or an Affiliate thereof, (ii) to an Eligible Assignee;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such assignment to an Eligible Assignee without the consent of the Borrower shall be of Commitments or Term Loans in an amount of at least $25,000,000, or (iii) if an Event of Default has occurred and is continuing;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further, that each such assignment shall be in a minimum principal amount of $1,000,000 (or, if less, the then outstanding amount of such Lender’s Term Loans and/or Commitment) or such lesser amount consented to by Administrative Agent. Upon each such recordation, the assigning Lender agrees to pay to Administrative Agent a registration fee in the sum of $3,500 (unless waived by the Administrative Agent in its sole discretion). The assignee, if it is not an existing Lender, shall deliver to the Administrative Agent (x) its applicable tax form, (y) an Administrative Questionnaire and (z) all documentation and other information that the Administrative Agent reasonably requests under applicable “know your customer” and anti-money laundering rules and regulations, including without limitation Title III of the Patriot Act. Upon such execution, delivery, acceptance and recording, from and after the effective date specified in each Assignment Agreement, (1) the assignee thereunder shall be a party hereto and,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855345"/>
                <wp:effectExtent l="0" t="0" r="0" b="0"/>
                <wp:wrapNone/>
                <wp:docPr id="176" name="Frame17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in such Assignment Agreement, have the rights and obligations of a Lender hereunder, and (2) the assigning Lender shall, to the extent provided in such Assignment Agreement and upon payment to Administrative Agent of the registration fee referred to in this Section 12.2(a), be released from its obligations under this Agreement. For the avoidance of doubt and notwithstanding the foregoing, each Lender may assign to any Affiliate and to the Federal Reserve at any time, pre or post Default, without the Borrower’s consent.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Borrower, Administrative Agent and Lenders shall deem and treat the Persons listed as Lenders in the Register as the holders and owners of the corresponding Commitments and Term Loans listed therein for all purposes hereof, and no assignment or transfer of any such Commitment or Term Loan shall be effective, in each case, unless and until an Assignment Agreement effecting the assignment or transfer thereof shall have been delivered to and accepted by Administrative Agent and recorded in the Register. Prior to such recordation, all amounts owed with respect to the applicable Commitment or Term Loan shall be owed to the Lender listed in the Register as the owner thereof, and any request, authority or consent of any Person who, at the time of making such request or giving such authority or consent, is listed in the Register as a Lender shall be conclusive and binding on any subsequent holder, assignee or transferee of the corresponding Commitments or Term Loans.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New Notes</w:t>
      </w:r>
      <w:r>
        <w:rPr>
          <w:rFonts w:ascii="Times New Roman;sans-serif" w:hAnsi="Times New Roman;sans-serif"/>
          <w:b w:val="false"/>
          <w:color w:val="000000"/>
          <w:sz w:val="24"/>
        </w:rPr>
        <w:t xml:space="preserve">. Promptly following its receipt of an Assignment Agreement executed by the parties to such assignment, Administrative Agent shall record the information contained therein in the Register. Promptly after the effectiveness of any assignment by any Lender of all or any portion of such Lender’s Commitment and/or Term Loans, Borrower (at its expense) shall execute and deliver (x) to the assignee Lender, a Note in the amount equal to the Commitments and/or the Term Loans assigned to such assignee Lender and (y) to the assignor Lender, a Note in the amount, if any, of its remaining Commitment and/or Term Loans, if any, and may, upon written notice to the assignor promptly following such assignment, request assignor Lender surrender its existing Note representing its assigned Commitment and/or Term Loans to the Borrower for cancellation.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Anything contained herein to the contrary notwithstanding, any Lender may, from time to time and at any time, sell participations in all or any portion of such Lender’s rights and obligations under this Agreement (including all or any portion of its Commitments and the outstanding principal amount of Term Loans owing to it) to any financial institution that invests in loans (such Person, a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terms of any such participation shall not entitle the Participant to direct such Lender as to the manner in which it votes in connection with any amendment, supplement or other modification of this Agreement or any waiver or consent with respect to any departure from the terms hereof, in each case unless and to the extent that the subject matter thereof is one as to which the consent of all Lenders is required in order to approve the same;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(A) such Lender’s obligations under this Agreement shall remain unchanged, (B) such Lender shall remain solely responsible to the other parties hereto for the performance of such obligations and (C)  the Borrowers, the Administrative Agent and the Lenders shall continue to deal solely and directly with such Lender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855345"/>
                <wp:effectExtent l="0" t="0" r="0" b="0"/>
                <wp:wrapNone/>
                <wp:docPr id="177" name="Frame17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with such Lender’s rights and obligations under this Agreement. Any Lender that sells a participation hereunder shall, acting solely for this purpose as an agent of Borrower, maintain a register on which it enters the name and address of each participant and the principal and corresponding interest amount of each participant’s interest in the Term Loans, Commitments or other Obligations (the “</w:t>
      </w:r>
      <w:r>
        <w:rPr>
          <w:rFonts w:ascii="Times New Roman;sans-serif" w:hAnsi="Times New Roman;sans-serif"/>
          <w:b/>
          <w:color w:val="000000"/>
          <w:sz w:val="24"/>
        </w:rPr>
        <w:t>Participant Register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Lender shall be required to disclose or share the information contained in such Participant Register with Borrower or any other Person, except as required by law and to satisfy the requirements of Treasury Regulation 5f.103-1(c). The entries in the Participant Register shall be conclusive in the absence of manifest error. The Borrower agrees that each Participant shall be entitled to the benefits of </w:t>
      </w:r>
      <w:r>
        <w:rPr>
          <w:rFonts w:ascii="Times New Roman;sans-serif" w:hAnsi="Times New Roman;sans-serif"/>
          <w:b w:val="false"/>
          <w:color w:val="000000"/>
          <w:sz w:val="24"/>
          <w:u w:val="single"/>
        </w:rPr>
        <w:t>Sections 3.2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13.8</w:t>
      </w:r>
      <w:r>
        <w:rPr>
          <w:color w:val="000000"/>
        </w:rPr>
        <w:t xml:space="preserve"> </w:t>
      </w:r>
      <w:r>
        <w:rPr>
          <w:rFonts w:ascii="Times New Roman;sans-serif" w:hAnsi="Times New Roman;sans-serif"/>
          <w:b w:val="false"/>
          <w:color w:val="000000"/>
          <w:sz w:val="24"/>
        </w:rPr>
        <w:t xml:space="preserve">(subject to the limitations and requirements of such Sections) to the same extent as if it were a Lender and had acquired its interest by assignment;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Participant shall not be entitled to receive any greater payment under </w:t>
      </w:r>
      <w:r>
        <w:rPr>
          <w:rFonts w:ascii="Times New Roman;sans-serif" w:hAnsi="Times New Roman;sans-serif"/>
          <w:b w:val="false"/>
          <w:color w:val="000000"/>
          <w:sz w:val="24"/>
          <w:u w:val="single"/>
        </w:rPr>
        <w:t>Section 3.2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with respect to the participation sold to such Participant, than the applicable Lender would have been entitled to receive except to the extent such entitlement to a greater payment results from a Change in Law after the sale of the participation takes place.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Miscellaneous Assignment Provisions</w:t>
      </w:r>
      <w:r>
        <w:rPr>
          <w:rFonts w:ascii="Times New Roman;sans-serif" w:hAnsi="Times New Roman;sans-serif"/>
          <w:b w:val="false"/>
          <w:color w:val="000000"/>
          <w:sz w:val="24"/>
        </w:rPr>
        <w:t xml:space="preserve">. Any assigning Lender shall retain its rights to be indemnified pursuant to </w:t>
      </w:r>
      <w:r>
        <w:rPr>
          <w:rFonts w:ascii="Times New Roman;sans-serif" w:hAnsi="Times New Roman;sans-serif"/>
          <w:b w:val="false"/>
          <w:color w:val="000000"/>
          <w:sz w:val="24"/>
          <w:u w:val="single"/>
        </w:rPr>
        <w:t>Section 12.4</w:t>
      </w:r>
      <w:r>
        <w:rPr>
          <w:color w:val="000000"/>
        </w:rPr>
        <w:t xml:space="preserve"> </w:t>
      </w:r>
      <w:r>
        <w:rPr>
          <w:rFonts w:ascii="Times New Roman;sans-serif" w:hAnsi="Times New Roman;sans-serif"/>
          <w:b w:val="false"/>
          <w:color w:val="000000"/>
          <w:sz w:val="24"/>
        </w:rPr>
        <w:t xml:space="preserve">with respect to any claims or actions arising prior to the date of such assignment. Anything contained in this </w:t>
      </w:r>
      <w:r>
        <w:rPr>
          <w:rFonts w:ascii="Times New Roman;sans-serif" w:hAnsi="Times New Roman;sans-serif"/>
          <w:b w:val="false"/>
          <w:color w:val="000000"/>
          <w:sz w:val="24"/>
          <w:u w:val="single"/>
        </w:rPr>
        <w:t>Section 12.2</w:t>
      </w:r>
      <w:r>
        <w:rPr>
          <w:color w:val="000000"/>
        </w:rPr>
        <w:t xml:space="preserve"> </w:t>
      </w:r>
      <w:r>
        <w:rPr>
          <w:rFonts w:ascii="Times New Roman;sans-serif" w:hAnsi="Times New Roman;sans-serif"/>
          <w:b w:val="false"/>
          <w:color w:val="000000"/>
          <w:sz w:val="24"/>
        </w:rPr>
        <w:t xml:space="preserve">to the contrary notwithstanding, any Lender may at any time pledge or assign a Lien in all or any portion of its interest and rights under this Agreement (including all or any portion of its Notes) to secure its obligations, including to any of the twelve Federal Reserve Banks organized under § 4 of the Federal Reserve Act, 12 U.S.C. § 341. Any foreclosure or similar action by any Person in respect of such pledge or assignment shall be subject to the other provisions of this </w:t>
      </w:r>
      <w:r>
        <w:rPr>
          <w:rFonts w:ascii="Times New Roman;sans-serif" w:hAnsi="Times New Roman;sans-serif"/>
          <w:b w:val="false"/>
          <w:color w:val="000000"/>
          <w:sz w:val="24"/>
          <w:u w:val="single"/>
        </w:rPr>
        <w:t>Section 12.2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such pledge or assignment shall release such Lender from any of its obligations hereunder or substitute any such pledgee or assignee for such Lender as a party hereto.</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Assignment by the Loan Parties</w:t>
      </w:r>
      <w:r>
        <w:rPr>
          <w:rFonts w:ascii="Times New Roman;sans-serif" w:hAnsi="Times New Roman;sans-serif"/>
          <w:b w:val="false"/>
          <w:color w:val="000000"/>
          <w:sz w:val="24"/>
        </w:rPr>
        <w:t>. No Loan Party shall assign or transfer any of its rights or obligations under this Agreement or any of the other Transaction Documents without the prior written consent of Administrative Agent (acting at the direction of the Requisite Lenders).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Replacement Lender</w:t>
      </w:r>
      <w:r>
        <w:rPr>
          <w:rFonts w:ascii="Times New Roman;sans-serif" w:hAnsi="Times New Roman;sans-serif"/>
          <w:b w:val="false"/>
          <w:color w:val="000000"/>
          <w:sz w:val="24"/>
        </w:rPr>
        <w:t xml:space="preserve">. If any Lender requests compensation under </w:t>
      </w:r>
      <w:r>
        <w:rPr>
          <w:rFonts w:ascii="Times New Roman;sans-serif" w:hAnsi="Times New Roman;sans-serif"/>
          <w:b w:val="false"/>
          <w:color w:val="000000"/>
          <w:sz w:val="24"/>
          <w:u w:val="single"/>
        </w:rPr>
        <w:t>Section 3.2(a)</w:t>
      </w:r>
      <w:r>
        <w:rPr>
          <w:rFonts w:ascii="Times New Roman;sans-serif" w:hAnsi="Times New Roman;sans-serif"/>
          <w:b w:val="false"/>
          <w:color w:val="000000"/>
          <w:sz w:val="24"/>
        </w:rPr>
        <w:t xml:space="preserve">, or if the Borrower is required to pay any amounts to any Lender or any Governmental Authority for the account of any Lender pursuant to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ans-serif" w:hAnsi="Times New Roman;sans-serif"/>
          <w:b w:val="false"/>
          <w:color w:val="000000"/>
          <w:sz w:val="24"/>
          <w:u w:val="single"/>
        </w:rPr>
        <w:t>Article XII</w:t>
      </w:r>
      <w:r>
        <w:rPr>
          <w:color w:val="000000"/>
        </w:rPr>
        <w:t xml:space="preserve"> </w:t>
      </w:r>
      <w:r>
        <w:rPr>
          <w:rFonts w:ascii="Times New Roman;sans-serif" w:hAnsi="Times New Roman;sans-serif"/>
          <w:b w:val="false"/>
          <w:color w:val="000000"/>
          <w:sz w:val="24"/>
        </w:rPr>
        <w:t xml:space="preserve">(and with the $3,500 assignment fee being payable by the Borrower)) all of its interests, rights  and obligations under this Agreement and the related Transaction Documents to an Eligible Assignee that shall assume such obligations (which assignee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such Lender shall have received payment of an amount equal to the outstanding principal of its Term Loans, accrued interest thereon, accrued fees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855345"/>
                <wp:effectExtent l="0" t="0" r="0" b="0"/>
                <wp:wrapNone/>
                <wp:docPr id="178" name="Frame17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other amounts payable to it hereunder and under the other Transaction Documents (including any amounts under </w:t>
      </w:r>
      <w:r>
        <w:rPr>
          <w:rFonts w:ascii="Times New Roman;sans-serif" w:hAnsi="Times New Roman;sans-serif"/>
          <w:b w:val="false"/>
          <w:color w:val="000000"/>
          <w:sz w:val="24"/>
          <w:u w:val="single"/>
        </w:rPr>
        <w:t>Section 2.7</w:t>
      </w:r>
      <w:r>
        <w:rPr>
          <w:rFonts w:ascii="Times New Roman;sans-serif" w:hAnsi="Times New Roman;sans-serif"/>
          <w:b w:val="false"/>
          <w:color w:val="000000"/>
          <w:sz w:val="24"/>
        </w:rPr>
        <w:t>) from the assignee (to the extent of such outstanding principal and accrued interest and fees) or the Borrower (in the case of all other amounts);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in the case of any such assignment resulting from a claim for compensation under </w:t>
      </w:r>
      <w:r>
        <w:rPr>
          <w:rFonts w:ascii="Times New Roman;sans-serif" w:hAnsi="Times New Roman;sans-serif"/>
          <w:b w:val="false"/>
          <w:color w:val="000000"/>
          <w:sz w:val="24"/>
          <w:u w:val="single"/>
        </w:rPr>
        <w:t>Section 3.2(a)</w:t>
      </w:r>
      <w:r>
        <w:rPr>
          <w:color w:val="000000"/>
        </w:rPr>
        <w:t xml:space="preserve"> </w:t>
      </w:r>
      <w:r>
        <w:rPr>
          <w:rFonts w:ascii="Times New Roman;sans-serif" w:hAnsi="Times New Roman;sans-serif"/>
          <w:b w:val="false"/>
          <w:color w:val="000000"/>
          <w:sz w:val="24"/>
        </w:rPr>
        <w:t xml:space="preserve">or payments required to be made pursuant to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such assignment will result in a reduction in such compensation or payments thereafter;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such assignment does not conflict with Applicable Law;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in the case of any assignment resulting from a Lender becoming a Non-Consenting Lender, the applicable assignee shall have consented to the applicable amendment, waiver or consent.</w:t>
      </w:r>
    </w:p>
    <w:p>
      <w:pPr>
        <w:pStyle w:val="TextBody"/>
        <w:bidi w:val="0"/>
        <w:spacing w:lineRule="auto" w:line="288" w:before="0" w:after="0"/>
        <w:ind w:left="0" w:right="0" w:firstLine="450"/>
        <w:jc w:val="both"/>
        <w:rPr/>
      </w:pPr>
      <w:r>
        <w:rPr>
          <w:rFonts w:ascii="Times New Roman;sans-serif" w:hAnsi="Times New Roman;sans-serif"/>
          <w:b w:val="false"/>
          <w:color w:val="000000"/>
          <w:sz w:val="24"/>
        </w:rPr>
        <w:t xml:space="preserve">Each party hereto agrees that (a) an assignment required pursuant to this </w:t>
      </w:r>
      <w:r>
        <w:rPr>
          <w:rFonts w:ascii="Times New Roman;sans-serif" w:hAnsi="Times New Roman;sans-serif"/>
          <w:b w:val="false"/>
          <w:color w:val="000000"/>
          <w:sz w:val="24"/>
          <w:u w:val="single"/>
        </w:rPr>
        <w:t>Section 12.2</w:t>
      </w:r>
      <w:r>
        <w:rPr>
          <w:color w:val="000000"/>
        </w:rPr>
        <w:t xml:space="preserve"> </w:t>
      </w:r>
      <w:r>
        <w:rPr>
          <w:rFonts w:ascii="Times New Roman;sans-serif" w:hAnsi="Times New Roman;sans-serif"/>
          <w:b w:val="false"/>
          <w:color w:val="000000"/>
          <w:sz w:val="24"/>
        </w:rPr>
        <w:t xml:space="preserve">may be effected pursuant to an Assignment Agreement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any such documents shall be without recourse to or warranty by the parties thereto.</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12.3    Application of Payments</w:t>
      </w:r>
      <w:r>
        <w:rPr>
          <w:rFonts w:ascii="Times New Roman;sans-serif" w:hAnsi="Times New Roman;sans-serif"/>
          <w:b w:val="false"/>
          <w:color w:val="000000"/>
          <w:sz w:val="24"/>
        </w:rPr>
        <w:t>. To the extent that any payment made or received with respect to the Obligations is subsequently invalidated, determined to be fraudulent or preferential, set aside, defeased or required to be repaid to a trustee, debtor in possession, receiver, custodian or any other Person under any Debtor Relief Law, common law or equitable cause or any other Applicable Law, then the Obligations intended to be satisfied by such payment shall be revived and shall continue as if such payment had not been received by Administrative Agent and the Liens created hereby shall be revived automatically without any action on the part of any party hereto and shall continue as if such payment had not been received by Administrative Agent. Except as specifically provided in this Agreement, any payments with respect to the Obligations received shall be credited and applied in such manner and order as Administrative Agent shall decide in its sole discretion.</w:t>
      </w:r>
    </w:p>
    <w:p>
      <w:pPr>
        <w:pStyle w:val="TextBody"/>
        <w:bidi w:val="0"/>
        <w:spacing w:lineRule="auto" w:line="288" w:before="0" w:after="240"/>
        <w:ind w:left="0" w:right="0" w:firstLine="720"/>
        <w:jc w:val="both"/>
        <w:rPr/>
      </w:pPr>
      <w:r>
        <w:rPr>
          <w:rFonts w:ascii="Times New Roman;sans-serif" w:hAnsi="Times New Roman;sans-serif"/>
          <w:b/>
          <w:color w:val="000000"/>
          <w:sz w:val="24"/>
        </w:rPr>
        <w:t>12.4    Indemnity</w:t>
      </w:r>
      <w:r>
        <w:rPr>
          <w:rFonts w:ascii="Times New Roman;sans-serif" w:hAnsi="Times New Roman;sans-serif"/>
          <w:b w:val="false"/>
          <w:color w:val="000000"/>
          <w:sz w:val="24"/>
        </w:rPr>
        <w:t>. Each Loan Party shall indemnify each of the Administrative Agent, the Facility Agent, each Lender, each Participant, its Affiliates and managers, members, officers, employees, Affiliates, agents, representatives, successors, assigns, accountants and attorneys (collectively, the “</w:t>
      </w:r>
      <w:r>
        <w:rPr>
          <w:rFonts w:ascii="Times New Roman;sans-serif" w:hAnsi="Times New Roman;sans-serif"/>
          <w:b/>
          <w:color w:val="000000"/>
          <w:sz w:val="24"/>
        </w:rPr>
        <w:t>Indemnified Persons</w:t>
      </w:r>
      <w:r>
        <w:rPr>
          <w:color w:val="000000"/>
        </w:rPr>
        <w:t>”</w:t>
      </w:r>
      <w:r>
        <w:rPr>
          <w:rFonts w:ascii="Times New Roman;sans-serif" w:hAnsi="Times New Roman;sans-serif"/>
          <w:b w:val="false"/>
          <w:color w:val="000000"/>
          <w:sz w:val="24"/>
        </w:rPr>
        <w:t>) from and against any and all liabilities, obligations, losses, damages, penalties, actions, judgments, suits, costs, expenses, taxes and disbursements of any kind or nature whatsoever (including, without limitation, reasonable fees and disbursements of counsel) (“</w:t>
      </w:r>
      <w:r>
        <w:rPr>
          <w:rFonts w:ascii="Times New Roman;sans-serif" w:hAnsi="Times New Roman;sans-serif"/>
          <w:b/>
          <w:color w:val="000000"/>
          <w:sz w:val="24"/>
        </w:rPr>
        <w:t>Damages</w:t>
      </w:r>
      <w:r>
        <w:rPr>
          <w:color w:val="000000"/>
        </w:rPr>
        <w:t>”</w:t>
      </w:r>
      <w:r>
        <w:rPr>
          <w:rFonts w:ascii="Times New Roman;sans-serif" w:hAnsi="Times New Roman;sans-serif"/>
          <w:b w:val="false"/>
          <w:color w:val="000000"/>
          <w:sz w:val="24"/>
        </w:rPr>
        <w:t xml:space="preserve">), which Damages may be imposed on, incurred by or asserted against any Indemnified Person with respect to or arising out of, or in any litigation, proceeding or investigation instituted or conducted by any Person with respect to any aspect of,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855345"/>
                <wp:effectExtent l="0" t="0" r="0" b="0"/>
                <wp:wrapNone/>
                <wp:docPr id="179" name="Frame17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transaction contemplated by, or any matter related to this Agreement, the Term Loans (or the use of proceeds thereof), any other Transaction Document or any act of or omission by any Loan Party or any of their officers, directors, agents, including, without limitation (i) any willful misrepresentation with respect to any Loan Party or the Collateral, (ii) any acts of fraud by any Loan Party related to the Term Loans or made in connection with this Agreement or any Transaction Document, (iii) any theft of any Collateral by any Loan Party or any of their Affiliates, (iv) any misappropriation of funds or use of the proceeds of the Term Loans that is not in accordance with the terms of the Loan Agreement or any other Transaction Document, (v) any transfer, sale, encumbrance or other disposal of the Collateral not permitted by the Loan Agreement or the other Transaction Document or (vi) to the extent related to the foregoing, any liability of the Loan Parties arising under Environmental Law, in each case expressly excluding (i) any special, consequential or punitive damages (except to the extent such special, consequential or punitive damages are paid or payable to any third party) or (ii) those damages arising solely from the gross negligence or willful misconduct of any Indemnified Person as determined by a court of competent jurisdiction in a final and non-appealable judgement. The Loan Parties shall be entitled to participate in the defense of any matter for which indemnification may be required under this </w:t>
      </w:r>
      <w:r>
        <w:rPr>
          <w:rFonts w:ascii="Times New Roman;sans-serif" w:hAnsi="Times New Roman;sans-serif"/>
          <w:b w:val="false"/>
          <w:color w:val="000000"/>
          <w:sz w:val="24"/>
          <w:u w:val="single"/>
        </w:rPr>
        <w:t>Section 12.4</w:t>
      </w:r>
      <w:r>
        <w:rPr>
          <w:color w:val="000000"/>
        </w:rPr>
        <w:t xml:space="preserve"> </w:t>
      </w:r>
      <w:r>
        <w:rPr>
          <w:rFonts w:ascii="Times New Roman;sans-serif" w:hAnsi="Times New Roman;sans-serif"/>
          <w:b w:val="false"/>
          <w:color w:val="000000"/>
          <w:sz w:val="24"/>
        </w:rPr>
        <w:t xml:space="preserve">(other than any matter in which the Administrative Agent or any of its Agent Related Parties is subject) and to employ counsel at their own expense to assist in the handling of such matter. Any Indemnified Person may, in its reasonable discretion, take such actions as it deems necessary and appropriate to investigate, defend or settle any event or take other remedial or corrective actions with respect thereto as may be necessary for the protection of such Indemnified Person or the Collateral, subject to (other than any such litigation, proceeding or matter involving the Administrative Agent or any of its Agent Related Parties) the Loan Parties’ prior approval of any settlement, which shall not be unreasonably withheld or delayed. To the extent that Administrative Agent obtains recovery from a third party other than an Indemnified Person of any of the amounts that any Loan Party has paid to Administrative Agent pursuant to the indemnity set forth in this </w:t>
      </w:r>
      <w:r>
        <w:rPr>
          <w:rFonts w:ascii="Times New Roman;sans-serif" w:hAnsi="Times New Roman;sans-serif"/>
          <w:b w:val="false"/>
          <w:color w:val="000000"/>
          <w:sz w:val="24"/>
          <w:u w:val="single"/>
        </w:rPr>
        <w:t>Section 12.4</w:t>
      </w:r>
      <w:r>
        <w:rPr>
          <w:color w:val="000000"/>
        </w:rPr>
        <w:t xml:space="preserve"> </w:t>
      </w:r>
      <w:r>
        <w:rPr>
          <w:rFonts w:ascii="Times New Roman;sans-serif" w:hAnsi="Times New Roman;sans-serif"/>
          <w:b w:val="false"/>
          <w:color w:val="000000"/>
          <w:sz w:val="24"/>
        </w:rPr>
        <w:t xml:space="preserve">(and no amounts are then due and owing to the Administrative Agent from any Loan Party), then Administrative Agent shall promptly pay to such Loan Party the amount of such recovery. Without limiting any of the foregoing, each Loan Party indemnifies the Indemnified Parties for all claims for brokerage fees or commissions (other than claims of a broker with whom such Indemnified Party has directly contracted in writing) which may be made in connection with respect to any aspect of, or any transaction contemplated by or referred to in, or any matter related to, any Transaction Document or any agreement, document or transaction contemplated thereby. No Indemnified Person shall have any liability for any special, punitive, indirect or consequential damages relating to this Agreement or any other Transaction Document or arising out of its activities in connection herewith or therewith. For avoidance of doubt, this </w:t>
      </w:r>
      <w:r>
        <w:rPr>
          <w:rFonts w:ascii="Times New Roman;sans-serif" w:hAnsi="Times New Roman;sans-serif"/>
          <w:b w:val="false"/>
          <w:color w:val="000000"/>
          <w:sz w:val="24"/>
          <w:u w:val="single"/>
        </w:rPr>
        <w:t>Section 12.4</w:t>
      </w:r>
      <w:r>
        <w:rPr>
          <w:color w:val="000000"/>
        </w:rPr>
        <w:t xml:space="preserve"> </w:t>
      </w:r>
      <w:r>
        <w:rPr>
          <w:rFonts w:ascii="Times New Roman;sans-serif" w:hAnsi="Times New Roman;sans-serif"/>
          <w:b w:val="false"/>
          <w:color w:val="000000"/>
          <w:sz w:val="24"/>
        </w:rPr>
        <w:t>shall not apply with respect to Taxes other than any Taxes that represent losses, claims, damages, etc. arising from any non-Tax claim.</w:t>
      </w:r>
    </w:p>
    <w:p>
      <w:pPr>
        <w:pStyle w:val="TextBody"/>
        <w:bidi w:val="0"/>
        <w:spacing w:lineRule="auto" w:line="288" w:before="0" w:after="240"/>
        <w:ind w:left="0" w:right="0" w:firstLine="720"/>
        <w:jc w:val="both"/>
        <w:rPr/>
      </w:pPr>
      <w:r>
        <w:rPr>
          <w:rFonts w:ascii="Times New Roman;sans-serif" w:hAnsi="Times New Roman;sans-serif"/>
          <w:b/>
          <w:color w:val="000000"/>
          <w:sz w:val="24"/>
        </w:rPr>
        <w:t>12.5    Notices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 xml:space="preserve">Except as otherwise expressly set forth in any other Transaction Document, all notices and other communications provided for herein and in the other Transaction Documents shall be in writing (including by electronic communication) and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855345"/>
                <wp:effectExtent l="0" t="0" r="0" b="0"/>
                <wp:wrapNone/>
                <wp:docPr id="180" name="Frame18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delivered as follows: (x) if to the Borrower, any other Loan Party or the Administrative Agent, to the address, telecopier number, electronic mail address or telephone number specified for such Person on Schedule 12.5; and (y) if to any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Any notice or request hereunder shall be given only by, and shall be deemed to have been received upon (each, a “</w:t>
      </w:r>
      <w:r>
        <w:rPr>
          <w:rFonts w:ascii="Times New Roman;sans-serif" w:hAnsi="Times New Roman;sans-serif"/>
          <w:b/>
          <w:color w:val="000000"/>
          <w:sz w:val="24"/>
        </w:rPr>
        <w:t>Receipt</w:t>
      </w:r>
      <w:r>
        <w:rPr>
          <w:color w:val="000000"/>
        </w:rPr>
        <w:t>”</w:t>
      </w:r>
      <w:r>
        <w:rPr>
          <w:rFonts w:ascii="Times New Roman;sans-serif" w:hAnsi="Times New Roman;sans-serif"/>
          <w:b w:val="false"/>
          <w:color w:val="000000"/>
          <w:sz w:val="24"/>
        </w:rPr>
        <w:t xml:space="preserve">): (i) registered or certified mail, return receipt requested, on the date on which such received as indicated in such return receipt, (ii) delivery by a nationally recognized overnight courier, one (1) Business Day after deposit with such courier, or (iii) electronic transmission, in each case upon further electronic communication from the recipient acknowledging receipt (whether automatic or manual from recipient), as applicable.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Notices and other communications to the Lenders hereunder may be delivered or furnished by electronic communication (including e-mail and Internet or intranet websites) pursuant to procedures approved by the Administrative Agent. The Administrative Agent or Loan Party may, in its discretion, agree to accept notices and other communications to it hereunder by electronic communications pursuant to procedures approved by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approval of such procedures may be limited to particular notices or communications.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4"/>
          <w:u w:val="single"/>
        </w:rPr>
        <w:t>clause (i)</w:t>
      </w:r>
      <w:r>
        <w:rPr>
          <w:rFonts w:ascii="Times New Roman;sans-serif" w:hAnsi="Times New Roman;sans-serif"/>
          <w:b w:val="false"/>
          <w:color w:val="000000"/>
          <w:sz w:val="24"/>
        </w:rPr>
        <w:t xml:space="preserve">, of notification that such notice or communication is available and identifying the website address therefor;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for both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The Borrower hereby acknowledges that (a) the Borrower or the Administrative Agent may, but shall not be obligated to, make available to the Lenders materials and/or information provided by or on behalf of the Borrower hereunder (collectively, “</w:t>
      </w:r>
      <w:r>
        <w:rPr>
          <w:rFonts w:ascii="Times New Roman;sans-serif" w:hAnsi="Times New Roman;sans-serif"/>
          <w:b/>
          <w:color w:val="000000"/>
          <w:sz w:val="24"/>
        </w:rPr>
        <w:t>Borrower Materials</w:t>
      </w:r>
      <w:r>
        <w:rPr>
          <w:color w:val="000000"/>
        </w:rPr>
        <w:t>”</w:t>
      </w:r>
      <w:r>
        <w:rPr>
          <w:rFonts w:ascii="Times New Roman;sans-serif" w:hAnsi="Times New Roman;sans-serif"/>
          <w:b w:val="false"/>
          <w:color w:val="000000"/>
          <w:sz w:val="24"/>
        </w:rPr>
        <w:t>) by posting the Borrower Materials on IntraLinks, DebtDomain or another similar electronic system (the “</w:t>
      </w:r>
      <w:r>
        <w:rPr>
          <w:rFonts w:ascii="Times New Roman;sans-serif" w:hAnsi="Times New Roman;sans-serif"/>
          <w:b/>
          <w:color w:val="000000"/>
          <w:sz w:val="24"/>
        </w:rPr>
        <w:t>Platform</w:t>
      </w:r>
      <w:r>
        <w:rPr>
          <w:color w:val="000000"/>
        </w:rPr>
        <w:t>”</w:t>
      </w:r>
      <w:r>
        <w:rPr>
          <w:rFonts w:ascii="Times New Roman;sans-serif" w:hAnsi="Times New Roman;sans-serif"/>
          <w:b w:val="false"/>
          <w:color w:val="000000"/>
          <w:sz w:val="24"/>
        </w:rPr>
        <w:t>) and (b) certain of the Lenders (each, a “</w:t>
      </w:r>
      <w:r>
        <w:rPr>
          <w:rFonts w:ascii="Times New Roman;sans-serif" w:hAnsi="Times New Roman;sans-serif"/>
          <w:b/>
          <w:color w:val="000000"/>
          <w:sz w:val="24"/>
        </w:rPr>
        <w:t>Public Lender</w:t>
      </w:r>
      <w:r>
        <w:rPr>
          <w:color w:val="000000"/>
        </w:rPr>
        <w:t>”</w:t>
      </w:r>
      <w:r>
        <w:rPr>
          <w:rFonts w:ascii="Times New Roman;sans-serif" w:hAnsi="Times New Roman;sans-serif"/>
          <w:b w:val="false"/>
          <w:color w:val="000000"/>
          <w:sz w:val="24"/>
        </w:rPr>
        <w:t xml:space="preserve">) may have personnel who do not wish to receive material non-public information (within the meaning of United States federal and state securities laws) and who may be engaged in investment and other market-related activities with respect to such Persons’ securities. The Borrower hereby agrees that it will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855345"/>
                <wp:effectExtent l="0" t="0" r="0" b="0"/>
                <wp:wrapNone/>
                <wp:docPr id="181" name="Frame18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4"/>
        </w:rPr>
        <w:t>PUBLIC,” the Borrower shall be deemed to have authorized the Administrative Agent and the Lenders to treat such Borrower Materials as not containing any material non-public information (although it may be sensitive and proprietary)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to the extent such Borrower Materials constitute Information, they shall be treated as set forth in </w:t>
      </w:r>
      <w:r>
        <w:rPr>
          <w:rFonts w:ascii="Times New Roman;sans-serif" w:hAnsi="Times New Roman;sans-serif"/>
          <w:b w:val="false"/>
          <w:color w:val="000000"/>
          <w:sz w:val="24"/>
          <w:u w:val="single"/>
        </w:rPr>
        <w:t>Section 12.10</w:t>
      </w:r>
      <w:r>
        <w:rPr>
          <w:rFonts w:ascii="Times New Roman;sans-serif" w:hAnsi="Times New Roman;sans-serif"/>
          <w:b w:val="false"/>
          <w:color w:val="000000"/>
          <w:sz w:val="24"/>
        </w:rPr>
        <w:t xml:space="preserve">); (y) all Borrower Materials marked “PUBLIC” are permitted to be made available through a portion of the Platform designated “Public Side Information”; and (z) prior to distributing any Borrower Materials that contain material non-public information (i.e., not marked “PUBLIC”), the Borrower will notify each Public Lender that such information constitutes material non-public information and will not distribute such materials to the Administrative Agent to be distributed on the Platform without the consent of all Public Lenders or directly to any Public Lender without the consent of such Lender.  The Administrative Agent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following Borrower Materials shall be deemed to be marked “PUBLIC” unless the Borrower notifies the Administrative Agent promptly that any such document contains material non-public information: (1) the Transaction Documents, (2) any notification of changes in the terms of the Facilities and (3) all information delivered pursuant to </w:t>
      </w:r>
      <w:r>
        <w:rPr>
          <w:rFonts w:ascii="Times New Roman;sans-serif" w:hAnsi="Times New Roman;sans-serif"/>
          <w:b w:val="false"/>
          <w:color w:val="000000"/>
          <w:sz w:val="24"/>
          <w:u w:val="single"/>
        </w:rPr>
        <w:t>Section 6.1(a)</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The Platform</w:t>
      </w:r>
      <w:r>
        <w:rPr>
          <w:rFonts w:ascii="Times New Roman;sans-serif" w:hAnsi="Times New Roman;sans-serif"/>
          <w:b w:val="false"/>
          <w:color w:val="000000"/>
          <w:sz w:val="24"/>
        </w:rPr>
        <w:t>. THE PLATFORM IS PROVIDED “AS IS” AND “AS AVAILABLE.” THE ADMINISTRATIVE AGENT DOES NOT WARRANT THE ACCURACY OR COMPLETENESS OF THE BORROWER MATERIALS OR THE ADEQUACY OF ANY PLATFORM, AND THE ADMINISTRATIVE AGENT EXPRESSLY DISCLAIMS LIABILITY FOR ERRORS IN OR OMISSIONS FROM THE BORROWER MATERIALS. NO WARRANTY OF ANY KIND, EXPRESS, IMPLIED OR STATUTORY, INCLUDING ANY WARRANTY OF MERCHANTABILITY, FITNESS FOR A PARTICULAR PURPOSE, NON-INFRINGEMENT OF THIRD-PARTY RIGHTS OR FREEDOM FROM VIRUSES OR OTHER CODE DEFECTS, IS MADE BY THE ADMINISTRATIVE AGENT IN CONNECTION WITH THE BORROWER MATERIALS OR ANY PLATFORM. In no event shall any Administrative Agent or any of its Related Parties have any liability to any Loan Party or any of their respective Subsidiaries, any Lender or any other Person for losses, claims, damages, liabilities or expenses of any kind (whether in tort, contract or otherwise) arising out of the Borrower’s or the Administrative Agent’s transmission of Borrower Materials through the internet.</w:t>
      </w:r>
    </w:p>
    <w:p>
      <w:pPr>
        <w:pStyle w:val="TextBody"/>
        <w:bidi w:val="0"/>
        <w:spacing w:lineRule="auto" w:line="288" w:before="0" w:after="240"/>
        <w:ind w:left="0" w:right="0" w:firstLine="720"/>
        <w:jc w:val="both"/>
        <w:rPr/>
      </w:pPr>
      <w:r>
        <w:rPr>
          <w:rFonts w:ascii="Times New Roman;sans-serif" w:hAnsi="Times New Roman;sans-serif"/>
          <w:b/>
          <w:color w:val="000000"/>
          <w:sz w:val="24"/>
        </w:rPr>
        <w:t>12.6    Severability; Captions; Counterparts; Electronic Signatures</w:t>
      </w:r>
      <w:r>
        <w:rPr>
          <w:rFonts w:ascii="Times New Roman;sans-serif" w:hAnsi="Times New Roman;sans-serif"/>
          <w:b w:val="false"/>
          <w:color w:val="000000"/>
          <w:sz w:val="24"/>
        </w:rPr>
        <w:t xml:space="preserve">. If any provision of any Transaction Document is adjudicated to be invalid under Applicable Laws, such provision shall be inapplicable to the extent of such invalidity without affecting the validity or enforceability of the remainder of the Transaction Documents which shall be given effect so far as possible. The captions in the Transaction Documents are intended for convenience and reference only and shall not affect the meaning or interpretation of the Transaction Documents. The Transaction Documents may be executed in one or more counterparts (which taken together, as applicable, shall constitute one and the same instrument) and portable document format (.pdf), or other electronic transmission, which signatures shall be considered original executed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855345"/>
                <wp:effectExtent l="0" t="0" r="0" b="0"/>
                <wp:wrapNone/>
                <wp:docPr id="182" name="Frame18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counterparts. The words “delivery,” “execute,” “execution,” “signed,” “signature,” and words of like import in any Transaction Document or any other document executed in connection herewith shall be deemed to include electronic signatures, the electronic matching of assignment terms and contract formations on electronic platforms approved in writing (which may be by electronic mail) by Administrative Agent,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notwithstanding anything contained herein to the contrary Administrative Agent is under no obligation to agree to accept electronic signatures in any form or in any format unless expressly agreed to by Administrative Agent pursuant to procedures approved by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without limiting the foregoing, upon the request of Administrative Agent, any electronic signature shall be promptly followed by such manually executed counterpart.</w:t>
      </w:r>
    </w:p>
    <w:p>
      <w:pPr>
        <w:pStyle w:val="TextBody"/>
        <w:bidi w:val="0"/>
        <w:spacing w:lineRule="auto" w:line="288" w:before="0" w:after="240"/>
        <w:ind w:left="0" w:right="0" w:firstLine="720"/>
        <w:jc w:val="both"/>
        <w:rPr/>
      </w:pPr>
      <w:r>
        <w:rPr>
          <w:rFonts w:ascii="Times New Roman;sans-serif" w:hAnsi="Times New Roman;sans-serif"/>
          <w:b/>
          <w:color w:val="000000"/>
          <w:sz w:val="24"/>
        </w:rPr>
        <w:t>12.7    Expenses</w:t>
      </w:r>
      <w:r>
        <w:rPr>
          <w:rFonts w:ascii="Times New Roman;sans-serif" w:hAnsi="Times New Roman;sans-serif"/>
          <w:b w:val="false"/>
          <w:color w:val="000000"/>
          <w:sz w:val="24"/>
        </w:rPr>
        <w:t xml:space="preserve">. The Loan Parties shall pay, whether or not the transactions contemplated hereby shall be consummated or any proposed Term Loan after the Closing Date occurs, all fees, costs and expenses incurred or earned, including, without limitation, documentation and diligence fees and expenses, all search, audit, appraisal, recording, professional and filing fees and expenses and all other charges and expenses (including, without limitation, UCC and judgment and tax Lien searches and UCC filings and fees for post-closing UCC and judgment and tax Lien searches and wire transfer fees and audit expenses), and external attorneys’ fees and expenses (limited to the reasonable and documented or invoiced legal fees and expenses of a single lead counsel to the Administrative Agent, and a single lead counsel to the Lenders, taken as a whole, and of a single local counsel to the Administrative Agent, a single local counsel to the Facility Agent and a single local counsel to the Lenders, taken as a whole, in each appropriate jurisdiction (which may include a single special counsel acting in multiple jurisdictions) and of such other counsel retained with the prior written consent of the Borrower), by (a) the Administrative Agent, the Facility Agent and/or its or their respective Affiliates, (i) in any effort to enforce, protect or collect payment of any Obligation or to enforce any Transaction Document or any related agreement, document or instrument, (ii) in connection with entering into, negotiating, preparing, reviewing and executing the Transaction Documents and/or any related agreements, documents or instruments (including without limitation in conjunction with any proposed Term Loan to be made after the Closing Date), (iii) arising in any way out of administration of the Obligations or the taking or refraining from taking by Administrative Agent or the Facility Agent of any action under the Transaction Documents, (iv) in connection with instituting, maintaining, preserving, enforcing and/or foreclosing on Administrative Agent’s Liens in any of the Collateral or securities pledged under the Transaction Documents, whether through judicial proceedings or otherwise, (v) in defending or prosecuting any actions, claims or proceedings arising out of or relating to the Administrative Agent’s, the Facility Agent’s or any Lender’s transactions with Borrower or any other Loan Party, (vi) arising out of or relating to any Default or Event of Default or occurring thereafter or as a result thereof, (vii) in connection with all actions, visits, audits and inspections undertaken by Administrative Agent or its Affiliates pursuant to the Transaction Documents, and/or (viii) in connection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855345"/>
                <wp:effectExtent l="0" t="0" r="0" b="0"/>
                <wp:wrapNone/>
                <wp:docPr id="183" name="Frame18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modification, restatement, supplement, amendment, waiver or extension of any Transaction Document and/or any related agreement, document or instrument and (b) any Lender and/or its Affiliates, (i) in any effort to enforce, protect or collect payment of any Obligation or to enforce any Transaction Document or any related agreement, document or instrument, (ii) in defending or prosecuting any actions, claims or proceedings arising out of or relating to any Lender’s transactions with Borrower or any other Loan Party and/or (iii) arising out of or relating to any Default or Event of Default or occurring thereafter or as a result thereof. All of the foregoing shall be part of the Obligations. Without limiting the foregoing, Borrower shall pay all Taxes, if any, in connection with the transactions contemplated by this Agreement and the other Transaction Documents.</w:t>
      </w:r>
    </w:p>
    <w:p>
      <w:pPr>
        <w:pStyle w:val="TextBody"/>
        <w:bidi w:val="0"/>
        <w:spacing w:lineRule="auto" w:line="288" w:before="0" w:after="240"/>
        <w:ind w:left="0" w:right="0" w:firstLine="720"/>
        <w:jc w:val="both"/>
        <w:rPr/>
      </w:pPr>
      <w:r>
        <w:rPr>
          <w:rFonts w:ascii="Times New Roman;sans-serif" w:hAnsi="Times New Roman;sans-serif"/>
          <w:b/>
          <w:color w:val="000000"/>
          <w:sz w:val="24"/>
        </w:rPr>
        <w:t>12.8    Entire Agreement</w:t>
      </w:r>
      <w:r>
        <w:rPr>
          <w:rFonts w:ascii="Times New Roman;sans-serif" w:hAnsi="Times New Roman;sans-serif"/>
          <w:b w:val="false"/>
          <w:color w:val="000000"/>
          <w:sz w:val="24"/>
        </w:rPr>
        <w:t xml:space="preserve">. THIS AGREEMENT AND THE OTHER TRANSACTION DOCUMENTS EMBODY THE FINAL, ENTIRE AGREEMENT BETWEEN BORROWER, THE OTHER LOAN PARTIES, AGENT AND THE LENDERS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BETWEEN ANY PARTIES HERETO. EACH OF THE PARTIES HERETO ACKNOWLEDGES AND AGREES THERE ARE NO ORAL AGREEMENTS BETWEEN ANY LOAN PARTY AND ANY OTHER PARTY HERETO. EACH OF THE PARTIES HERETO UNDERSTANDS AND AGREES THAT ORAL AGREEMENTS AND ORAL COMMITMENTS TO LOAN MONEY, EXTEND CREDIT OR TO FORBEAR FROM ENFORCING REPAYMENT OF A DEBT ARE NOT ENFORCEABLE. </w:t>
      </w:r>
    </w:p>
    <w:p>
      <w:pPr>
        <w:pStyle w:val="TextBody"/>
        <w:bidi w:val="0"/>
        <w:spacing w:lineRule="auto" w:line="288" w:before="0" w:after="240"/>
        <w:ind w:left="0" w:right="0" w:firstLine="720"/>
        <w:jc w:val="both"/>
        <w:rPr/>
      </w:pPr>
      <w:r>
        <w:rPr>
          <w:rFonts w:ascii="Times New Roman;sans-serif" w:hAnsi="Times New Roman;sans-serif"/>
          <w:b/>
          <w:color w:val="000000"/>
          <w:sz w:val="24"/>
        </w:rPr>
        <w:t>12.9    Approvals and Duties</w:t>
      </w:r>
      <w:r>
        <w:rPr>
          <w:rFonts w:ascii="Times New Roman;sans-serif" w:hAnsi="Times New Roman;sans-serif"/>
          <w:b w:val="false"/>
          <w:color w:val="000000"/>
          <w:sz w:val="24"/>
        </w:rPr>
        <w:t>. Unless expressly provided herein to the contrary, any approval, consent, waiver or satisfaction of Administrative Agent with respect to any matter that is subject of any Transaction Document may be granted or withheld by Administrative Agent and Lenders, as applicable, in their sole and absolute discretion. Administrative Agent shall have no responsibility for or obligation or duty with respect to any of the Collateral or any matter or proceeding arising out of or relating thereto, including, without limitation, any obligation or duty to collect any sums due in respect thereof or to protect or preserve any rights pertaining thereto.</w:t>
      </w:r>
    </w:p>
    <w:p>
      <w:pPr>
        <w:pStyle w:val="TextBody"/>
        <w:bidi w:val="0"/>
        <w:spacing w:lineRule="auto" w:line="288" w:before="0" w:after="240"/>
        <w:ind w:left="0" w:right="0" w:firstLine="720"/>
        <w:jc w:val="both"/>
        <w:rPr/>
      </w:pPr>
      <w:r>
        <w:rPr>
          <w:rFonts w:ascii="Times New Roman;sans-serif" w:hAnsi="Times New Roman;sans-serif"/>
          <w:b/>
          <w:color w:val="000000"/>
          <w:sz w:val="24"/>
        </w:rPr>
        <w:t>12.10    Publicity and Confidentiality</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[Reserved].</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Each of the Agents, the Account Bank, the Verification Agent and the Lenders agrees to maintain the confidentiality of the Information (as defined below), except that Information may be disclosed (a) to its and its Affiliates’ officers, directors, employees and agents, including accountants, legal counsel and other advisors, including any numbering, administration or settlement service providers who need to know such information in connection with this Agreement (it being understood that the Persons to whom such disclosure is made will be informed of the confidential nature of such Information and instructed to keep such Information confidential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and the Lenders,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855345"/>
                <wp:effectExtent l="0" t="0" r="0" b="0"/>
                <wp:wrapNone/>
                <wp:docPr id="184" name="Frame18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shall be responsible for such Persons’ compliance with this </w:t>
      </w:r>
      <w:r>
        <w:rPr>
          <w:rFonts w:ascii="Times New Roman;sans-serif" w:hAnsi="Times New Roman;sans-serif"/>
          <w:b w:val="false"/>
          <w:color w:val="000000"/>
          <w:sz w:val="24"/>
          <w:u w:val="single"/>
        </w:rPr>
        <w:t>Section 12.10(b)</w:t>
      </w:r>
      <w:r>
        <w:rPr>
          <w:rFonts w:ascii="Times New Roman;sans-serif" w:hAnsi="Times New Roman;sans-serif"/>
          <w:b w:val="false"/>
          <w:color w:val="000000"/>
          <w:sz w:val="24"/>
        </w:rPr>
        <w:t xml:space="preserve">), (b) to the extent requested by any regulatory authority or quasi-regulatory authority (such as the National Association of Insurance Commissioners) having jurisdiction, as applicable, over the Administrative Agent or the Lenders (in which case such Persons agree (except with respect to any audit or examination conducted by bank accountants or any regulatory authority exercising examination or regulatory authority), to the extent practicable and not prohibited by applicable law, to inform you promptly thereof prior to disclosure and to use commercially reasonable efforts to ensure that any such information disclosed is accorded confidential treatment), (c) to the extent required by applicable laws or regulations or by any subpoena or similar compulsory legal process (in which case such Persons agree (except with respect to any audit or examination conducted by bank accountants or any regulatory authority exercising examination or regulatory authority), to the extent practicable and not prohibited by applicable law, to inform you promptly thereof prior to disclosure and to use commercially reasonable efforts to ensure that any such information disclosed is accorded confidential treatment), (d) in connection with the exercise of any remedies hereunder or under the other Transaction Documents or any suit, action or proceeding relating to the enforcement of its rights hereunder or thereunder, (e) subject to an agreement containing provisions substantially the same as those of this </w:t>
      </w:r>
      <w:r>
        <w:rPr>
          <w:rFonts w:ascii="Times New Roman;sans-serif" w:hAnsi="Times New Roman;sans-serif"/>
          <w:b w:val="false"/>
          <w:color w:val="000000"/>
          <w:sz w:val="24"/>
          <w:u w:val="single"/>
        </w:rPr>
        <w:t>Section 12.10(b)</w:t>
      </w:r>
      <w:r>
        <w:rPr>
          <w:rFonts w:ascii="Times New Roman;sans-serif" w:hAnsi="Times New Roman;sans-serif"/>
          <w:b w:val="false"/>
          <w:color w:val="000000"/>
          <w:sz w:val="24"/>
        </w:rPr>
        <w:t xml:space="preserve">, to (i) any actual or prospective assignee of or participant in any of its rights or obligations under this Agreement and the other Transaction Documents (in each case, other than any Competitor) or (ii) any actual or prospective counterparty (or its advisors) to any swap or derivative transaction relating to any Loan Party or any of their respective obligations (in each case, other than any Competitor), (f) with the consent of the Borrower, (g) to the extent that such information becomes publicly available other than by reason of improper disclosure by such Person or any of its affiliates or any related parties thereto in violation of any confidentiality obligations owing to any Loan Party (including those set forth in this paragraph), (h) in coordination with any Loan Party, to rating agencies or (i) to any other party to this Agreement. For the purposes of this Section, “Information” shall mean all information received by the Administrative Agent or a Lender, as applicable, from or on behalf of any Loan Party and related to the Loan Parties or their respective business. Each of the Administrative Agent and the Lenders agrees to be fully responsible for any breach of this </w:t>
      </w:r>
      <w:r>
        <w:rPr>
          <w:rFonts w:ascii="Times New Roman;sans-serif" w:hAnsi="Times New Roman;sans-serif"/>
          <w:b w:val="false"/>
          <w:color w:val="000000"/>
          <w:sz w:val="24"/>
          <w:u w:val="single"/>
        </w:rPr>
        <w:t>Section 12.10(b)</w:t>
      </w:r>
      <w:r>
        <w:rPr>
          <w:color w:val="000000"/>
        </w:rPr>
        <w:t xml:space="preserve"> </w:t>
      </w:r>
      <w:r>
        <w:rPr>
          <w:rFonts w:ascii="Times New Roman;sans-serif" w:hAnsi="Times New Roman;sans-serif"/>
          <w:b w:val="false"/>
          <w:color w:val="000000"/>
          <w:sz w:val="24"/>
        </w:rPr>
        <w:t xml:space="preserve">by any officer, director, employee or agent, including accountants, legal counsel and other advisors, of it or its Affiliates that has not entered into a separate written confidentiality agreement with the Borrower in form and substance satisfactory to the Borrower and having substantially the same requirements as this </w:t>
      </w:r>
      <w:r>
        <w:rPr>
          <w:rFonts w:ascii="Times New Roman;sans-serif" w:hAnsi="Times New Roman;sans-serif"/>
          <w:b w:val="false"/>
          <w:color w:val="000000"/>
          <w:sz w:val="24"/>
          <w:u w:val="single"/>
        </w:rPr>
        <w:t>Section 12.10(b)</w:t>
      </w:r>
      <w:r>
        <w:rPr>
          <w:rFonts w:ascii="Times New Roman;sans-serif" w:hAnsi="Times New Roman;sans-serif"/>
          <w:b w:val="false"/>
          <w:color w:val="000000"/>
          <w:sz w:val="24"/>
        </w:rPr>
        <w:t xml:space="preserve">. For the avoidance of doubt, in no event shall any disclosure of such Information be made to any Competitor known to the Administrative Agent or the applicable Lender, as applicable. For the avoidance of doubt, nothing in this </w:t>
      </w:r>
      <w:r>
        <w:rPr>
          <w:rFonts w:ascii="Times New Roman;sans-serif" w:hAnsi="Times New Roman;sans-serif"/>
          <w:b w:val="false"/>
          <w:color w:val="000000"/>
          <w:sz w:val="24"/>
          <w:u w:val="single"/>
        </w:rPr>
        <w:t>Section 12.10</w:t>
      </w:r>
      <w:r>
        <w:rPr>
          <w:color w:val="000000"/>
        </w:rPr>
        <w:t xml:space="preserve"> </w:t>
      </w:r>
      <w:r>
        <w:rPr>
          <w:rFonts w:ascii="Times New Roman;sans-serif" w:hAnsi="Times New Roman;sans-serif"/>
          <w:b w:val="false"/>
          <w:color w:val="000000"/>
          <w:sz w:val="24"/>
        </w:rPr>
        <w:t>shall prohibit any Person from voluntarily disclosing or providing any Information within the scope of this confidentiality provision to any governmental, regulatory or self-regulatory organization (any such entity, a “</w:t>
      </w:r>
      <w:r>
        <w:rPr>
          <w:rFonts w:ascii="Times New Roman;sans-serif" w:hAnsi="Times New Roman;sans-serif"/>
          <w:b/>
          <w:color w:val="000000"/>
          <w:sz w:val="24"/>
        </w:rPr>
        <w:t>Regulatory Authority</w:t>
      </w:r>
      <w:r>
        <w:rPr>
          <w:color w:val="000000"/>
        </w:rPr>
        <w:t>”</w:t>
      </w:r>
      <w:r>
        <w:rPr>
          <w:rFonts w:ascii="Times New Roman;sans-serif" w:hAnsi="Times New Roman;sans-serif"/>
          <w:b w:val="false"/>
          <w:color w:val="000000"/>
          <w:sz w:val="24"/>
        </w:rPr>
        <w:t xml:space="preserve">) to the extent that any such prohibition on disclosure set forth in this </w:t>
      </w:r>
      <w:r>
        <w:rPr>
          <w:rFonts w:ascii="Times New Roman;sans-serif" w:hAnsi="Times New Roman;sans-serif"/>
          <w:b w:val="false"/>
          <w:color w:val="000000"/>
          <w:sz w:val="24"/>
          <w:u w:val="single"/>
        </w:rPr>
        <w:t>Section 12.10</w:t>
      </w:r>
      <w:r>
        <w:rPr>
          <w:color w:val="000000"/>
        </w:rPr>
        <w:t xml:space="preserve"> </w:t>
      </w:r>
      <w:r>
        <w:rPr>
          <w:rFonts w:ascii="Times New Roman;sans-serif" w:hAnsi="Times New Roman;sans-serif"/>
          <w:b w:val="false"/>
          <w:color w:val="000000"/>
          <w:sz w:val="24"/>
        </w:rPr>
        <w:t>shall be prohibited by the laws or regulations applicable to such Regulatory Authority.</w:t>
      </w:r>
    </w:p>
    <w:p>
      <w:pPr>
        <w:pStyle w:val="TextBody"/>
        <w:bidi w:val="0"/>
        <w:spacing w:lineRule="auto" w:line="288" w:before="0" w:after="240"/>
        <w:ind w:left="0" w:right="0" w:firstLine="720"/>
        <w:jc w:val="both"/>
        <w:rPr/>
      </w:pPr>
      <w:r>
        <w:rPr>
          <w:rFonts w:ascii="Times New Roman;sans-serif" w:hAnsi="Times New Roman;sans-serif"/>
          <w:b/>
          <w:color w:val="000000"/>
          <w:sz w:val="24"/>
        </w:rPr>
        <w:t>12.11    Cooperation</w:t>
      </w:r>
      <w:r>
        <w:rPr>
          <w:rFonts w:ascii="Times New Roman;sans-serif" w:hAnsi="Times New Roman;sans-serif"/>
          <w:b w:val="false"/>
          <w:color w:val="000000"/>
          <w:sz w:val="24"/>
        </w:rPr>
        <w:t xml:space="preserve">. In any litigation, arbitration or other dispute resolution proceeding relating to any Transaction Document, each Loan Party waives any and all defenses, objections and counterclaims (other than mandatory or compulsory counterclaims) it may have or could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855345"/>
                <wp:effectExtent l="0" t="0" r="0" b="0"/>
                <wp:wrapNone/>
                <wp:docPr id="185" name="Frame18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interpose with respect to (i) any of its directors, officers, employees or agents being deemed to be employees or managing agents of such Loan Party for purposes of all Applicable Law regarding the production of witnesses by notice for testimony (whether in a deposition, at trial or otherwise) and (ii) using all commercially reasonable efforts to produce in any such dispute resolution proceeding, at the time and in the manner requested by Administrative Agent or such other Lender, all Persons, documents (whether in tangible, electronic or other form) and other things under its control and relating to the dispute.</w:t>
      </w:r>
    </w:p>
    <w:p>
      <w:pPr>
        <w:pStyle w:val="TextBody"/>
        <w:bidi w:val="0"/>
        <w:spacing w:lineRule="auto" w:line="288" w:before="0" w:after="240"/>
        <w:ind w:left="0" w:right="0" w:firstLine="720"/>
        <w:jc w:val="both"/>
        <w:rPr/>
      </w:pPr>
      <w:r>
        <w:rPr>
          <w:rFonts w:ascii="Times New Roman;sans-serif" w:hAnsi="Times New Roman;sans-serif"/>
          <w:b/>
          <w:color w:val="000000"/>
          <w:sz w:val="24"/>
        </w:rPr>
        <w:t>12.12    [Reserved]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color w:val="000000"/>
          <w:sz w:val="24"/>
        </w:rPr>
        <w:t>12.13    Recognition of U.S. Special Resolution Regimes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To the extent that the Transaction Documents provide support, through a guarantee or otherwise, for any Swap Contract or any other agreement or instrument that is a QFC (such support, “</w:t>
      </w:r>
      <w:r>
        <w:rPr>
          <w:rFonts w:ascii="Times New Roman;sans-serif" w:hAnsi="Times New Roman;sans-serif"/>
          <w:b/>
          <w:color w:val="000000"/>
          <w:sz w:val="24"/>
        </w:rPr>
        <w:t>QFC Credit Support</w:t>
      </w:r>
      <w:r>
        <w:rPr>
          <w:color w:val="000000"/>
        </w:rPr>
        <w:t>”</w:t>
      </w:r>
      <w:r>
        <w:rPr>
          <w:rFonts w:ascii="Times New Roman;sans-serif" w:hAnsi="Times New Roman;sans-serif"/>
          <w:b w:val="false"/>
          <w:color w:val="000000"/>
          <w:sz w:val="24"/>
        </w:rPr>
        <w:t>, and each such QFC, a “</w:t>
      </w:r>
      <w:r>
        <w:rPr>
          <w:rFonts w:ascii="Times New Roman;sans-serif" w:hAnsi="Times New Roman;sans-serif"/>
          <w:b/>
          <w:color w:val="000000"/>
          <w:sz w:val="24"/>
        </w:rPr>
        <w:t>Supported QFC</w:t>
      </w:r>
      <w:r>
        <w:rPr>
          <w:color w:val="000000"/>
        </w:rPr>
        <w:t>”</w:t>
      </w:r>
      <w:r>
        <w:rPr>
          <w:rFonts w:ascii="Times New Roman;sans-serif" w:hAnsi="Times New Roman;sans-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color w:val="000000"/>
          <w:sz w:val="24"/>
        </w:rPr>
        <w:t>U.S. Special Resolution Regimes</w:t>
      </w:r>
      <w:r>
        <w:rPr>
          <w:color w:val="000000"/>
        </w:rPr>
        <w:t>”</w:t>
      </w:r>
      <w:r>
        <w:rPr>
          <w:rFonts w:ascii="Times New Roman;sans-serif" w:hAnsi="Times New Roman;sans-serif"/>
          <w:b w:val="false"/>
          <w:color w:val="000000"/>
          <w:sz w:val="24"/>
        </w:rPr>
        <w:t>)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sans-serif" w:hAnsi="Times New Roman;sans-serif"/>
          <w:b/>
          <w:color w:val="000000"/>
          <w:sz w:val="24"/>
        </w:rPr>
        <w:t>Covered Party</w:t>
      </w:r>
      <w:r>
        <w:rPr>
          <w:color w:val="000000"/>
        </w:rPr>
        <w:t>”</w:t>
      </w:r>
      <w:r>
        <w:rPr>
          <w:rFonts w:ascii="Times New Roman;sans-serif" w:hAnsi="Times New Roman;sans-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For purposes of this </w:t>
      </w:r>
      <w:r>
        <w:rPr>
          <w:rFonts w:ascii="Times New Roman;sans-serif" w:hAnsi="Times New Roman;sans-serif"/>
          <w:b w:val="false"/>
          <w:color w:val="000000"/>
          <w:sz w:val="24"/>
          <w:u w:val="single"/>
        </w:rPr>
        <w:t>Section 12.13</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BHC Act Affiliate</w:t>
      </w:r>
      <w:r>
        <w:rPr>
          <w:color w:val="000000"/>
        </w:rPr>
        <w:t xml:space="preserve">” </w:t>
      </w:r>
      <w:r>
        <w:rPr>
          <w:rFonts w:ascii="Times New Roman;sans-serif" w:hAnsi="Times New Roman;sans-serif"/>
          <w:b w:val="false"/>
          <w:color w:val="000000"/>
          <w:sz w:val="24"/>
        </w:rPr>
        <w:t xml:space="preserve">has the meaning assigned to the term “affiliate” in, and shall be interpreted in accordance with, 12 U.S.C. § 1841(k).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855345"/>
                <wp:effectExtent l="0" t="0" r="0" b="0"/>
                <wp:wrapNone/>
                <wp:docPr id="186" name="Frame18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 Right</w:t>
      </w:r>
      <w:r>
        <w:rPr>
          <w:color w:val="000000"/>
        </w:rPr>
        <w:t xml:space="preserve">” </w:t>
      </w:r>
      <w:r>
        <w:rPr>
          <w:rFonts w:ascii="Times New Roman;sans-serif" w:hAnsi="Times New Roman;sans-serif"/>
          <w:b w:val="false"/>
          <w:color w:val="000000"/>
          <w:sz w:val="24"/>
        </w:rPr>
        <w:t xml:space="preserve">has the meaning assigned to that term in, and shall be interpreted in accordance with, 12 C.F.R. §§ 252.81, 47.2 or 382.1, as applicable. </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12.14    Acknowledgement and Consent to Bail-In of Affected Financial Institutions</w: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 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(b)    the effects of any Bail-In Action on any such liability, including, if applicable:</w:t>
      </w:r>
    </w:p>
    <w:p>
      <w:pPr>
        <w:pStyle w:val="TextBody"/>
        <w:bidi w:val="0"/>
        <w:spacing w:lineRule="atLeast" w:line="240"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    a reduction in full or in part or cancellation of any such liability;</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 </w:t>
      </w:r>
    </w:p>
    <w:p>
      <w:pPr>
        <w:pStyle w:val="TextBody"/>
        <w:bidi w:val="0"/>
        <w:spacing w:lineRule="auto" w:line="288" w:before="24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(iii)    the variation of the terms of such liability in connection with the exercise of the write-down and conversion powers of the applicable Resolution Authority.</w:t>
      </w:r>
    </w:p>
    <w:p>
      <w:pPr>
        <w:pStyle w:val="TextBody"/>
        <w:bidi w:val="0"/>
        <w:spacing w:lineRule="auto" w:line="288" w:before="240" w:after="240"/>
        <w:jc w:val="both"/>
        <w:rPr/>
      </w:pPr>
      <w:r>
        <w:rPr>
          <w:rFonts w:ascii="Times New Roman;sans-serif" w:hAnsi="Times New Roman;sans-serif"/>
          <w:b w:val="false"/>
          <w:color w:val="000000"/>
          <w:sz w:val="24"/>
        </w:rPr>
        <w:t xml:space="preserve">For purposes of this </w:t>
      </w:r>
      <w:r>
        <w:rPr>
          <w:rFonts w:ascii="Times New Roman;sans-serif" w:hAnsi="Times New Roman;sans-serif"/>
          <w:b w:val="false"/>
          <w:color w:val="000000"/>
          <w:sz w:val="24"/>
          <w:u w:val="single"/>
        </w:rPr>
        <w:t>Section 12.14</w:t>
      </w:r>
      <w:r>
        <w:rPr>
          <w:rFonts w:ascii="Times New Roman;sans-serif" w:hAnsi="Times New Roman;sans-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ans-serif" w:hAnsi="Times New Roman;sans-serif"/>
          <w:b/>
          <w:color w:val="000000"/>
          <w:sz w:val="24"/>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lineRule="auto" w:line="288" w:before="0" w:after="120"/>
        <w:ind w:left="0" w:right="0" w:firstLine="720"/>
        <w:jc w:val="both"/>
        <w:rPr/>
      </w:pPr>
      <w:r>
        <w:rPr>
          <w:color w:val="000000"/>
        </w:rPr>
        <w:t>“</w:t>
      </w:r>
      <w:r>
        <w:rPr>
          <w:rFonts w:ascii="Times New Roman;sans-serif" w:hAnsi="Times New Roman;sans-serif"/>
          <w:b/>
          <w:color w:val="000000"/>
          <w:sz w:val="24"/>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88" w:before="0" w:after="120"/>
        <w:ind w:left="0" w:right="0" w:firstLine="720"/>
        <w:jc w:val="both"/>
        <w:rPr/>
      </w:pPr>
      <w:r>
        <w:rPr>
          <w:color w:val="000000"/>
        </w:rPr>
        <w:t>“</w:t>
      </w:r>
      <w:r>
        <w:rPr>
          <w:rFonts w:ascii="Times New Roman;sans-serif" w:hAnsi="Times New Roman;sans-serif"/>
          <w:b/>
          <w:color w:val="000000"/>
          <w:sz w:val="24"/>
        </w:rPr>
        <w:t>Bail-In Legislation</w:t>
      </w:r>
      <w:r>
        <w:rPr>
          <w:color w:val="000000"/>
        </w:rPr>
        <w:t xml:space="preserve">” </w:t>
      </w:r>
      <w:r>
        <w:rPr>
          <w:rFonts w:ascii="Times New Roman;sans-serif" w:hAnsi="Times New Roman;sans-serif"/>
          <w:b w:val="false"/>
          <w:color w:val="000000"/>
          <w:sz w:val="24"/>
        </w:rPr>
        <w:t xml:space="preserve">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855345"/>
                <wp:effectExtent l="0" t="0" r="0" b="0"/>
                <wp:wrapNone/>
                <wp:docPr id="187" name="Frame18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4"/>
        </w:rPr>
        <w:t>EEA Financial Institution</w:t>
      </w:r>
      <w:r>
        <w:rPr>
          <w:color w:val="000000"/>
        </w:rPr>
        <w:t xml:space="preserve">” </w:t>
      </w:r>
      <w:r>
        <w:rPr>
          <w:rFonts w:ascii="Times New Roman;sans-serif" w:hAnsi="Times New Roman;sans-serif"/>
          <w:b w:val="false"/>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4"/>
        </w:rPr>
        <w:t>EEA Member Country</w:t>
      </w:r>
      <w:r>
        <w:rPr>
          <w:color w:val="000000"/>
        </w:rPr>
        <w:t xml:space="preserve">” </w:t>
      </w:r>
      <w:r>
        <w:rPr>
          <w:rFonts w:ascii="Times New Roman;sans-serif" w:hAnsi="Times New Roman;sans-serif"/>
          <w:b w:val="false"/>
          <w:color w:val="000000"/>
          <w:sz w:val="24"/>
        </w:rPr>
        <w:t>means any member state of the European Union, Iceland, Liechtenstein, and Norway.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4"/>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4"/>
        </w:rPr>
        <w:t>EU Bail-In Legislation Schedule</w:t>
      </w:r>
      <w:r>
        <w:rPr>
          <w:color w:val="000000"/>
        </w:rPr>
        <w:t xml:space="preserve">” </w:t>
      </w:r>
      <w:r>
        <w:rPr>
          <w:rFonts w:ascii="Times New Roman;sans-serif" w:hAnsi="Times New Roman;sans-serif"/>
          <w:b w:val="false"/>
          <w:color w:val="000000"/>
          <w:sz w:val="24"/>
        </w:rPr>
        <w:t xml:space="preserve">means the document described as such and published by the Loan Market Association (or any successor person), as in effect from time to time. </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4"/>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4"/>
        </w:rPr>
        <w:t>UK Financial Institution</w:t>
      </w:r>
      <w:r>
        <w:rPr>
          <w:color w:val="000000"/>
        </w:rPr>
        <w:t xml:space="preserve">” </w:t>
      </w:r>
      <w:r>
        <w:rPr>
          <w:rFonts w:ascii="Times New Roman;sans-serif" w:hAnsi="Times New Roman;sans-serif"/>
          <w:b w:val="false"/>
          <w:color w:val="000000"/>
          <w:sz w:val="24"/>
        </w:rPr>
        <w:t>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240" w:after="240"/>
        <w:ind w:left="0" w:right="0" w:firstLine="720"/>
        <w:jc w:val="both"/>
        <w:rPr/>
      </w:pPr>
      <w:r>
        <w:rPr>
          <w:color w:val="000000"/>
        </w:rPr>
        <w:t>“</w:t>
      </w:r>
      <w:r>
        <w:rPr>
          <w:rFonts w:ascii="Times New Roman;sans-serif" w:hAnsi="Times New Roman;sans-serif"/>
          <w:b/>
          <w:color w:val="000000"/>
          <w:sz w:val="24"/>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color w:val="000000"/>
          <w:sz w:val="24"/>
        </w:rPr>
        <w:t>Write-Down and Conversion Powers</w:t>
      </w:r>
      <w:r>
        <w:rPr>
          <w:color w:val="000000"/>
        </w:rPr>
        <w:t xml:space="preserve">” </w:t>
      </w:r>
      <w:r>
        <w:rPr>
          <w:rFonts w:ascii="Times New Roman;sans-serif" w:hAnsi="Times New Roman;sans-serif"/>
          <w:b w:val="false"/>
          <w:color w:val="000000"/>
          <w:sz w:val="24"/>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855345"/>
                <wp:effectExtent l="0" t="0" r="0" b="0"/>
                <wp:wrapNone/>
                <wp:docPr id="188" name="Frame18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12.15    Original Issue Discount Legend.</w:t>
      </w:r>
    </w:p>
    <w:p>
      <w:pPr>
        <w:pStyle w:val="TextBody"/>
        <w:bidi w:val="0"/>
        <w:spacing w:lineRule="auto" w:line="288" w:before="0" w:after="240"/>
        <w:jc w:val="both"/>
        <w:rPr>
          <w:rFonts w:ascii="Times New Roman;sans-serif" w:hAnsi="Times New Roman;sans-serif"/>
          <w:b w:val="false"/>
          <w:color w:val="000000"/>
          <w:sz w:val="24"/>
          <w:shd w:fill="FFFFFF" w:val="clear"/>
        </w:rPr>
      </w:pPr>
      <w:r>
        <w:rPr>
          <w:rFonts w:ascii="Times New Roman;sans-serif" w:hAnsi="Times New Roman;sans-serif"/>
          <w:b w:val="false"/>
          <w:color w:val="000000"/>
          <w:sz w:val="24"/>
          <w:shd w:fill="FFFFFF" w:val="clear"/>
        </w:rPr>
        <w:t>THE TERM LOANS HAVE BEEN ISSUED WITH ORIGINAL ISSUE DISCOUNT FOR UNITED STATES FEDERAL INCOME TAX PURPOSES. THE AMOUNT OF ISSUE PRICE, ORIGINAL ISSUE DISCOUNT, YIELD TO MATURITY AND ISSUE DATE OF THE TERM LOANS MAY BE OBTAINED BY WRITING TO THE BORROWER AT ITS ADDRESS AS SPECIFIED IN THIS AGREEMENT.</w: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XIII.    AGENT PROVISIONS; SETTLEMENT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13.1    Administrative Agent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color w:val="000000"/>
          <w:sz w:val="24"/>
        </w:rPr>
        <w:t>Appointment.</w:t>
      </w:r>
      <w:r>
        <w:rPr>
          <w:color w:val="000000"/>
        </w:rPr>
        <w:t xml:space="preserve"> </w:t>
      </w:r>
      <w:r>
        <w:rPr>
          <w:rFonts w:ascii="Times New Roman;sans-serif" w:hAnsi="Times New Roman;sans-serif"/>
          <w:b w:val="false"/>
          <w:color w:val="000000"/>
          <w:sz w:val="24"/>
        </w:rPr>
        <w:t xml:space="preserve">Each Lender hereby designates and appoints Wilmington as the Administrative Agent under this Agreement and the other Transaction Documents, and each Lender hereby irrevocably authorizes Wilmington, as Administrative Agent for such Lender, to take such action or to refrain from taking such action on its behalf under the provisions of this Agreement and the other Transaction Documents and to exercise such powers and perform such duties as are delegated to Administrative Agent by the terms of this Agreement and the other Transaction Documents, together with such other powers as are reasonably incidental thereto. Administrative Agent agrees to act as such on the conditions contained in this </w:t>
      </w:r>
      <w:r>
        <w:rPr>
          <w:rFonts w:ascii="Times New Roman;sans-serif" w:hAnsi="Times New Roman;sans-serif"/>
          <w:b w:val="false"/>
          <w:color w:val="000000"/>
          <w:sz w:val="24"/>
          <w:u w:val="single"/>
        </w:rPr>
        <w:t>Article XIII</w:t>
      </w:r>
      <w:r>
        <w:rPr>
          <w:rFonts w:ascii="Times New Roman;sans-serif" w:hAnsi="Times New Roman;sans-serif"/>
          <w:b w:val="false"/>
          <w:color w:val="000000"/>
          <w:sz w:val="24"/>
        </w:rPr>
        <w:t xml:space="preserve">. The provisions of this </w:t>
      </w:r>
      <w:r>
        <w:rPr>
          <w:rFonts w:ascii="Times New Roman;sans-serif" w:hAnsi="Times New Roman;sans-serif"/>
          <w:b w:val="false"/>
          <w:color w:val="000000"/>
          <w:sz w:val="24"/>
          <w:u w:val="single"/>
        </w:rPr>
        <w:t>Article XIII</w:t>
      </w:r>
      <w:r>
        <w:rPr>
          <w:color w:val="000000"/>
        </w:rPr>
        <w:t xml:space="preserve"> </w:t>
      </w:r>
      <w:r>
        <w:rPr>
          <w:rFonts w:ascii="Times New Roman;sans-serif" w:hAnsi="Times New Roman;sans-serif"/>
          <w:b w:val="false"/>
          <w:color w:val="000000"/>
          <w:sz w:val="24"/>
        </w:rPr>
        <w:t xml:space="preserve">are solely for the benefit of Administrative Agent and Lenders, and no Loan Party shall have rights as third-party beneficiaries of any of the provisions of this </w:t>
      </w:r>
      <w:r>
        <w:rPr>
          <w:rFonts w:ascii="Times New Roman;sans-serif" w:hAnsi="Times New Roman;sans-serif"/>
          <w:b w:val="false"/>
          <w:color w:val="000000"/>
          <w:sz w:val="24"/>
          <w:u w:val="single"/>
        </w:rPr>
        <w:t>Article XIII</w:t>
      </w:r>
      <w:r>
        <w:rPr>
          <w:rFonts w:ascii="Times New Roman;sans-serif" w:hAnsi="Times New Roman;sans-serif"/>
          <w:b w:val="false"/>
          <w:color w:val="000000"/>
          <w:sz w:val="24"/>
        </w:rPr>
        <w:t>. Regardless of whether a Default has occurred and is continuing and without limiting the generality of the foregoing sentence, the use of the term “agent” herein and in the other Transaction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lineRule="auto" w:line="288"/>
        <w:ind w:left="0" w:right="0" w:firstLine="720"/>
        <w:jc w:val="both"/>
        <w:rPr/>
      </w:pPr>
      <w:r>
        <w:rPr>
          <w:rFonts w:ascii="Times New Roman;sans-serif" w:hAnsi="Times New Roman;sans-serif"/>
          <w:b w:val="false"/>
          <w:color w:val="000000"/>
          <w:sz w:val="24"/>
        </w:rPr>
        <w:t xml:space="preserve">The Administrative Agent shall also act as the “collateral agent” under the Transaction Documents, and each of the Lenders hereby irrevocably appoints and authorizes the Administrative Agent to act as the collateral agent of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and any co-agents, sub-agents and attorneys-in-fact appointed by the Administrative Agent pursuant to </w:t>
      </w:r>
      <w:r>
        <w:rPr>
          <w:rFonts w:ascii="Times New Roman;sans-serif" w:hAnsi="Times New Roman;sans-serif"/>
          <w:b w:val="false"/>
          <w:color w:val="000000"/>
          <w:sz w:val="24"/>
          <w:u w:val="single"/>
        </w:rPr>
        <w:t xml:space="preserve">Section 13.1(k) </w:t>
      </w:r>
      <w:r>
        <w:rPr>
          <w:rFonts w:ascii="Times New Roman;sans-serif" w:hAnsi="Times New Roman;sans-serif"/>
          <w:b w:val="false"/>
          <w:color w:val="000000"/>
          <w:sz w:val="24"/>
        </w:rPr>
        <w:t xml:space="preserve">for purposes of holding or enforcing any Lien on the Collateral (or any portion thereof) granted under the Transaction Documents, or for exercising any rights and remedies thereunder at the direction of the Administrative Agent, shall be entitled to the benefits of all provisions of this </w:t>
      </w:r>
      <w:r>
        <w:rPr>
          <w:rFonts w:ascii="Times New Roman;sans-serif" w:hAnsi="Times New Roman;sans-serif"/>
          <w:b w:val="false"/>
          <w:color w:val="000000"/>
          <w:sz w:val="24"/>
          <w:u w:val="single"/>
        </w:rPr>
        <w:t>Article XIII</w:t>
      </w:r>
      <w:r>
        <w:rPr>
          <w:rFonts w:ascii="Times New Roman;sans-serif" w:hAnsi="Times New Roman;sans-serif"/>
          <w:b w:val="false"/>
          <w:color w:val="000000"/>
          <w:sz w:val="24"/>
        </w:rPr>
        <w:t xml:space="preserve">, as though such co-agents, sub-agents and attorneys-in-fact were the “collateral agent” under the Transaction Documents as if set forth in full herein with respect thereto,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855345"/>
                <wp:effectExtent l="0" t="0" r="0" b="0"/>
                <wp:wrapNone/>
                <wp:docPr id="189" name="Frame18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 xml:space="preserve">references to Administrative Agent in this </w:t>
      </w:r>
      <w:r>
        <w:rPr>
          <w:rFonts w:ascii="Times New Roman;sans-serif" w:hAnsi="Times New Roman;sans-serif"/>
          <w:b w:val="false"/>
          <w:color w:val="000000"/>
          <w:sz w:val="24"/>
          <w:u w:val="single"/>
        </w:rPr>
        <w:t>Article XIII</w:t>
      </w:r>
      <w:r>
        <w:rPr>
          <w:color w:val="000000"/>
        </w:rPr>
        <w:t xml:space="preserve"> </w:t>
      </w:r>
      <w:r>
        <w:rPr>
          <w:rFonts w:ascii="Times New Roman;sans-serif" w:hAnsi="Times New Roman;sans-serif"/>
          <w:b w:val="false"/>
          <w:color w:val="000000"/>
          <w:sz w:val="24"/>
        </w:rPr>
        <w:t xml:space="preserve">shall, where applicable, be read as including a reference to the Administrative Agent acting as collateral agent.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Administrative Agent to the Administrative Agent under this Agreement and will have and succeed to the rights, powers, duties, immunities and privileges as its predecessor, without the execution or filing of any instrument or paper or the performance of any further act.</w:t>
      </w:r>
    </w:p>
    <w:p>
      <w:pPr>
        <w:pStyle w:val="TextBody"/>
        <w:bidi w:val="0"/>
        <w:spacing w:before="0" w:after="0"/>
        <w:jc w:val="left"/>
        <w:rPr/>
      </w:pPr>
      <w:r>
        <w:rPr/>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color w:val="000000"/>
          <w:sz w:val="24"/>
        </w:rPr>
        <w:t>Nature of Duties</w:t>
      </w:r>
      <w:r>
        <w:rPr>
          <w:rFonts w:ascii="Times New Roman;sans-serif" w:hAnsi="Times New Roman;sans-serif"/>
          <w:b w:val="false"/>
          <w:color w:val="000000"/>
          <w:sz w:val="24"/>
        </w:rPr>
        <w:t xml:space="preserve">. In performing its functions and duties under this Agreement, Administrative Agent is acting solely on behalf of Lenders, and its duties are administrative in nature, and does not assume and shall not be deemed to have assumed, any obligation toward or relationship of agency or trust with or for Lenders or any Loan Party. Administrative Agent shall have no duties, obligations or responsibilities except those expressly set forth in this Agreement or in the other Transaction Documents. Administrative Agent shall not have by reason of this Agreement or any other Transaction Document a fiduciary relationship in respect of any Lender.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Lender acknowledges that the Administrative Agent has not made any representation or warranty to it, and that no act by the Administrative Agent hereafter taken, including any consent to and acceptance of any assignment or review of the affairs of any Loan Party or any Affiliate thereof, shall be deemed to constitute any representation or warranty by the Administrative Agent to any Lender as to any matter, including whether the Administrative Agent has disclosed material information in their possession. Each Lender represents to the Administrative Agent that it has, independently and without reliance upon the Administrative Agent and based on such documents and information as it has deemed appropriate, made its own appraisal of and investigation into the business, prospects, operations, property, financial and other condition and creditworthiness of the Loan Parties, and made its own decision to enter into this Agreement and to extend credit to the Borrower and the other Loan Parties hereunder. Each Lender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the other Transaction Documents, and to make such investigations as it deems necessary to inform itself as to the business, prospects, operations, property, financial and other condition and creditworthiness of the Borrower and the other Loan Parties.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color w:val="000000"/>
          <w:sz w:val="24"/>
        </w:rPr>
        <w:t>Rights, Exculpation, Etc</w:t>
      </w:r>
      <w:r>
        <w:rPr>
          <w:rFonts w:ascii="Times New Roman;sans-serif" w:hAnsi="Times New Roman;sans-serif"/>
          <w:b w:val="false"/>
          <w:color w:val="000000"/>
          <w:sz w:val="24"/>
        </w:rPr>
        <w:t xml:space="preserve">. Neither Administrative Agent nor any of its officers, directors, managers, members, equity owners, employees, attorneys or agents shall be liable for any action taken or omitted by them hereunder or under any of the other Transaction Documents, or in connection herewith or therewith;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foregoing shall not prevent Administrative Agent from being liable to the extent of its own gross negligence or willful misconduct as determined by a court of competent jurisdiction on a final and nonappealable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855345"/>
                <wp:effectExtent l="0" t="0" r="0" b="0"/>
                <wp:wrapNone/>
                <wp:docPr id="190" name="Frame19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basis. Administrative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the other Lenders any payment in excess of the amount to which they are determined to be entitled (and such other Lenders hereby agree promptly to return to such Lender any such erroneous payments received by them). Administrative Agent shall not be responsible for, or have any duty to ascertain or inquire into, (i) any recitals, statements, representations or warranties made by any Loan Party herein, (ii) the execution, effectiveness, genuineness, validity, enforceability, collectability or sufficiency of this Agreement or any of the other Transaction Documents or the transactions contemplated thereby, or for the financial condition of any Loan Party, (iii) the performance or observance of any of the terms, provisions, or conditions of this Agreement or any of the Transaction Documents, (iv) the financial condition of any Loan Party, (v) the existence or possible existence of any Default or Event of Default, (vi) the creation, validity, priority or perfection of any Lien securing or purporting to secure the Obligations or the existence, value or sufficiency of any of the Collateral or (vii) the satisfaction of any condition set forth in Article IV or elsewhere herein or in any other Transaction Document, other than to confirm receipt of items expressly required to be delivered to the Administrative Agent. The Administrative Agent shall be fully justified in failing or refusing to take any action under any Transaction Document unless it shall first receive such advice or concurrence of the Requisite Lenders (or such other number of Lenders as may be expressly required hereby)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Transaction Document in accordance with a request or consent of the Requisite Lenders (or such greater number of Lenders as may be expressly required hereby in any instance) and such request and any action taken or failure to act pursuant thereto shall be binding upon all the Lenders. Without limiting the foregoing, no Lender or Loan Party shall have any right of action whatsoever against Administrative Agent as a result of Administrative Agent acting or refraining from acting under this Agreement or any of the other Transaction Documents in accordance with the instructions of the applicable percentage of Lenders and, notwithstanding the instructions of Lenders, Administrative Agent shall have no obligation to take any action if it, in the opinion of the Administrative Agent or its counsel, is contrary to any Transaction Document, or applicable Law, or if it believes that such action exposes Administrative Agent or any of its officers, directors, managers, members, equity owners, employees, attorneys or agents to any personal liability unless Administrative Agent receives an indemnification satisfactory to it from Lenders with respect to such action.</w:t>
      </w:r>
    </w:p>
    <w:p>
      <w:pPr>
        <w:pStyle w:val="TextBody"/>
        <w:bidi w:val="0"/>
        <w:spacing w:lineRule="auto" w:line="288"/>
        <w:ind w:left="0" w:right="0" w:firstLine="720"/>
        <w:jc w:val="both"/>
        <w:rPr/>
      </w:pPr>
      <w:r>
        <w:rPr>
          <w:rFonts w:ascii="Times New Roman;sans-serif" w:hAnsi="Times New Roman;sans-serif"/>
          <w:b w:val="false"/>
          <w:color w:val="000000"/>
          <w:sz w:val="24"/>
        </w:rPr>
        <w:t xml:space="preserve">The Administrative Agent shall not have any duty to take any discretionary action or exercise any discretionary powers, except discretionary rights and powers expressly contemplated hereby or by the other Transaction Documents that the Administrative Agent is required to exercise as directed in writing by the Requisite Lenders (or such other number or percentage of the Lenders as shall be expressly provided for herein or in the other Transaction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shall not be required to take any action that, in its opinion or the opinion of its counsel, may expose the Administrative Agent to liability or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855345"/>
                <wp:effectExtent l="0" t="0" r="0" b="0"/>
                <wp:wrapNone/>
                <wp:docPr id="191" name="Frame19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that is contrary to any Transaction Document or applicable law, including for the avoidance of doubt any action that may be in violation of the automatic stay under any Debtor Relief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Administrative Agent shall not be liable for any failure or delay in the performance of its obligations under this Agreement or any related documents because of circumstances beyond the Administrative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Administrative Agent’s control whether or not of the same class or kind as specified above.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Administrative Agent shall not be obligated to calculate or confirm the calculations of any financial covenants set forth herein or the other Transaction Documents or in any of the financial statements of the Loan Parties.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Nothing in this Agreement or any other Transaction Document shall require the Administrative Agent to expend or risk its own funds or otherwise incur any financial liability in the performance of any of its duties or in the exercise of any of its rights or powers under the Transaction Documents.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have no obligation for (a) perfecting, maintaining, monitoring, preserving or protecting the security interest or Lien granted under this Agreement, any other Transaction Document, or any agreement or instrument contemplated hereby or thereby; (b) the filing, re-filing, recording, re-recording, or continuing of any document, financing statement, mortgage, assignment, notice, instrument of further assurance, or other instrument in any public office at any time or times; or (c) providing, maintaining, monitoring, or preserving insurance on or the payment of taxes with respect to any Collateral.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Administrative Agent shall not be responsible or have any liability for, or have any duty to ascertain, inquire into, monitor or enforce, compliance with the provisions hereof relating to Competitors. Without limiting the generality of the foregoing, Administrative Agent shall not (x) be obligated to ascertain, monitor or inquire as to whether any Lender or Participant or prospective Lender or Participant is a Competitor or (y) have any liability with respect to or arising out of any assignment or participation of Term Loans or Commitments, or disclosure of confidential information, to any Competitors.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855345"/>
                <wp:effectExtent l="0" t="0" r="0" b="0"/>
                <wp:wrapNone/>
                <wp:docPr id="192" name="Frame19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not be deemed to have knowledge or notice of the occurrence of any Default and/or Event of Default, unless the Administrative Agent shall have received written notice from a Lender or the Borrower referring to this Agreement, describing such Default or Event of Default and stating that such notice is a “notice of default.”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shall not be required to provide any direction or instruction under any Account Control Agreement or securities account control agreement to which it is a party, unless the Administrative Agent has received a direction from the Requisite Lenders directing it to provide such direction or instruction.</w:t>
      </w:r>
    </w:p>
    <w:p>
      <w:pPr>
        <w:pStyle w:val="TextBody"/>
        <w:bidi w:val="0"/>
        <w:spacing w:before="0" w:after="0"/>
        <w:jc w:val="left"/>
        <w:rPr/>
      </w:pPr>
      <w:r>
        <w:rPr/>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color w:val="000000"/>
          <w:sz w:val="24"/>
        </w:rPr>
        <w:t>Reliance</w:t>
      </w:r>
      <w:r>
        <w:rPr>
          <w:rFonts w:ascii="Times New Roman;sans-serif" w:hAnsi="Times New Roman;sans-serif"/>
          <w:b w:val="false"/>
          <w:color w:val="000000"/>
          <w:sz w:val="24"/>
        </w:rPr>
        <w:t>. Administrative Agent shall be entitled to rely, and shall be fully protected in relying, upon any written notices, statements, certificates, orders or other documents or any telephone message or other communication (including any writing, telex, telecopy or telegram) believed by it in good faith to be genuine and correct and to have been signed, sent or made by the proper Person, and with respect to all matters pertaining to this Agreement or any of the other Transaction Documents. The Administrative Agent may consult with legal counsel (including counsel to any Loan Party), independent accountants and other experts selected by the Administrative Agent and shall not be liable for any action taken or not taken by it in accordance with the advice of any such counsel, accountants or experts.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(e)    </w:t>
      </w:r>
      <w:r>
        <w:rPr>
          <w:rFonts w:ascii="Times New Roman;sans-serif" w:hAnsi="Times New Roman;sans-serif"/>
          <w:b/>
          <w:color w:val="000000"/>
          <w:sz w:val="24"/>
        </w:rPr>
        <w:t>Indemnification</w:t>
      </w:r>
      <w:r>
        <w:rPr>
          <w:rFonts w:ascii="Times New Roman;sans-serif" w:hAnsi="Times New Roman;sans-serif"/>
          <w:b w:val="false"/>
          <w:color w:val="000000"/>
          <w:sz w:val="24"/>
        </w:rPr>
        <w:t xml:space="preserve">. Each Lender, severally and not (i) jointly, or (ii) jointly and severally, agrees to reimburse and indemnify and hold harmless Administrative Agent and its Agent Related Parties (to the extent not reimbursed by the Loan Parties), ratably according to their respective Ratable Shares (as defined below) in effect on the date on which indemnification is sought under this </w:t>
      </w:r>
      <w:r>
        <w:rPr>
          <w:rFonts w:ascii="Times New Roman;sans-serif" w:hAnsi="Times New Roman;sans-serif"/>
          <w:b w:val="false"/>
          <w:color w:val="000000"/>
          <w:sz w:val="24"/>
          <w:u w:val="single"/>
        </w:rPr>
        <w:t>clause (e)</w:t>
      </w:r>
      <w:r>
        <w:rPr>
          <w:color w:val="000000"/>
        </w:rPr>
        <w:t xml:space="preserve"> </w:t>
      </w:r>
      <w:r>
        <w:rPr>
          <w:rFonts w:ascii="Times New Roman;sans-serif" w:hAnsi="Times New Roman;sans-serif"/>
          <w:b w:val="false"/>
          <w:color w:val="000000"/>
          <w:sz w:val="24"/>
        </w:rPr>
        <w:t xml:space="preserve">(or, if indemnification is sought after the date upon which the Term Loans shall have been paid in full and the Commitments have been terminated, ratably in accordance with their Ratable Shares immediately prior to such date), from and against any and all liabilities, obligations, losses, damages, penalties, actions, judgments, suits, costs, expenses, advances, or disbursements of any kind or nature whatsoever which may be imposed on, incurred by, or asserted against Administrative Agent or any of its officers, directors, managers, members, equity owners, employees, attorneys or agents in any way relating to or arising out of this Agreement or any of the other Transaction Documents or any action taken or omitted by Administrative Agent under this Agreement or any of the other Transaction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Lender shall be liable for the payment of any portion of such liabilities, obligations, losses, damages, penalties, actions, judgments, suits, costs, expenses, advances or disbursements to the extent resulting from Administrative Agent’s gross negligence or willful misconduct as determined by a court of competent jurisdiction on a final and non-appealable basis,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action taken in furtherance of the directions of the Requisite Lenders (or such other number or percentage of the Lenders as shall be required by the Transaction Documents) shall be deemed to constitute gross negligence or willful misconduct. Without limitation of the foregoing, each Lender shall reimburse the Administrative Agent and its Agent Related Parties upon demand for its Ratable Share on the date on which reimbursement is sought (or, if reimbursement is sought after the date upon which the Commitments shall have terminated and the Term Loans shall have been paid in full, ratably in accordance with their respective Ratable Shares in effect immediately prior to such date) of any documented out-of-</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855345"/>
                <wp:effectExtent l="0" t="0" r="0" b="0"/>
                <wp:wrapNone/>
                <wp:docPr id="193" name="Frame19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pocket costs or expenses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Transaction Document, or any document contemplated by or referred to herein. The obligations of the Lenders hereunder shall not diminish the obligations of the Borrower to indemnify and reimburse the Administrative Agent for such amounts. For purposes hereof, a Lender’s “</w:t>
      </w:r>
      <w:r>
        <w:rPr>
          <w:rFonts w:ascii="Times New Roman;sans-serif" w:hAnsi="Times New Roman;sans-serif"/>
          <w:b w:val="false"/>
          <w:color w:val="000000"/>
          <w:sz w:val="24"/>
          <w:u w:val="single"/>
        </w:rPr>
        <w:t>Ratable Share</w:t>
      </w:r>
      <w:r>
        <w:rPr>
          <w:color w:val="000000"/>
        </w:rPr>
        <w:t xml:space="preserve">” </w:t>
      </w:r>
      <w:r>
        <w:rPr>
          <w:rFonts w:ascii="Times New Roman;sans-serif" w:hAnsi="Times New Roman;sans-serif"/>
          <w:b w:val="false"/>
          <w:color w:val="000000"/>
          <w:sz w:val="24"/>
        </w:rPr>
        <w:t xml:space="preserve">shall mean a fraction, the numerator of which is the sum of (x) the aggregate unused Commitments of such Lender at such time and (y) aggregate outstanding principal amount of the Term Loans of such Lender at such time, and the denominator of which is the sum of the (x) the aggregate outstanding unused Commitments of all Lenders at such time and (y) the aggregate outstanding principal amount of the Term Loans held by all Lenders at such time. Each Lender hereby authorizes the Administrative Agent to set off and apply any and all amounts at any time owing to such Lender under any Transaction Document against any amount due to the Administrative Agent and its Agent Related Parties under this </w:t>
      </w:r>
      <w:r>
        <w:rPr>
          <w:rFonts w:ascii="Times New Roman;sans-serif" w:hAnsi="Times New Roman;sans-serif"/>
          <w:b w:val="false"/>
          <w:color w:val="000000"/>
          <w:sz w:val="24"/>
          <w:u w:val="single"/>
        </w:rPr>
        <w:t>Section 13.1(e)</w:t>
      </w:r>
      <w:r>
        <w:rPr>
          <w:rFonts w:ascii="Times New Roman;sans-serif" w:hAnsi="Times New Roman;sans-serif"/>
          <w:b w:val="false"/>
          <w:color w:val="000000"/>
          <w:sz w:val="24"/>
        </w:rPr>
        <w:t xml:space="preserve">. The obligations of Lenders under this </w:t>
      </w:r>
      <w:r>
        <w:rPr>
          <w:rFonts w:ascii="Times New Roman;sans-serif" w:hAnsi="Times New Roman;sans-serif"/>
          <w:b w:val="false"/>
          <w:color w:val="000000"/>
          <w:sz w:val="24"/>
          <w:u w:val="single"/>
        </w:rPr>
        <w:t>Article XIII</w:t>
      </w:r>
      <w:r>
        <w:rPr>
          <w:color w:val="000000"/>
        </w:rPr>
        <w:t xml:space="preserve"> </w:t>
      </w:r>
      <w:r>
        <w:rPr>
          <w:rFonts w:ascii="Times New Roman;sans-serif" w:hAnsi="Times New Roman;sans-serif"/>
          <w:b w:val="false"/>
          <w:color w:val="000000"/>
          <w:sz w:val="24"/>
        </w:rPr>
        <w:t>shall survive the payment in full of the Obligations and the termination of this Agreement.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(f)    </w:t>
      </w:r>
      <w:r>
        <w:rPr>
          <w:rFonts w:ascii="Times New Roman;sans-serif" w:hAnsi="Times New Roman;sans-serif"/>
          <w:b/>
          <w:color w:val="000000"/>
          <w:sz w:val="24"/>
        </w:rPr>
        <w:t>Administrative Agent in its Individual Capacity</w:t>
      </w:r>
      <w:r>
        <w:rPr>
          <w:rFonts w:ascii="Times New Roman;sans-serif" w:hAnsi="Times New Roman;sans-serif"/>
          <w:b w:val="false"/>
          <w:color w:val="000000"/>
          <w:sz w:val="24"/>
        </w:rPr>
        <w:t>. With respect to the Loans made by it, if any, Wilmington and its successors as Administrative Agent shall have, and may exercise, the same rights and powers under the Transaction Documents, and is subject to the same obligations and liabilities, as and to the extent set forth in the Transaction Documents, as any other Lender. The terms “Lenders” or “Requisite Lenders” or any similar terms shall include, if applicable, Administrative Agent in its individual capacity as a Lender. Administrative Agent and its Affiliates may accept deposits from, lend money to, act as the financial advisor or in any other advisory capacity for and generally engage in any kind of lending, banking, trust, financial advisory or other business with, Borrower or any Subsidiary or Affiliate of Borrower as if it were not acting as Administrative Agent pursuant hereto.</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(g)    </w:t>
      </w:r>
      <w:r>
        <w:rPr>
          <w:rFonts w:ascii="Times New Roman;sans-serif" w:hAnsi="Times New Roman;sans-serif"/>
          <w:b/>
          <w:color w:val="000000"/>
          <w:sz w:val="24"/>
        </w:rPr>
        <w:t>Successor Administrative Agent.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color w:val="000000"/>
          <w:sz w:val="24"/>
        </w:rPr>
        <w:t>Resignation</w:t>
      </w:r>
      <w:r>
        <w:rPr>
          <w:rFonts w:ascii="Times New Roman;sans-serif" w:hAnsi="Times New Roman;sans-serif"/>
          <w:b w:val="false"/>
          <w:color w:val="000000"/>
          <w:sz w:val="24"/>
        </w:rPr>
        <w:t xml:space="preserve">. Administrative Agent may resign as Administrative Agent at any time by giving at least thirty (30) calendar days’ prior written notice to Borrower and Lenders.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color w:val="000000"/>
          <w:sz w:val="24"/>
        </w:rPr>
        <w:t>Appointment of Successor</w:t>
      </w:r>
      <w:r>
        <w:rPr>
          <w:rFonts w:ascii="Times New Roman;sans-serif" w:hAnsi="Times New Roman;sans-serif"/>
          <w:b w:val="false"/>
          <w:color w:val="000000"/>
          <w:sz w:val="24"/>
        </w:rPr>
        <w:t xml:space="preserve">. Upon any such notice of resignation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Requisite Lenders shall appoint a successor Administrative Agent. If a successor Administrative Agent shall not have been so appointed within said thirty (30) calendar day period referenced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the retiring Administrative Agent, may (but shall not be obligated to), on behalf of Lenders, appoint a successor Administrative Agent who shall serve as Administrative Agent until such time as Requisite Lenders appoint a successor Administrative Agent as provided above. Prior to the occurrence of a Default or Event of Default, Borrower shall be entitled to approve (such approval not to be unreasonably withheld, conditioned or delayed) any successor Administrative Agent appointed in accordance with the foregoing to the extent such successor Administrative Agent is not an affiliate of retiring Administrative Agent. If no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855345"/>
                <wp:effectExtent l="0" t="0" r="0" b="0"/>
                <wp:wrapNone/>
                <wp:docPr id="194" name="Frame19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successor administrative agent has accepted appointment as the Administrative Agent by the date thirty (30) days following a retiring Administrative Agent’s notice of resignation, the retiring Administrative Agent’s resignation shall nevertheless thereupon become effective and (i) the retiring or removed Administrative Agent shall be discharged from its duties and obligations hereunder and under the other Transaction Documents and (ii) the Requisite Lenders shall perform all of the duties of the Administrative Agent hereunder until such time, if any, as the Requisite Lenders appoint a successor administrative agent as provided for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color w:val="000000"/>
          <w:sz w:val="24"/>
        </w:rPr>
        <w:t>Successor Administrative Agent</w:t>
      </w:r>
      <w:r>
        <w:rPr>
          <w:rFonts w:ascii="Times New Roman;sans-serif" w:hAnsi="Times New Roman;sans-serif"/>
          <w:b w:val="false"/>
          <w:color w:val="000000"/>
          <w:sz w:val="24"/>
        </w:rPr>
        <w:t xml:space="preserve">. Upon the acceptance of any appointment as Administrative Agent under the Transaction Documents by a successor Administrative Agent, such successor Administrative Agent shall thereupon succeed to and become vested with all the rights, powers, privileges and duties of the retiring Administrative Agent and, upon the earlier of such acceptance or the effective date of the retiring Administrative Agent’s resignation, the retiring Administrative Agent shall be discharged from its duties and obligations under the Transaction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indemnity and expense rights or other rights in favor of such retiring Administrative Agent shall continue after and survive such resignation and succession. After any retiring Administrative Agent’s resignation as Administrative Agent under the Transaction Documents, the provisions of this </w:t>
      </w:r>
      <w:r>
        <w:rPr>
          <w:rFonts w:ascii="Times New Roman;sans-serif" w:hAnsi="Times New Roman;sans-serif"/>
          <w:b w:val="false"/>
          <w:color w:val="000000"/>
          <w:sz w:val="24"/>
          <w:u w:val="single"/>
        </w:rPr>
        <w:t>Article XIII</w:t>
      </w:r>
      <w:r>
        <w:rPr>
          <w:color w:val="000000"/>
        </w:rPr>
        <w:t xml:space="preserve"> </w:t>
      </w:r>
      <w:r>
        <w:rPr>
          <w:rFonts w:ascii="Times New Roman;sans-serif" w:hAnsi="Times New Roman;sans-serif"/>
          <w:b w:val="false"/>
          <w:color w:val="000000"/>
          <w:sz w:val="24"/>
        </w:rPr>
        <w:t>shall inure to its benefit as to any actions taken or omitted to be taken by it while it was Administrative Agent under the Transaction Documents.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(h)    </w:t>
      </w:r>
      <w:r>
        <w:rPr>
          <w:rFonts w:ascii="Times New Roman;sans-serif" w:hAnsi="Times New Roman;sans-serif"/>
          <w:b/>
          <w:color w:val="000000"/>
          <w:sz w:val="24"/>
        </w:rPr>
        <w:t>Collateral Matters.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color w:val="000000"/>
          <w:sz w:val="24"/>
        </w:rPr>
        <w:t>Collateral</w:t>
      </w:r>
      <w:r>
        <w:rPr>
          <w:rFonts w:ascii="Times New Roman;sans-serif" w:hAnsi="Times New Roman;sans-serif"/>
          <w:b w:val="false"/>
          <w:color w:val="000000"/>
          <w:sz w:val="24"/>
        </w:rPr>
        <w:t xml:space="preserve">. Each Lender agrees that any action taken by Administrative Agent or the Requisite Lenders (or, where required by the express terms of this Agreement, a greater number of Lenders) in accordance with the provisions of this Agreement or of the other Transaction Documents relating to the Collateral, and the exercise by Administrative Agent or the Requisite Lenders (or, where so required, such greater number of Lenders) of the powers set forth herein or therein, together with such other powers as are reasonably incidental thereto, shall be authorized and binding upon all of Lenders and Administrative Agent. Without limiting the generality of the foregoing, Administrative Agent shall have the sole and exclusive right and authority to (i) act as the disbursing and collecting agent for Lenders with respect to all payments and collections arising in connection herewith and with the Transaction Documents in connection with the Collateral; (ii) execute and deliver each Transaction Document relating to the Collateral and accept delivery of each such agreement delivered by Borrower or any other Loan Party; (iii) act as verification agent for Lenders; (iv) manage, supervise and otherwise deal with the Collateral; (v) take such action as is necessary or desirable to maintain the perfection and priority of the security interests and Liens created or purported to be created by the Transaction Documents relating to the Collateral; and (vi) except as may be otherwise specifically restricted by the terms hereof or of any other Transaction Document, exercise all right and remedies given to such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855345"/>
                <wp:effectExtent l="0" t="0" r="0" b="0"/>
                <wp:wrapNone/>
                <wp:docPr id="195" name="Frame19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Agent and Lenders with respect to the Collateral under the Transaction Documents relating thereto, Applicable Law or otherwise.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color w:val="000000"/>
          <w:sz w:val="24"/>
        </w:rPr>
        <w:t>Release of Collateral</w:t>
      </w:r>
      <w:r>
        <w:rPr>
          <w:rFonts w:ascii="Times New Roman;sans-serif" w:hAnsi="Times New Roman;sans-serif"/>
          <w:b w:val="false"/>
          <w:color w:val="000000"/>
          <w:sz w:val="24"/>
        </w:rPr>
        <w:t xml:space="preserve">. Lenders hereby irrevocably authorize Administrative Agent, at its option and in its discretion, to release any Lien granted to or held by Administrative Agent, for the benefit the of Lenders, upon any Collateral covered by the Transaction Documents (A) upon termination of this Agreement in writing, cancellation of any remaining Commitments and the payment and satisfaction in full in cash of all Obligations (other than indemnity obligations under the Transaction Documents that are not then due and payable or for which any events or claims that would give rise thereto are not then pending) or (B) in accordance with </w:t>
      </w:r>
      <w:r>
        <w:rPr>
          <w:rFonts w:ascii="Times New Roman;sans-serif" w:hAnsi="Times New Roman;sans-serif"/>
          <w:b w:val="false"/>
          <w:color w:val="000000"/>
          <w:sz w:val="24"/>
          <w:u w:val="single"/>
        </w:rPr>
        <w:t>Section 2.13</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color w:val="000000"/>
          <w:sz w:val="24"/>
        </w:rPr>
        <w:t>Absence of Duty</w:t>
      </w:r>
      <w:r>
        <w:rPr>
          <w:rFonts w:ascii="Times New Roman;sans-serif" w:hAnsi="Times New Roman;sans-serif"/>
          <w:b w:val="false"/>
          <w:color w:val="000000"/>
          <w:sz w:val="24"/>
        </w:rPr>
        <w:t xml:space="preserve">. Administrative Agent shall have no obligation whatsoever to any Lender or any other Person to assure that the Collateral covered by this Agreement or the other Transaction Documents exists or is owned by any Loan Party or is cared for, protected or insured or has been encumbered or that the Liens granted to Administrative Agent, on behalf of the Lenders, herein or pursuant hereto have been properly or sufficiently or lawfully created, perfected, protected, enforced or maintained or are entitled to any particular priority, or to exercise at all or in any particular manner or under any duty of care, disclosure, or fidelity, or to continue exercising, any of the rights, authorities and powers granted or available to Administrative Agent in this </w:t>
      </w:r>
      <w:r>
        <w:rPr>
          <w:rFonts w:ascii="Times New Roman;sans-serif" w:hAnsi="Times New Roman;sans-serif"/>
          <w:b w:val="false"/>
          <w:color w:val="000000"/>
          <w:sz w:val="24"/>
          <w:u w:val="single"/>
        </w:rPr>
        <w:t>Section 13.1(h)</w:t>
      </w:r>
      <w:r>
        <w:rPr>
          <w:color w:val="000000"/>
        </w:rPr>
        <w:t xml:space="preserve"> </w:t>
      </w:r>
      <w:r>
        <w:rPr>
          <w:rFonts w:ascii="Times New Roman;sans-serif" w:hAnsi="Times New Roman;sans-serif"/>
          <w:b w:val="false"/>
          <w:color w:val="000000"/>
          <w:sz w:val="24"/>
        </w:rPr>
        <w:t>or in any of the Transaction Documents.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(i)    </w:t>
      </w:r>
      <w:r>
        <w:rPr>
          <w:rFonts w:ascii="Times New Roman;sans-serif" w:hAnsi="Times New Roman;sans-serif"/>
          <w:b/>
          <w:color w:val="000000"/>
          <w:sz w:val="24"/>
        </w:rPr>
        <w:t>Agency for Perfection</w:t>
      </w:r>
      <w:r>
        <w:rPr>
          <w:rFonts w:ascii="Times New Roman;sans-serif" w:hAnsi="Times New Roman;sans-serif"/>
          <w:b w:val="false"/>
          <w:color w:val="000000"/>
          <w:sz w:val="24"/>
        </w:rPr>
        <w:t>. Each Lender hereby appoints Administrative Agent as agent for the purpose of perfecting Lenders’ security interest in Collateral which, in accordance with Article 9 of the UCC in any applicable jurisdiction, can be perfected only by possession. Should any Lender (other than Administrative Agent) obtain possession of any such Collateral, such Lender shall hold such Collateral for purposes of perfecting a security interest therein for the benefit of the Lenders, notify Administrative Agent thereof and, promptly upon Administrative Agent’s request therefor, deliver such Collateral to Administrative Agent or otherwise act in respect thereof in accordance with Administrative Agent’s instructions.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(j)    </w:t>
      </w:r>
      <w:r>
        <w:rPr>
          <w:rFonts w:ascii="Times New Roman;sans-serif" w:hAnsi="Times New Roman;sans-serif"/>
          <w:b/>
          <w:color w:val="000000"/>
          <w:sz w:val="24"/>
        </w:rPr>
        <w:t>Exercise of Remedies</w:t>
      </w:r>
      <w:r>
        <w:rPr>
          <w:rFonts w:ascii="Times New Roman;sans-serif" w:hAnsi="Times New Roman;sans-serif"/>
          <w:b w:val="false"/>
          <w:color w:val="000000"/>
          <w:sz w:val="24"/>
        </w:rPr>
        <w:t xml:space="preserve">. Except as set forth in </w:t>
      </w:r>
      <w:r>
        <w:rPr>
          <w:rFonts w:ascii="Times New Roman;sans-serif" w:hAnsi="Times New Roman;sans-serif"/>
          <w:b w:val="false"/>
          <w:color w:val="000000"/>
          <w:sz w:val="24"/>
          <w:u w:val="single"/>
        </w:rPr>
        <w:t>Section 13.3</w:t>
      </w:r>
      <w:r>
        <w:rPr>
          <w:rFonts w:ascii="Times New Roman;sans-serif" w:hAnsi="Times New Roman;sans-serif"/>
          <w:b w:val="false"/>
          <w:color w:val="000000"/>
          <w:sz w:val="24"/>
        </w:rPr>
        <w:t>, each Lender agrees that it will not have any right individually to enforce or seek to enforce this Agreement or any other Transaction Document or to realize upon any Collateral security for the Term Loans or other Obligations; it being understood and agreed that such rights and remedies may be exercised only by Administrative Agent in accordance with the terms of the Transaction Documents.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(k)    </w:t>
      </w:r>
      <w:r>
        <w:rPr>
          <w:rFonts w:ascii="Times New Roman;sans-serif" w:hAnsi="Times New Roman;sans-serif"/>
          <w:b/>
          <w:color w:val="000000"/>
          <w:sz w:val="24"/>
        </w:rPr>
        <w:t>Delegation of Duties</w:t>
      </w:r>
      <w:r>
        <w:rPr>
          <w:rFonts w:ascii="Times New Roman;sans-serif" w:hAnsi="Times New Roman;sans-serif"/>
          <w:b w:val="false"/>
          <w:color w:val="000000"/>
          <w:sz w:val="24"/>
        </w:rPr>
        <w:t xml:space="preserve">.    The Administrative Agent may perform any of its duties and exercise any of its rights and powers under this Agreement or any other Transaction Document by or through one or more sub-agents or attorneys-in-fact appointed by the Administrative Agent. The Administrative Agent and any such sub-agent or attorney-in-fact may perform any of its duties and exercise any its rights and powers by or through their respective Related Parties, and the Administrative Agent shall be entitled to obtain and rely upon the advice of counsel and other consultants or experts concerning all matters pertaining to such duties. The Administrative Agent shall not be responsible for the negligence or misconduct of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855345"/>
                <wp:effectExtent l="0" t="0" r="0" b="0"/>
                <wp:wrapNone/>
                <wp:docPr id="196" name="Frame19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sub-agent or attorney-in-fact except to the extent that a court of competent jurisdiction determines in a final and non-appealable judgment that the Administrative Agent acted with gross negligence or willful misconduct in the selection of such sub-agent or attorney-in-fact.</w:t>
      </w:r>
    </w:p>
    <w:p>
      <w:pPr>
        <w:pStyle w:val="TextBody"/>
        <w:bidi w:val="0"/>
        <w:spacing w:lineRule="auto" w:line="288" w:before="0" w:after="240"/>
        <w:ind w:left="0" w:right="0" w:firstLine="720"/>
        <w:jc w:val="both"/>
        <w:rPr/>
      </w:pPr>
      <w:r>
        <w:rPr>
          <w:rFonts w:ascii="Times New Roman;sans-serif" w:hAnsi="Times New Roman;sans-serif"/>
          <w:b/>
          <w:color w:val="000000"/>
          <w:sz w:val="24"/>
        </w:rPr>
        <w:t>13.2    Lender Consent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In the event Administrative Agent requests the consent of a Lender and does not receive a written denial thereof within five (5) Business Days after such Lender’s Receipt of such request, then the Commitment of, and Total Outstandings held by, such Lender will be disregarded for the purposes of determining whether the Requisite Lenders have given consent thereto;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Section 13.2(a)</w:t>
      </w:r>
      <w:r>
        <w:rPr>
          <w:color w:val="000000"/>
        </w:rPr>
        <w:t xml:space="preserve"> </w:t>
      </w:r>
      <w:r>
        <w:rPr>
          <w:rFonts w:ascii="Times New Roman;sans-serif" w:hAnsi="Times New Roman;sans-serif"/>
          <w:b w:val="false"/>
          <w:color w:val="000000"/>
          <w:sz w:val="24"/>
        </w:rPr>
        <w:t>shall not apply to any action that requires the consent of every Lender or each Lender affected thereby.</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In the event Borrower requests the consent of a Lender in a situation where such Lender’s consent would be required and such consent is denied (or no response is given by such Lender as set forth in </w:t>
      </w:r>
      <w:r>
        <w:rPr>
          <w:rFonts w:ascii="Times New Roman;sans-serif" w:hAnsi="Times New Roman;sans-serif"/>
          <w:b w:val="false"/>
          <w:color w:val="000000"/>
          <w:sz w:val="24"/>
          <w:u w:val="single"/>
        </w:rPr>
        <w:t>Section 13.2(a)</w:t>
      </w:r>
      <w:r>
        <w:rPr>
          <w:rFonts w:ascii="Times New Roman;sans-serif" w:hAnsi="Times New Roman;sans-serif"/>
          <w:b w:val="false"/>
          <w:color w:val="000000"/>
          <w:sz w:val="24"/>
        </w:rPr>
        <w:t xml:space="preserve">), then Borrower may, at its option, require such Lender to assign its outstanding Term Loans and its Commitments to an assignee lender for a price equal to the then outstanding principal amount thereof due such Lender plus accrued and unpaid interest and fees due such Lender, which principal, interest and fees will be paid to the Lender when collected from Borrower. In the event that Borrower elects to require any Lender to assign its interest pursuant to this </w:t>
      </w:r>
      <w:r>
        <w:rPr>
          <w:rFonts w:ascii="Times New Roman;sans-serif" w:hAnsi="Times New Roman;sans-serif"/>
          <w:b w:val="false"/>
          <w:color w:val="000000"/>
          <w:sz w:val="24"/>
          <w:u w:val="single"/>
        </w:rPr>
        <w:t>Section 13.2</w:t>
      </w:r>
      <w:r>
        <w:rPr>
          <w:rFonts w:ascii="Times New Roman;sans-serif" w:hAnsi="Times New Roman;sans-serif"/>
          <w:b w:val="false"/>
          <w:color w:val="000000"/>
          <w:sz w:val="24"/>
        </w:rPr>
        <w:t>, the Borrower will so notify such Lender and the Administrative Agent in writing within five (5) Business Days following such Lender’s denial, and such Lender will assign its interest in accordance with the terms hereof no later than five (5) calendar days following Receipt of such notice.</w:t>
      </w:r>
    </w:p>
    <w:p>
      <w:pPr>
        <w:pStyle w:val="TextBody"/>
        <w:bidi w:val="0"/>
        <w:spacing w:lineRule="auto" w:line="288" w:before="0" w:after="240"/>
        <w:ind w:left="0" w:right="0" w:firstLine="720"/>
        <w:jc w:val="both"/>
        <w:rPr/>
      </w:pPr>
      <w:r>
        <w:rPr>
          <w:rFonts w:ascii="Times New Roman;sans-serif" w:hAnsi="Times New Roman;sans-serif"/>
          <w:b/>
          <w:color w:val="000000"/>
          <w:sz w:val="24"/>
        </w:rPr>
        <w:t>13.3    Set-off and Sharing of Payments</w:t>
      </w:r>
      <w:r>
        <w:rPr>
          <w:rFonts w:ascii="Times New Roman;sans-serif" w:hAnsi="Times New Roman;sans-serif"/>
          <w:b w:val="false"/>
          <w:color w:val="000000"/>
          <w:sz w:val="24"/>
        </w:rPr>
        <w:t xml:space="preserve">. If, other than as expressly provided elsewhere herein, any Lender shall obtain, on account of any Term Loan held by it, any payment (whether voluntary, involuntary, through the exercise of any right of set-off, or otherwise) in excess of its ratable share (or other share contemplated hereunder) thereof, such Lender shall immediately (a) notify Administrative Agent of such fact, and (b) purchase from the other Lenders such participations in the Term Loans held by them as shall be necessary to cause such purchasing Lender to share the excess payment in respect of such Term Loan pro rata with each of them;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all or any portion of such excess payment is thereafter recovered from the purchasing Lender under any of the circumstances described in this </w:t>
      </w:r>
      <w:r>
        <w:rPr>
          <w:rFonts w:ascii="Times New Roman;sans-serif" w:hAnsi="Times New Roman;sans-serif"/>
          <w:b w:val="false"/>
          <w:color w:val="000000"/>
          <w:sz w:val="24"/>
          <w:u w:val="single"/>
        </w:rPr>
        <w:t>Section 13.3</w:t>
      </w:r>
      <w:r>
        <w:rPr>
          <w:color w:val="000000"/>
        </w:rPr>
        <w:t xml:space="preserve"> </w:t>
      </w:r>
      <w:r>
        <w:rPr>
          <w:rFonts w:ascii="Times New Roman;sans-serif" w:hAnsi="Times New Roman;sans-serif"/>
          <w:b w:val="false"/>
          <w:color w:val="000000"/>
          <w:sz w:val="24"/>
        </w:rPr>
        <w:t xml:space="preserve">(including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Borrower agrees that any Lender so purchasing a participation from another Lender may, to the fullest extent permitted by Applicable Law, exercise all its rights of payment (including the right of set-off, but subject to </w:t>
      </w:r>
      <w:r>
        <w:rPr>
          <w:rFonts w:ascii="Times New Roman;sans-serif" w:hAnsi="Times New Roman;sans-serif"/>
          <w:b w:val="false"/>
          <w:color w:val="000000"/>
          <w:sz w:val="24"/>
          <w:u w:val="single"/>
        </w:rPr>
        <w:t>Section 12.3</w:t>
      </w:r>
      <w:r>
        <w:rPr>
          <w:rFonts w:ascii="Times New Roman;sans-serif" w:hAnsi="Times New Roman;sans-serif"/>
          <w:b w:val="false"/>
          <w:color w:val="000000"/>
          <w:sz w:val="24"/>
        </w:rPr>
        <w:t xml:space="preserve">), with respect to such participation as fully as if such Lender were the direct creditor of Borrower in the amount of such participation. Each Lender that purchases a participation pursuant to this </w:t>
      </w:r>
      <w:r>
        <w:rPr>
          <w:rFonts w:ascii="Times New Roman;sans-serif" w:hAnsi="Times New Roman;sans-serif"/>
          <w:b w:val="false"/>
          <w:color w:val="000000"/>
          <w:sz w:val="24"/>
          <w:u w:val="single"/>
        </w:rPr>
        <w:t>Section 13.3</w:t>
      </w:r>
      <w:r>
        <w:rPr>
          <w:color w:val="000000"/>
        </w:rPr>
        <w:t xml:space="preserve"> </w:t>
      </w:r>
      <w:r>
        <w:rPr>
          <w:rFonts w:ascii="Times New Roman;sans-serif" w:hAnsi="Times New Roman;sans-serif"/>
          <w:b w:val="false"/>
          <w:color w:val="000000"/>
          <w:sz w:val="24"/>
        </w:rPr>
        <w:t xml:space="preserve">shall from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855345"/>
                <wp:effectExtent l="0" t="0" r="0" b="0"/>
                <wp:wrapNone/>
                <wp:docPr id="197" name="Frame19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pStyle w:val="TextBody"/>
        <w:bidi w:val="0"/>
        <w:spacing w:lineRule="auto" w:line="288" w:before="0" w:after="240"/>
        <w:ind w:left="0" w:right="0" w:firstLine="720"/>
        <w:jc w:val="both"/>
        <w:rPr/>
      </w:pPr>
      <w:r>
        <w:rPr>
          <w:rFonts w:ascii="Times New Roman;sans-serif" w:hAnsi="Times New Roman;sans-serif"/>
          <w:b/>
          <w:color w:val="000000"/>
          <w:sz w:val="24"/>
        </w:rPr>
        <w:t>13.4    Disbursement of Funds</w:t>
      </w:r>
      <w:r>
        <w:rPr>
          <w:rFonts w:ascii="Times New Roman;sans-serif" w:hAnsi="Times New Roman;sans-serif"/>
          <w:b w:val="false"/>
          <w:color w:val="000000"/>
          <w:sz w:val="24"/>
        </w:rPr>
        <w:t xml:space="preserve">. Administrative Agent may, on behalf of Lenders, disburse funds to Borrower for the Term Loans or any other Loan. Each Lender shall reimburse Administrative Agent on demand for its Pro Rata Share of all funds disbursed on its behalf by Administrative Agent, or if Administrative Agent so requests, each Lender shall remit to Administrative Agent its Pro Rata Share of any Loan before Administrative Agent disburses such Loan to or on account of Borrower. If Administrative Agent shall have disbursed funds to Borrower on behalf of any Lender and such Lender fails to pay the amount of its Pro Rata Share forthwith upon Administrative Agent’s demand, Administrative Agent shall promptly notify Borrower, and Borrower shall as promptly as reasonably possible, but in no event less than one (1) Business Day after such notice, repay such amount to Administrative Agent. Any repayment by Borrower required pursuant to this </w:t>
      </w:r>
      <w:r>
        <w:rPr>
          <w:rFonts w:ascii="Times New Roman;sans-serif" w:hAnsi="Times New Roman;sans-serif"/>
          <w:b w:val="false"/>
          <w:color w:val="000000"/>
          <w:sz w:val="24"/>
          <w:u w:val="single"/>
        </w:rPr>
        <w:t>Section 13.4</w:t>
      </w:r>
      <w:r>
        <w:rPr>
          <w:color w:val="000000"/>
        </w:rPr>
        <w:t xml:space="preserve"> </w:t>
      </w:r>
      <w:r>
        <w:rPr>
          <w:rFonts w:ascii="Times New Roman;sans-serif" w:hAnsi="Times New Roman;sans-serif"/>
          <w:b w:val="false"/>
          <w:color w:val="000000"/>
          <w:sz w:val="24"/>
        </w:rPr>
        <w:t xml:space="preserve">shall be without prepayment fee, premium or penalty. Nothing in this </w:t>
      </w:r>
      <w:r>
        <w:rPr>
          <w:rFonts w:ascii="Times New Roman;sans-serif" w:hAnsi="Times New Roman;sans-serif"/>
          <w:b w:val="false"/>
          <w:color w:val="000000"/>
          <w:sz w:val="24"/>
          <w:u w:val="single"/>
        </w:rPr>
        <w:t>Section 13.4</w:t>
      </w:r>
      <w:r>
        <w:rPr>
          <w:color w:val="000000"/>
        </w:rPr>
        <w:t xml:space="preserve"> </w:t>
      </w:r>
      <w:r>
        <w:rPr>
          <w:rFonts w:ascii="Times New Roman;sans-serif" w:hAnsi="Times New Roman;sans-serif"/>
          <w:b w:val="false"/>
          <w:color w:val="000000"/>
          <w:sz w:val="24"/>
        </w:rPr>
        <w:t xml:space="preserve">or elsewhere in this Agreement or the other Transaction Documents, including, without limitation, the provisions of </w:t>
      </w:r>
      <w:r>
        <w:rPr>
          <w:rFonts w:ascii="Times New Roman;sans-serif" w:hAnsi="Times New Roman;sans-serif"/>
          <w:b w:val="false"/>
          <w:color w:val="000000"/>
          <w:sz w:val="24"/>
          <w:u w:val="single"/>
        </w:rPr>
        <w:t>Section 13.5</w:t>
      </w:r>
      <w:r>
        <w:rPr>
          <w:rFonts w:ascii="Times New Roman;sans-serif" w:hAnsi="Times New Roman;sans-serif"/>
          <w:b w:val="false"/>
          <w:color w:val="000000"/>
          <w:sz w:val="24"/>
        </w:rPr>
        <w:t>, shall be deemed to require Administrative Agent to advance funds on behalf of any Lender or to relieve any Lender from its obligation to fulfill its commitments hereunder or to prejudice any rights that Administrative Agent or Borrower may have against any Lender as a result of any default by such Lender hereunder.</w:t>
      </w:r>
    </w:p>
    <w:p>
      <w:pPr>
        <w:pStyle w:val="TextBody"/>
        <w:bidi w:val="0"/>
        <w:spacing w:lineRule="auto" w:line="288" w:before="0" w:after="240"/>
        <w:ind w:left="0" w:right="0" w:firstLine="720"/>
        <w:jc w:val="both"/>
        <w:rPr/>
      </w:pPr>
      <w:r>
        <w:rPr>
          <w:rFonts w:ascii="Times New Roman;sans-serif" w:hAnsi="Times New Roman;sans-serif"/>
          <w:b/>
          <w:color w:val="000000"/>
          <w:sz w:val="24"/>
        </w:rPr>
        <w:t>13.5    Availability of Lenders’ Pro Rata Share; Return of Payments</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Availability of Lenders’ Pro Rata Share.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Unless Administrative Agent has been notified by a Lender prior to any proposed funding date of such Lender’s intention not to fund its Pro Rata Share of a Loan, Administrative Agent may assume that such Lender will make such amount available to Administrative Agent on the proposed funding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contained in this Agreement shall obligate a Lender to make a Loan at any time any Default or Event of Default exists. If such amount is not, in fact, made available to Administrative Agent by such Lender when due, Administrative Agent will be entitled to recover such amount on demand from such Lender without set-off, counterclaim or deduction of any kind.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Nothing contained in this </w:t>
      </w:r>
      <w:r>
        <w:rPr>
          <w:rFonts w:ascii="Times New Roman;sans-serif" w:hAnsi="Times New Roman;sans-serif"/>
          <w:b w:val="false"/>
          <w:color w:val="000000"/>
          <w:sz w:val="24"/>
          <w:u w:val="single"/>
        </w:rPr>
        <w:t>Section 13.5(a)</w:t>
      </w:r>
      <w:r>
        <w:rPr>
          <w:color w:val="000000"/>
        </w:rPr>
        <w:t xml:space="preserve"> </w:t>
      </w:r>
      <w:r>
        <w:rPr>
          <w:rFonts w:ascii="Times New Roman;sans-serif" w:hAnsi="Times New Roman;sans-serif"/>
          <w:b w:val="false"/>
          <w:color w:val="000000"/>
          <w:sz w:val="24"/>
        </w:rPr>
        <w:t>will be deemed to relieve a Lender of its obligation to fulfill its commitments or to prejudice any rights Administrative Agent or Borrower may have against such Lender as a result of any default by such Lender under this Agreement.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(b)    Return of Payments.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If Administrative Agent pays an amount to a Lender under this Agreement in the belief or expectation that a related payment has been or will be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855345"/>
                <wp:effectExtent l="0" t="0" r="0" b="0"/>
                <wp:wrapNone/>
                <wp:docPr id="198" name="Frame19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by Administrative Agent from any Loan Party and such related payment is not received by Administrative Agent, then Administrative Agent will be entitled to recover such amount from such Lender without set-off, counterclaim or deduction of any kind.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Administrative Agent determines at any time that any amount received by Administrative Agent under this Agreement must be returned to Borrower, any other Loan Party or paid to any other Person pursuant to any Debtor Relief Law or otherwise, then, notwithstanding any other term or condition of this Agreement, Administrative Agent will not be required to distribute any portion thereof to any Lender. In addition, each Lender will repay to Administrative Agent on demand any portion of such amount that Administrative Agent has distributed to such Lender, together with interest at such rate, if any, as Administrative Agent is required to pay to Borrower, such other Loan Party or such other Person, without set-off, counterclaim or deduction of any kind.</w:t>
      </w:r>
    </w:p>
    <w:p>
      <w:pPr>
        <w:pStyle w:val="TextBody"/>
        <w:bidi w:val="0"/>
        <w:spacing w:lineRule="auto" w:line="288" w:before="0" w:after="240"/>
        <w:ind w:left="0" w:right="0" w:firstLine="720"/>
        <w:jc w:val="both"/>
        <w:rPr/>
      </w:pPr>
      <w:r>
        <w:rPr>
          <w:rFonts w:ascii="Times New Roman;sans-serif" w:hAnsi="Times New Roman;sans-serif"/>
          <w:b/>
          <w:color w:val="000000"/>
          <w:sz w:val="24"/>
        </w:rPr>
        <w:t>13.6    Dissemination of Information</w:t>
      </w:r>
      <w:r>
        <w:rPr>
          <w:rFonts w:ascii="Times New Roman;sans-serif" w:hAnsi="Times New Roman;sans-serif"/>
          <w:b w:val="false"/>
          <w:color w:val="000000"/>
          <w:sz w:val="24"/>
        </w:rPr>
        <w:t xml:space="preserve">. Promptly following its receipt thereof, Administrative Agent will distribute promptly to each Lender, unless previously provided by Borrower or any other Loan Party to such Lender, copies of all notices, schedules, reports, projections, financial statements, agreements and other material and information provided to the Administrative Agent for distribution to the Lenders, including, without limitation, financial and reporting information received by the Administrative Agent (in its capacity as such) from Borrower, any other Loan Party or a third party (and excluding only internal information generated by Wilmington for its own use as a Lender or as Administrative Agent and any attorney-client privileged communications or work product), as provided for in this Agreement and the other Transaction Documents as received by Administrative Agent. Administrative Agent shall not be liable to any of the Lenders for any failure to comply with its obligations under this </w:t>
      </w:r>
      <w:r>
        <w:rPr>
          <w:rFonts w:ascii="Times New Roman;sans-serif" w:hAnsi="Times New Roman;sans-serif"/>
          <w:b w:val="false"/>
          <w:color w:val="000000"/>
          <w:sz w:val="24"/>
          <w:u w:val="single"/>
        </w:rPr>
        <w:t>Section 13.6</w:t>
      </w:r>
      <w:r>
        <w:rPr>
          <w:rFonts w:ascii="Times New Roman;sans-serif" w:hAnsi="Times New Roman;sans-serif"/>
          <w:b w:val="false"/>
          <w:color w:val="000000"/>
          <w:sz w:val="24"/>
        </w:rPr>
        <w:t>, except to the extent that such failure is attributed to Administrative Agent’s gross negligence or willful misconduct and results in demonstrable damages to such Lender as determined, in each case, by a court of competent jurisdiction on a final and non-appealable basis.</w:t>
      </w:r>
    </w:p>
    <w:p>
      <w:pPr>
        <w:pStyle w:val="TextBody"/>
        <w:bidi w:val="0"/>
        <w:spacing w:lineRule="auto" w:line="288" w:before="0" w:after="240"/>
        <w:ind w:left="0" w:right="0" w:firstLine="720"/>
        <w:jc w:val="both"/>
        <w:rPr/>
      </w:pPr>
      <w:r>
        <w:rPr>
          <w:rFonts w:ascii="Times New Roman;sans-serif" w:hAnsi="Times New Roman;sans-serif"/>
          <w:b/>
          <w:color w:val="000000"/>
          <w:sz w:val="24"/>
        </w:rPr>
        <w:t>13.7    Defaulting Lender</w:t>
      </w:r>
      <w:r>
        <w:rPr>
          <w:rFonts w:ascii="Times New Roman;sans-serif" w:hAnsi="Times New Roman;sans-serif"/>
          <w:b w:val="false"/>
          <w:color w:val="000000"/>
          <w:sz w:val="24"/>
        </w:rPr>
        <w:t xml:space="preserve">. The failure of any Lender to make any Term Loan on the date specified therefor shall not relieve any other Lender (each such other Lender, an “Other Lender”) of its obligations to make such Term Loan, but neither any Other Lender nor Administrative Agent shall be responsible for the failure of any Defaulting Lender to make a Term Loan or make any other payment required hereunder. Notwithstanding anything set forth herein to the contrary, a Defaulting Lender shall not have any voting or consent rights under or with respect to any Transaction Document or constitute a “Lender” for any voting or consent rights under or with respect to any Transaction Document and shall not be entitled to any fees based on unused commitments. At Borrower’s request, any Lender shall have the right (but shall have no obligation) to purchase from any Defaulting Lender, and each Defaulting Lender agrees that it shall sell and assign to such Person pursuant to an Assignment Agreement, all of the rights of such Defaulting Lender (including all of such Defaulting Lender’s Term Loans and Commitments) for an amount equal to the then outstanding principal amount thereof due to such Defaulting Lender plus accrued and unpaid interest and fees due to such Defaulting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855345"/>
                <wp:effectExtent l="0" t="0" r="0" b="0"/>
                <wp:wrapNone/>
                <wp:docPr id="199" name="Frame19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which principal, interest and fees will be paid to such Defaulting Lender when collected from Borrower.</w:t>
      </w:r>
    </w:p>
    <w:p>
      <w:pPr>
        <w:pStyle w:val="TextBody"/>
        <w:bidi w:val="0"/>
        <w:spacing w:lineRule="auto" w:line="288" w:before="0" w:after="240"/>
        <w:ind w:left="0" w:right="0" w:firstLine="720"/>
        <w:jc w:val="both"/>
        <w:rPr/>
      </w:pPr>
      <w:r>
        <w:rPr>
          <w:rFonts w:ascii="Times New Roman;sans-serif" w:hAnsi="Times New Roman;sans-serif"/>
          <w:b/>
          <w:color w:val="000000"/>
          <w:sz w:val="24"/>
        </w:rPr>
        <w:t>13.8    Taxes</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Subject to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below, any and all payments by or on account of any obligations of Borrower or any other Loan Party to each Lender or Administrative Agent under this Agreement or any other Transaction Document shall be made free and clear of, and without deduction or withholding for, any and all present or future taxes, levies, imposts, deductions, charges or withholdings (including backup withholding), and all liabilities with respect thereto (including penalties, interest and additions to tax), imposed by any Governmental Authority, excluding, in the case of each Lender and Administrative Agent, such taxes as (x) are imposed on or measured by net income, (y) are franchise taxes or (z) are branch profits taxes, in each case, of such Lender or Administrative Agent, respectively, that (i) are imposed as a result of such Lender or Administrative Agent being organized under the laws of, or having its principal office or, in the case of any Lender, its applicable lending office located in, the jurisdiction imposing such tax (or any political subdivision thereof) or (ii) are Other Connection Taxes (all such non-excluded taxes, levies, imposts, deductions, charges, withholdings and liabilities being referred to as “</w:t>
      </w:r>
      <w:r>
        <w:rPr>
          <w:rFonts w:ascii="Times New Roman;sans-serif" w:hAnsi="Times New Roman;sans-serif"/>
          <w:b/>
          <w:color w:val="000000"/>
          <w:sz w:val="24"/>
        </w:rPr>
        <w:t>Taxes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In addition, each Loan Party shall pay to the relevant Governmental Authority any present or future stamp, court, documentary, intangible, recording or filing taxes or any other excise or property taxes, charges or similar levies which arise from any payment made hereunder or from the execution, delivery or registration of, or otherwise with respect to, this Agreement or any other Transaction Document, except any such Taxes that are Other Connection Taxes imposed with respect to an assignment (other than an assignment made pursuant to </w:t>
      </w:r>
      <w:r>
        <w:rPr>
          <w:rFonts w:ascii="Times New Roman;sans-serif" w:hAnsi="Times New Roman;sans-serif"/>
          <w:b w:val="false"/>
          <w:color w:val="000000"/>
          <w:sz w:val="24"/>
          <w:u w:val="single"/>
        </w:rPr>
        <w:t>Section 12.2(h)</w:t>
      </w:r>
      <w:r>
        <w:rPr>
          <w:rFonts w:ascii="Times New Roman;sans-serif" w:hAnsi="Times New Roman;sans-serif"/>
          <w:b w:val="false"/>
          <w:color w:val="000000"/>
          <w:sz w:val="24"/>
        </w:rPr>
        <w:t>) (hereinafter referred to as “</w:t>
      </w:r>
      <w:r>
        <w:rPr>
          <w:rFonts w:ascii="Times New Roman;sans-serif" w:hAnsi="Times New Roman;sans-serif"/>
          <w:b/>
          <w:color w:val="000000"/>
          <w:sz w:val="24"/>
        </w:rPr>
        <w:t>Other Taxes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Subject to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below, each Loan Party shall jointly and severally indemnify and hold harmless each Lender and Administrative Agent for the full amount of any and all Taxes or Other Taxes (including any Taxes or Other Taxes imposed by any jurisdiction on amounts payable under this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paid or payable by such Lender or Administrative Agent or required to be withheld or deducted from a payment to such Lender or Administrative Agent and any liability arising therefrom or with respect thereto, whether or not such Taxes or Other Taxes were correctly or legally asserted by the relevant Governmental Authority. Payments under this indemnification shall be made within ten (10) days from the date any Lender or Administrative Agent makes written demand therefor.</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(d)    If any Loan Party or Administrative Agent shall be required by Applicable Law to deduct or withhold any Taxes or Other Taxes from or in respect of any sum payable by any Loan Party to any Lender or Administrative Agent under this Agreement or any other Transaction Document, then, subject to </w:t>
      </w:r>
      <w:r>
        <w:rPr>
          <w:rFonts w:ascii="Times New Roman;sans-serif" w:hAnsi="Times New Roman;sans-serif"/>
          <w:b w:val="false"/>
          <w:color w:val="000000"/>
          <w:sz w:val="24"/>
          <w:u w:val="single"/>
        </w:rPr>
        <w:t>clause (g)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below: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the sum payable by such Loan Party shall be increased to the extent necessary so that after making all required deductions (including deductions applicable to additional sums payable under this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xml:space="preserve">), such Lender or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855345"/>
                <wp:effectExtent l="0" t="0" r="0" b="0"/>
                <wp:wrapNone/>
                <wp:docPr id="200" name="Frame20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as the case may be, receives an amount equal to the sum it would have received had no such deductions been made;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such Loan Party or Administrative Agent shall make such deductions, as applicable;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such Loan Party or Administrative Agent, as applicable, shall pay the full amount deducted to the relevant Governmental Authority in accordance with Applicable Law.</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(e)    Within thirty (30) days after the date of any payment by any Loan Party of Taxes or Other Taxes to a Governmental Authority, such Loan Party shall furnish to Administrative Agent (and the applicable Lender) the original or a certified copy of a receipt evidencing payment thereof, or other evidence of payment reasonably satisfactory to Administrative Agent (and the applicable Lender).</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(f)    Each Lender that is not a U.S. Lender (as defined below), or that is otherwise a “foreign person” within the meaning of Treasury Regulation Section 1.1441-1(c) (a “</w:t>
      </w:r>
      <w:r>
        <w:rPr>
          <w:rFonts w:ascii="Times New Roman;sans-serif" w:hAnsi="Times New Roman;sans-serif"/>
          <w:b/>
          <w:color w:val="000000"/>
          <w:sz w:val="24"/>
        </w:rPr>
        <w:t>Non-U.S. Lender</w:t>
      </w:r>
      <w:r>
        <w:rPr>
          <w:color w:val="000000"/>
        </w:rPr>
        <w:t>”</w:t>
      </w:r>
      <w:r>
        <w:rPr>
          <w:rFonts w:ascii="Times New Roman;sans-serif" w:hAnsi="Times New Roman;sans-serif"/>
          <w:b w:val="false"/>
          <w:color w:val="000000"/>
          <w:sz w:val="24"/>
        </w:rPr>
        <w:t xml:space="preserve">), shall deliver to Borrower and Administrative Agent two (2) copies of an applicable U.S. Internal Revenue Service Form W-8BEN or W-8BEN-E, Form W-8IMY or Form W-8ECI, or any subsequent versions thereof or successors thereto, properly completed and duly executed by such Non-U.S. Lender claiming complete exemption from United States federal withholding tax on all payments by Borrower under this Agreement and the other Transaction Documents. Such forms shall be delivered by each Non-U.S. Lender on or before the date it becomes a party to this Agreement (and from time to time thereafter upon the reasonable request of the Borrower or the Administrative Agent). In addition, each Non-U.S. Lender shall deliver such forms promptly upon the obsolescence or invalidity of any form previously delivered by such Non-U.S. Lender. In addition to properly completing and duly executing an applicable U.S. Internal Revenue Service Form W-8BEN or W-8BEN-E, Form W-8IMY or Form W-8ECI (or any subsequent versions thereof or successors thereto), if such Non-U.S. Lender is claiming an exemption from withholding of United States federal income tax under section 871(h) or 881(c) of the Code, such Lender shall provide Borrower and Administrative Agent with a certificate to the effect that (A) it is not a “bank” within the meaning of section 881(c)(3)(A) of the Code, (B) it is not a “10-percent shareholder” of Borrower within the meaning of section 871(h)(3)(B) of the Code, and (C) it is not a controlled foreign corporation receiving interest from a related person within the meaning of section 881(c)(3)(C) of the Code. Each Non-U.S. Lender shall promptly notify Borrower and Administrative Agent (and each Participant (as described below) shall promptly notify the Lender from which the related participation shall have been purchased) at any time it determines that it is no longer in a position to provide any previously delivered form or certificate (or any other form of certification adopted by the U.S. taxing authorities for such purpose). On or before the date on which a U.S. Lender (described below) becomes a Lender under this Agreement (and from time to time thereafter upon the reasonable request of the Borrower or the Administrative Agent), any Lender that is an individual citizen or resident of the United States of America, a corporation or partnership (or other entity taxed as such for United States federal income tax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855345"/>
                <wp:effectExtent l="0" t="0" r="0" b="0"/>
                <wp:wrapNone/>
                <wp:docPr id="201" name="Frame20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purposes) created or organized in or under the laws of the United States (or any jurisdiction thereof), or any estate or trust that is subject to United States federal income taxation regardless of the source of its income (a “</w:t>
      </w:r>
      <w:r>
        <w:rPr>
          <w:rFonts w:ascii="Times New Roman;sans-serif" w:hAnsi="Times New Roman;sans-serif"/>
          <w:b/>
          <w:color w:val="000000"/>
          <w:sz w:val="24"/>
        </w:rPr>
        <w:t>U.S. Lender</w:t>
      </w:r>
      <w:r>
        <w:rPr>
          <w:color w:val="000000"/>
        </w:rPr>
        <w:t>”</w:t>
      </w:r>
      <w:r>
        <w:rPr>
          <w:rFonts w:ascii="Times New Roman;sans-serif" w:hAnsi="Times New Roman;sans-serif"/>
          <w:b w:val="false"/>
          <w:color w:val="000000"/>
          <w:sz w:val="24"/>
        </w:rPr>
        <w:t xml:space="preserve">) shall deliver to Borrower and Administrative Agent (i) a properly prepared and duly executed U.S. Internal Revenue Service Form W-9, or any subsequent versions thereof or successors thereto, certifying that such Lender is exempt from United States federal backup withholding tax, and (ii) such other reasonable documentation as will enable Borrower and/or Administrative Agent to determine whether or not such Lender is subject to backup withholding or information reporting requirements. Each Person that shall become a Participant pursuant to </w:t>
      </w:r>
      <w:r>
        <w:rPr>
          <w:rFonts w:ascii="Times New Roman;sans-serif" w:hAnsi="Times New Roman;sans-serif"/>
          <w:b w:val="false"/>
          <w:color w:val="000000"/>
          <w:sz w:val="24"/>
          <w:u w:val="single"/>
        </w:rPr>
        <w:t>Section 12.2</w:t>
      </w:r>
      <w:r>
        <w:rPr>
          <w:color w:val="000000"/>
        </w:rPr>
        <w:t xml:space="preserve"> </w:t>
      </w:r>
      <w:r>
        <w:rPr>
          <w:rFonts w:ascii="Times New Roman;sans-serif" w:hAnsi="Times New Roman;sans-serif"/>
          <w:b w:val="false"/>
          <w:color w:val="000000"/>
          <w:sz w:val="24"/>
        </w:rPr>
        <w:t xml:space="preserve">shall, on or before the date of the effectiveness of the related transfer, be required to provide all of the forms, certifications and statements required pursuant to this </w:t>
      </w:r>
      <w:r>
        <w:rPr>
          <w:rFonts w:ascii="Times New Roman;sans-serif" w:hAnsi="Times New Roman;sans-serif"/>
          <w:b w:val="false"/>
          <w:color w:val="000000"/>
          <w:sz w:val="24"/>
          <w:u w:val="single"/>
        </w:rPr>
        <w:t>clause (f)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clauses (h)</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below, and shall, if required, make the certifications set forth above in </w:t>
      </w:r>
      <w:r>
        <w:rPr>
          <w:rFonts w:ascii="Times New Roman;sans-serif" w:hAnsi="Times New Roman;sans-serif"/>
          <w:b w:val="false"/>
          <w:color w:val="000000"/>
          <w:sz w:val="24"/>
          <w:u w:val="single"/>
        </w:rPr>
        <w:t>sub-clauses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13.8(f)</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obligations of such Participant, pursuant to this </w:t>
      </w:r>
      <w:r>
        <w:rPr>
          <w:rFonts w:ascii="Times New Roman;sans-serif" w:hAnsi="Times New Roman;sans-serif"/>
          <w:b w:val="false"/>
          <w:color w:val="000000"/>
          <w:sz w:val="24"/>
          <w:u w:val="single"/>
        </w:rPr>
        <w:t>clause (f)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clauses (h)</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below, shall be determined as if such Participant were a Lender except that such Participant shall furnish all such required forms, certifications and statements to the Lender from which the related participation shall have been purchased. Notwithstanding any other provision of this section, a Lender or Participant shall not be required to deliver any form or certificate pursuant to this </w:t>
      </w:r>
      <w:r>
        <w:rPr>
          <w:rFonts w:ascii="Times New Roman;sans-serif" w:hAnsi="Times New Roman;sans-serif"/>
          <w:b w:val="false"/>
          <w:color w:val="000000"/>
          <w:sz w:val="24"/>
          <w:u w:val="single"/>
        </w:rPr>
        <w:t>clause (f)</w:t>
      </w:r>
      <w:r>
        <w:rPr>
          <w:color w:val="000000"/>
        </w:rPr>
        <w:t xml:space="preserve"> </w:t>
      </w:r>
      <w:r>
        <w:rPr>
          <w:rFonts w:ascii="Times New Roman;sans-serif" w:hAnsi="Times New Roman;sans-serif"/>
          <w:b w:val="false"/>
          <w:color w:val="000000"/>
          <w:sz w:val="24"/>
        </w:rPr>
        <w:t>that such Lender or Participant is not legally able or eligible to deliver.</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(g)    No Loan Party will be required to pay any additional amounts pursuant to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above to any Lender or Administrative Agent or to indemnify any Lender or Administrative Agent pursuant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above to the extent that the obligation to pay such additional amounts or to make such indemnity payments would not have arisen but for a failure by the relevant Lender to comply with its obligations under </w:t>
      </w:r>
      <w:r>
        <w:rPr>
          <w:rFonts w:ascii="Times New Roman;sans-serif" w:hAnsi="Times New Roman;sans-serif"/>
          <w:b w:val="false"/>
          <w:color w:val="000000"/>
          <w:sz w:val="24"/>
          <w:u w:val="single"/>
        </w:rPr>
        <w:t>Section 13.8(f)</w:t>
      </w:r>
      <w:r>
        <w:rPr>
          <w:color w:val="000000"/>
        </w:rPr>
        <w:t xml:space="preserve"> </w:t>
      </w:r>
      <w:r>
        <w:rPr>
          <w:rFonts w:ascii="Times New Roman;sans-serif" w:hAnsi="Times New Roman;sans-serif"/>
          <w:b w:val="false"/>
          <w:color w:val="000000"/>
          <w:sz w:val="24"/>
        </w:rPr>
        <w:t xml:space="preserve">for any reason. In addition, no Loan Party will be required to pay any additional amounts in respect of United States federal withholding tax pursuant to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above to any Lender or Administrative Agent or to indemnify any Lender or Administrative Agent pursuant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 xml:space="preserve">above in respect of any United States federal withholding tax to the extent that, with respect to a Lender, the obligation to withhold amounts with respect to United States federal tax existed on the date such Lender acquires its interest in a Loan or Commitment (other than pursuant to an assignment request by Borrower pursuant to </w:t>
      </w:r>
      <w:r>
        <w:rPr>
          <w:rFonts w:ascii="Times New Roman;sans-serif" w:hAnsi="Times New Roman;sans-serif"/>
          <w:b w:val="false"/>
          <w:color w:val="000000"/>
          <w:sz w:val="24"/>
          <w:u w:val="single"/>
        </w:rPr>
        <w:t>Section 12.2(h)</w:t>
      </w:r>
      <w:r>
        <w:rPr>
          <w:rFonts w:ascii="Times New Roman;sans-serif" w:hAnsi="Times New Roman;sans-serif"/>
          <w:b w:val="false"/>
          <w:color w:val="000000"/>
          <w:sz w:val="24"/>
        </w:rPr>
        <w:t>) or, with respect to payments to a lending office newly designated by a Lender (a “</w:t>
      </w:r>
      <w:r>
        <w:rPr>
          <w:rFonts w:ascii="Times New Roman;sans-serif" w:hAnsi="Times New Roman;sans-serif"/>
          <w:b/>
          <w:color w:val="000000"/>
          <w:sz w:val="24"/>
        </w:rPr>
        <w:t>New Lending Office</w:t>
      </w:r>
      <w:r>
        <w:rPr>
          <w:color w:val="000000"/>
        </w:rPr>
        <w:t>”</w:t>
      </w:r>
      <w:r>
        <w:rPr>
          <w:rFonts w:ascii="Times New Roman;sans-serif" w:hAnsi="Times New Roman;sans-serif"/>
          <w:b w:val="false"/>
          <w:color w:val="000000"/>
          <w:sz w:val="24"/>
        </w:rPr>
        <w:t xml:space="preserve">), the date such Lender designated such New Lending Office with respect to the applicable Term Loan;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sentence shall not apply to the extent the additional amounts any Lender, or Lender through a New Lending Office, would be entitled to receive (without regard to this sentence) do not exceed the additional amounts that the Lender making the transfer, or Lender making the designation of such New Lending Office, would have been entitled to receive in the absence of such transfer or designation.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(h)    Each Non-U.S. Lender agrees to provide Borrower and Administrative Agent, upon the reasonable request of Borrower, such other forms or documents as may be reasonably required under Applicable Law in order to establish an exemption from or eligibility for a reduction in the rate or imposition of Taxes or Other Taxes with respect to payments under this Agreement or any other Transaction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the provision of such forms or documents shall not be required if in the Non-U.S. Lender’s reasonable judgment such provision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855345"/>
                <wp:effectExtent l="0" t="0" r="0" b="0"/>
                <wp:wrapNone/>
                <wp:docPr id="202" name="Frame20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would subject such Non-U.S. Lender to any material unreimbursed cost of expense or would materially prejudice the legal or commercial position of such Non-U.S. Lender. If, at any time, Borrower requests any Non-U.S. Lender to deliver any such additional forms or other documentation, then Borrower shall, on demand of such Non-U.S. Lender through Administrative Agent, reimburse such Non-U.S. Lender for any out-of-pocket costs and expenses (including reasonable attorneys’ fees and expenses) reasonably incurred by such Non-U.S. Lender in the preparation or delivery of such forms or other documentation.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(i)    If a payment to be made to a Lender under any Transaction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Account Bank, and Administrative Agent at the time or times prescribed by Applicable Law and at such time or times reasonably requested by Borrower, Account Bank or Administrative Agent such documentation prescribed by Applicable Law (including as prescribed by section 1471(b)(3)(C)(i) of the Code) and such additional documentation reasonably requested by Borrower, Account Bank or Administrative Agent as may be necessary for Borrower, Account Bank and Administrative Agent to comply with their respective obligations under FATCA, to determine whether such Lender has complied with such Lender’s obligations under FATCA, and to determine the amount of Tax (if any) to deduct and withhold from such payment. Solely for purposes of this </w:t>
      </w:r>
      <w:r>
        <w:rPr>
          <w:rFonts w:ascii="Times New Roman;sans-serif" w:hAnsi="Times New Roman;sans-serif"/>
          <w:b w:val="false"/>
          <w:color w:val="000000"/>
          <w:sz w:val="24"/>
          <w:u w:val="single"/>
        </w:rPr>
        <w:t>Section 13.8(i)</w:t>
      </w:r>
      <w:r>
        <w:rPr>
          <w:rFonts w:ascii="Times New Roman;sans-serif" w:hAnsi="Times New Roman;sans-serif"/>
          <w:b w:val="false"/>
          <w:color w:val="000000"/>
          <w:sz w:val="24"/>
        </w:rPr>
        <w:t>, “</w:t>
      </w:r>
      <w:r>
        <w:rPr>
          <w:rFonts w:ascii="Times New Roman;sans-serif" w:hAnsi="Times New Roman;sans-serif"/>
          <w:b/>
          <w:color w:val="000000"/>
          <w:sz w:val="24"/>
        </w:rPr>
        <w:t>FATCA</w:t>
      </w:r>
      <w:r>
        <w:rPr>
          <w:color w:val="000000"/>
        </w:rPr>
        <w:t xml:space="preserve">” </w:t>
      </w:r>
      <w:r>
        <w:rPr>
          <w:rFonts w:ascii="Times New Roman;sans-serif" w:hAnsi="Times New Roman;sans-serif"/>
          <w:b w:val="false"/>
          <w:color w:val="000000"/>
          <w:sz w:val="24"/>
        </w:rPr>
        <w:t xml:space="preserve">shall include any amendments made to FATCA after the date of this Agreement. Upon request from the Account Bank, Borrower will provide such additional information that it may have to assist the Account Bank in making any withholdings or informational reports. For avoidance of doubt, no Loan Party will be required to pay any additional amounts pursuant to </w:t>
      </w:r>
      <w:r>
        <w:rPr>
          <w:rFonts w:ascii="Times New Roman;sans-serif" w:hAnsi="Times New Roman;sans-serif"/>
          <w:b w:val="false"/>
          <w:color w:val="000000"/>
          <w:sz w:val="24"/>
          <w:u w:val="single"/>
        </w:rPr>
        <w:t>clause (d)</w:t>
      </w:r>
      <w:r>
        <w:rPr>
          <w:color w:val="000000"/>
        </w:rPr>
        <w:t xml:space="preserve"> </w:t>
      </w:r>
      <w:r>
        <w:rPr>
          <w:rFonts w:ascii="Times New Roman;sans-serif" w:hAnsi="Times New Roman;sans-serif"/>
          <w:b w:val="false"/>
          <w:color w:val="000000"/>
          <w:sz w:val="24"/>
        </w:rPr>
        <w:t xml:space="preserve">above to any Lender or to indemnify any Lender pursuant to </w:t>
      </w:r>
      <w:r>
        <w:rPr>
          <w:rFonts w:ascii="Times New Roman;sans-serif" w:hAnsi="Times New Roman;sans-serif"/>
          <w:b w:val="false"/>
          <w:color w:val="000000"/>
          <w:sz w:val="24"/>
          <w:u w:val="single"/>
        </w:rPr>
        <w:t>clause (c)</w:t>
      </w:r>
      <w:r>
        <w:rPr>
          <w:color w:val="000000"/>
        </w:rPr>
        <w:t xml:space="preserve"> </w:t>
      </w:r>
      <w:r>
        <w:rPr>
          <w:rFonts w:ascii="Times New Roman;sans-serif" w:hAnsi="Times New Roman;sans-serif"/>
          <w:b w:val="false"/>
          <w:color w:val="000000"/>
          <w:sz w:val="24"/>
        </w:rPr>
        <w:t>above for any U.S. federal withholding Taxes imposed under FATCA.</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(j)    Notwithstanding anything herein to the contrary, if Administrative Agent is required by Applicable Law to deduct or withhold any Taxes or Other Taxes or any other taxes from or in respect of any sum payable to any Lender by any Loan Party or Administrative Agent, Administrative Agent shall not be required to make any gross-up payment to or in respect of such Lender, except to the extent that a corresponding gross-up payment is actually received by Administrative Agent from such Loan Party, as applicable.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(k)    Any Lender claiming reimbursement or compensation pursuant to this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shall deliver to the Loan Parties (with a copy to Administrative Agent) a certificate setting forth in reasonable detail the amount payable to such Lender hereunder and such certificate shall be conclusive and binding on the Loan Parties in the absence of manifest error.</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(l)    The agreements and obligations of the Loan Parties in this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shall survive the resignation or replacement of the Administrative Agent or any assignment of rights by, or the replacement of, a Lender, the repayment of all obligations under any Transaction Document and the payment of all other Obligations.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Treatment of Certain Refunds</w:t>
      </w:r>
      <w:r>
        <w:rPr>
          <w:rFonts w:ascii="Times New Roman;sans-serif" w:hAnsi="Times New Roman;sans-serif"/>
          <w:b w:val="false"/>
          <w:color w:val="000000"/>
          <w:sz w:val="24"/>
        </w:rPr>
        <w:t xml:space="preserve">. If any party determines, in its sole discretion exercised in good faith, that it has received a refund of any Taxes as to which it has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855345"/>
                <wp:effectExtent l="0" t="0" r="0" b="0"/>
                <wp:wrapNone/>
                <wp:docPr id="203" name="Frame20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been indemnified pursuant to this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(including by the payment of additional amounts pursuant to this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xml:space="preserve">), it shall pay to the indemnifying party an amount equal to such refund (but only to the extent of indemnity payments made under this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4"/>
          <w:u w:val="single"/>
        </w:rPr>
        <w:t>clause (m)</w:t>
      </w:r>
      <w:r>
        <w:rPr>
          <w:color w:val="000000"/>
        </w:rPr>
        <w:t xml:space="preserve"> </w:t>
      </w:r>
      <w:r>
        <w:rPr>
          <w:rFonts w:ascii="Times New Roman;sans-serif" w:hAnsi="Times New Roman;sans-serif"/>
          <w:b w:val="false"/>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ans-serif" w:hAnsi="Times New Roman;sans-serif"/>
          <w:b w:val="false"/>
          <w:color w:val="000000"/>
          <w:sz w:val="24"/>
          <w:u w:val="single"/>
        </w:rPr>
        <w:t>clause (m)</w:t>
      </w:r>
      <w:r>
        <w:rPr>
          <w:rFonts w:ascii="Times New Roman;sans-serif" w:hAnsi="Times New Roman;sans-serif"/>
          <w:b w:val="false"/>
          <w:color w:val="000000"/>
          <w:sz w:val="24"/>
        </w:rPr>
        <w:t xml:space="preserve">, in no event will the indemnified party be required to pay any amount to an indemnifying party pursuant to this </w:t>
      </w:r>
      <w:r>
        <w:rPr>
          <w:rFonts w:ascii="Times New Roman;sans-serif" w:hAnsi="Times New Roman;sans-serif"/>
          <w:b w:val="false"/>
          <w:color w:val="000000"/>
          <w:sz w:val="24"/>
          <w:u w:val="single"/>
        </w:rPr>
        <w:t>clause (m)</w:t>
      </w:r>
      <w:r>
        <w:rPr>
          <w:color w:val="000000"/>
        </w:rPr>
        <w:t xml:space="preserve"> </w:t>
      </w:r>
      <w:r>
        <w:rPr>
          <w:rFonts w:ascii="Times New Roman;sans-serif" w:hAnsi="Times New Roman;sans-serif"/>
          <w:b w:val="false"/>
          <w:color w:val="000000"/>
          <w:sz w:val="24"/>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ans-serif" w:hAnsi="Times New Roman;sans-serif"/>
          <w:b w:val="false"/>
          <w:color w:val="000000"/>
          <w:sz w:val="24"/>
          <w:u w:val="single"/>
        </w:rPr>
        <w:t>clause (m)</w:t>
      </w:r>
      <w:r>
        <w:rPr>
          <w:color w:val="000000"/>
        </w:rPr>
        <w:t xml:space="preserve"> </w:t>
      </w:r>
      <w:r>
        <w:rPr>
          <w:rFonts w:ascii="Times New Roman;sans-serif" w:hAnsi="Times New Roman;sans-serif"/>
          <w:b w:val="false"/>
          <w:color w:val="000000"/>
          <w:sz w:val="24"/>
        </w:rPr>
        <w:t>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pPr>
      <w:r>
        <w:rPr>
          <w:rFonts w:ascii="Times New Roman;sans-serif" w:hAnsi="Times New Roman;sans-serif"/>
          <w:b/>
          <w:color w:val="000000"/>
          <w:sz w:val="24"/>
        </w:rPr>
        <w:t>13.9    Patriot Act and other KYC Requirements</w:t>
      </w:r>
      <w:r>
        <w:rPr>
          <w:rFonts w:ascii="Times New Roman;sans-serif" w:hAnsi="Times New Roman;sans-serif"/>
          <w:b w:val="false"/>
          <w:color w:val="000000"/>
          <w:sz w:val="24"/>
        </w:rPr>
        <w:t>. Each Lender that is subject to the requirements of the Patriot Act and Administrative Agent (for itself and not on behalf of any Lender) hereby notifies the Loan Parties that pursuant to the requirements of the Patriot Act, it is required to obtain, verify and record information that identifies each Loan Party, which information includes the name and address of such Loan Party and other information that will allow Administrative Agent and each Lender to identify such Loan Party in accordance with the Patriot Act. Each Loan Party shall, promptly following a request by Administrative Agent or any Lender, provide all documentation and other information that Administrative Agent or such Lender requests in order to comply with its ongoing obligations under applicable “know your customer” and anti-money laundering rules and regulations, including the Patriot Act and the Beneficial Ownership Regulation.</w:t>
      </w:r>
    </w:p>
    <w:p>
      <w:pPr>
        <w:pStyle w:val="TextBody"/>
        <w:bidi w:val="0"/>
        <w:spacing w:lineRule="auto" w:line="288" w:before="0" w:after="240"/>
        <w:ind w:left="0" w:right="0" w:firstLine="720"/>
        <w:jc w:val="both"/>
        <w:rPr/>
      </w:pPr>
      <w:r>
        <w:rPr>
          <w:rFonts w:ascii="Times New Roman;sans-serif" w:hAnsi="Times New Roman;sans-serif"/>
          <w:b/>
          <w:color w:val="000000"/>
          <w:sz w:val="24"/>
        </w:rPr>
        <w:t>13.10    Manager</w:t>
      </w:r>
      <w:r>
        <w:rPr>
          <w:color w:val="000000"/>
        </w:rPr>
        <w:t xml:space="preserve"> </w:t>
      </w:r>
      <w:r>
        <w:rPr>
          <w:rFonts w:ascii="Times New Roman;sans-serif" w:hAnsi="Times New Roman;sans-serif"/>
          <w:b/>
          <w:color w:val="000000"/>
          <w:sz w:val="24"/>
        </w:rPr>
        <w:t>and Managing Standard</w:t>
      </w:r>
      <w:r>
        <w:rPr>
          <w:rFonts w:ascii="Times New Roman;sans-serif" w:hAnsi="Times New Roman;sans-serif"/>
          <w:b w:val="false"/>
          <w:color w:val="000000"/>
          <w:sz w:val="24"/>
        </w:rPr>
        <w:t>. Subject to the terms and conditions contained in the Management Agreement, as of the Closing Date, each Lender shall engage Uniti Fiber Holdings Inc. as the manager under this Agreement and the other Transaction Documents, to perform the services described therein.</w:t>
      </w:r>
    </w:p>
    <w:p>
      <w:pPr>
        <w:pStyle w:val="TextBody"/>
        <w:bidi w:val="0"/>
        <w:spacing w:lineRule="auto" w:line="288" w:before="0" w:after="240"/>
        <w:ind w:left="0" w:right="0" w:firstLine="720"/>
        <w:jc w:val="both"/>
        <w:rPr/>
      </w:pPr>
      <w:r>
        <w:rPr>
          <w:rFonts w:ascii="Times New Roman;sans-serif" w:hAnsi="Times New Roman;sans-serif"/>
          <w:b/>
          <w:color w:val="000000"/>
          <w:sz w:val="24"/>
        </w:rPr>
        <w:t>13.11    Withholding Tax</w:t>
      </w:r>
      <w:r>
        <w:rPr>
          <w:rFonts w:ascii="Times New Roman;sans-serif" w:hAnsi="Times New Roman;sans-serif"/>
          <w:b w:val="false"/>
          <w:color w:val="000000"/>
          <w:sz w:val="24"/>
        </w:rPr>
        <w:t xml:space="preserve">. To the extent required by any applicable law (as determined in good faith by the Administrative Agent), the Administrative Agent may deduct or withhold from any payment to any Lender an amount equivalent to any applicable withholding Tax. Each Lender shall indemnify and hold harmless the Administrative Agent, within ten (10) days after demand thereof, for (i) any Taxes attributable to such Lender that are Other Taxes or Taxes that are imposed on or with respect to any payments made by or on account of any obligations of Borrower or any other Loan Party under this Agreement or any other Transaction Document (to the extent that the Administrative Agent has not already been reimbursed by the Loan Parties for such Taxes pursuant to </w:t>
      </w:r>
      <w:r>
        <w:rPr>
          <w:rFonts w:ascii="Times New Roman;sans-serif" w:hAnsi="Times New Roman;sans-serif"/>
          <w:b w:val="false"/>
          <w:color w:val="000000"/>
          <w:sz w:val="24"/>
          <w:u w:val="single"/>
        </w:rPr>
        <w:t>Section 13.8</w:t>
      </w:r>
      <w:r>
        <w:rPr>
          <w:color w:val="000000"/>
        </w:rPr>
        <w:t xml:space="preserve"> </w:t>
      </w:r>
      <w:r>
        <w:rPr>
          <w:rFonts w:ascii="Times New Roman;sans-serif" w:hAnsi="Times New Roman;sans-serif"/>
          <w:b w:val="false"/>
          <w:color w:val="000000"/>
          <w:sz w:val="24"/>
        </w:rPr>
        <w:t xml:space="preserve">and without limiting any obligation of the Loan Parties to do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855345"/>
                <wp:effectExtent l="0" t="0" r="0" b="0"/>
                <wp:wrapNone/>
                <wp:docPr id="204" name="Frame20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so pursuant to </w:t>
      </w:r>
      <w:r>
        <w:rPr>
          <w:rFonts w:ascii="Times New Roman;sans-serif" w:hAnsi="Times New Roman;sans-serif"/>
          <w:b w:val="false"/>
          <w:color w:val="000000"/>
          <w:sz w:val="24"/>
          <w:u w:val="single"/>
        </w:rPr>
        <w:t>Section 13.8)</w:t>
      </w:r>
      <w:r>
        <w:rPr>
          <w:rFonts w:ascii="Times New Roman;sans-serif" w:hAnsi="Times New Roman;sans-serif"/>
          <w:b w:val="false"/>
          <w:color w:val="000000"/>
          <w:sz w:val="24"/>
        </w:rPr>
        <w:t xml:space="preserve">, (ii) any Taxes attributable to such Lender’s failure to comply with the provisions of </w:t>
      </w:r>
      <w:r>
        <w:rPr>
          <w:rFonts w:ascii="Times New Roman;sans-serif" w:hAnsi="Times New Roman;sans-serif"/>
          <w:b w:val="false"/>
          <w:color w:val="000000"/>
          <w:sz w:val="24"/>
          <w:u w:val="single"/>
        </w:rPr>
        <w:t>Section 12.2(e)</w:t>
      </w:r>
      <w:r>
        <w:rPr>
          <w:color w:val="000000"/>
        </w:rPr>
        <w:t xml:space="preserve"> </w:t>
      </w:r>
      <w:r>
        <w:rPr>
          <w:rFonts w:ascii="Times New Roman;sans-serif" w:hAnsi="Times New Roman;sans-serif"/>
          <w:b w:val="false"/>
          <w:color w:val="000000"/>
          <w:sz w:val="24"/>
        </w:rPr>
        <w:t xml:space="preserve">relating to the maintenance of a Participant Register, and (iii) any Taxes attributable to such Lender, in each case, that are payable or paid by the Administrative Agent in connection with any Transaction Document, together with all reasonable expenses, incurred in connection therewith,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Transaction Document or otherwise payable by the Administrative Agent to such Lender from any other source against any amount due to the Administrative Agent under this </w:t>
      </w:r>
      <w:r>
        <w:rPr>
          <w:rFonts w:ascii="Times New Roman;sans-serif" w:hAnsi="Times New Roman;sans-serif"/>
          <w:b w:val="false"/>
          <w:color w:val="000000"/>
          <w:sz w:val="24"/>
          <w:u w:val="single"/>
        </w:rPr>
        <w:t>Section 13.11</w:t>
      </w:r>
      <w:r>
        <w:rPr>
          <w:rFonts w:ascii="Times New Roman;sans-serif" w:hAnsi="Times New Roman;sans-serif"/>
          <w:b w:val="false"/>
          <w:color w:val="000000"/>
          <w:sz w:val="24"/>
        </w:rPr>
        <w:t xml:space="preserve">. The agreements in this </w:t>
      </w:r>
      <w:r>
        <w:rPr>
          <w:rFonts w:ascii="Times New Roman;sans-serif" w:hAnsi="Times New Roman;sans-serif"/>
          <w:b w:val="false"/>
          <w:color w:val="000000"/>
          <w:sz w:val="24"/>
          <w:u w:val="single"/>
        </w:rPr>
        <w:t>Section 13.11</w:t>
      </w:r>
      <w:r>
        <w:rPr>
          <w:color w:val="000000"/>
        </w:rPr>
        <w:t xml:space="preserve"> </w:t>
      </w:r>
      <w:r>
        <w:rPr>
          <w:rFonts w:ascii="Times New Roman;sans-serif" w:hAnsi="Times New Roman;sans-serif"/>
          <w:b w:val="false"/>
          <w:color w:val="000000"/>
          <w:sz w:val="24"/>
        </w:rPr>
        <w:t>shall survive the resignation and/or replacement of the Administrative Agent, any assignment of rights by, or the replacement of, a Lender, any assignment of rights by a Loan Party, the termination of this Agreement and the repayment, satisfaction or discharge of all other obligations under any Transaction Document.</w:t>
      </w:r>
    </w:p>
    <w:p>
      <w:pPr>
        <w:pStyle w:val="TextBody"/>
        <w:bidi w:val="0"/>
        <w:spacing w:lineRule="auto" w:line="288" w:before="0" w:after="240"/>
        <w:ind w:left="0" w:right="0" w:firstLine="720"/>
        <w:jc w:val="both"/>
        <w:rPr/>
      </w:pPr>
      <w:r>
        <w:rPr>
          <w:rFonts w:ascii="Times New Roman;sans-serif" w:hAnsi="Times New Roman;sans-serif"/>
          <w:b/>
          <w:color w:val="000000"/>
          <w:sz w:val="24"/>
        </w:rPr>
        <w:t>13.12    Interest Rate Protection Agreements</w:t>
      </w:r>
      <w:r>
        <w:rPr>
          <w:rFonts w:ascii="Times New Roman;sans-serif" w:hAnsi="Times New Roman;sans-serif"/>
          <w:b w:val="false"/>
          <w:color w:val="000000"/>
          <w:sz w:val="24"/>
        </w:rPr>
        <w:t xml:space="preserve">. Except as otherwise expressly set forth herein, no Counterparty that obtains the benefits conferred herein by virtue of the provisions hereof or any other Transaction Document shall have any right to notice of any action or to consent to, direct or object to any action hereunder or under any other Transaction Document or otherwise in respect of the Collateral (including the release or impairment of any Collateral) other than in its capacity as a Lender and, in such case, only to the extent expressly provided in the Transactions Documents. Notwithstanding any other provision of this </w:t>
      </w:r>
      <w:r>
        <w:rPr>
          <w:rFonts w:ascii="Times New Roman;sans-serif" w:hAnsi="Times New Roman;sans-serif"/>
          <w:b w:val="false"/>
          <w:color w:val="000000"/>
          <w:sz w:val="24"/>
          <w:u w:val="single"/>
        </w:rPr>
        <w:t>Article XIII</w:t>
      </w:r>
      <w:r>
        <w:rPr>
          <w:color w:val="000000"/>
        </w:rPr>
        <w:t xml:space="preserve"> </w:t>
      </w:r>
      <w:r>
        <w:rPr>
          <w:rFonts w:ascii="Times New Roman;sans-serif" w:hAnsi="Times New Roman;sans-serif"/>
          <w:b w:val="false"/>
          <w:color w:val="000000"/>
          <w:sz w:val="24"/>
        </w:rPr>
        <w:t>to the contrary, the Administrative Agent shall not be required to verify the payment of, or that other satisfactory arrangements have been made with respect to, Secured Swap Obligations unless the Administrative Agent has received written notice of such Secured Obligations, together with such supporting documentation as the Administrative Agent may reasonably request, from the applicable Counterparty. The Administrative Agent shall not be required to verify the payment of, or that other satisfactory arrangements have been made with respect to, Secured Swap Obligations in the case of a release of liens and guarantees in connection with the payment in full of the Secured Obligations (other than (x) Secured Swap Obligations and (y) contingent indemnification obligations and other contingent obligations not yet accrued and payable).</w:t>
      </w:r>
    </w:p>
    <w:p>
      <w:pPr>
        <w:pStyle w:val="TextBody"/>
        <w:bidi w:val="0"/>
        <w:spacing w:lineRule="auto" w:line="288" w:before="0" w:after="240"/>
        <w:ind w:left="0" w:right="0" w:firstLine="720"/>
        <w:jc w:val="both"/>
        <w:rPr/>
      </w:pPr>
      <w:r>
        <w:rPr>
          <w:rFonts w:ascii="Times New Roman;sans-serif" w:hAnsi="Times New Roman;sans-serif"/>
          <w:b/>
          <w:color w:val="000000"/>
          <w:sz w:val="24"/>
        </w:rPr>
        <w:t>13.13    Erroneous Payments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If the Administrative Agent (x) notifies a Lender or Counterparty, or any Person who has received funds on behalf of a Lender or Counterparty (any such Lender, Counterparty or other recipient (and each of their respective successors and assigns), a “</w:t>
      </w:r>
      <w:r>
        <w:rPr>
          <w:rFonts w:ascii="Times New Roman;sans-serif" w:hAnsi="Times New Roman;sans-serif"/>
          <w:b w:val="false"/>
          <w:color w:val="000000"/>
          <w:sz w:val="24"/>
          <w:u w:val="single"/>
        </w:rPr>
        <w:t>Payment Recipient</w:t>
      </w:r>
      <w:r>
        <w:rPr>
          <w:color w:val="000000"/>
        </w:rPr>
        <w:t>”</w:t>
      </w:r>
      <w:r>
        <w:rPr>
          <w:rFonts w:ascii="Times New Roman;sans-serif" w:hAnsi="Times New Roman;sans-serif"/>
          <w:b w:val="false"/>
          <w:color w:val="000000"/>
          <w:sz w:val="24"/>
        </w:rPr>
        <w:t xml:space="preserve">) that the Administrative Agent has determined in its sole discretion (whether or not after receipt of any notice under immediately succeeding </w:t>
      </w:r>
      <w:r>
        <w:rPr>
          <w:rFonts w:ascii="Times New Roman;sans-serif" w:hAnsi="Times New Roman;sans-serif"/>
          <w:b w:val="false"/>
          <w:color w:val="000000"/>
          <w:sz w:val="24"/>
          <w:u w:val="single"/>
        </w:rPr>
        <w:t>clause (b)</w:t>
      </w:r>
      <w:r>
        <w:rPr>
          <w:rFonts w:ascii="Times New Roman;sans-serif" w:hAnsi="Times New Roman;sans-serif"/>
          <w:b w:val="false"/>
          <w:color w:val="000000"/>
          <w:sz w:val="24"/>
        </w:rPr>
        <w:t xml:space="preserve">)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Counterparty or other Payment Recipient on its behalf) (any such funds, whether transmitted or received as a payment, prepayment or repayment of principal, interest, fees,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855345"/>
                <wp:effectExtent l="0" t="0" r="0" b="0"/>
                <wp:wrapNone/>
                <wp:docPr id="205" name="Frame20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distribution or otherwise, individually and collectively, an “</w:t>
      </w:r>
      <w:r>
        <w:rPr>
          <w:rFonts w:ascii="Times New Roman;sans-serif" w:hAnsi="Times New Roman;sans-serif"/>
          <w:b w:val="false"/>
          <w:color w:val="000000"/>
          <w:sz w:val="24"/>
          <w:u w:val="single"/>
        </w:rPr>
        <w:t>Erroneous Payment</w:t>
      </w:r>
      <w:r>
        <w:rPr>
          <w:color w:val="000000"/>
        </w:rPr>
        <w:t>”</w:t>
      </w:r>
      <w:r>
        <w:rPr>
          <w:rFonts w:ascii="Times New Roman;sans-serif" w:hAnsi="Times New Roman;sans-serif"/>
          <w:b w:val="false"/>
          <w:color w:val="000000"/>
          <w:sz w:val="24"/>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sans-serif" w:hAnsi="Times New Roman;sans-serif"/>
          <w:b w:val="false"/>
          <w:color w:val="000000"/>
          <w:sz w:val="24"/>
          <w:u w:val="single"/>
        </w:rPr>
        <w:t>Section 13.13</w:t>
      </w:r>
      <w:r>
        <w:rPr>
          <w:color w:val="000000"/>
        </w:rPr>
        <w:t xml:space="preserve"> </w:t>
      </w:r>
      <w:r>
        <w:rPr>
          <w:rFonts w:ascii="Times New Roman;sans-serif" w:hAnsi="Times New Roman;sans-serif"/>
          <w:b w:val="false"/>
          <w:color w:val="000000"/>
          <w:sz w:val="24"/>
        </w:rPr>
        <w:t xml:space="preserve">and held in trust for the benefit of the Administrative Agent, and such Lender or Counterparty shall (or, with respect to any Payment Recipient who received such funds on its behalf, shall cause such Payment Recipient to) promptly, but in no event later than one Business Day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shall be conclusive, absent manifest error.</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Without limiting the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each Lender, Counterparty or any Person who has received funds on behalf of a Lender or Counterparty (and each of their respective successors and assigns), agrees that if it (or a Payment Recipient on its behalf)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Counterparty, or other such recipient, otherwise becomes aware was transmitted, or received, in error or by mistake (in whole or in part), then in each such case: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w:t>
      </w:r>
      <w:r>
        <w:rPr>
          <w:rFonts w:ascii="Times New Roman;sans-serif" w:hAnsi="Times New Roman;sans-serif"/>
          <w:b w:val="false"/>
          <w:color w:val="000000"/>
          <w:sz w:val="24"/>
          <w:u w:val="single"/>
        </w:rPr>
        <w:t>clause (z)</w:t>
      </w:r>
      <w:r>
        <w:rPr>
          <w:rFonts w:ascii="Times New Roman;sans-serif" w:hAnsi="Times New Roman;sans-serif"/>
          <w:b w:val="false"/>
          <w:color w:val="000000"/>
          <w:sz w:val="24"/>
        </w:rPr>
        <w:t>), in each case, with respect to such payment, prepayment or repayment;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    such Lender or Counterparty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sans-serif" w:hAnsi="Times New Roman;sans-serif"/>
          <w:b w:val="false"/>
          <w:color w:val="000000"/>
          <w:sz w:val="24"/>
          <w:u w:val="single"/>
        </w:rPr>
        <w:t>Section 13.13(b)</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855345"/>
                <wp:effectExtent l="0" t="0" r="0" b="0"/>
                <wp:wrapNone/>
                <wp:docPr id="206" name="Frame20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For the avoidance of doubt, the failure to deliver a notice to the Administrative Agent pursuant to this </w:t>
      </w:r>
      <w:r>
        <w:rPr>
          <w:rFonts w:ascii="Times New Roman;sans-serif" w:hAnsi="Times New Roman;sans-serif"/>
          <w:b w:val="false"/>
          <w:color w:val="000000"/>
          <w:sz w:val="24"/>
          <w:u w:val="single"/>
        </w:rPr>
        <w:t>Section 13.13(b)</w:t>
      </w:r>
      <w:r>
        <w:rPr>
          <w:color w:val="000000"/>
        </w:rPr>
        <w:t xml:space="preserve"> </w:t>
      </w:r>
      <w:r>
        <w:rPr>
          <w:rFonts w:ascii="Times New Roman;sans-serif" w:hAnsi="Times New Roman;sans-serif"/>
          <w:b w:val="false"/>
          <w:color w:val="000000"/>
          <w:sz w:val="24"/>
        </w:rPr>
        <w:t xml:space="preserve">shall not have any effect on a Payment Recipient’s obligations pursuant to </w:t>
      </w:r>
      <w:r>
        <w:rPr>
          <w:rFonts w:ascii="Times New Roman;sans-serif" w:hAnsi="Times New Roman;sans-serif"/>
          <w:b w:val="false"/>
          <w:color w:val="000000"/>
          <w:sz w:val="24"/>
          <w:u w:val="single"/>
        </w:rPr>
        <w:t>Section 13.13(a)</w:t>
      </w:r>
      <w:r>
        <w:rPr>
          <w:color w:val="000000"/>
        </w:rPr>
        <w:t xml:space="preserve"> </w:t>
      </w:r>
      <w:r>
        <w:rPr>
          <w:rFonts w:ascii="Times New Roman;sans-serif" w:hAnsi="Times New Roman;sans-serif"/>
          <w:b w:val="false"/>
          <w:color w:val="000000"/>
          <w:sz w:val="24"/>
        </w:rPr>
        <w:t>or on whether or not an Erroneous Payment has been made.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Each Lender or Counterparty hereby authorizes the Administrative Agent to set off, net and apply any and all amounts at any time owing to such Lender or Counterparty under any Transaction Document, or otherwise payable or distributable by the Administrative Agent to such Lender or Counterparty under any Transaction Document or from any other source against any amount that the Administrative Agent has demanded to be returned under the immediately preceding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Counterparty, to the rights and interests of such Lender or Counterparty, as the case may be) under the Transaction Documents with respect to such amount (the “</w:t>
      </w:r>
      <w:r>
        <w:rPr>
          <w:rFonts w:ascii="Times New Roman;sans-serif" w:hAnsi="Times New Roman;sans-serif"/>
          <w:b w:val="false"/>
          <w:color w:val="000000"/>
          <w:sz w:val="24"/>
          <w:u w:val="single"/>
        </w:rPr>
        <w:t>Erroneous Payment Subrogation Rights</w:t>
      </w:r>
      <w:r>
        <w:rPr>
          <w:color w:val="000000"/>
        </w:rPr>
        <w:t>”</w:t>
      </w:r>
      <w:r>
        <w:rPr>
          <w:rFonts w:ascii="Times New Roman;sans-serif" w:hAnsi="Times New Roman;sans-serif"/>
          <w:b w:val="false"/>
          <w:color w:val="000000"/>
          <w:sz w:val="24"/>
        </w:rPr>
        <w:t xml:space="preserve">) and (y) an Erroneous Payment shall not pay, prepay, repay, discharge or otherwise satisfy any Obligations owed by the Borrower or any other Loan Party;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this </w:t>
      </w:r>
      <w:r>
        <w:rPr>
          <w:rFonts w:ascii="Times New Roman;sans-serif" w:hAnsi="Times New Roman;sans-serif"/>
          <w:b w:val="false"/>
          <w:color w:val="000000"/>
          <w:sz w:val="24"/>
          <w:u w:val="single"/>
        </w:rPr>
        <w:t>Section 13.13</w:t>
      </w:r>
      <w:r>
        <w:rPr>
          <w:color w:val="000000"/>
        </w:rPr>
        <w:t xml:space="preserve"> </w:t>
      </w:r>
      <w:r>
        <w:rPr>
          <w:rFonts w:ascii="Times New Roman;sans-serif" w:hAnsi="Times New Roman;sans-serif"/>
          <w:b w:val="false"/>
          <w:color w:val="000000"/>
          <w:sz w:val="24"/>
        </w:rPr>
        <w:t xml:space="preserve">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for the avoidance of doubt, the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(e)    Notwithstanding anything to the contrary contained herein, and for the avoidance of doubt, in no event shall the occurrence of an Erroneous Payment (or the existence of any Erroneous Payment Subrogation Rights or other rights of the Administrative Agent in respect of an Erroneous Payment) result in the Administrative Agent becoming, or being deemed to be, a Lender hereunder or the holder of any Term Loans or Loans hereunder.</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(g)    Each party’s obligations, agreements and waivers under this </w:t>
      </w:r>
      <w:r>
        <w:rPr>
          <w:rFonts w:ascii="Times New Roman;sans-serif" w:hAnsi="Times New Roman;sans-serif"/>
          <w:b w:val="false"/>
          <w:color w:val="000000"/>
          <w:sz w:val="24"/>
          <w:u w:val="single"/>
        </w:rPr>
        <w:t>Section 13.13</w:t>
      </w:r>
      <w:r>
        <w:rPr>
          <w:color w:val="000000"/>
        </w:rPr>
        <w:t xml:space="preserve"> </w:t>
      </w:r>
      <w:r>
        <w:rPr>
          <w:rFonts w:ascii="Times New Roman;sans-serif" w:hAnsi="Times New Roman;sans-serif"/>
          <w:b w:val="false"/>
          <w:color w:val="000000"/>
          <w:sz w:val="24"/>
        </w:rPr>
        <w:t xml:space="preserve">shall survive the resignation or replacement of the Administrative Agent, any transfer of rights or obligations by, or the replacement of, a Lender, the termination of the Commitments and/or the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855345"/>
                <wp:effectExtent l="0" t="0" r="0" b="0"/>
                <wp:wrapNone/>
                <wp:docPr id="207" name="Frame20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repayment, satisfaction or discharge of all Obligations (or any portion thereof) under any Transaction Document.</w:t>
      </w:r>
    </w:p>
    <w:p>
      <w:pPr>
        <w:pStyle w:val="TextBody"/>
        <w:bidi w:val="0"/>
        <w:spacing w:lineRule="auto" w:line="288" w:before="0" w:after="240"/>
        <w:ind w:left="0" w:right="0" w:firstLine="720"/>
        <w:jc w:val="both"/>
        <w:rPr/>
      </w:pPr>
      <w:r>
        <w:rPr>
          <w:rFonts w:ascii="Times New Roman;sans-serif" w:hAnsi="Times New Roman;sans-serif"/>
          <w:b/>
          <w:color w:val="000000"/>
          <w:sz w:val="24"/>
        </w:rPr>
        <w:t>13.14    Facility Agent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(a)    </w:t>
      </w:r>
      <w:r>
        <w:rPr>
          <w:rFonts w:ascii="Times New Roman;sans-serif" w:hAnsi="Times New Roman;sans-serif"/>
          <w:b/>
          <w:color w:val="000000"/>
          <w:sz w:val="24"/>
        </w:rPr>
        <w:t>Appointment.</w:t>
      </w:r>
      <w:r>
        <w:rPr>
          <w:color w:val="000000"/>
        </w:rPr>
        <w:t xml:space="preserve"> </w:t>
      </w:r>
      <w:r>
        <w:rPr>
          <w:rFonts w:ascii="Times New Roman;sans-serif" w:hAnsi="Times New Roman;sans-serif"/>
          <w:b w:val="false"/>
          <w:color w:val="000000"/>
          <w:sz w:val="24"/>
        </w:rPr>
        <w:t xml:space="preserve">(a) Each Lender hereby designates and appoints Barclays Bank PLC as the Facility Agent under this Agreement and the other Transaction Documents, and each Lender hereby irrevocably authorizes Barclays Bank PLC, as Facility Agent for such Lender, to verify and ensure (x) satisfaction of the applicable documentary conditions precedent to the Closing Date set forth in </w:t>
      </w:r>
      <w:r>
        <w:rPr>
          <w:rFonts w:ascii="Times New Roman;sans-serif" w:hAnsi="Times New Roman;sans-serif"/>
          <w:b w:val="false"/>
          <w:color w:val="000000"/>
          <w:sz w:val="24"/>
          <w:u w:val="single"/>
        </w:rPr>
        <w:t>Section 4.1</w:t>
      </w:r>
      <w:r>
        <w:rPr>
          <w:color w:val="000000"/>
        </w:rPr>
        <w:t xml:space="preserve"> </w:t>
      </w:r>
      <w:r>
        <w:rPr>
          <w:rFonts w:ascii="Times New Roman;sans-serif" w:hAnsi="Times New Roman;sans-serif"/>
          <w:b w:val="false"/>
          <w:color w:val="000000"/>
          <w:sz w:val="24"/>
        </w:rPr>
        <w:t xml:space="preserve">and (y) each Interest Rate Protection Agreement is executed in accordance with </w:t>
      </w:r>
      <w:r>
        <w:rPr>
          <w:rFonts w:ascii="Times New Roman;sans-serif" w:hAnsi="Times New Roman;sans-serif"/>
          <w:b w:val="false"/>
          <w:color w:val="000000"/>
          <w:sz w:val="24"/>
          <w:u w:val="single"/>
        </w:rPr>
        <w:t>Section 6.19</w:t>
      </w:r>
      <w:r>
        <w:rPr>
          <w:color w:val="000000"/>
        </w:rPr>
        <w:t xml:space="preserve"> </w:t>
      </w:r>
      <w:r>
        <w:rPr>
          <w:rFonts w:ascii="Times New Roman;sans-serif" w:hAnsi="Times New Roman;sans-serif"/>
          <w:b w:val="false"/>
          <w:color w:val="000000"/>
          <w:sz w:val="24"/>
        </w:rPr>
        <w:t xml:space="preserve">herein. The Facility Agent agrees to act as such on the conditions contained in this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 xml:space="preserve">. The provisions of this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 xml:space="preserve">are solely for the benefit of Facility Agent and Lenders, and no Loan Party shall have rights as third-party beneficiaries of any of the provisions of this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 Regardless of whether a Default has occurred and is continuing and without limiting the generality of the foregoing sentence, the use of the term “agent” herein and in the other Transaction Documents with reference to the Facility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corporation or association into which the Facility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Facility Agent is a party, will be and become the successor Facility Agent to the Facility Agent under this Agreement and will have and succeed to the rights, powers, duties, immunities and privileges as its predecessor, without the execution or filing of any instrument or paper or the performance of any further act.</w:t>
      </w:r>
    </w:p>
    <w:p>
      <w:pPr>
        <w:pStyle w:val="TextBody"/>
        <w:bidi w:val="0"/>
        <w:spacing w:before="0" w:after="0"/>
        <w:jc w:val="left"/>
        <w:rPr/>
      </w:pPr>
      <w:r>
        <w:rPr/>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(b)    </w:t>
      </w:r>
      <w:r>
        <w:rPr>
          <w:rFonts w:ascii="Times New Roman;sans-serif" w:hAnsi="Times New Roman;sans-serif"/>
          <w:b/>
          <w:color w:val="000000"/>
          <w:sz w:val="24"/>
        </w:rPr>
        <w:t>Nature of Duties</w:t>
      </w:r>
      <w:r>
        <w:rPr>
          <w:rFonts w:ascii="Times New Roman;sans-serif" w:hAnsi="Times New Roman;sans-serif"/>
          <w:b w:val="false"/>
          <w:color w:val="000000"/>
          <w:sz w:val="24"/>
        </w:rPr>
        <w:t xml:space="preserve">. In performing its functions and duties under this Agreement, the Facility Agent is acting solely on behalf of Lenders, and its duties are administrative in nature, and does not assume and shall not be deemed to have assumed, any obligation toward or relationship of agency or trust with or for Lenders or any Loan Party. The Facility Agent shall have no duties, obligations or responsibilities except those expressly set forth in this Agreement or in the other Transaction Documents. The Facility Agent shall not have by reason of this Agreement or any other Transaction Document a fiduciary relationship in respect of any Lender.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Lender acknowledges that the Facility Agent has not made any representation or warranty to it, and that no act by the Facility Agent hereafter taken, including any consent to and acceptance of any assignment or review of the affairs of any Loan Party or any Affiliate thereof, shall be deemed to constitute any representation or warranty by the Facility Agent to any Lender as to any matter, including whether the Facility Agent has disclosed material information in their possession. Each Lender represents to the Facility Agent that it has, independently and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855345"/>
                <wp:effectExtent l="0" t="0" r="0" b="0"/>
                <wp:wrapNone/>
                <wp:docPr id="208" name="Frame20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reliance upon the Facility Agent and based on such documents and information as it has deemed appropriate, made its own appraisal of and investigation into each Interest Rate Protection Agreement.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(c)    </w:t>
      </w:r>
      <w:r>
        <w:rPr>
          <w:rFonts w:ascii="Times New Roman;sans-serif" w:hAnsi="Times New Roman;sans-serif"/>
          <w:b/>
          <w:color w:val="000000"/>
          <w:sz w:val="24"/>
        </w:rPr>
        <w:t>Rights, Exculpation, Etc</w:t>
      </w:r>
      <w:r>
        <w:rPr>
          <w:rFonts w:ascii="Times New Roman;sans-serif" w:hAnsi="Times New Roman;sans-serif"/>
          <w:b w:val="false"/>
          <w:color w:val="000000"/>
          <w:sz w:val="24"/>
        </w:rPr>
        <w:t>. Neither the Facility Agent nor any of its officers, directors, managers, members, equity owners, employees, attorneys or agents shall be liable for any action taken or omitted by them hereunder or under any of the other Transaction Documents, or in connection herewith or therewith. Without limiting the foregoing, no Lender or Loan Party shall have any right of action whatsoever against the Facility Agent as a result of the Facility Agent acting or refraining from acting under this Agreement or any of the other Transaction Documents in accordance with the instructions of the applicable percentage of Lenders and, notwithstanding the instructions of Lenders, the Facility Agent shall have no obligation to take any action if it, in the opinion of the Facility Agent or its counsel, is contrary to any Transaction Document, or applicable Law, or if it believes that such action exposes Facility Agent or any of its officers, directors, managers, members, equity owners, employees, attorneys or agents to any personal liability unless the Facility Agent receives an indemnification satisfactory to it from Lenders with respect to such action. The Facility Agent shall not have any duty to take any discretionary action or exercise any discretionary powers. The Facility Agent shall not be required to provide any direction or instruction with respect to any Interest Rate Protection Agreement.</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Facility Agent shall not be liable for any failure or delay in the performance of its obligations under this Agreement or any related documents because of circumstances beyond the Facility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Facility Agent’s control whether or not of the same class or kind as specified above. </w:t>
      </w:r>
    </w:p>
    <w:p>
      <w:pPr>
        <w:pStyle w:val="TextBody"/>
        <w:bidi w:val="0"/>
        <w:spacing w:before="0" w:after="0"/>
        <w:jc w:val="left"/>
        <w:rPr/>
      </w:pPr>
      <w:r>
        <w:rPr/>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(d)    </w:t>
      </w:r>
      <w:r>
        <w:rPr>
          <w:rFonts w:ascii="Times New Roman;sans-serif" w:hAnsi="Times New Roman;sans-serif"/>
          <w:b/>
          <w:color w:val="000000"/>
          <w:sz w:val="24"/>
        </w:rPr>
        <w:t>Reliance</w:t>
      </w:r>
      <w:r>
        <w:rPr>
          <w:rFonts w:ascii="Times New Roman;sans-serif" w:hAnsi="Times New Roman;sans-serif"/>
          <w:b w:val="false"/>
          <w:color w:val="000000"/>
          <w:sz w:val="24"/>
        </w:rPr>
        <w:t>. The Facility Agent shall be entitled to rely, and shall be fully protected in relying, upon any written notices, statements, certificates, orders or other documents or any telephone message or other communication (including any writing, telex, telecopy or telegram) believed by it in good faith to be genuine and correct and to have been signed, sent or made by the proper Person, and with respect to all matters pertaining to this Agreement or any of the other Transaction Documents. The Facility Agent may consult with legal counsel (including counsel to any Loan Party), independent accountants and other experts selected by the Facility Agent and shall not be liable for any action taken or not taken by it in accordance with the advice of any such counsel, accountants or experts.</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855345"/>
                <wp:effectExtent l="0" t="0" r="0" b="0"/>
                <wp:wrapNone/>
                <wp:docPr id="209" name="Frame20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(e)    </w:t>
      </w:r>
      <w:r>
        <w:rPr>
          <w:rFonts w:ascii="Times New Roman;sans-serif" w:hAnsi="Times New Roman;sans-serif"/>
          <w:b/>
          <w:color w:val="000000"/>
          <w:sz w:val="24"/>
        </w:rPr>
        <w:t>Indemnification</w:t>
      </w:r>
      <w:r>
        <w:rPr>
          <w:rFonts w:ascii="Times New Roman;sans-serif" w:hAnsi="Times New Roman;sans-serif"/>
          <w:b w:val="false"/>
          <w:color w:val="000000"/>
          <w:sz w:val="24"/>
        </w:rPr>
        <w:t xml:space="preserve">. Each Lender, severally and not (i) jointly, or (ii) jointly and severally, agrees to reimburse and indemnify and hold harmless the Facility Agent and its Agent Related Parties (to the extent not reimbursed by the Loan Parties), ratably according to their respective Ratable Shares (as defined below) in effect on the date on which indemnification is sought under this </w:t>
      </w:r>
      <w:r>
        <w:rPr>
          <w:rFonts w:ascii="Times New Roman;sans-serif" w:hAnsi="Times New Roman;sans-serif"/>
          <w:b w:val="false"/>
          <w:color w:val="000000"/>
          <w:sz w:val="24"/>
          <w:u w:val="single"/>
        </w:rPr>
        <w:t>clause (e)</w:t>
      </w:r>
      <w:r>
        <w:rPr>
          <w:color w:val="000000"/>
        </w:rPr>
        <w:t xml:space="preserve"> </w:t>
      </w:r>
      <w:r>
        <w:rPr>
          <w:rFonts w:ascii="Times New Roman;sans-serif" w:hAnsi="Times New Roman;sans-serif"/>
          <w:b w:val="false"/>
          <w:color w:val="000000"/>
          <w:sz w:val="24"/>
        </w:rPr>
        <w:t xml:space="preserve">(or, if indemnification is sought after the date upon which the Term Loans shall have been paid in full and the Commitments have been terminated, ratably in accordance with their Ratable Shares immediately prior to such date), from and against any and all liabilities, obligations, losses, damages, penalties, actions, judgments, suits, costs, expenses, advances, or disbursements of any kind or nature whatsoever which may be imposed on, incurred by, or asserted against the Facility Agent or any of its officers, directors, managers, members, equity owners, employees, attorneys or agents in any way relating to or arising out of this Agreement or any of the other Transaction Documents or any action taken or omitted by the Facility Agent under this Agreement or any of the other Transaction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 Lender shall be liable for the payment of any portion of such liabilities, obligations, losses, damages, penalties, actions, judgments, suits, costs, expenses, advances or disbursements to the extent resulting from the Facility Agent’s gross negligence or willful misconduct as determined by a court of competent jurisdiction on a final and non-appealable basis,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action taken in furtherance of the directions of the Requisite Lenders (or such other number or percentage of the Lenders as shall be required by the Transaction Documents) shall be deemed to constitute gross negligence or willful misconduct. Without limitation of the foregoing, each Lender shall reimburse the Facility Agent and its Agent Related Parties upon demand for its Ratable Share on the date on which reimbursement is sought (or, if reimbursement is sought after the date upon which the Commitments shall have terminated and the Term Loans shall have been paid in full, ratably in accordance with their respective Ratable Shares in effect immediately prior to such date) of any documented out-of-pocket costs or expenses incurred by the Facility Agent in connection with the preparation, execution, delivery, administration, modification, amendment or enforcement (whether through negotiations, legal proceedings or otherwise) of, or legal advice in respect of rights or responsibilities under, this Agreement, any other Transaction Document, or any document contemplated by or referred to herein. The obligations of the Lenders hereunder shall not diminish the obligations of the Borrower to indemnify and reimburse the Facility Agent for such amounts. For purposes hereof, a Lender’s “</w:t>
      </w:r>
      <w:r>
        <w:rPr>
          <w:rFonts w:ascii="Times New Roman;sans-serif" w:hAnsi="Times New Roman;sans-serif"/>
          <w:b/>
          <w:color w:val="000000"/>
          <w:sz w:val="24"/>
        </w:rPr>
        <w:t>Ratable Share</w:t>
      </w:r>
      <w:r>
        <w:rPr>
          <w:color w:val="000000"/>
        </w:rPr>
        <w:t xml:space="preserve">” </w:t>
      </w:r>
      <w:r>
        <w:rPr>
          <w:rFonts w:ascii="Times New Roman;sans-serif" w:hAnsi="Times New Roman;sans-serif"/>
          <w:b w:val="false"/>
          <w:color w:val="000000"/>
          <w:sz w:val="24"/>
        </w:rPr>
        <w:t xml:space="preserve">shall mean a fraction, the numerator of which is the sum of (x) the aggregate unused Commitments of such Lender at such time and (y) aggregate outstanding principal amount of the Term Loans of such Lender at such time, and the denominator of which is the sum of the (x) the aggregate outstanding unused Commitments of all Lenders at such time and (y) the aggregate outstanding principal amount of the Term Loans held by all Lenders at such time. Each Lender hereby authorizes the Facility Agent to set off and apply any and all amounts at any time owing to such Lender under any Transaction Document against any amount due to the Facility Agent and its Agent Related Parties under this </w:t>
      </w:r>
      <w:r>
        <w:rPr>
          <w:rFonts w:ascii="Times New Roman;sans-serif" w:hAnsi="Times New Roman;sans-serif"/>
          <w:b w:val="false"/>
          <w:color w:val="000000"/>
          <w:sz w:val="24"/>
          <w:u w:val="single"/>
        </w:rPr>
        <w:t>Section 13.14(e)</w:t>
      </w:r>
      <w:r>
        <w:rPr>
          <w:rFonts w:ascii="Times New Roman;sans-serif" w:hAnsi="Times New Roman;sans-serif"/>
          <w:b w:val="false"/>
          <w:color w:val="000000"/>
          <w:sz w:val="24"/>
        </w:rPr>
        <w:t xml:space="preserve">. The obligations of Lenders under this </w:t>
      </w:r>
      <w:r>
        <w:rPr>
          <w:rFonts w:ascii="Times New Roman;sans-serif" w:hAnsi="Times New Roman;sans-serif"/>
          <w:b w:val="false"/>
          <w:color w:val="000000"/>
          <w:sz w:val="24"/>
          <w:u w:val="single"/>
        </w:rPr>
        <w:t>Article XIII</w:t>
      </w:r>
      <w:r>
        <w:rPr>
          <w:color w:val="000000"/>
        </w:rPr>
        <w:t xml:space="preserve"> </w:t>
      </w:r>
      <w:r>
        <w:rPr>
          <w:rFonts w:ascii="Times New Roman;sans-serif" w:hAnsi="Times New Roman;sans-serif"/>
          <w:b w:val="false"/>
          <w:color w:val="000000"/>
          <w:sz w:val="24"/>
        </w:rPr>
        <w:t>shall survive the payment in full of the Obligations and the termination of this Agreement.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(f)    </w:t>
      </w:r>
      <w:r>
        <w:rPr>
          <w:rFonts w:ascii="Times New Roman;sans-serif" w:hAnsi="Times New Roman;sans-serif"/>
          <w:b/>
          <w:color w:val="000000"/>
          <w:sz w:val="24"/>
        </w:rPr>
        <w:t>Successor Facility Agent; Replacement Facility Agent.</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855345"/>
                <wp:effectExtent l="0" t="0" r="0" b="0"/>
                <wp:wrapNone/>
                <wp:docPr id="210" name="Frame21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color w:val="000000"/>
          <w:sz w:val="24"/>
        </w:rPr>
        <w:t>Resignation</w:t>
      </w:r>
      <w:r>
        <w:rPr>
          <w:rFonts w:ascii="Times New Roman;sans-serif" w:hAnsi="Times New Roman;sans-serif"/>
          <w:b w:val="false"/>
          <w:color w:val="000000"/>
          <w:sz w:val="24"/>
        </w:rPr>
        <w:t xml:space="preserve">. Facility Agent may resign as Facility Agent at any time by giving at least thirty (30) calendar days’ prior written notice to Borrower and Lenders.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color w:val="000000"/>
          <w:sz w:val="24"/>
        </w:rPr>
        <w:t>Appointment of Successor</w:t>
      </w:r>
      <w:r>
        <w:rPr>
          <w:rFonts w:ascii="Times New Roman;sans-serif" w:hAnsi="Times New Roman;sans-serif"/>
          <w:b w:val="false"/>
          <w:color w:val="000000"/>
          <w:sz w:val="24"/>
        </w:rPr>
        <w:t xml:space="preserve">. Upon any such notice of resignation pursuant to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Requisite Lenders shall appoint a successor Facility Agent. If a successor Facility Agent shall not have been so appointed within said thirty (30) calendar day period referenced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above, the retiring Facility Agent, may (but shall not be obligated to), on behalf of Lenders, appoint a successor Facility Agent who shall serve as Facility Agent until such time as Requisite Lenders appoint a successor Facility Agent as provided above. Prior to the occurrence of a Default or Event of Default, Borrower shall be entitled to approve (such approval not to be unreasonably withheld, conditioned or delayed) any successor Facility Agent appointed in accordance with the foregoing to the extent such successor Facility Agent is not an affiliate of retiring Facility Agent. If no successor Facility Agent has accepted appointment as the Facility Agent by the date thirty (30) days following a retiring Facility Agent’s notice of resignation, the retiring Facility Agent’s resignation shall nevertheless thereupon become effective and (i) the retiring or removed Facility Agent shall be discharged from its duties and obligations hereunder and under the other Transaction Documents and (ii) the Requisite Lenders shall perform all of the duties of the Facility Agent hereunder until such time, if any, as the Requisite Lenders appoint a successor Facility Agent as provided for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color w:val="000000"/>
          <w:sz w:val="24"/>
        </w:rPr>
        <w:t>Successor Facility Agent</w:t>
      </w:r>
      <w:r>
        <w:rPr>
          <w:rFonts w:ascii="Times New Roman;sans-serif" w:hAnsi="Times New Roman;sans-serif"/>
          <w:b w:val="false"/>
          <w:color w:val="000000"/>
          <w:sz w:val="24"/>
        </w:rPr>
        <w:t xml:space="preserve">. Upon the acceptance of any appointment as Facility Agent under the Transaction Documents by a successor Facility Agent, such successor Facility Agent shall thereupon succeed to and become vested with all the rights, powers, privileges and duties of the retiring Facility Agent and, upon the earlier of such acceptance or the effective date of the retiring Facility Agent’s resignation, the retiring Facility Agent shall be discharged from its duties and obligations under the Transaction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any indemnity and expense rights or other rights in favor of such retiring Facility Agent shall continue after and survive such resignation and succession. After any retiring Facility Agent’s resignation as Facility Agent under the Transaction Documents, the provisions of this </w:t>
      </w:r>
      <w:r>
        <w:rPr>
          <w:rFonts w:ascii="Times New Roman;sans-serif" w:hAnsi="Times New Roman;sans-serif"/>
          <w:b w:val="false"/>
          <w:color w:val="000000"/>
          <w:sz w:val="24"/>
          <w:u w:val="single"/>
        </w:rPr>
        <w:t>Section 13.14</w:t>
      </w:r>
      <w:r>
        <w:rPr>
          <w:color w:val="000000"/>
        </w:rPr>
        <w:t xml:space="preserve"> </w:t>
      </w:r>
      <w:r>
        <w:rPr>
          <w:rFonts w:ascii="Times New Roman;sans-serif" w:hAnsi="Times New Roman;sans-serif"/>
          <w:b w:val="false"/>
          <w:color w:val="000000"/>
          <w:sz w:val="24"/>
        </w:rPr>
        <w:t>shall inure to its benefit as to any actions taken or omitted to be taken by it while it was Facility Agent under the Transaction Documents.</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(g)    </w:t>
      </w:r>
      <w:r>
        <w:rPr>
          <w:rFonts w:ascii="Times New Roman;sans-serif" w:hAnsi="Times New Roman;sans-serif"/>
          <w:b/>
          <w:color w:val="000000"/>
          <w:sz w:val="24"/>
        </w:rPr>
        <w:t>Delegation of Duties</w:t>
      </w:r>
      <w:r>
        <w:rPr>
          <w:rFonts w:ascii="Times New Roman;sans-serif" w:hAnsi="Times New Roman;sans-serif"/>
          <w:b w:val="false"/>
          <w:color w:val="000000"/>
          <w:sz w:val="24"/>
        </w:rPr>
        <w:t xml:space="preserve">.     The Facility Agent may perform any of its duties and exercise any of its rights and powers under this Agreement or any other Transaction Document by or through one or more sub-agents appointed by the Facility Agent. The Facility Agent and any such sub-agent may perform any of its duties and exercise any its rights and powers by or through their respective Related Parties, and the Facility Agent shall be entitled to obtain and rely upon the advice of counsel and other consultants or experts concerning all matters pertaining to such duties. The Facility Agent shall not be responsible for the negligence or misconduct of any sub-agent except to the extent that a court of competent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855345"/>
                <wp:effectExtent l="0" t="0" r="0" b="0"/>
                <wp:wrapNone/>
                <wp:docPr id="211" name="Frame21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determines in a final and non-appealable judgment that the Facility Agent acted with gross negligence or willful misconduct in the selection of such sub-agent.</w:t>
      </w:r>
    </w:p>
    <w:p>
      <w:pPr>
        <w:pStyle w:val="TextBody"/>
        <w:bidi w:val="0"/>
        <w:spacing w:before="0" w:after="0"/>
        <w:jc w:val="left"/>
        <w:rPr/>
      </w:pPr>
      <w:r>
        <w:rPr/>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XIV.    GUARANTY.</w:t>
      </w:r>
    </w:p>
    <w:p>
      <w:pPr>
        <w:pStyle w:val="TextBody"/>
        <w:bidi w:val="0"/>
        <w:spacing w:lineRule="auto" w:line="288" w:before="0" w:after="240"/>
        <w:ind w:left="0" w:right="0" w:firstLine="720"/>
        <w:jc w:val="both"/>
        <w:rPr/>
      </w:pPr>
      <w:r>
        <w:rPr>
          <w:rFonts w:ascii="Times New Roman;sans-serif" w:hAnsi="Times New Roman;sans-serif"/>
          <w:b/>
          <w:color w:val="000000"/>
          <w:sz w:val="24"/>
        </w:rPr>
        <w:t>14.1    Guaranty of the Guaranteed Obligations.</w:t>
      </w:r>
      <w:r>
        <w:rPr>
          <w:color w:val="000000"/>
        </w:rPr>
        <w:t xml:space="preserve"> </w:t>
      </w:r>
      <w:r>
        <w:rPr>
          <w:rFonts w:ascii="Times New Roman;sans-serif" w:hAnsi="Times New Roman;sans-serif"/>
          <w:b w:val="false"/>
          <w:color w:val="000000"/>
          <w:sz w:val="24"/>
        </w:rPr>
        <w:t>Each Guarantor, jointly and severally, hereby irrevocably and unconditionally guarantees to the Administrative Agent for the ratable benefit of the Beneficiaries the due and punctual payment in full of all Secured Obligations when the same shall become due, whether at stated maturity, by required prepayment, declaration, acceleration, demand or otherwise (including amounts that would become due but for the operation of the automatic stay under Section 362(a) of the Bankruptcy Code, 11 U.S.C. § 362(a)), but subject to any applicable cure periods, and excluding, in each case, with respect to any Guarantor at any time, Excluded Swap Obligations with respect to such Guarantor at such time (such obligations, collectively, the “</w:t>
      </w:r>
      <w:r>
        <w:rPr>
          <w:rFonts w:ascii="Times New Roman;sans-serif" w:hAnsi="Times New Roman;sans-serif"/>
          <w:b/>
          <w:color w:val="000000"/>
          <w:sz w:val="24"/>
        </w:rPr>
        <w:t>Guaranteed Obligations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14.2    Payment by Guarantors.</w:t>
      </w:r>
      <w:r>
        <w:rPr>
          <w:color w:val="000000"/>
        </w:rPr>
        <w:t xml:space="preserve"> </w:t>
      </w:r>
      <w:r>
        <w:rPr>
          <w:rFonts w:ascii="Times New Roman;sans-serif" w:hAnsi="Times New Roman;sans-serif"/>
          <w:b w:val="false"/>
          <w:color w:val="000000"/>
          <w:sz w:val="24"/>
        </w:rPr>
        <w:t>Each Guarantor hereby agrees, in furtherance of the foregoing and not in limitation of any other right which any Beneficiary may have at law or in equity against such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but subject to any applicable cure periods, such Guarantor will within ten (10) Business Days after written demand therefor, pay, or cause to be paid, in cash, to the Administrative Agent for the ratable benefit of Beneficiaries, an amount equal to the sum of the unpaid principal amount of all Guaranteed Obligations then due as aforesaid, accrued and unpaid interest on such Guaranteed Obligations (including interest which, but for the Borrower becoming the subject of a case under the Bankruptcy Code, would have accrued on such Guaranteed Obligations, whether or not a claim is allowed against such Borrower for such interest in the related bankruptcy case) and all other Guaranteed Obligations then owed to Beneficiaries as aforesaid. Notwithstanding anything to the contrary, this Article XIV shall not require or result in the application of any amount received from any Loan Party to any Excluded Swap Obligation of such Loan Party.</w:t>
      </w:r>
    </w:p>
    <w:p>
      <w:pPr>
        <w:pStyle w:val="TextBody"/>
        <w:bidi w:val="0"/>
        <w:spacing w:lineRule="auto" w:line="288" w:before="0" w:after="240"/>
        <w:ind w:left="0" w:right="0" w:firstLine="720"/>
        <w:jc w:val="both"/>
        <w:rPr/>
      </w:pPr>
      <w:r>
        <w:rPr>
          <w:rFonts w:ascii="Times New Roman;sans-serif" w:hAnsi="Times New Roman;sans-serif"/>
          <w:b/>
          <w:color w:val="000000"/>
          <w:sz w:val="24"/>
        </w:rPr>
        <w:t>14.3    Liability of Each Guarantor Absolute.</w:t>
      </w:r>
      <w:r>
        <w:rPr>
          <w:color w:val="000000"/>
        </w:rPr>
        <w:t xml:space="preserve"> </w:t>
      </w:r>
      <w:r>
        <w:rPr>
          <w:rFonts w:ascii="Times New Roman;sans-serif" w:hAnsi="Times New Roman;sans-serif"/>
          <w:b w:val="false"/>
          <w:color w:val="000000"/>
          <w:sz w:val="24"/>
        </w:rPr>
        <w:t>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this Guaranty is a guaranty of payment when due and not of collectability; this Guaranty is a primary obligation of each Guarantor and not merely a contract of surety;</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upon five (5) Business Days prior written notice to the Borrower, the Administrative Agent may enforce this Guaranty upon the occurrence and continuation of an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855345"/>
                <wp:effectExtent l="0" t="0" r="0" b="0"/>
                <wp:wrapNone/>
                <wp:docPr id="212" name="Frame21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Event of Default notwithstanding the existence of any dispute between the Borrower and any Beneficiary with respect to the existence of such Event of Default;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the obligations of each Guarantor hereunder are independent of the obligations of Borrower and the obligations of any other guarantor (including any other Guarantor) of the obligations of the Borrower, and a separate action or actions may be brought and prosecuted against such Guarantor whether or not any action is brought against the Borrower or any of such other Guarantors and whether or not the Borrower is joined in any such action or actions;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(d)    payment by any Guarantor of a portion, but not all, of the Guaranteed Obligations shall in no way limit, affect, modify or abridge such Guarantor’s liability for any portion of the Guaranteed Obligations which has not been paid. Without limiting the generality of the foregoing, if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(e)    any Beneficiary, upon such terms as it deems appropriate, without notice or demand (but, in each case, subject to the terms of this Agreement and the other Transaction Documents)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commercially reasonable; and (vi) exercise any other rights available to it under the Transaction Documents; and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this Guaranty and the obligations of each Guarantor hereunder shall be valid and enforceable and shall not be subject to any reduction, limitation, impairment, discharge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855345"/>
                <wp:effectExtent l="0" t="0" r="0" b="0"/>
                <wp:wrapNone/>
                <wp:docPr id="213" name="Frame21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termination for any reason (other than payment in full of the Guaranteed Obligations), including the occurrence of any of the following, whether or not such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Transaction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Transaction Documents, or any agreement or instrument executed pursuant thereto, or of any other guaranty or security for the Guaranteed Obligations, in each case whether or not in accordance with the terms hereof or such Transaction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Transaction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any Loan Party or any of its Subsidiaries and to any corresponding restructuring of the Guaranteed Obligations; (vi) any failure to perfect or continue perfection of a security interest in any collateral which secures any of the Guaranteed Obligations; (vii) any defenses, set-offs or counterclaims which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pStyle w:val="TextBody"/>
        <w:bidi w:val="0"/>
        <w:spacing w:lineRule="auto" w:line="288" w:before="0" w:after="240"/>
        <w:ind w:left="0" w:right="0" w:firstLine="720"/>
        <w:jc w:val="both"/>
        <w:rPr/>
      </w:pPr>
      <w:r>
        <w:rPr>
          <w:rFonts w:ascii="Times New Roman;sans-serif" w:hAnsi="Times New Roman;sans-serif"/>
          <w:b/>
          <w:color w:val="000000"/>
          <w:sz w:val="24"/>
        </w:rPr>
        <w:t>14.4    Waivers by the Guarantors.</w:t>
      </w:r>
      <w:r>
        <w:rPr>
          <w:color w:val="000000"/>
        </w:rPr>
        <w:t xml:space="preserve"> </w:t>
      </w:r>
      <w:r>
        <w:rPr>
          <w:rFonts w:ascii="Times New Roman;sans-serif" w:hAnsi="Times New Roman;sans-serif"/>
          <w:b w:val="false"/>
          <w:color w:val="000000"/>
          <w:sz w:val="24"/>
        </w:rPr>
        <w:t xml:space="preserve">Each Guarantor hereby waives, for the benefit of the Beneficiaries: (a) any right to require any Beneficiary, as a condition of payment or performance by such Guarantor, to (i) proceed against the Borrower, any other Guarantor or any other Person, (ii) proceed against or exhaust any security held from the Borrower, any such other guarantor or any other Person, (iii) proceed against or have resort to any balance of any Deposit Account or credit on the books of any Beneficiary in favor of the Borrower or any other Person, or (iv) pursue any other remedy in the power of any Beneficiary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855345"/>
                <wp:effectExtent l="0" t="0" r="0" b="0"/>
                <wp:wrapNone/>
                <wp:docPr id="214" name="Frame21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any defense based upon any Beneficiary’s errors or omissions in the administration of the Guaranteed Obligations, except behavior which amounts to bad faith; (e)(i) any rights to set-offs, recoupments and counterclaims and (ii) promptness, diligence and any requirement that any Beneficiary protect, secure, perfect or insure any security interest or Lien or any property subject thereto; and (f) notices, demands, presentments, protests, notices of protest, notices of dishonor and notices of any action or inaction, including acceptance hereof, notices of default hereunder, notices of any renewal, extension or modification of the Guaranteed Obligations or any agreement related thereto, notices of any extension of credit to the Borrower and notices of any of the matters referred to in </w:t>
      </w:r>
      <w:r>
        <w:rPr>
          <w:rFonts w:ascii="Times New Roman;sans-serif" w:hAnsi="Times New Roman;sans-serif"/>
          <w:b w:val="false"/>
          <w:color w:val="000000"/>
          <w:sz w:val="24"/>
          <w:u w:val="single"/>
        </w:rPr>
        <w:t>Section 14.3</w:t>
      </w:r>
      <w:r>
        <w:rPr>
          <w:color w:val="000000"/>
        </w:rPr>
        <w:t xml:space="preserve"> </w:t>
      </w:r>
      <w:r>
        <w:rPr>
          <w:rFonts w:ascii="Times New Roman;sans-serif" w:hAnsi="Times New Roman;sans-serif"/>
          <w:b w:val="false"/>
          <w:color w:val="000000"/>
          <w:sz w:val="24"/>
        </w:rPr>
        <w:t>and any right to consent to any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14.5    Each Guarantor’s Rights of Subrogation, Contribution, etc.</w:t>
      </w:r>
      <w:r>
        <w:rPr>
          <w:color w:val="000000"/>
        </w:rPr>
        <w:t xml:space="preserve"> </w:t>
      </w:r>
      <w:r>
        <w:rPr>
          <w:rFonts w:ascii="Times New Roman;sans-serif" w:hAnsi="Times New Roman;sans-serif"/>
          <w:b w:val="false"/>
          <w:color w:val="000000"/>
          <w:sz w:val="24"/>
        </w:rPr>
        <w:t>Until the Termination Date, each Guarantor hereby subordinates any claim, right or remedy, direct or indirect, that such Guarantor now has or may hereafter have against the Borrower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the Borrower with respect to the Guaranteed Obligations, (b) any right to enforce, or to participate in, any claim, right or remedy that any Beneficiary now has or may hereafter have against the Borrower, and (c) any benefit of, and any right to participate in, any Collateral or security now or hereafter held by any Beneficiary. In addition, until the Termination Date, each Guarantor shall withhold exercise of any right of contribution such Guarantor may have against any other Guarantor of the Guaranteed Obligations.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Beneficiary may have against the Borrower, to all right, title and interest such Beneficiary may have in any such collateral or security, and to any right such Beneficiary may have against such other Guarantor. If any amount shall be paid to any Guarantor on account of any such subrogation, reimbursement, indemnification or contribution rights at any time prior to the Termination Date, such amount shall be held in trust for the Administrative Agent on behalf of the Beneficiaries and shall forthwith be paid over to the Administrative Agent for the benefit of the Beneficiaries to be credited and applied against the Guaranteed Obligations, whether matured or unmatured, in accordance with the terms hereof.</w:t>
      </w:r>
    </w:p>
    <w:p>
      <w:pPr>
        <w:pStyle w:val="TextBody"/>
        <w:bidi w:val="0"/>
        <w:spacing w:lineRule="auto" w:line="288" w:before="0" w:after="240"/>
        <w:ind w:left="0" w:right="0" w:firstLine="720"/>
        <w:jc w:val="both"/>
        <w:rPr/>
      </w:pPr>
      <w:bookmarkStart w:id="0" w:name="i6d47b97b810e44239e0eea5db4c56bbc_516572"/>
      <w:bookmarkEnd w:id="0"/>
      <w:r>
        <w:rPr>
          <w:rFonts w:ascii="Times New Roman;sans-serif" w:hAnsi="Times New Roman;sans-serif"/>
          <w:b/>
          <w:color w:val="000000"/>
          <w:sz w:val="24"/>
        </w:rPr>
        <w:t>14.6    Subordination of Other Obligations.</w:t>
      </w:r>
      <w:r>
        <w:rPr>
          <w:color w:val="000000"/>
        </w:rPr>
        <w:t xml:space="preserve"> </w:t>
      </w:r>
      <w:r>
        <w:rPr>
          <w:rFonts w:ascii="Times New Roman;sans-serif" w:hAnsi="Times New Roman;sans-serif"/>
          <w:b w:val="false"/>
          <w:color w:val="000000"/>
          <w:sz w:val="24"/>
        </w:rPr>
        <w:t>Any Indebtedness of the Borrower or any Guarantor now or hereafter held by such Guarantor (the “</w:t>
      </w:r>
      <w:r>
        <w:rPr>
          <w:rFonts w:ascii="Times New Roman;sans-serif" w:hAnsi="Times New Roman;sans-serif"/>
          <w:b/>
          <w:color w:val="000000"/>
          <w:sz w:val="24"/>
        </w:rPr>
        <w:t>Obligee Guarantor</w:t>
      </w:r>
      <w:r>
        <w:rPr>
          <w:color w:val="000000"/>
        </w:rPr>
        <w:t>”</w:t>
      </w:r>
      <w:r>
        <w:rPr>
          <w:rFonts w:ascii="Times New Roman;sans-serif" w:hAnsi="Times New Roman;sans-serif"/>
          <w:b w:val="false"/>
          <w:color w:val="000000"/>
          <w:sz w:val="24"/>
        </w:rPr>
        <w:t xml:space="preserve">) is hereby subordinated in right of payment to the Guaranteed Obligations, and any such indebtedness collected or received by the Obligee Guarantor after an Event of Default has occurred and is continuing shall be held in trust for the benefit of the Administrative Agent and the other Beneficiaries and, following notice thereof from the Administrative Agent (acting at the direction of the Requisite Lenders), shall forthwith be paid over to the Administrative Agent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855345"/>
                <wp:effectExtent l="0" t="0" r="0" b="0"/>
                <wp:wrapNone/>
                <wp:docPr id="215" name="Frame21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benefit of the Beneficiaries to be credited and applied against the Guaranteed Obligations but without affecting, impairing or limiting in any manner the liability of the Obligee Guarantor under any other provision hereof. </w:t>
      </w:r>
    </w:p>
    <w:p>
      <w:pPr>
        <w:pStyle w:val="TextBody"/>
        <w:bidi w:val="0"/>
        <w:spacing w:lineRule="auto" w:line="288" w:before="0" w:after="240"/>
        <w:ind w:left="0" w:right="0" w:firstLine="720"/>
        <w:jc w:val="both"/>
        <w:rPr/>
      </w:pPr>
      <w:r>
        <w:rPr>
          <w:rFonts w:ascii="Times New Roman;sans-serif" w:hAnsi="Times New Roman;sans-serif"/>
          <w:b/>
          <w:color w:val="000000"/>
          <w:sz w:val="24"/>
        </w:rPr>
        <w:t>14.7    Continuing Guaranty.</w:t>
      </w:r>
      <w:r>
        <w:rPr>
          <w:color w:val="000000"/>
        </w:rPr>
        <w:t xml:space="preserve"> </w:t>
      </w:r>
      <w:r>
        <w:rPr>
          <w:rFonts w:ascii="Times New Roman;sans-serif" w:hAnsi="Times New Roman;sans-serif"/>
          <w:b w:val="false"/>
          <w:color w:val="000000"/>
          <w:sz w:val="24"/>
        </w:rPr>
        <w:t>This Guaranty is a continuing guaranty and shall remain in effect until the Termination Date. Each Guarantor hereby irrevocably waives any right to revoke this Guaranty as to future transactions giving rise to any Guaranteed Obligations.</w:t>
      </w:r>
    </w:p>
    <w:p>
      <w:pPr>
        <w:pStyle w:val="TextBody"/>
        <w:bidi w:val="0"/>
        <w:spacing w:lineRule="auto" w:line="288" w:before="0" w:after="240"/>
        <w:ind w:left="0" w:right="0" w:firstLine="720"/>
        <w:jc w:val="both"/>
        <w:rPr/>
      </w:pPr>
      <w:r>
        <w:rPr>
          <w:rFonts w:ascii="Times New Roman;sans-serif" w:hAnsi="Times New Roman;sans-serif"/>
          <w:b/>
          <w:color w:val="000000"/>
          <w:sz w:val="24"/>
        </w:rPr>
        <w:t>14.8    Authority of the Guarantors or the Borrower.</w:t>
      </w:r>
      <w:r>
        <w:rPr>
          <w:color w:val="000000"/>
        </w:rPr>
        <w:t xml:space="preserve"> </w:t>
      </w:r>
      <w:r>
        <w:rPr>
          <w:rFonts w:ascii="Times New Roman;sans-serif" w:hAnsi="Times New Roman;sans-serif"/>
          <w:b w:val="false"/>
          <w:color w:val="000000"/>
          <w:sz w:val="24"/>
        </w:rPr>
        <w:t>It is not necessary for any Beneficiary to inquire into the capacity or powers of any Guarantor or the Borrower or the officers, directors or any agents acting or purporting to act on behalf of any of them.</w:t>
      </w:r>
    </w:p>
    <w:p>
      <w:pPr>
        <w:pStyle w:val="TextBody"/>
        <w:bidi w:val="0"/>
        <w:spacing w:lineRule="auto" w:line="288" w:before="0" w:after="240"/>
        <w:ind w:left="0" w:right="0" w:firstLine="720"/>
        <w:jc w:val="both"/>
        <w:rPr/>
      </w:pPr>
      <w:r>
        <w:rPr>
          <w:rFonts w:ascii="Times New Roman;sans-serif" w:hAnsi="Times New Roman;sans-serif"/>
          <w:b/>
          <w:color w:val="000000"/>
          <w:sz w:val="24"/>
        </w:rPr>
        <w:t>14.9    Financial Condition of the Borrower.</w:t>
      </w:r>
      <w:r>
        <w:rPr>
          <w:color w:val="000000"/>
        </w:rPr>
        <w:t xml:space="preserve"> </w:t>
      </w:r>
      <w:r>
        <w:rPr>
          <w:rFonts w:ascii="Times New Roman;sans-serif" w:hAnsi="Times New Roman;sans-serif"/>
          <w:b w:val="false"/>
          <w:color w:val="000000"/>
          <w:sz w:val="24"/>
        </w:rPr>
        <w:t>Any Loan may be made to the Borrower without notice to or authorization from any Guarantor regardless of the financial or other condition of the Borrower at the time of any such Loan. No Beneficiary shall have any obligation to disclose or discuss with any Guarantor its assessment, or such Guarantor’s assessment, of the financial condition of the Borrower. Each Guarantor has adequate means to obtain information from the Borrower on a continuing basis concerning the financial condition of the Borrower and its ability to perform its obligations under the Transaction Documents, and each Guarantor assumes the responsibility for being and keeping informed of the financial condition of the Borrower and of all circumstances bearing upon the risk of nonpayment of the Guaranteed Obligations. Each Guarantor hereby waives and relinquishes any duty on the part of any Beneficiary to disclose any matter, fact or thing relating to the business, operations or conditions of the Borrower now known or hereafter known by any Beneficiary.</w:t>
      </w:r>
    </w:p>
    <w:p>
      <w:pPr>
        <w:pStyle w:val="TextBody"/>
        <w:bidi w:val="0"/>
        <w:spacing w:lineRule="auto" w:line="288" w:before="0" w:after="240"/>
        <w:ind w:left="0" w:right="0" w:firstLine="720"/>
        <w:jc w:val="both"/>
        <w:rPr/>
      </w:pPr>
      <w:r>
        <w:rPr>
          <w:rFonts w:ascii="Times New Roman;sans-serif" w:hAnsi="Times New Roman;sans-serif"/>
          <w:b/>
          <w:color w:val="000000"/>
          <w:sz w:val="24"/>
        </w:rPr>
        <w:t>14.10    Bankruptcy, etc.</w:t>
      </w:r>
      <w:r>
        <w:rPr>
          <w:color w:val="000000"/>
        </w:rPr>
        <w:t xml:space="preserve">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So long as the Termination Date has not occurred, no Guarantor shall, without the prior written consent of the Administrative Agent, acting pursuant to the instructions of Requisite Lenders, commence or join with any other Person in commencing any bankruptcy, reorganization or insolvency case or proceeding of or against the Borrower or any other Guarantor. The obligations of each Guarantor hereunder shall not be reduced, limited, impaired, discharged, deferred, suspended or terminated by any case or proceeding, voluntary or involuntary, involving the bankruptcy, insolvency, receivership, 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Each Guarantor acknowledges and agrees that any interest on any portion of the Guaranteed Obligations which accrues after the commencement of any case or proceeding referred to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each Guarantor and the Beneficiaries that the Guaranteed Obligations which are guaranteed by each Guarantor pursuant hereto should be determined without regard to any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855345"/>
                <wp:effectExtent l="0" t="0" r="0" b="0"/>
                <wp:wrapNone/>
                <wp:docPr id="216" name="Frame216"/>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- 145 -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- 145 -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Applicable Law or order which may relieve the Borrower of any portion of such Guaranteed Obligations. Each Guarantor will permit any trustee in bankruptcy, receiver, debtor in possession, assignee for the benefit of creditors or similar Person to pay Administrative Agent, or allow the claim of Administrative Agent in respect of, any such interest accruing after the date on which such case or proceeding is commenced.</w:t>
      </w:r>
    </w:p>
    <w:p>
      <w:pPr>
        <w:pStyle w:val="TextBody"/>
        <w:bidi w:val="0"/>
        <w:spacing w:lineRule="auto" w:line="288" w:before="0" w:after="240"/>
        <w:ind w:left="0" w:right="0" w:hanging="720"/>
        <w:jc w:val="center"/>
        <w:rPr>
          <w:rFonts w:ascii="Times New Roman;sans-serif" w:hAnsi="Times New Roman;sans-serif"/>
          <w:b/>
          <w:color w:val="000000"/>
          <w:sz w:val="24"/>
        </w:rPr>
      </w:pPr>
      <w:r>
        <w:rPr>
          <w:rFonts w:ascii="Times New Roman;sans-serif" w:hAnsi="Times New Roman;sans-serif"/>
          <w:b/>
          <w:color w:val="000000"/>
          <w:sz w:val="24"/>
        </w:rPr>
        <w:t>XV.    THE ACCOUNT BANK</w:t>
      </w:r>
    </w:p>
    <w:p>
      <w:pPr>
        <w:pStyle w:val="TextBody"/>
        <w:bidi w:val="0"/>
        <w:spacing w:lineRule="auto" w:line="288"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15.1    Duties of the Account Bank.</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The Account Bank undertakes to perform such duties and only such duties as are specifically set forth in this Agreement. Any permissive right of the Account Bank contained in this Agreement and any other Transaction Document shall not be construed as a duty. The Account Bank shall be liable in accordance herewith only to the extent of the respective obligations specifically imposed upon and undertaken by the Account Bank.</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(b)    The Account Bank shall not be responsible or liable for the accuracy or content of any resolution, certificate, statement, opinion, report, document, order or other instrument furnished by the Borrower, the Lenders, or the Administrative Agent, and accepted by the Account Bank in good faith, pursuant to this Agreement or any other Transaction Document. Except as otherwise provided herein, the Account Bank shall not be responsible for recomputing, recalculating or verifying any information provided by the Borrower pertaining to any report, distribution statement or officer’s certificate.</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No provision of this Agreement shall be construed to relieve the Account Bank from liability for its own negligent action, its own negligent failure to act or its own willful misconduct;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The Account Bank shall not be liable except for the performance of such duties and obligations as are specifically set forth in this Agreement and no implied covenants or obligations shall be read into this Agreement against the Account Bank.</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 the absence of bad faith on the part of the Account Bank, the Account Bank may conclusively rely, as to the truth of the statements and the correctness of the opinions expressed therein, upon any certificates or opinions furnished to the Account Bank and conforming to the requirements of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    The Account Bank shall not be liable for any error of judgment made in good faith by a Responsible Officer or Responsible Officers of the Account Bank unless it shall be proved that the Account Bank was negligent in ascertaining the pertinent facts.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The Account Bank shall not be liable with respect to any action taken, suffered or omitted to be taken by the Account Bank, in good faith in accordance with this Agreement or the direction of Requisite Lenders relating to the time, method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855345"/>
                <wp:effectExtent l="0" t="0" r="0" b="0"/>
                <wp:wrapNone/>
                <wp:docPr id="217" name="Frame217"/>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- 146 -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- 146 -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and place of conducting any proceeding for any remedy available to the Account Bank, or exercising any power conferred upon the Account Bank, under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The Account Bank shall not be required to take notice or be deemed to have notice or knowledge of any event, Event of Default, or other information hereunder or under any other Transaction Document unless either (1) a Responsible Officer shall have actual knowledge of such event, Event of Default, or other information or (2) written notice of such event, Event of Default, or other information referring to the Notes or this Agreement shall have been received by a Responsible Officer in accordance with the provisions of this Agreement. In the absence of receipt of such actual knowledge or written notice, the Account Bank may conclusively assume that no event, or Event of Default shall have occurred and have no duty to otherwise determine whether such event, or Event of Default shall have occurred.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Subject to the other provisions of this Agreement, and without limiting the generality of this </w:t>
      </w:r>
      <w:r>
        <w:rPr>
          <w:rFonts w:ascii="Times New Roman;sans-serif" w:hAnsi="Times New Roman;sans-serif"/>
          <w:b w:val="false"/>
          <w:color w:val="000000"/>
          <w:sz w:val="24"/>
          <w:u w:val="single"/>
        </w:rPr>
        <w:t>Section 15.1</w:t>
      </w:r>
      <w:r>
        <w:rPr>
          <w:rFonts w:ascii="Times New Roman;sans-serif" w:hAnsi="Times New Roman;sans-serif"/>
          <w:b w:val="false"/>
          <w:color w:val="000000"/>
          <w:sz w:val="24"/>
        </w:rPr>
        <w:t>, the Account Bank shall not have any duty, except as expressly provided in the Transaction Documents, (A) to cause any recording, filing, or depositing of this Agreement or any agreement referred to herein or therein or any financing statement or continuation statement evidencing a security interest, or to cause the maintenance of any such recording or filing or depositing or to any rerecording, refiling or redepositing of any thereof, (B) to see to or cause the maintenance of any insurance, (C) to confirm or verify the truth, accuracy or contents of any reports, resolutions, certificates, statements, instruments, opinions, notices, requests, consents, orders, approvals or other documentation of the Borrower, the Lenders, or the Administrative Agent, delivered to the Account Bank pursuant to this Agreement reasonably believed by the Account Bank to be genuine, absent manifest error, and to have been signed or presented by the proper party or parties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Account Bank may make such further inquiry or investigation into such facts or matters as it may see fit, and, if the Account Bank shall determine to make such further inquiry or investigation, it shall be entitled to examine the books, records and premises of the Borrower personally or by agent or attorney), and (D) to see to the payment of any assessment or other governmental charge or any lien or encumbrance of any kind owing with respect to, assessed or levied against, any part of the Collateral other than from funds available in the Facility Collection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assessment, charge, lien or encumbrance did not arise out of the Account Bank’s willful misconduct, or gross negligence). Neither the Account Bank nor any of its officers, directors, employees, attorneys or agents will be responsible or liable for the existence, genuineness, value or protection of any of the Collateral, for the legality, enforceability, effectiveness or sufficiency of the Transaction Documents for the creation, perfection, continuation, priority, sufficiency or protection of any of the liens, or for any defect or deficiency as to any such matters, or for monitoring the status of any lien or performance of any of the Collateral.</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(d)    The Account Bank is hereby directed to execute and deliver any Transaction Document to which it is a party.</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855345"/>
                <wp:effectExtent l="0" t="0" r="0" b="0"/>
                <wp:wrapNone/>
                <wp:docPr id="218" name="Frame218"/>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- 147 -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- 147 -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(e)    The Account Bank shall not be liable for interest on any money received by it except as the Account Bank may agree in writing with the Borrower.</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(f)    Money held in trust by the Account Bank need not be segregated from other funds except to the extent required by law or this Agreement.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(g)    Every provision in this Agreement that in any way relates to the Account Bank is subject to </w:t>
      </w:r>
      <w:r>
        <w:rPr>
          <w:rFonts w:ascii="Times New Roman;sans-serif" w:hAnsi="Times New Roman;sans-serif"/>
          <w:b w:val="false"/>
          <w:color w:val="000000"/>
          <w:sz w:val="24"/>
          <w:u w:val="single"/>
        </w:rPr>
        <w:t>paragraphs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(f)</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15.1</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15.2    Certain Matters Affecting the Account Bank</w:t>
      </w:r>
      <w:r>
        <w:rPr>
          <w:rFonts w:ascii="Times New Roman;sans-serif" w:hAnsi="Times New Roman;sans-serif"/>
          <w:b w:val="false"/>
          <w:color w:val="000000"/>
          <w:sz w:val="24"/>
        </w:rPr>
        <w:t xml:space="preserve">. Except as otherwise provided in </w:t>
      </w:r>
      <w:r>
        <w:rPr>
          <w:rFonts w:ascii="Times New Roman;sans-serif" w:hAnsi="Times New Roman;sans-serif"/>
          <w:b w:val="false"/>
          <w:color w:val="000000"/>
          <w:sz w:val="24"/>
          <w:u w:val="single"/>
        </w:rPr>
        <w:t>Section 15.1</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the Account Bank may conclusively rely upon and shall be protected in acting or refraining from acting upon any resolution, officer’s certificate, certificate of auditors or any other certificate, statement, instrument, opinion, report, notice, request, consent, order, appraisal, bond or other paper or document reasonably believed by it to be genuine, absent manifest error, and to have been signed or presented by the proper party or parties;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(b)    the Account Bank may consult with counsel and any advice or opinion of such counsel or any opinion of counsel shall be full and complete authorization and protection in respect of any action taken or suffered or omitted by it hereunder in good faith and in accordance therewith;</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the Account Bank shall be under no obligation to exercise any of the powers vested in it by this Agreement or to make any investigation of matters arising hereunder or to institute, conduct or defend any litigation hereunder or in relation hereto at the request, order or direction of any of the Lenders, unless such Lenders shall have provided to the Account Bank security or indemnity reasonably satisfactory to it against the costs, expenses and liabilities which may be incurred therein or thereby; the Account Bank shall not be required to expend or risk its own funds (except to pay overhead expenses, such as costs for office space, office equipment, supplies and related expenses, employee salaries and related expenses and similar internal costs and expenses)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(d)    the Account Bank shall not be liable for any action reasonably taken, suffered or omitted by it in good faith and believed by it to be authorized or within the discretion or rights or powers conferred upon it by this Agreement;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(e)    the Account Bank shall not be bound to make any investigation into the facts or matters stated in any resolution, certificate, statement, instrument, opinion, report, notice, request, consent, order, approval, bond or other paper or document, unless requested in writing to do so by Requisite Lenders;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payment within a reasonable time to the Account Bank of the costs, expenses or liabilities likely to be incurred by it in the making of such investigation is, in the opinion of the Account Bank, not reasonably assured to the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855345"/>
                <wp:effectExtent l="0" t="0" r="0" b="0"/>
                <wp:wrapNone/>
                <wp:docPr id="219" name="Frame219"/>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- 148 -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- 148 -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Bank by the security afforded to it by the terms of this Agreement, the Account Bank may require an indemnity reasonably satisfactory to the Account Bank against such cost, expense or liability as a condition to taking any such action;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(f)    the Account Bank may execute any of the powers vested in it by this Agreement and may perform any its duties hereunder, either directly or by or through agents, attorneys, nominees or custodians, and the Account Bank shall not be responsible for any misconduct or negligence on the part of any such agent, attorney, nominee or custodian appointed by the Account Bank with due care;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use of agents, attorneys, nominees or custodians shall not be deemed to relieve the Account Bank of any of its duties and obligations hereunder (except as expressly set forth herein);</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(g)    the Account Bank shall not be responsible for any act or omission of any other party to the Transaction Documents or any related document (or any agent thereof) and the Account Bank shall not be liable for any action or inaction of any other party to the Transaction Documents or any related document (or agent thereof) and may assume compliance by such parties with their obligations under the Transaction Documents or any related document, unless a Responsible Officer of the Account Bank shall have received written notice to the contrary;</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(h)    [Reserved];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(i)    neither the Account Bank nor any of its officers, directors, employees or agents shall be liable for any action taken or omitted under this Agreement hereto or in connection therewith except to the extent caused by the Account Bank’s gross negligence or willful misconduct, as determined by the final judgment of a court of competent jurisdiction, no longer subject to appeal or review;</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(j)    the Account Bank shall not be liable for any losses on investments except for losses resulting from the failure of the Account Bank to make an investment in accordance with instructions given in accordance herewith;</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(k)    in order to comply with laws, rules, regulation and executive orders in effect from time to time including those relating to the funding of terrorist activities and money laundering, the Account Bank may be required to obtain, verify and record certain information relating to individuals and entities which maintain a business relationship with the Account Bank, and accordingly, each of the parties hereto agrees to provide the Account Bank upon its reasonable request from time to time such identifying information and documentation as may be reasonably available for such party in order to enable the Account Bank to comply with the foregoing;</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(l)    the rights, protections, immunities and indemnities afforded to the Account Bank pursuant to this Agreement shall also be afforded to the Account Bank under the other Transaction Documents;</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    whenever in the administration of the provisions of this Agreement hereto the Account Bank shall deem it necessary (in good faith) that a matter be proved or established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855345"/>
                <wp:effectExtent l="0" t="0" r="0" b="0"/>
                <wp:wrapNone/>
                <wp:docPr id="220" name="Frame220"/>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- 149 -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- 149 -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matter of fact prior to taking or suffering any action or refraining from taking any action, the Account Bank may require a certificate from an executive officer of the Borrower or an opinion of counsel from the party requesting that the Account Bank act or refrain from acting. The Account Bank shall not be liable for any action it takes or omits to take in good faith in reliance on such certificate or opinion of counsel;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(n)    in no event shall the Account Bank be liable for any failure or delay in the performance of its obligations under this Agreement or any related documents because of circumstances beyond the Account Bank’s control, including a failure, termination, or suspension of, or limitations or restrictions in respect of post-payable adjustments through,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Account Bank’s control whether or not of the same class or kind as specified in this </w:t>
      </w:r>
      <w:r>
        <w:rPr>
          <w:rFonts w:ascii="Times New Roman;sans-serif" w:hAnsi="Times New Roman;sans-serif"/>
          <w:b w:val="false"/>
          <w:color w:val="000000"/>
          <w:sz w:val="24"/>
          <w:u w:val="single"/>
        </w:rPr>
        <w:t>Section 15.2(n)</w:t>
      </w:r>
      <w:r>
        <w:rPr>
          <w:rFonts w:ascii="Times New Roman;sans-serif" w:hAnsi="Times New Roman;sans-serif"/>
          <w:b w:val="false"/>
          <w:color w:val="000000"/>
          <w:sz w:val="24"/>
        </w:rPr>
        <w:t xml:space="preserve">; it being understood that the Account Bank shall use commercially reasonable efforts to resume performance of its obligations hereunder as soon as practicable under the circumstances;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    the Account Bank shall not be required to expend or risk its own funds or otherwise incur any liability, financial or otherwise, in the performance of any of its duties, or the exercise of any of its rights or powers;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(p)    delivery of any reports, information and documents to the Account Bank provided for herein is for informational purposes only and the Account Bank’s receipt of such reports and any publicly available information, shall not constitute actual or constructive knowledge or notice of any information contained therein or determinable from information contained therein, (x) other than written notice or directions to the Account Bank expressly provided for in this Agreement or any other Transaction Document, or (y) unless the Account Bank shall have an explicit duty to review such content;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(q)    knowledge of the Account Bank shall not be attributed or imputed to Wilmington’s other roles in the transaction and knowledge of the Verification Agent shall not be attributed or imputed to each other or to the Account Bank (other than those where the roles are performed by the same group or division within Wilmington or otherwise share the same Responsible Officers), or any affiliate, line of business, or other division of Wilmington (and vice versa);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(r)    notwithstanding anything to the contrary in this Agreement, the Account Bank shall not be required to take any action that is not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855345"/>
                <wp:effectExtent l="0" t="0" r="0" b="0"/>
                <wp:wrapNone/>
                <wp:docPr id="221" name="Frame221"/>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- 150 -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- 150 -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(s)    the Account Bank shall have no liability or obligation with respect to the applicability (or otherwise) of any risk retention rules; and</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(t)    The Account Bank shall have no duty to see to, or be responsible for the correctness or accuracy of, any recording, filing or depositing of this Indenture or any agreement referred to herein, or any financing statement or continuation statement evidencing a security interest, or to see to the maintenance of any such recording or filing or depositing or to any rerecording, refilling or re-depositing of any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15.3    Account Bank’s Disclaimer</w:t>
      </w:r>
      <w:r>
        <w:rPr>
          <w:rFonts w:ascii="Times New Roman;sans-serif" w:hAnsi="Times New Roman;sans-serif"/>
          <w:b w:val="false"/>
          <w:color w:val="000000"/>
          <w:sz w:val="24"/>
        </w:rPr>
        <w:t>. The Account Bank (i) shall not be responsible for, and makes no representation as to, the validity or adequacy of this Agreement, the Collateral or the Notes and (ii) shall not be accountable for the Borrower’s use of the proceeds from the Notes, nor responsible for any statement of the Borrower in this Agreement, or in any document issued in connection with the sale of the Notes or in the Notes. The Account Bank shall not be responsible for, and makes no representation or warranty as to, the validity, legality, enforceability, sufficiency or adequacy of this Agreement, the Notes or any related document, or as to the correctness of any statement contained in any thereof. The recitals contained herein and in the Notes shall be construed as the statements of the Borrower.</w:t>
      </w:r>
    </w:p>
    <w:p>
      <w:pPr>
        <w:pStyle w:val="TextBody"/>
        <w:bidi w:val="0"/>
        <w:spacing w:lineRule="auto" w:line="288" w:before="0" w:after="240"/>
        <w:ind w:left="0" w:right="0" w:firstLine="720"/>
        <w:jc w:val="both"/>
        <w:rPr/>
      </w:pPr>
      <w:r>
        <w:rPr>
          <w:rFonts w:ascii="Times New Roman;sans-serif" w:hAnsi="Times New Roman;sans-serif"/>
          <w:b/>
          <w:color w:val="000000"/>
          <w:sz w:val="24"/>
        </w:rPr>
        <w:t>15.4    [Reserved]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15.5    Fees and Expenses of Account Bank and Verification Agent; Indemnification of the Account Bank and Verification Agent</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On each Payment Date, the Account Bank shall withdraw from the Facility Collection Account and pay to itself and the Verification Agent pursuant to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xml:space="preserve">, the Account Bank Fee and Verification Agent Fee due on such Payment Date as compensation for all services rendered by the Account Bank and the Verification Agent, as applicable, hereunder.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The Account Bank and the Verification Agent and any of their respective affiliates, directors, officers, employees or agents shall be entitled to be reimbursed for, and indemnified and held harmless out of the funds available therefor pursuant to </w:t>
      </w:r>
      <w:r>
        <w:rPr>
          <w:rFonts w:ascii="Times New Roman;sans-serif" w:hAnsi="Times New Roman;sans-serif"/>
          <w:b w:val="false"/>
          <w:color w:val="000000"/>
          <w:sz w:val="24"/>
          <w:u w:val="single"/>
        </w:rPr>
        <w:t>Section 2.8</w:t>
      </w:r>
      <w:r>
        <w:rPr>
          <w:color w:val="000000"/>
        </w:rPr>
        <w:t xml:space="preserve"> </w:t>
      </w:r>
      <w:r>
        <w:rPr>
          <w:rFonts w:ascii="Times New Roman;sans-serif" w:hAnsi="Times New Roman;sans-serif"/>
          <w:b w:val="false"/>
          <w:color w:val="000000"/>
          <w:sz w:val="24"/>
        </w:rPr>
        <w:t xml:space="preserve">from and against, any loss, liability, claim or expense (including reasonable costs and expenses of litigation, and of investigation, reasonable counsel’s fees and expenses, damages, judgments and amounts paid in settlement) arising out of, or incurred in connection with, this Agreement, the Notes or any act or omission of the Account Bank or the Verification Agent relating to the exercise and performance of any of the rights and duties of the Account Bank or the Verification Agent hereunder and under any other Transaction Document, including in connection with any action, claim or suit brought to enforce the Account Bank’s or the Verification Agent’s right to indemnification;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none of the Account Bank or any of the other above specified Persons shall be entitled to indemnification or reimbursement pursuant to this </w:t>
      </w:r>
      <w:r>
        <w:rPr>
          <w:rFonts w:ascii="Times New Roman;sans-serif" w:hAnsi="Times New Roman;sans-serif"/>
          <w:b w:val="false"/>
          <w:color w:val="000000"/>
          <w:sz w:val="24"/>
          <w:u w:val="single"/>
        </w:rPr>
        <w:t>Section 15.5(b)</w:t>
      </w:r>
      <w:r>
        <w:rPr>
          <w:color w:val="000000"/>
        </w:rPr>
        <w:t xml:space="preserve"> </w:t>
      </w:r>
      <w:r>
        <w:rPr>
          <w:rFonts w:ascii="Times New Roman;sans-serif" w:hAnsi="Times New Roman;sans-serif"/>
          <w:b w:val="false"/>
          <w:color w:val="000000"/>
          <w:sz w:val="24"/>
        </w:rPr>
        <w:t xml:space="preserve">for (1) any expense that constitutes allocable overhead, such as costs for office space, office equipment, supplies and related expenses, employee salaries and related expenses and similar internal costs and expenses, (2) any loss, liability, damage, claim or expense specifically required to be borne by the Account Bank pursuant to this Agreement or (3) any loss, liability, damage, claim or expense incurred by reason of any breach on the part of the Account Bank of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855345"/>
                <wp:effectExtent l="0" t="0" r="0" b="0"/>
                <wp:wrapNone/>
                <wp:docPr id="222" name="Frame222"/>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- 151 -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- 151 -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of its representations or warranties contained herein or any willful misconduct, or gross negligence in the performance of, the Account Bank’s or the Verification Agent’s obligations and duties hereunder as determined by a court of competent jurisdiction in a final, non-appealable order. Without limiting the foregoing, the Borrower agrees to indemnify and hold harmless the Account Bank and the Verification Agent and their respective Affiliates from and against any liability (including for taxes, penalties or interest asserted by any taxing jurisdiction) arising from any failure to withhold taxes from amounts payable in respect of payments from the Facility Collection Account. The Account Bank and the Verification Agent shall notify the Borrower promptly of any claim for which it may seek indemnity. Failure by the Account Bank or the Verification Agent to so notify the Borrower shall not relieve the Borrower of its obligations hereunder. </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in this Agreement to the contrary, in no event shall the Account Bank be liable for special, indirect or consequential damages of any kind whatsoever (including lost profits), even if the Account Bank has been advised of the likelihood of such loss or damage and regardless of the form of action.</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(d)    This </w:t>
      </w:r>
      <w:r>
        <w:rPr>
          <w:rFonts w:ascii="Times New Roman;sans-serif" w:hAnsi="Times New Roman;sans-serif"/>
          <w:b w:val="false"/>
          <w:color w:val="000000"/>
          <w:sz w:val="24"/>
          <w:u w:val="single"/>
        </w:rPr>
        <w:t>Section 15.5</w:t>
      </w:r>
      <w:r>
        <w:rPr>
          <w:color w:val="000000"/>
        </w:rPr>
        <w:t xml:space="preserve"> </w:t>
      </w:r>
      <w:r>
        <w:rPr>
          <w:rFonts w:ascii="Times New Roman;sans-serif" w:hAnsi="Times New Roman;sans-serif"/>
          <w:b w:val="false"/>
          <w:color w:val="000000"/>
          <w:sz w:val="24"/>
        </w:rPr>
        <w:t>shall survive the discharge or termination of this Agreement or the resignation or removal of the Account Bank as regards rights and obligations prior to such discharge, termination, resignation or removal.</w:t>
      </w:r>
    </w:p>
    <w:p>
      <w:pPr>
        <w:pStyle w:val="TextBody"/>
        <w:bidi w:val="0"/>
        <w:spacing w:lineRule="auto" w:line="288" w:before="0" w:after="240"/>
        <w:ind w:left="0" w:right="0" w:firstLine="720"/>
        <w:jc w:val="both"/>
        <w:rPr/>
      </w:pPr>
      <w:r>
        <w:rPr>
          <w:rFonts w:ascii="Times New Roman;sans-serif" w:hAnsi="Times New Roman;sans-serif"/>
          <w:b/>
          <w:color w:val="000000"/>
          <w:sz w:val="24"/>
        </w:rPr>
        <w:t>15.6    [Reserved]</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15.7    Resignation and Removal of Account Bank</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(a)    The Account Bank may at any time resign and be discharged from its obligations and duties created hereunder with respect to one or more or all Series of Notes by giving not less than thirty (30) days prior written notice thereof to the other parties to this Agreement. Upon receiving such notice of resignation, the Borrower shall use its commercially reasonable efforts to promptly appoint a successor Account Bank by written instrument, in duplicate, which instrument shall be delivered to the resigning Account Bank and to the successor Account Bank. A copy of such instrument shall be delivered to the other parties to this Agreement by the Borrower. If no successor Account Bank shall have been so appointed and have accepted appointment within thirty (30) days after the giving of such notice of resignation, the resigning Account Bank may petition any court of competent jurisdiction for the appointment of a successor Account Bank.</w:t>
      </w:r>
    </w:p>
    <w:p>
      <w:pPr>
        <w:pStyle w:val="TextBody"/>
        <w:bidi w:val="0"/>
        <w:spacing w:lineRule="auto" w:line="288" w:before="0" w:after="240"/>
        <w:ind w:left="0" w:right="0" w:firstLine="135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If at any time the Account Bank shall become incapable of acting, or shall be adjudged bankrupt or insolvent, or a receiver of the Account Bank or of its property shall be appointed, or any public officer shall take charge or control of the Account Bank or of its property or affairs for the purpose of rehabilitation, conservation or liquidation, then the Borrower, or the Requisite Lenders will, upon ten (10) days’ prior written notice, be authorized to remove the Account Bank and appoint a successor Account Bank by written instrument, in duplicate, which instrument shall be delivered to the Account Bank so removed and to the successor Account Bank. A copy of such instrument shall be delivered to the other parties to this Agreement by the Borrower. If no successor Account Bank has accepted an appointment within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855345"/>
                <wp:effectExtent l="0" t="0" r="0" b="0"/>
                <wp:wrapNone/>
                <wp:docPr id="223" name="Frame223"/>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- 152 -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- 152 -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ten (10) days after such removal, the retiring Account Bank may petition any court of competent jurisdiction to appoint a successor Account Bank.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(c)    Requisite Lenders may at any time upon thirty (30) days advance written notice (with or without cause) remove the Account Bank and appoint a successor Account Bank by written instrument or instruments, in triplicate, signed by such lenders or their attorneys-in-fact duly authorized, one complete set of which instruments shall be delivered to the Borrower, one complete set to the Account Bank so removed, and one complete set to the successor Account Bank so appointed. All expenses incurred by the Account Bank in connection with its transfer of all documents relating to the Notes to a successor Account Bank following the removal of the Account Bank without cause pursuant to this </w:t>
      </w:r>
      <w:r>
        <w:rPr>
          <w:rFonts w:ascii="Times New Roman;sans-serif" w:hAnsi="Times New Roman;sans-serif"/>
          <w:b w:val="false"/>
          <w:color w:val="000000"/>
          <w:sz w:val="24"/>
          <w:u w:val="single"/>
        </w:rPr>
        <w:t>Section 15.7(c)</w:t>
      </w:r>
      <w:r>
        <w:rPr>
          <w:color w:val="000000"/>
        </w:rPr>
        <w:t xml:space="preserve"> </w:t>
      </w:r>
      <w:r>
        <w:rPr>
          <w:rFonts w:ascii="Times New Roman;sans-serif" w:hAnsi="Times New Roman;sans-serif"/>
          <w:b w:val="false"/>
          <w:color w:val="000000"/>
          <w:sz w:val="24"/>
        </w:rPr>
        <w:t xml:space="preserve">shall be reimbursed to the removed Account Bank within fifteen (15) days of demand therefor, such reimbursement to be made by the Lenders that terminated the Account Bank;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such Lenders do not reimburse the Account Bank within such thirty (30) day period, such expenses shall be reimbursed pursuant to </w:t>
      </w:r>
      <w:r>
        <w:rPr>
          <w:rFonts w:ascii="Times New Roman;sans-serif" w:hAnsi="Times New Roman;sans-serif"/>
          <w:b w:val="false"/>
          <w:color w:val="000000"/>
          <w:sz w:val="24"/>
          <w:u w:val="single"/>
        </w:rPr>
        <w:t>Section 2.8</w:t>
      </w:r>
      <w:r>
        <w:rPr>
          <w:rFonts w:ascii="Times New Roman;sans-serif" w:hAnsi="Times New Roman;sans-serif"/>
          <w:b w:val="false"/>
          <w:color w:val="000000"/>
          <w:sz w:val="24"/>
        </w:rPr>
        <w:t xml:space="preserve">. A copy of such instrument shall be delivered to the other parties to this Agreement by the successor Account Bank so appointed. </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(d)    Any resignation or removal of the Account Bank and appointment of a successor Account Bank pursuant to any of the provisions of this </w:t>
      </w:r>
      <w:r>
        <w:rPr>
          <w:rFonts w:ascii="Times New Roman;sans-serif" w:hAnsi="Times New Roman;sans-serif"/>
          <w:b w:val="false"/>
          <w:color w:val="000000"/>
          <w:sz w:val="24"/>
          <w:u w:val="single"/>
        </w:rPr>
        <w:t>Section 15.7</w:t>
      </w:r>
      <w:r>
        <w:rPr>
          <w:color w:val="000000"/>
        </w:rPr>
        <w:t xml:space="preserve"> </w:t>
      </w:r>
      <w:r>
        <w:rPr>
          <w:rFonts w:ascii="Times New Roman;sans-serif" w:hAnsi="Times New Roman;sans-serif"/>
          <w:b w:val="false"/>
          <w:color w:val="000000"/>
          <w:sz w:val="24"/>
        </w:rPr>
        <w:t xml:space="preserve">shall not become effective until acceptance of appointment by the successor Account Bank as provided in </w:t>
      </w:r>
      <w:r>
        <w:rPr>
          <w:rFonts w:ascii="Times New Roman;sans-serif" w:hAnsi="Times New Roman;sans-serif"/>
          <w:b w:val="false"/>
          <w:color w:val="000000"/>
          <w:sz w:val="24"/>
          <w:u w:val="single"/>
        </w:rPr>
        <w:t>Section 15.8</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color w:val="000000"/>
          <w:sz w:val="24"/>
        </w:rPr>
        <w:t>15.8    Successor Account Bank</w:t>
      </w:r>
      <w:r>
        <w:rPr>
          <w:rFonts w:ascii="Times New Roman;sans-serif" w:hAnsi="Times New Roman;sans-serif"/>
          <w:b w:val="false"/>
          <w:color w:val="000000"/>
          <w:sz w:val="24"/>
        </w:rPr>
        <w:t>.</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(a)    Any successor Account Bank appointed as provided in </w:t>
      </w:r>
      <w:r>
        <w:rPr>
          <w:rFonts w:ascii="Times New Roman;sans-serif" w:hAnsi="Times New Roman;sans-serif"/>
          <w:b w:val="false"/>
          <w:color w:val="000000"/>
          <w:sz w:val="24"/>
          <w:u w:val="single"/>
        </w:rPr>
        <w:t>Section 15.7</w:t>
      </w:r>
      <w:r>
        <w:rPr>
          <w:color w:val="000000"/>
        </w:rPr>
        <w:t xml:space="preserve"> </w:t>
      </w:r>
      <w:r>
        <w:rPr>
          <w:rFonts w:ascii="Times New Roman;sans-serif" w:hAnsi="Times New Roman;sans-serif"/>
          <w:b w:val="false"/>
          <w:color w:val="000000"/>
          <w:sz w:val="24"/>
        </w:rPr>
        <w:t>shall execute, acknowledge and deliver to the Borrower and its predecessor Account Bank an instrument accepting such appointment hereunder, and thereupon the resignation or removal of the predecessor Account Bank shall become effective and such successor Account Bank, without any further act, deed or conveyance, shall become fully vested with all of the rights, powers, duties and obligations of its predecessor hereunder, with the like effect as if originally named as Account Bank herein. The predecessor Account Bank shall deliver to the successor Account Bank all documents relating to the Notes held by it hereunder, and the Borrower and the predecessor Account Bank shall execute and deliver such instruments and do such other things as may reasonably be required to more fully and certainly vest and confirm in the successor Account Bank all such rights, powers, duties and obligations, and to enable the successor Account Bank to perform its obligations hereunder.</w:t>
      </w:r>
    </w:p>
    <w:p>
      <w:pPr>
        <w:pStyle w:val="TextBody"/>
        <w:bidi w:val="0"/>
        <w:spacing w:lineRule="auto" w:line="288" w:before="0" w:after="240"/>
        <w:ind w:left="0" w:right="0" w:firstLine="1350"/>
        <w:jc w:val="both"/>
        <w:rPr/>
      </w:pPr>
      <w:r>
        <w:rPr>
          <w:rFonts w:ascii="Times New Roman;sans-serif" w:hAnsi="Times New Roman;sans-serif"/>
          <w:b w:val="false"/>
          <w:color w:val="000000"/>
          <w:sz w:val="24"/>
        </w:rPr>
        <w:t xml:space="preserve">(b)    Upon acceptance of appointment by a successor Account Bank as provided in this </w:t>
      </w:r>
      <w:r>
        <w:rPr>
          <w:rFonts w:ascii="Times New Roman;sans-serif" w:hAnsi="Times New Roman;sans-serif"/>
          <w:b w:val="false"/>
          <w:color w:val="000000"/>
          <w:sz w:val="24"/>
          <w:u w:val="single"/>
        </w:rPr>
        <w:t>Section 15.8</w:t>
      </w:r>
      <w:r>
        <w:rPr>
          <w:rFonts w:ascii="Times New Roman;sans-serif" w:hAnsi="Times New Roman;sans-serif"/>
          <w:b w:val="false"/>
          <w:color w:val="000000"/>
          <w:sz w:val="24"/>
        </w:rPr>
        <w:t>, such successor Account Bank shall mail notice of the succession of such Account Bank hereunder to the Borrower.</w:t>
      </w:r>
    </w:p>
    <w:p>
      <w:pPr>
        <w:pStyle w:val="TextBody"/>
        <w:bidi w:val="0"/>
        <w:spacing w:lineRule="auto" w:line="288" w:before="0" w:after="240"/>
        <w:ind w:left="0" w:right="0" w:firstLine="720"/>
        <w:jc w:val="both"/>
        <w:rPr/>
      </w:pPr>
      <w:r>
        <w:rPr>
          <w:rFonts w:ascii="Times New Roman;sans-serif" w:hAnsi="Times New Roman;sans-serif"/>
          <w:b/>
          <w:color w:val="000000"/>
          <w:sz w:val="24"/>
        </w:rPr>
        <w:t>15.9    Merger or Consolidation of Account Bank</w:t>
      </w:r>
      <w:r>
        <w:rPr>
          <w:rFonts w:ascii="Times New Roman;sans-serif" w:hAnsi="Times New Roman;sans-serif"/>
          <w:b w:val="false"/>
          <w:color w:val="000000"/>
          <w:sz w:val="24"/>
        </w:rPr>
        <w:t xml:space="preserve">. Any entity into which the Account Bank may be merged or converted or with which it may be consolidated or any entity resulting from any merger, conversion or consolidation to which the Account Bank shall be a party, or any entity succeeding to all or substantially all of the corporate trust business of the Account Bank shall be the successor of the Account Bank hereunder, without the execution or filing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855345"/>
                <wp:effectExtent l="0" t="0" r="0" b="0"/>
                <wp:wrapNone/>
                <wp:docPr id="224" name="Frame224"/>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- 153 -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- 153 -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paper or any further act on the part of any of the parties hereto, anything herein to the contrary notwithstanding.</w:t>
      </w:r>
    </w:p>
    <w:p>
      <w:pPr>
        <w:pStyle w:val="TextBody"/>
        <w:bidi w:val="0"/>
        <w:spacing w:lineRule="auto" w:line="288" w:before="0" w:after="240"/>
        <w:ind w:left="0" w:right="0" w:firstLine="720"/>
        <w:jc w:val="both"/>
        <w:rPr/>
      </w:pPr>
      <w:r>
        <w:rPr>
          <w:rFonts w:ascii="Times New Roman;sans-serif" w:hAnsi="Times New Roman;sans-serif"/>
          <w:b/>
          <w:color w:val="000000"/>
          <w:sz w:val="24"/>
        </w:rPr>
        <w:t>15.10    Multiple Roles</w:t>
      </w:r>
      <w:r>
        <w:rPr>
          <w:rFonts w:ascii="Times New Roman;sans-serif" w:hAnsi="Times New Roman;sans-serif"/>
          <w:b w:val="false"/>
          <w:color w:val="000000"/>
          <w:sz w:val="24"/>
        </w:rPr>
        <w:t>.    The parties expressly acknowledge and consent to Wilmington acting in the multiple capacities of Verification Agent, Account Bank and in the capacity as Administrative Agent. Wilmington may, in such multiple capacities, discharge its separate functions fully, without hindrance or regard to conflict of interest principles or other breach of duties to the extent that any such conflict or breach arises from the performance by Wilmington of express duties set forth in this Agreement in any of such capacities, all of which defenses, claims or assertions are hereby expressly waived by the other parties hereto except in the case of negligence (other than errors in judgment) and willful misconduct by Wilmington.</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855345"/>
                <wp:effectExtent l="0" t="0" r="0" b="0"/>
                <wp:wrapNone/>
                <wp:docPr id="225" name="Frame225"/>
                <a:graphic xmlns:a="http://schemas.openxmlformats.org/drawingml/2006/main">
                  <a:graphicData uri="http://schemas.microsoft.com/office/word/2010/wordprocessingShape">
                    <wps:wsp>
                      <wps:cNvSpPr txBox="1"/>
                      <wps:spPr>
                        <a:xfrm>
                          <a:off x="0" y="0"/>
                          <a:ext cx="6480175" cy="8553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- 154 -</w:t>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- 154 -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WITNESS WHEREOF, each of the parties has duly executed this Bridge Loan and Security Agreement as of the date first written above.</w:t>
      </w:r>
    </w:p>
    <w:p>
      <w:pPr>
        <w:pStyle w:val="TextBody"/>
        <w:bidi w:val="0"/>
        <w:spacing w:lineRule="auto" w:line="288" w:before="0" w:after="240"/>
        <w:jc w:val="left"/>
        <w:rPr/>
      </w:pPr>
      <w:r>
        <w:rPr>
          <w:rFonts w:ascii="Times New Roman;sans-serif" w:hAnsi="Times New Roman;sans-serif"/>
          <w:b/>
          <w:color w:val="000000"/>
          <w:sz w:val="24"/>
          <w:u w:val="single"/>
        </w:rPr>
        <w:t>BORROWER</w:t>
      </w:r>
      <w:r>
        <w:rPr>
          <w:rFonts w:ascii="Times New Roman;sans-serif" w:hAnsi="Times New Roman;sans-serif"/>
          <w:b/>
          <w:color w:val="000000"/>
          <w:sz w:val="24"/>
        </w:rPr>
        <w: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UNITI FIBER BRIDGE BORROWER LLC</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 xml:space="preserve">Name: </w:t>
        <w:br/>
        <w:t xml:space="preserve">Title: </w:t>
      </w:r>
    </w:p>
    <w:p>
      <w:pPr>
        <w:pStyle w:val="TextBody"/>
        <w:bidi w:val="0"/>
        <w:spacing w:lineRule="auto" w:line="288" w:before="0" w:after="240"/>
        <w:jc w:val="left"/>
        <w:rPr/>
      </w:pPr>
      <w:r>
        <w:rPr>
          <w:rFonts w:ascii="Times New Roman;sans-serif" w:hAnsi="Times New Roman;sans-serif"/>
          <w:b/>
          <w:color w:val="000000"/>
          <w:sz w:val="24"/>
          <w:u w:val="single"/>
        </w:rPr>
        <w:t>HOLDINGS</w:t>
      </w:r>
      <w:r>
        <w:rPr>
          <w:rFonts w:ascii="Times New Roman;sans-serif" w:hAnsi="Times New Roman;sans-serif"/>
          <w:b/>
          <w:color w:val="000000"/>
          <w:sz w:val="24"/>
        </w:rPr>
        <w: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UNITI FIBER BRIDGE HOLDCO LLC</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 xml:space="preserve">Name: </w:t>
        <w:br/>
        <w:t xml:space="preserve">Title: </w:t>
      </w:r>
    </w:p>
    <w:p>
      <w:pPr>
        <w:pStyle w:val="TextBody"/>
        <w:bidi w:val="0"/>
        <w:spacing w:lineRule="auto" w:line="288" w:before="0" w:after="240"/>
        <w:jc w:val="left"/>
        <w:rPr/>
      </w:pPr>
      <w:r>
        <w:rPr>
          <w:rFonts w:ascii="Times New Roman;sans-serif" w:hAnsi="Times New Roman;sans-serif"/>
          <w:b/>
          <w:color w:val="000000"/>
          <w:sz w:val="24"/>
          <w:u w:val="single"/>
        </w:rPr>
        <w:t>SUBSIDIARY GUARANTOR</w:t>
      </w:r>
      <w:r>
        <w:rPr>
          <w:rFonts w:ascii="Times New Roman;sans-serif" w:hAnsi="Times New Roman;sans-serif"/>
          <w:b/>
          <w:color w:val="000000"/>
          <w:sz w:val="24"/>
        </w:rPr>
        <w:t>:</w:t>
      </w:r>
    </w:p>
    <w:p>
      <w:pPr>
        <w:pStyle w:val="TextBody"/>
        <w:bidi w:val="0"/>
        <w:spacing w:lineRule="auto" w:line="288" w:before="0" w:after="240"/>
        <w:jc w:val="left"/>
        <w:rPr>
          <w:rFonts w:ascii="Times New Roman;sans-serif" w:hAnsi="Times New Roman;sans-serif"/>
          <w:b/>
          <w:color w:val="1F1F1F"/>
          <w:sz w:val="24"/>
        </w:rPr>
      </w:pPr>
      <w:r>
        <w:rPr>
          <w:rFonts w:ascii="Times New Roman;sans-serif" w:hAnsi="Times New Roman;sans-serif"/>
          <w:b/>
          <w:color w:val="1F1F1F"/>
          <w:sz w:val="24"/>
        </w:rPr>
        <w:t>UNITI FIBER GULFCO LLC</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 xml:space="preserve">Name: </w:t>
        <w:br/>
        <w:t xml:space="preserve">Title: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820420"/>
                <wp:effectExtent l="0" t="0" r="0" b="0"/>
                <wp:wrapNone/>
                <wp:docPr id="226" name="Frame226"/>
                <a:graphic xmlns:a="http://schemas.openxmlformats.org/drawingml/2006/main">
                  <a:graphicData uri="http://schemas.microsoft.com/office/word/2010/wordprocessingShape">
                    <wps:wsp>
                      <wps:cNvSpPr txBox="1"/>
                      <wps:spPr>
                        <a:xfrm>
                          <a:off x="0" y="0"/>
                          <a:ext cx="6480175" cy="82042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4"/>
          <w:u w:val="single"/>
        </w:rPr>
        <w:t>ADMINISTRATIVE AGENT</w:t>
      </w:r>
      <w:r>
        <w:rPr>
          <w:rFonts w:ascii="Times New Roman;sans-serif" w:hAnsi="Times New Roman;sans-serif"/>
          <w:b/>
          <w:color w:val="000000"/>
          <w:sz w:val="24"/>
        </w:rPr>
        <w: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WILMINGTON TRUST, NATIONAL ASSOCIATION</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br/>
        <w:t xml:space="preserve">Title: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434975"/>
                <wp:effectExtent l="0" t="0" r="0" b="0"/>
                <wp:wrapNone/>
                <wp:docPr id="227" name="Frame227"/>
                <a:graphic xmlns:a="http://schemas.openxmlformats.org/drawingml/2006/main">
                  <a:graphicData uri="http://schemas.microsoft.com/office/word/2010/wordprocessingShape">
                    <wps:wsp>
                      <wps:cNvSpPr txBox="1"/>
                      <wps:spPr>
                        <a:xfrm>
                          <a:off x="0" y="0"/>
                          <a:ext cx="6480175" cy="4349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4"/>
          <w:u w:val="single"/>
        </w:rPr>
        <w:t>ACCOUNT BANK</w:t>
      </w:r>
      <w:r>
        <w:rPr>
          <w:rFonts w:ascii="Times New Roman;sans-serif" w:hAnsi="Times New Roman;sans-serif"/>
          <w:b/>
          <w:color w:val="000000"/>
          <w:sz w:val="24"/>
        </w:rPr>
        <w: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WILMINGTON TRUST, NATIONAL ASSOCIATION</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br/>
        <w:t xml:space="preserve">Title: </w:t>
      </w:r>
    </w:p>
    <w:p>
      <w:pPr>
        <w:pStyle w:val="TextBody"/>
        <w:bidi w:val="0"/>
        <w:spacing w:lineRule="auto" w:line="288" w:before="0" w:after="240"/>
        <w:jc w:val="left"/>
        <w:rPr/>
      </w:pPr>
      <w:r>
        <w:rPr>
          <w:rFonts w:ascii="Times New Roman;sans-serif" w:hAnsi="Times New Roman;sans-serif"/>
          <w:b/>
          <w:color w:val="000000"/>
          <w:sz w:val="24"/>
          <w:u w:val="single"/>
        </w:rPr>
        <w:t>VERIFICATION AGENT</w:t>
      </w:r>
      <w:r>
        <w:rPr>
          <w:rFonts w:ascii="Times New Roman;sans-serif" w:hAnsi="Times New Roman;sans-serif"/>
          <w:b/>
          <w:color w:val="000000"/>
          <w:sz w:val="24"/>
        </w:rPr>
        <w:t>:</w:t>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WILMINGTON TRUST, NATIONAL ASSOCIATION</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br/>
        <w:t xml:space="preserve">Title: </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434975"/>
                <wp:effectExtent l="0" t="0" r="0" b="0"/>
                <wp:wrapNone/>
                <wp:docPr id="228" name="Frame228"/>
                <a:graphic xmlns:a="http://schemas.openxmlformats.org/drawingml/2006/main">
                  <a:graphicData uri="http://schemas.microsoft.com/office/word/2010/wordprocessingShape">
                    <wps:wsp>
                      <wps:cNvSpPr txBox="1"/>
                      <wps:spPr>
                        <a:xfrm>
                          <a:off x="0" y="0"/>
                          <a:ext cx="6480175" cy="4349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left"/>
        <w:rPr/>
      </w:pPr>
      <w:r>
        <w:rPr>
          <w:rFonts w:ascii="Times New Roman;sans-serif" w:hAnsi="Times New Roman;sans-serif"/>
          <w:b/>
          <w:color w:val="000000"/>
          <w:sz w:val="24"/>
          <w:u w:val="single"/>
        </w:rPr>
        <w:t>LENDERS</w:t>
      </w:r>
      <w:r>
        <w:rPr>
          <w:rFonts w:ascii="Times New Roman;sans-serif" w:hAnsi="Times New Roman;sans-serif"/>
          <w:b/>
          <w:color w:val="000000"/>
          <w:sz w:val="24"/>
        </w:rPr>
        <w:t>:</w:t>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BARCLAYS BANK PLC</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br/>
        <w:t xml:space="preserve">Title: </w:t>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DEUTSCHE BANK AG, NEW YORK BRANCH</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br/>
        <w:t xml:space="preserve">Title: </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br/>
        <w:t xml:space="preserve">Title: </w:t>
      </w:r>
    </w:p>
    <w:p>
      <w:pPr>
        <w:pStyle w:val="TextBody"/>
        <w:bidi w:val="0"/>
        <w:spacing w:before="0" w:after="480"/>
        <w:jc w:val="left"/>
        <w:rPr/>
      </w:pPr>
      <w:r>
        <w:rPr/>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CITIBANK, N.A.</w:t>
      </w:r>
    </w:p>
    <w:p>
      <w:pPr>
        <w:pStyle w:val="TextBody"/>
        <w:bidi w:val="0"/>
        <w:spacing w:lineRule="auto" w:line="288" w:before="0" w:after="48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b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434975"/>
                <wp:effectExtent l="0" t="0" r="0" b="0"/>
                <wp:wrapNone/>
                <wp:docPr id="229" name="Frame229"/>
                <a:graphic xmlns:a="http://schemas.openxmlformats.org/drawingml/2006/main">
                  <a:graphicData uri="http://schemas.microsoft.com/office/word/2010/wordprocessingShape">
                    <wps:wsp>
                      <wps:cNvSpPr txBox="1"/>
                      <wps:spPr>
                        <a:xfrm>
                          <a:off x="0" y="0"/>
                          <a:ext cx="6480175" cy="4349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[Signature Page to Uniti – Bridge Loan and Security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ANNEX 1</w:t>
        <w:br/>
        <w:br/>
        <w:t>COMMITMENTS</w:t>
      </w:r>
    </w:p>
    <w:tbl>
      <w:tblPr>
        <w:tblW w:w="6630" w:type="dxa"/>
        <w:jc w:val="left"/>
        <w:tblInd w:w="0" w:type="dxa"/>
        <w:tblLayout w:type="fixed"/>
        <w:tblCellMar>
          <w:top w:w="28" w:type="dxa"/>
          <w:left w:w="28" w:type="dxa"/>
          <w:bottom w:w="28" w:type="dxa"/>
          <w:right w:w="28" w:type="dxa"/>
        </w:tblCellMar>
      </w:tblPr>
      <w:tblGrid>
        <w:gridCol w:w="1404"/>
        <w:gridCol w:w="1232"/>
        <w:gridCol w:w="1249"/>
        <w:gridCol w:w="480"/>
        <w:gridCol w:w="480"/>
        <w:gridCol w:w="481"/>
        <w:gridCol w:w="382"/>
        <w:gridCol w:w="382"/>
        <w:gridCol w:w="540"/>
      </w:tblGrid>
      <w:tr>
        <w:trPr/>
        <w:tc>
          <w:tcPr>
            <w:tcW w:w="140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op w:val="double" w:sz="10" w:space="0" w:color="000000"/>
              <w:left w:val="double" w:sz="10"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Lender</w:t>
            </w:r>
          </w:p>
        </w:tc>
        <w:tc>
          <w:tcPr>
            <w:tcW w:w="1441" w:type="dxa"/>
            <w:gridSpan w:val="3"/>
            <w:tcBorders>
              <w:top w:val="double" w:sz="10"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Commitment</w:t>
            </w:r>
          </w:p>
        </w:tc>
        <w:tc>
          <w:tcPr>
            <w:tcW w:w="1304" w:type="dxa"/>
            <w:gridSpan w:val="3"/>
            <w:tcBorders>
              <w:top w:val="double" w:sz="10" w:space="0" w:color="000000"/>
              <w:left w:val="single" w:sz="8" w:space="0" w:color="000000"/>
              <w:right w:val="double" w:sz="10"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Pro</w:t>
              <w:br/>
              <w:t>Rata Share</w:t>
            </w:r>
          </w:p>
        </w:tc>
      </w:tr>
      <w:tr>
        <w:trPr/>
        <w:tc>
          <w:tcPr>
            <w:tcW w:w="3885" w:type="dxa"/>
            <w:gridSpan w:val="3"/>
            <w:tcBorders>
              <w:top w:val="single" w:sz="12" w:space="0" w:color="000000"/>
              <w:left w:val="double" w:sz="10"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Barclays Bank PLC</w:t>
            </w:r>
          </w:p>
        </w:tc>
        <w:tc>
          <w:tcPr>
            <w:tcW w:w="1441" w:type="dxa"/>
            <w:gridSpan w:val="3"/>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$175,350,000</w:t>
            </w:r>
          </w:p>
        </w:tc>
        <w:tc>
          <w:tcPr>
            <w:tcW w:w="1304" w:type="dxa"/>
            <w:gridSpan w:val="3"/>
            <w:tcBorders>
              <w:top w:val="single" w:sz="12"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50.1%</w:t>
            </w:r>
          </w:p>
        </w:tc>
      </w:tr>
      <w:tr>
        <w:trPr/>
        <w:tc>
          <w:tcPr>
            <w:tcW w:w="3885" w:type="dxa"/>
            <w:gridSpan w:val="3"/>
            <w:tcBorders>
              <w:top w:val="single" w:sz="12" w:space="0" w:color="000000"/>
              <w:left w:val="double" w:sz="10"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Deutsche Bank AG, New York Branch</w:t>
            </w:r>
          </w:p>
        </w:tc>
        <w:tc>
          <w:tcPr>
            <w:tcW w:w="1441" w:type="dxa"/>
            <w:gridSpan w:val="3"/>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$99,750,000</w:t>
            </w:r>
          </w:p>
        </w:tc>
        <w:tc>
          <w:tcPr>
            <w:tcW w:w="1304" w:type="dxa"/>
            <w:gridSpan w:val="3"/>
            <w:tcBorders>
              <w:top w:val="single" w:sz="12"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28.5%</w:t>
            </w:r>
          </w:p>
        </w:tc>
      </w:tr>
      <w:tr>
        <w:trPr/>
        <w:tc>
          <w:tcPr>
            <w:tcW w:w="3885" w:type="dxa"/>
            <w:gridSpan w:val="3"/>
            <w:tcBorders>
              <w:top w:val="single" w:sz="12" w:space="0" w:color="000000"/>
              <w:left w:val="double" w:sz="10" w:space="0" w:color="000000"/>
            </w:tcBorders>
            <w:tcMar>
              <w:top w:w="30" w:type="dxa"/>
              <w:left w:w="87"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Citibank, N.A.</w:t>
            </w:r>
          </w:p>
        </w:tc>
        <w:tc>
          <w:tcPr>
            <w:tcW w:w="1441" w:type="dxa"/>
            <w:gridSpan w:val="3"/>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$74,900,000</w:t>
            </w:r>
          </w:p>
        </w:tc>
        <w:tc>
          <w:tcPr>
            <w:tcW w:w="1304" w:type="dxa"/>
            <w:gridSpan w:val="3"/>
            <w:tcBorders>
              <w:top w:val="single" w:sz="12" w:space="0" w:color="000000"/>
              <w:left w:val="single" w:sz="8" w:space="0" w:color="000000"/>
              <w:right w:val="double" w:sz="10"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21.4%</w:t>
            </w:r>
          </w:p>
        </w:tc>
      </w:tr>
      <w:tr>
        <w:trPr/>
        <w:tc>
          <w:tcPr>
            <w:tcW w:w="3885" w:type="dxa"/>
            <w:gridSpan w:val="3"/>
            <w:tcBorders>
              <w:top w:val="single" w:sz="8" w:space="0" w:color="000000"/>
              <w:left w:val="double" w:sz="10" w:space="0" w:color="000000"/>
              <w:bottom w:val="double" w:sz="10" w:space="0" w:color="000000"/>
            </w:tcBorders>
            <w:tcMar>
              <w:top w:w="30" w:type="dxa"/>
              <w:bottom w:w="30" w:type="dxa"/>
              <w:right w:w="0" w:type="dxa"/>
            </w:tcMar>
            <w:vAlign w:val="center"/>
          </w:tcPr>
          <w:p>
            <w:pPr>
              <w:pStyle w:val="TableContents"/>
              <w:bidi w:val="0"/>
              <w:spacing w:lineRule="auto" w:line="288" w:before="0" w:after="58"/>
              <w:jc w:val="right"/>
              <w:rPr>
                <w:rFonts w:ascii="Times New Roman;sans-serif" w:hAnsi="Times New Roman;sans-serif"/>
                <w:b/>
                <w:color w:val="000000"/>
                <w:sz w:val="24"/>
              </w:rPr>
            </w:pPr>
            <w:r>
              <w:rPr>
                <w:rFonts w:ascii="Times New Roman;sans-serif" w:hAnsi="Times New Roman;sans-serif"/>
                <w:b/>
                <w:color w:val="000000"/>
                <w:sz w:val="24"/>
              </w:rPr>
              <w:t>Total</w:t>
            </w:r>
          </w:p>
        </w:tc>
        <w:tc>
          <w:tcPr>
            <w:tcW w:w="1441" w:type="dxa"/>
            <w:gridSpan w:val="3"/>
            <w:tcBorders>
              <w:top w:val="single" w:sz="8" w:space="0" w:color="000000"/>
              <w:left w:val="single" w:sz="8" w:space="0" w:color="000000"/>
              <w:bottom w:val="double" w:sz="10"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$350,000,000</w:t>
            </w:r>
          </w:p>
        </w:tc>
        <w:tc>
          <w:tcPr>
            <w:tcW w:w="1304" w:type="dxa"/>
            <w:gridSpan w:val="3"/>
            <w:tcBorders>
              <w:top w:val="single" w:sz="8" w:space="0" w:color="000000"/>
              <w:left w:val="single" w:sz="8" w:space="0" w:color="000000"/>
              <w:bottom w:val="double" w:sz="10" w:space="0" w:color="000000"/>
              <w:right w:val="double" w:sz="10"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100%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434975"/>
                <wp:effectExtent l="0" t="0" r="0" b="0"/>
                <wp:wrapNone/>
                <wp:docPr id="230" name="Frame230"/>
                <a:graphic xmlns:a="http://schemas.openxmlformats.org/drawingml/2006/main">
                  <a:graphicData uri="http://schemas.microsoft.com/office/word/2010/wordprocessingShape">
                    <wps:wsp>
                      <wps:cNvSpPr txBox="1"/>
                      <wps:spPr>
                        <a:xfrm>
                          <a:off x="0" y="0"/>
                          <a:ext cx="6480175" cy="43497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Uniti – Bridge Loan and Security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#97751373v29</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Kenneth A. Gunderman,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67"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975"/>
        <w:gridCol w:w="975"/>
        <w:gridCol w:w="137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0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E. Bullington, certify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Uniti Group Inc.;</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03"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187"/>
        <w:gridCol w:w="1187"/>
        <w:gridCol w:w="169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556"/>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March 31, 2024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368"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975"/>
        <w:gridCol w:w="975"/>
        <w:gridCol w:w="138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2024</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Kenneth A. Gunderman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Uniti Group Inc. (the “Company”) for the period ending March 31, 2024 as filed with the Securities and Exchange Commission on the date hereof (the “Report”), I certify, pursuant to 18 U.S.C. § 1350, as adopted pursuant to § 906 of the Sarbanes-Oxley Act of 2002, to my knowledge, that:</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6148" w:type="dxa"/>
        <w:jc w:val="center"/>
        <w:tblInd w:w="0" w:type="dxa"/>
        <w:tblLayout w:type="fixed"/>
        <w:tblCellMar>
          <w:top w:w="28" w:type="dxa"/>
          <w:left w:w="28" w:type="dxa"/>
          <w:bottom w:w="28" w:type="dxa"/>
          <w:right w:w="28" w:type="dxa"/>
        </w:tblCellMar>
      </w:tblPr>
      <w:tblGrid>
        <w:gridCol w:w="591"/>
        <w:gridCol w:w="520"/>
        <w:gridCol w:w="523"/>
        <w:gridCol w:w="134"/>
        <w:gridCol w:w="134"/>
        <w:gridCol w:w="136"/>
        <w:gridCol w:w="1200"/>
        <w:gridCol w:w="1200"/>
        <w:gridCol w:w="171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2024</w:t>
            </w:r>
          </w:p>
        </w:tc>
        <w:tc>
          <w:tcPr>
            <w:tcW w:w="404"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ans-serif" w:hAnsi="Times New Roman;sans-serif"/>
                <w:b w:val="false"/>
                <w:color w:val="000000"/>
                <w:sz w:val="20"/>
              </w:rPr>
              <w:t>By</w:t>
            </w:r>
            <w:r>
              <w:rPr>
                <w:rFonts w:ascii="Arial;sans-serif" w:hAnsi="Arial;sans-serif"/>
                <w:b w:val="false"/>
                <w:color w:val="222222"/>
                <w:sz w:val="20"/>
              </w:rPr>
              <w:t>:</w:t>
            </w:r>
          </w:p>
        </w:tc>
        <w:tc>
          <w:tcPr>
            <w:tcW w:w="4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Paul E. Bullington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Senior Vice President – Chief Financial Officer</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280/000095010324006323/dp210423_ex0201.htm" TargetMode="External"/><Relationship Id="rId3" Type="http://schemas.openxmlformats.org/officeDocument/2006/relationships/hyperlink" Target="https://www.sec.gov/Archives/edgar/data/1620280/000095010324006323/dp210423_ex1001.htm" TargetMode="External"/><Relationship Id="rId4" Type="http://schemas.openxmlformats.org/officeDocument/2006/relationships/hyperlink" Target="https://www.sec.gov/Archives/edgar/data/1620280/000095010324006323/dp210423_ex1002.htm" TargetMode="External"/><Relationship Id="rId5" Type="http://schemas.openxmlformats.org/officeDocument/2006/relationships/hyperlink" Target="https://www.sec.gov/Archives/edgar/data/1620280/000095010324006323/dp210423_ex1003.htm" TargetMode="External"/><Relationship Id="rId6" Type="http://schemas.openxmlformats.org/officeDocument/2006/relationships/hyperlink" Target="https://www.sec.gov/Archives/edgar/data/1620280/000095010324006323/dp210423_ex1004.htm" TargetMode="External"/><Relationship Id="rId7" Type="http://schemas.openxmlformats.org/officeDocument/2006/relationships/hyperlink" Target="https://www.sec.gov/Archives/edgar/data/1620280/000095010324006323/dp210423_ex1005.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175</Pages>
  <Words>119169</Words>
  <Characters>644559</Characters>
  <CharactersWithSpaces>762797</CharactersWithSpaces>
  <Paragraphs>5541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