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0" w:name="dp245200_8k.htm"/>
      <w:bookmarkStart w:id="1" w:name="ksdp245200_8k"/>
      <w:bookmarkEnd w:id="0"/>
      <w:bookmarkEnd w:id="1"/>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41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4"/>
        </w:rPr>
        <w:t>April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F_edei--EntityRegistrantName_c2026"/>
      <w:bookmarkEnd w:id="4"/>
      <w:r>
        <w:rPr>
          <w:rFonts w:ascii="Times New Roman;Times;Serif" w:hAnsi="Times New Roman;Times;Serif"/>
          <w:b/>
          <w:i w:val="false"/>
          <w:caps w:val="false"/>
          <w:smallCaps w:val="false"/>
          <w:sz w:val="40"/>
        </w:rPr>
        <w:t>Uniti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1145" w:type="dxa"/>
            <w:tcBorders/>
            <w:vAlign w:val="center"/>
          </w:tcPr>
          <w:p>
            <w:pPr>
              <w:pStyle w:val="TableContents"/>
              <w:bidi w:val="0"/>
              <w:spacing w:before="0" w:after="283"/>
              <w:jc w:val="center"/>
              <w:rPr>
                <w:b/>
                <w:sz w:val="20"/>
              </w:rPr>
            </w:pPr>
            <w:bookmarkStart w:id="6" w:name="xdx_90D_edei--EntityFileNumber_c20260413"/>
            <w:bookmarkEnd w:id="6"/>
            <w:r>
              <w:rPr>
                <w:b/>
                <w:sz w:val="20"/>
              </w:rPr>
              <w:t>001-42779</w:t>
            </w:r>
          </w:p>
        </w:tc>
        <w:tc>
          <w:tcPr>
            <w:tcW w:w="1565" w:type="dxa"/>
            <w:tcBorders/>
            <w:vAlign w:val="center"/>
          </w:tcPr>
          <w:p>
            <w:pPr>
              <w:pStyle w:val="TableContents"/>
              <w:bidi w:val="0"/>
              <w:spacing w:before="0" w:after="283"/>
              <w:jc w:val="center"/>
              <w:rPr>
                <w:b/>
                <w:sz w:val="20"/>
              </w:rPr>
            </w:pPr>
            <w:bookmarkStart w:id="7" w:name="xdx_90D_edei--EntityTaxIdentificationNum"/>
            <w:bookmarkEnd w:id="7"/>
            <w:r>
              <w:rPr>
                <w:b/>
                <w:sz w:val="20"/>
              </w:rPr>
              <w:t>85-2262564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3935"/>
        <w:gridCol w:w="1145"/>
      </w:tblGrid>
      <w:tr>
        <w:trPr/>
        <w:tc>
          <w:tcPr>
            <w:tcW w:w="3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2101 Riverfront Drive, </w:t>
            </w:r>
            <w:bookmarkStart w:id="9" w:name="xdx_90F_edei--EntityAddressAddressLine2_"/>
            <w:bookmarkEnd w:id="9"/>
            <w:r>
              <w:rPr>
                <w:rFonts w:ascii="Times New Roman;Times;Serif" w:hAnsi="Times New Roman;Times;Serif"/>
                <w:b/>
                <w:i w:val="false"/>
                <w:caps w:val="false"/>
                <w:smallCaps w:val="false"/>
                <w:sz w:val="20"/>
              </w:rPr>
              <w:t>Suite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Little Rock, </w:t>
            </w:r>
            <w:bookmarkStart w:id="11" w:name="xdx_90A_edei--EntityAddressStateOrProvin"/>
            <w:bookmarkEnd w:id="11"/>
            <w:r>
              <w:rPr>
                <w:rFonts w:ascii="Times New Roman;Times;Serif" w:hAnsi="Times New Roman;Times;Serif"/>
                <w:b/>
                <w:i w:val="false"/>
                <w:caps w:val="false"/>
                <w:smallCaps w:val="false"/>
                <w:sz w:val="20"/>
              </w:rPr>
              <w:t>Arkansas</w:t>
            </w:r>
          </w:p>
        </w:tc>
        <w:tc>
          <w:tcPr>
            <w:tcW w:w="1145" w:type="dxa"/>
            <w:tcBorders/>
            <w:vAlign w:val="center"/>
          </w:tcPr>
          <w:p>
            <w:pPr>
              <w:pStyle w:val="TableContents"/>
              <w:bidi w:val="0"/>
              <w:spacing w:before="0" w:after="283"/>
              <w:jc w:val="center"/>
              <w:rPr>
                <w:b/>
              </w:rPr>
            </w:pPr>
            <w:bookmarkStart w:id="12" w:name="xdx_90F_edei--EntityAddressPostalZipCode"/>
            <w:bookmarkEnd w:id="12"/>
            <w:r>
              <w:rPr>
                <w:b/>
              </w:rPr>
              <w:t>72202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8_edei--CityAreaCode_c20260413__20"/>
      <w:bookmarkEnd w:id="13"/>
      <w:r>
        <w:rPr>
          <w:rFonts w:ascii="Times New Roman;Times;Serif" w:hAnsi="Times New Roman;Times;Serif"/>
          <w:b/>
          <w:i w:val="false"/>
          <w:caps w:val="false"/>
          <w:smallCaps w:val="false"/>
          <w:sz w:val="20"/>
        </w:rPr>
        <w:t xml:space="preserve">501) </w:t>
      </w:r>
      <w:bookmarkStart w:id="14" w:name="xdx_901_edei--LocalPhoneNumber_c20260413"/>
      <w:bookmarkEnd w:id="14"/>
      <w:r>
        <w:rPr>
          <w:rFonts w:ascii="Times New Roman;Times;Serif" w:hAnsi="Times New Roman;Times;Serif"/>
          <w:b/>
          <w:i w:val="false"/>
          <w:caps w:val="false"/>
          <w:smallCaps w:val="false"/>
          <w:sz w:val="20"/>
        </w:rPr>
        <w:t>850-0820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85" w:type="dxa"/>
            <w:tcBorders/>
            <w:vAlign w:val="center"/>
          </w:tcPr>
          <w:p>
            <w:pPr>
              <w:pStyle w:val="TableContents"/>
              <w:bidi w:val="0"/>
              <w:spacing w:before="0" w:after="283"/>
              <w:jc w:val="left"/>
              <w:rPr/>
            </w:pPr>
            <w:r>
              <w:rPr/>
              <w:t xml:space="preserve">Written communications pursuant to Rule 425 under the Securities Act (17 CFR 230.425) </w:t>
            </w:r>
          </w:p>
        </w:tc>
      </w:tr>
    </w:tbl>
    <w:p>
      <w:pPr>
        <w:pStyle w:val="TextBody"/>
        <w:bidi w:val="0"/>
        <w:spacing w:before="0" w:after="283"/>
        <w:jc w:val="left"/>
        <w:rPr/>
      </w:pPr>
      <w:r>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bookmarkStart w:id="16" w:name="xdx_904_edei--SolicitingMaterial_c202604"/>
            <w:bookmarkEnd w:id="16"/>
            <w:r>
              <w:rPr/>
              <w:t>☐</w:t>
            </w:r>
          </w:p>
        </w:tc>
        <w:tc>
          <w:tcPr>
            <w:tcW w:w="8615" w:type="dxa"/>
            <w:tcBorders/>
            <w:vAlign w:val="center"/>
          </w:tcPr>
          <w:p>
            <w:pPr>
              <w:pStyle w:val="TableContents"/>
              <w:bidi w:val="0"/>
              <w:spacing w:before="0" w:after="283"/>
              <w:jc w:val="left"/>
              <w:rPr/>
            </w:pPr>
            <w:r>
              <w:rPr/>
              <w:t xml:space="preserve">Soliciting material pursuant to Rule 14a-12 under the Exchange Act (17 CFR 240.14a-12)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960"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10" w:type="dxa"/>
        <w:tblLayout w:type="fixed"/>
        <w:tblCellMar>
          <w:top w:w="28" w:type="dxa"/>
          <w:left w:w="28" w:type="dxa"/>
          <w:bottom w:w="28" w:type="dxa"/>
          <w:right w:w="28" w:type="dxa"/>
        </w:tblCellMar>
      </w:tblPr>
      <w:tblGrid>
        <w:gridCol w:w="1730"/>
        <w:gridCol w:w="1805"/>
        <w:gridCol w:w="4235"/>
      </w:tblGrid>
      <w:tr>
        <w:trPr/>
        <w:tc>
          <w:tcPr>
            <w:tcW w:w="17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1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19" w:name="xdx_904_edei--Security12bTitle_c20260413"/>
            <w:bookmarkEnd w:id="19"/>
            <w:r>
              <w:rPr/>
              <w:t>Common Stock</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9_edei--TradingSymbol_c20260413__2"/>
            <w:bookmarkEnd w:id="20"/>
            <w:r>
              <w:rPr/>
              <w:t>UNIT</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2_edei--SecurityExchangeName_c2026"/>
            <w:bookmarkEnd w:id="21"/>
            <w:r>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1040"/>
        <w:gridCol w:w="7760"/>
      </w:tblGrid>
      <w:tr>
        <w:trPr/>
        <w:tc>
          <w:tcPr>
            <w:tcW w:w="1040" w:type="dxa"/>
            <w:tcBorders/>
            <w:vAlign w:val="center"/>
          </w:tcPr>
          <w:p>
            <w:pPr>
              <w:pStyle w:val="TableContents"/>
              <w:bidi w:val="0"/>
              <w:spacing w:before="0" w:after="283"/>
              <w:jc w:val="left"/>
              <w:rPr>
                <w:b/>
              </w:rPr>
            </w:pPr>
            <w:r>
              <w:rPr>
                <w:b/>
              </w:rPr>
              <w:t xml:space="preserve">Item 5.03 </w:t>
            </w:r>
          </w:p>
        </w:tc>
        <w:tc>
          <w:tcPr>
            <w:tcW w:w="7760" w:type="dxa"/>
            <w:tcBorders/>
            <w:vAlign w:val="center"/>
          </w:tcPr>
          <w:p>
            <w:pPr>
              <w:pStyle w:val="TableContents"/>
              <w:bidi w:val="0"/>
              <w:spacing w:before="0" w:after="283"/>
              <w:jc w:val="left"/>
              <w:rPr>
                <w:b/>
              </w:rPr>
            </w:pPr>
            <w:r>
              <w:rPr>
                <w:b/>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the Second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Uniti Group Inc. (the “Company”) filed a Certificate of Amendment (the “Charter Amendment”) to its Second Amended and Restated Certificate of Incorporation with the Secretary of State of the State of Delaware to change the notification deadline for electing the method of payment for dividends with respect to its Series A Preferred Stock from the first day of each dividend period to the 10th calendar day immediately preceding the dividend payment date relating to each dividend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Charter Amendment is qualified in its entirety by reference to the full text of the Charter Amendment, a copy of which is attached as Exhibit 3.1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100"/>
        <w:gridCol w:w="3560"/>
      </w:tblGrid>
      <w:tr>
        <w:trPr/>
        <w:tc>
          <w:tcPr>
            <w:tcW w:w="1100" w:type="dxa"/>
            <w:tcBorders/>
            <w:vAlign w:val="center"/>
          </w:tcPr>
          <w:p>
            <w:pPr>
              <w:pStyle w:val="TableContents"/>
              <w:bidi w:val="0"/>
              <w:spacing w:before="0" w:after="283"/>
              <w:jc w:val="left"/>
              <w:rPr>
                <w:b/>
              </w:rPr>
            </w:pPr>
            <w:r>
              <w:rPr>
                <w:b/>
              </w:rPr>
              <w:t xml:space="preserve">Item 9.01. </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
        <w:gridCol w:w="9519"/>
      </w:tblGrid>
      <w:tr>
        <w:trPr/>
        <w:tc>
          <w:tcPr>
            <w:tcW w:w="68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w:t>
            </w:r>
          </w:p>
        </w:tc>
        <w:tc>
          <w:tcPr>
            <w:tcW w:w="9519" w:type="dxa"/>
            <w:tcBorders/>
            <w:vAlign w:val="center"/>
          </w:tcPr>
          <w:p>
            <w:pPr>
              <w:pStyle w:val="TableContents"/>
              <w:bidi w:val="0"/>
              <w:spacing w:before="0" w:after="283"/>
              <w:jc w:val="center"/>
              <w:rPr>
                <w:b/>
              </w:rPr>
            </w:pPr>
            <w:r>
              <w:rPr>
                <w:b/>
              </w:rPr>
              <w:t xml:space="preserve">Description of Exhibit </w:t>
            </w:r>
          </w:p>
        </w:tc>
      </w:tr>
      <w:tr>
        <w:trPr/>
        <w:tc>
          <w:tcPr>
            <w:tcW w:w="686"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r>
              <w:rPr/>
              <w:t> </w:t>
            </w:r>
          </w:p>
        </w:tc>
      </w:tr>
      <w:tr>
        <w:trPr/>
        <w:tc>
          <w:tcPr>
            <w:tcW w:w="686" w:type="dxa"/>
            <w:tcBorders/>
            <w:vAlign w:val="center"/>
          </w:tcPr>
          <w:p>
            <w:pPr>
              <w:pStyle w:val="TableContents"/>
              <w:bidi w:val="0"/>
              <w:spacing w:before="0" w:after="283"/>
              <w:jc w:val="left"/>
              <w:rPr/>
            </w:pPr>
            <w:hyperlink w:anchor="dp245200_ex0301.htm">
              <w:r>
                <w:rPr>
                  <w:rStyle w:val="InternetLink"/>
                </w:rPr>
                <w:t>3.1</w:t>
              </w:r>
            </w:hyperlink>
          </w:p>
        </w:tc>
        <w:tc>
          <w:tcPr>
            <w:tcW w:w="9519" w:type="dxa"/>
            <w:tcBorders/>
            <w:vAlign w:val="center"/>
          </w:tcPr>
          <w:p>
            <w:pPr>
              <w:pStyle w:val="TableContents"/>
              <w:bidi w:val="0"/>
              <w:spacing w:before="0" w:after="283"/>
              <w:jc w:val="left"/>
              <w:rPr/>
            </w:pPr>
            <w:hyperlink w:anchor="dp245200_ex0301.htm">
              <w:r>
                <w:rPr>
                  <w:rStyle w:val="InternetLink"/>
                </w:rPr>
                <w:t>Certificate of Amendment to the Second Amended and Restated Certificate of Incorporation of Uniti Group Inc., as filed with the Secretary of State of the State of Delaware on April 13, 2026.</w:t>
              </w:r>
            </w:hyperlink>
          </w:p>
        </w:tc>
      </w:tr>
      <w:tr>
        <w:trPr/>
        <w:tc>
          <w:tcPr>
            <w:tcW w:w="686" w:type="dxa"/>
            <w:tcBorders/>
            <w:vAlign w:val="center"/>
          </w:tcPr>
          <w:p>
            <w:pPr>
              <w:pStyle w:val="TableContents"/>
              <w:bidi w:val="0"/>
              <w:spacing w:before="0" w:after="283"/>
              <w:jc w:val="left"/>
              <w:rPr/>
            </w:pPr>
            <w:r>
              <w:rPr/>
              <w:t> </w:t>
            </w:r>
          </w:p>
        </w:tc>
        <w:tc>
          <w:tcPr>
            <w:tcW w:w="9519" w:type="dxa"/>
            <w:tcBorders/>
            <w:vAlign w:val="center"/>
          </w:tcPr>
          <w:p>
            <w:pPr>
              <w:pStyle w:val="TableContents"/>
              <w:bidi w:val="0"/>
              <w:spacing w:before="0" w:after="283"/>
              <w:jc w:val="left"/>
              <w:rPr/>
            </w:pPr>
            <w:r>
              <w:rPr/>
              <w:t> </w:t>
            </w:r>
          </w:p>
        </w:tc>
      </w:tr>
      <w:tr>
        <w:trPr/>
        <w:tc>
          <w:tcPr>
            <w:tcW w:w="686" w:type="dxa"/>
            <w:tcBorders/>
            <w:vAlign w:val="center"/>
          </w:tcPr>
          <w:p>
            <w:pPr>
              <w:pStyle w:val="TableContents"/>
              <w:bidi w:val="0"/>
              <w:spacing w:before="0" w:after="283"/>
              <w:jc w:val="left"/>
              <w:rPr/>
            </w:pPr>
            <w:r>
              <w:rPr/>
              <w:t xml:space="preserve">104 </w:t>
            </w:r>
          </w:p>
        </w:tc>
        <w:tc>
          <w:tcPr>
            <w:tcW w:w="9519" w:type="dxa"/>
            <w:tcBorders/>
            <w:vAlign w:val="center"/>
          </w:tcPr>
          <w:p>
            <w:pPr>
              <w:pStyle w:val="TableContents"/>
              <w:bidi w:val="0"/>
              <w:spacing w:before="0" w:after="283"/>
              <w:jc w:val="left"/>
              <w:rPr/>
            </w:pPr>
            <w:r>
              <w:rPr/>
              <w:t xml:space="preserve">Cover Page Interactive Data File (embedded within the Inline XBRL document).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440"/>
        <w:gridCol w:w="710"/>
        <w:gridCol w:w="6290"/>
      </w:tblGrid>
      <w:tr>
        <w:trPr/>
        <w:tc>
          <w:tcPr>
            <w:tcW w:w="7440" w:type="dxa"/>
            <w:gridSpan w:val="3"/>
            <w:tcBorders/>
            <w:vAlign w:val="center"/>
          </w:tcPr>
          <w:p>
            <w:pPr>
              <w:pStyle w:val="TableContents"/>
              <w:bidi w:val="0"/>
              <w:spacing w:before="0" w:after="283"/>
              <w:jc w:val="left"/>
              <w:rPr>
                <w:b/>
              </w:rPr>
            </w:pPr>
            <w:r>
              <w:rPr>
                <w:b/>
              </w:rPr>
              <w:t xml:space="preserve">UNITI GROUP INC. </w:t>
            </w:r>
          </w:p>
        </w:tc>
      </w:tr>
      <w:tr>
        <w:trPr/>
        <w:tc>
          <w:tcPr>
            <w:tcW w:w="440" w:type="dxa"/>
            <w:tcBorders/>
            <w:vAlign w:val="center"/>
          </w:tcPr>
          <w:p>
            <w:pPr>
              <w:pStyle w:val="TableContents"/>
              <w:bidi w:val="0"/>
              <w:spacing w:before="0" w:after="283"/>
              <w:jc w:val="left"/>
              <w:rPr/>
            </w:pPr>
            <w:r>
              <w:rPr/>
              <w:t> </w:t>
            </w:r>
          </w:p>
        </w:tc>
        <w:tc>
          <w:tcPr>
            <w:tcW w:w="7000" w:type="dxa"/>
            <w:gridSpan w:val="2"/>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xml:space="preserve">By: </w:t>
            </w:r>
          </w:p>
        </w:tc>
        <w:tc>
          <w:tcPr>
            <w:tcW w:w="7000" w:type="dxa"/>
            <w:gridSpan w:val="2"/>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L. Heard</w:t>
            </w:r>
          </w:p>
        </w:tc>
      </w:tr>
      <w:tr>
        <w:trPr/>
        <w:tc>
          <w:tcPr>
            <w:tcW w:w="44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6290" w:type="dxa"/>
            <w:tcBorders/>
            <w:vAlign w:val="center"/>
          </w:tcPr>
          <w:p>
            <w:pPr>
              <w:pStyle w:val="TableContents"/>
              <w:bidi w:val="0"/>
              <w:spacing w:before="0" w:after="283"/>
              <w:jc w:val="left"/>
              <w:rPr/>
            </w:pPr>
            <w:r>
              <w:rPr/>
              <w:t xml:space="preserve">Daniel L. Heard </w:t>
            </w:r>
          </w:p>
        </w:tc>
      </w:tr>
      <w:tr>
        <w:trPr/>
        <w:tc>
          <w:tcPr>
            <w:tcW w:w="44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6290" w:type="dxa"/>
            <w:tcBorders/>
            <w:vAlign w:val="center"/>
          </w:tcPr>
          <w:p>
            <w:pPr>
              <w:pStyle w:val="TableContents"/>
              <w:bidi w:val="0"/>
              <w:spacing w:before="0" w:after="283"/>
              <w:jc w:val="left"/>
              <w:rPr/>
            </w:pPr>
            <w:r>
              <w:rPr/>
              <w:t xml:space="preserve">Senior Executive Vice President - General Counsel and 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dp245200_ex0301.htm"/>
      <w:bookmarkStart w:id="24" w:name="ksdp245200_ex0301"/>
      <w:bookmarkEnd w:id="23"/>
      <w:bookmarkEnd w:id="24"/>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CERTIFICATE OF AMENDMENT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SECOND AMENDED AND RESTATED CERTIFICATE OF INCORPORATION OF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UNITI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Uniti Group Inc.,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hereby certifies: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Section 4(b)(i) of Annex A of the Second Amended and Restated Certificate of Incorporation of the Corporation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is hereby amended and restated in its entirety to read as follows: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(i)</w:t>
            </w:r>
          </w:p>
        </w:tc>
        <w:tc>
          <w:tcPr>
            <w:tcW w:w="10020" w:type="dxa"/>
            <w:tcBorders/>
            <w:vAlign w:val="center"/>
          </w:tcPr>
          <w:p>
            <w:pPr>
              <w:pStyle w:val="TableContents"/>
              <w:bidi w:val="0"/>
              <w:spacing w:before="0" w:after="283"/>
              <w:jc w:val="left"/>
              <w:rPr>
                <w:sz w:val="20"/>
              </w:rPr>
            </w:pPr>
            <w:r>
              <w:rPr>
                <w:sz w:val="20"/>
              </w:rPr>
              <w:t>The Corporation shall notify the Holders and the Dividend Disbursing Agent on or prior to the tenth calendar day immediately preceding the Dividend Payment Date in respect of each Dividend Period whether it elects to pay dividends in cash (“</w:t>
            </w:r>
            <w:r>
              <w:rPr>
                <w:b/>
                <w:sz w:val="20"/>
              </w:rPr>
              <w:t>Cash Dividends</w:t>
            </w:r>
            <w:r>
              <w:rPr>
                <w:sz w:val="20"/>
              </w:rPr>
              <w:t>”) or, in lieu of paying dividends in cash, add to the Liquidation Preference of each share of Series A Preferred Stock in the manner set forth in ‎Section 4(b)(ii) (“</w:t>
            </w:r>
            <w:r>
              <w:rPr>
                <w:b/>
                <w:sz w:val="20"/>
              </w:rPr>
              <w:t>Compounded Dividends</w:t>
            </w:r>
            <w:r>
              <w:rPr>
                <w:sz w:val="20"/>
              </w:rPr>
              <w:t>”) for such Dividend Period; </w:t>
            </w:r>
            <w:r>
              <w:rPr>
                <w:i/>
                <w:sz w:val="20"/>
              </w:rPr>
              <w:t>provided</w:t>
            </w:r>
            <w:r>
              <w:rPr>
                <w:sz w:val="20"/>
              </w:rPr>
              <w:t> that if the Corporation does not so timely make such election, then the Corporation shall be deemed to have elected Compounded Dividends (and, for the avoidance of doubt, the failure to timely make such election will not constitute a breach of the Charter).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The Board of Directors of the Corporation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acting in accordance with the provisions of Sections 141 and 242 of the General Corporation Law of the State of Delaware, adopted resolutions approving the foregoing amendment to the Certificate of Incorporation.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Thereafter, pursuant to the resolutions of the Board, this Certificate of Amendment was submitted to the stockholders of the Corporation for their approval and was duly adopted in accordance with the provisions of Section 228 and Section 242 of the General Corporation Law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signed as of April 13, 2026.</w:t>
      </w:r>
    </w:p>
    <w:p>
      <w:pPr>
        <w:pStyle w:val="TextBody"/>
        <w:bidi w:val="0"/>
        <w:spacing w:before="0" w:after="0"/>
        <w:ind w:left="0" w:right="0" w:firstLine="72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365"/>
        <w:gridCol w:w="6710"/>
      </w:tblGrid>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UNITI GROUP INC.</w:t>
            </w:r>
          </w:p>
        </w:tc>
      </w:tr>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67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Daniel L. Heard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Daniel L. Heard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Senior Executive Vice President, General Counsel and Secretary</w:t>
              <w:tab/>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5" w:type="dxa"/>
            <w:gridSpan w:val="2"/>
            <w:tcBorders/>
            <w:vAlign w:val="center"/>
          </w:tcPr>
          <w:p>
            <w:pPr>
              <w:pStyle w:val="TableContents"/>
              <w:bidi w:val="0"/>
              <w:spacing w:before="0" w:after="283"/>
              <w:jc w:val="left"/>
              <w:rPr/>
            </w:pPr>
            <w:r>
              <w:rPr/>
              <w:t>Dated: April 13, 2026</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Certificate of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894</Words>
  <Characters>4807</Characters>
  <CharactersWithSpaces>5746</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