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-215265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80" w:right="180" w:hanging="572"/>
        <w:spacing w:after="0" w:line="236" w:lineRule="auto"/>
        <w:tabs>
          <w:tab w:leader="none" w:pos="5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-290195</wp:posOffset>
            </wp:positionV>
            <wp:extent cx="104140" cy="1054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80" w:right="16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-301625</wp:posOffset>
            </wp:positionV>
            <wp:extent cx="10414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4140" cy="105410"/>
                    </a:xfrm>
                    <a:prstGeom prst="rect">
                      <a:avLst/>
                    </a:prstGeom>
                    <a:noFill/>
                  </pic:spPr>
                </pic:pic>
              </a:graphicData>
            </a:graphic>
          </wp:anchor>
        </w:drawing>
      </w:r>
    </w:p>
    <w:p>
      <w:pPr>
        <w:spacing w:after="0" w:line="178"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001-36708</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-294640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82" w:lineRule="exact"/>
        <w:rPr>
          <w:sz w:val="24"/>
          <w:szCs w:val="24"/>
          <w:color w:val="auto"/>
        </w:rPr>
      </w:pPr>
    </w:p>
    <w:tbl>
      <w:tblPr>
        <w:tblLayout w:type="fixed"/>
        <w:tblInd w:w="1480" w:type="dxa"/>
        <w:tblCellMar>
          <w:top w:w="0" w:type="dxa"/>
          <w:left w:w="0" w:type="dxa"/>
          <w:bottom w:w="0" w:type="dxa"/>
          <w:right w:w="0" w:type="dxa"/>
        </w:tblCellMar>
      </w:tblPr>
      <w:tr>
        <w:trPr>
          <w:trHeight w:val="207"/>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6"/>
              </w:rPr>
              <w:t>Maryland</w:t>
            </w:r>
          </w:p>
        </w:tc>
        <w:tc>
          <w:tcPr>
            <w:tcW w:w="20" w:type="dxa"/>
            <w:vAlign w:val="bottom"/>
            <w:tcBorders>
              <w:top w:val="single" w:sz="8" w:color="auto"/>
            </w:tcBorders>
          </w:tcPr>
          <w:p>
            <w:pPr>
              <w:spacing w:after="0"/>
              <w:rPr>
                <w:sz w:val="17"/>
                <w:szCs w:val="17"/>
                <w:color w:val="auto"/>
              </w:rPr>
            </w:pPr>
          </w:p>
        </w:tc>
        <w:tc>
          <w:tcPr>
            <w:tcW w:w="2220" w:type="dxa"/>
            <w:vAlign w:val="bottom"/>
            <w:tcBorders>
              <w:top w:val="single" w:sz="8" w:color="auto"/>
            </w:tcBorders>
          </w:tcPr>
          <w:p>
            <w:pPr>
              <w:spacing w:after="0"/>
              <w:rPr>
                <w:sz w:val="17"/>
                <w:szCs w:val="17"/>
                <w:color w:val="auto"/>
              </w:rPr>
            </w:pPr>
          </w:p>
        </w:tc>
        <w:tc>
          <w:tcPr>
            <w:tcW w:w="3960" w:type="dxa"/>
            <w:vAlign w:val="bottom"/>
          </w:tcPr>
          <w:p>
            <w:pPr>
              <w:jc w:val="right"/>
              <w:ind w:right="1758"/>
              <w:spacing w:after="0"/>
              <w:rPr>
                <w:sz w:val="20"/>
                <w:szCs w:val="20"/>
                <w:color w:val="auto"/>
              </w:rPr>
            </w:pPr>
            <w:r>
              <w:rPr>
                <w:rFonts w:ascii="Arial" w:cs="Arial" w:eastAsia="Arial" w:hAnsi="Arial"/>
                <w:sz w:val="18"/>
                <w:szCs w:val="18"/>
                <w:b w:val="1"/>
                <w:bCs w:val="1"/>
                <w:color w:val="auto"/>
              </w:rPr>
              <w:t>46-5230630</w:t>
            </w:r>
          </w:p>
        </w:tc>
      </w:tr>
      <w:tr>
        <w:trPr>
          <w:trHeight w:val="148"/>
        </w:trPr>
        <w:tc>
          <w:tcPr>
            <w:tcW w:w="302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960" w:type="dxa"/>
            <w:vAlign w:val="bottom"/>
          </w:tcPr>
          <w:p>
            <w:pPr>
              <w:jc w:val="center"/>
              <w:ind w:right="47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020" w:type="dxa"/>
            <w:vAlign w:val="bottom"/>
          </w:tcPr>
          <w:p>
            <w:pPr>
              <w:jc w:val="center"/>
              <w:ind w:right="257"/>
              <w:spacing w:after="0"/>
              <w:rPr>
                <w:sz w:val="20"/>
                <w:szCs w:val="20"/>
                <w:color w:val="auto"/>
              </w:rPr>
            </w:pPr>
            <w:r>
              <w:rPr>
                <w:rFonts w:ascii="Arial" w:cs="Arial" w:eastAsia="Arial" w:hAnsi="Arial"/>
                <w:sz w:val="14"/>
                <w:szCs w:val="14"/>
                <w:b w:val="1"/>
                <w:bCs w:val="1"/>
                <w:color w:val="auto"/>
                <w:w w:val="94"/>
              </w:rPr>
              <w:t>incorporation or organization)</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6"/>
              </w:rPr>
              <w:t>Identification No.)</w:t>
            </w:r>
          </w:p>
        </w:tc>
      </w:tr>
      <w:tr>
        <w:trPr>
          <w:trHeight w:val="264"/>
        </w:trPr>
        <w:tc>
          <w:tcPr>
            <w:tcW w:w="3020" w:type="dxa"/>
            <w:vAlign w:val="bottom"/>
          </w:tcPr>
          <w:p>
            <w:pPr>
              <w:jc w:val="center"/>
              <w:ind w:right="277"/>
              <w:spacing w:after="0"/>
              <w:rPr>
                <w:sz w:val="20"/>
                <w:szCs w:val="20"/>
                <w:color w:val="auto"/>
              </w:rPr>
            </w:pPr>
            <w:r>
              <w:rPr>
                <w:rFonts w:ascii="Arial" w:cs="Arial" w:eastAsia="Arial" w:hAnsi="Arial"/>
                <w:sz w:val="18"/>
                <w:szCs w:val="18"/>
                <w:b w:val="1"/>
                <w:bCs w:val="1"/>
                <w:color w:val="auto"/>
                <w:w w:val="91"/>
              </w:rPr>
              <w:t>10802 Executive Center Drive</w:t>
            </w:r>
          </w:p>
        </w:tc>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960" w:type="dxa"/>
            <w:vAlign w:val="bottom"/>
          </w:tcPr>
          <w:p>
            <w:pPr>
              <w:spacing w:after="0"/>
              <w:rPr>
                <w:sz w:val="22"/>
                <w:szCs w:val="22"/>
                <w:color w:val="auto"/>
              </w:rPr>
            </w:pPr>
          </w:p>
        </w:tc>
      </w:tr>
      <w:tr>
        <w:trPr>
          <w:trHeight w:val="216"/>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89"/>
              </w:rPr>
              <w:t>Benton Building Suite 300</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spacing w:after="0"/>
              <w:rPr>
                <w:sz w:val="18"/>
                <w:szCs w:val="18"/>
                <w:color w:val="auto"/>
              </w:rPr>
            </w:pPr>
          </w:p>
        </w:tc>
      </w:tr>
      <w:tr>
        <w:trPr>
          <w:trHeight w:val="212"/>
        </w:trPr>
        <w:tc>
          <w:tcPr>
            <w:tcW w:w="3020" w:type="dxa"/>
            <w:vAlign w:val="bottom"/>
          </w:tcPr>
          <w:p>
            <w:pPr>
              <w:jc w:val="center"/>
              <w:ind w:right="257"/>
              <w:spacing w:after="0"/>
              <w:rPr>
                <w:sz w:val="20"/>
                <w:szCs w:val="20"/>
                <w:color w:val="auto"/>
              </w:rPr>
            </w:pPr>
            <w:r>
              <w:rPr>
                <w:rFonts w:ascii="Arial" w:cs="Arial" w:eastAsia="Arial" w:hAnsi="Arial"/>
                <w:sz w:val="18"/>
                <w:szCs w:val="18"/>
                <w:b w:val="1"/>
                <w:bCs w:val="1"/>
                <w:color w:val="auto"/>
                <w:w w:val="91"/>
              </w:rPr>
              <w:t>Little Rock, Arkansas</w:t>
            </w:r>
          </w:p>
        </w:tc>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960" w:type="dxa"/>
            <w:vAlign w:val="bottom"/>
          </w:tcPr>
          <w:p>
            <w:pPr>
              <w:jc w:val="right"/>
              <w:ind w:right="1958"/>
              <w:spacing w:after="0"/>
              <w:rPr>
                <w:sz w:val="20"/>
                <w:szCs w:val="20"/>
                <w:color w:val="auto"/>
              </w:rPr>
            </w:pPr>
            <w:r>
              <w:rPr>
                <w:rFonts w:ascii="Arial" w:cs="Arial" w:eastAsia="Arial" w:hAnsi="Arial"/>
                <w:sz w:val="18"/>
                <w:szCs w:val="18"/>
                <w:b w:val="1"/>
                <w:bCs w:val="1"/>
                <w:color w:val="auto"/>
              </w:rPr>
              <w:t>72211</w:t>
            </w:r>
          </w:p>
        </w:tc>
      </w:tr>
      <w:tr>
        <w:trPr>
          <w:trHeight w:val="186"/>
        </w:trPr>
        <w:tc>
          <w:tcPr>
            <w:tcW w:w="3020" w:type="dxa"/>
            <w:vAlign w:val="bottom"/>
          </w:tcPr>
          <w:p>
            <w:pPr>
              <w:jc w:val="center"/>
              <w:ind w:right="27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960" w:type="dxa"/>
            <w:vAlign w:val="bottom"/>
          </w:tcPr>
          <w:p>
            <w:pPr>
              <w:jc w:val="center"/>
              <w:ind w:right="498"/>
              <w:spacing w:after="0"/>
              <w:rPr>
                <w:sz w:val="20"/>
                <w:szCs w:val="20"/>
                <w:color w:val="auto"/>
              </w:rPr>
            </w:pPr>
            <w:r>
              <w:rPr>
                <w:rFonts w:ascii="Arial" w:cs="Arial" w:eastAsia="Arial" w:hAnsi="Arial"/>
                <w:sz w:val="14"/>
                <w:szCs w:val="14"/>
                <w:b w:val="1"/>
                <w:bCs w:val="1"/>
                <w:color w:val="auto"/>
                <w:w w:val="95"/>
              </w:rPr>
              <w:t>(Zip Code)</w:t>
            </w:r>
          </w:p>
        </w:tc>
      </w:tr>
      <w:tr>
        <w:trPr>
          <w:trHeight w:val="230"/>
        </w:trPr>
        <w:tc>
          <w:tcPr>
            <w:tcW w:w="9220" w:type="dxa"/>
            <w:vAlign w:val="bottom"/>
            <w:gridSpan w:val="4"/>
          </w:tcPr>
          <w:p>
            <w:pPr>
              <w:jc w:val="center"/>
              <w:ind w:right="838"/>
              <w:spacing w:after="0"/>
              <w:rPr>
                <w:sz w:val="20"/>
                <w:szCs w:val="20"/>
                <w:color w:val="auto"/>
              </w:rPr>
            </w:pPr>
            <w:r>
              <w:rPr>
                <w:rFonts w:ascii="Arial" w:cs="Arial" w:eastAsia="Arial" w:hAnsi="Arial"/>
                <w:sz w:val="14"/>
                <w:szCs w:val="14"/>
                <w:b w:val="1"/>
                <w:bCs w:val="1"/>
                <w:color w:val="auto"/>
                <w:w w:val="92"/>
              </w:rPr>
              <w:t>Registrant’s telephone number, including area code: (501) 850-0820</w:t>
            </w:r>
          </w:p>
        </w:tc>
      </w:tr>
      <w:tr>
        <w:trPr>
          <w:trHeight w:val="79"/>
        </w:trPr>
        <w:tc>
          <w:tcPr>
            <w:tcW w:w="3040" w:type="dxa"/>
            <w:vAlign w:val="bottom"/>
            <w:gridSpan w:val="2"/>
          </w:tcPr>
          <w:p>
            <w:pPr>
              <w:spacing w:after="0"/>
              <w:rPr>
                <w:sz w:val="6"/>
                <w:szCs w:val="6"/>
                <w:color w:val="auto"/>
              </w:rPr>
            </w:pPr>
          </w:p>
        </w:tc>
        <w:tc>
          <w:tcPr>
            <w:tcW w:w="2220" w:type="dxa"/>
            <w:vAlign w:val="bottom"/>
            <w:tcBorders>
              <w:bottom w:val="single" w:sz="8" w:color="auto"/>
            </w:tcBorders>
          </w:tcPr>
          <w:p>
            <w:pPr>
              <w:spacing w:after="0"/>
              <w:rPr>
                <w:sz w:val="6"/>
                <w:szCs w:val="6"/>
                <w:color w:val="auto"/>
              </w:rPr>
            </w:pPr>
          </w:p>
        </w:tc>
        <w:tc>
          <w:tcPr>
            <w:tcW w:w="3960" w:type="dxa"/>
            <w:vAlign w:val="bottom"/>
          </w:tcPr>
          <w:p>
            <w:pPr>
              <w:spacing w:after="0"/>
              <w:rPr>
                <w:sz w:val="6"/>
                <w:szCs w:val="6"/>
                <w:color w:val="auto"/>
              </w:rPr>
            </w:pPr>
          </w:p>
        </w:tc>
      </w:tr>
      <w:tr>
        <w:trPr>
          <w:trHeight w:val="263"/>
        </w:trPr>
        <w:tc>
          <w:tcPr>
            <w:tcW w:w="9220" w:type="dxa"/>
            <w:vAlign w:val="bottom"/>
            <w:gridSpan w:val="4"/>
          </w:tcPr>
          <w:p>
            <w:pPr>
              <w:ind w:left="232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230"/>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88"/>
              </w:rPr>
              <w:t>Title of each class</w:t>
            </w:r>
          </w:p>
        </w:tc>
        <w:tc>
          <w:tcPr>
            <w:tcW w:w="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1"/>
              </w:rPr>
              <w:t>Trading Symbol(s)</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89"/>
              </w:rPr>
              <w:t>Name of each exchange on which registered</w:t>
            </w:r>
          </w:p>
        </w:tc>
      </w:tr>
      <w:tr>
        <w:trPr>
          <w:trHeight w:val="256"/>
        </w:trPr>
        <w:tc>
          <w:tcPr>
            <w:tcW w:w="3020" w:type="dxa"/>
            <w:vAlign w:val="bottom"/>
          </w:tcPr>
          <w:p>
            <w:pPr>
              <w:jc w:val="center"/>
              <w:ind w:right="1657"/>
              <w:spacing w:after="0"/>
              <w:rPr>
                <w:sz w:val="20"/>
                <w:szCs w:val="20"/>
                <w:color w:val="auto"/>
              </w:rPr>
            </w:pPr>
            <w:r>
              <w:rPr>
                <w:rFonts w:ascii="Arial" w:cs="Arial" w:eastAsia="Arial" w:hAnsi="Arial"/>
                <w:sz w:val="18"/>
                <w:szCs w:val="18"/>
                <w:color w:val="auto"/>
                <w:w w:val="90"/>
              </w:rPr>
              <w:t>Common Stock</w:t>
            </w:r>
          </w:p>
        </w:tc>
        <w:tc>
          <w:tcPr>
            <w:tcW w:w="2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UNIT</w:t>
            </w:r>
          </w:p>
        </w:tc>
        <w:tc>
          <w:tcPr>
            <w:tcW w:w="3960" w:type="dxa"/>
            <w:vAlign w:val="bottom"/>
          </w:tcPr>
          <w:p>
            <w:pPr>
              <w:jc w:val="center"/>
              <w:ind w:left="698"/>
              <w:spacing w:after="0"/>
              <w:rPr>
                <w:sz w:val="20"/>
                <w:szCs w:val="20"/>
                <w:color w:val="auto"/>
              </w:rPr>
            </w:pPr>
            <w:r>
              <w:rPr>
                <w:rFonts w:ascii="Arial" w:cs="Arial" w:eastAsia="Arial" w:hAnsi="Arial"/>
                <w:sz w:val="18"/>
                <w:szCs w:val="18"/>
                <w:color w:val="auto"/>
                <w:w w:val="93"/>
              </w:rPr>
              <w:t>The NASDAQ Global Select Market</w:t>
            </w:r>
          </w:p>
        </w:tc>
      </w:tr>
    </w:tbl>
    <w:p>
      <w:pPr>
        <w:spacing w:after="0" w:line="107" w:lineRule="exact"/>
        <w:rPr>
          <w:sz w:val="24"/>
          <w:szCs w:val="24"/>
          <w:color w:val="auto"/>
        </w:rPr>
      </w:pPr>
    </w:p>
    <w:p>
      <w:pPr>
        <w:ind w:right="6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20" w:firstLine="51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rPr>
              <w:t>Accelerated filer</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00" w:type="dxa"/>
            <w:vAlign w:val="bottom"/>
          </w:tcPr>
          <w:p>
            <w:pPr>
              <w:ind w:left="460"/>
              <w:spacing w:after="0" w:line="181" w:lineRule="exact"/>
              <w:rPr>
                <w:sz w:val="20"/>
                <w:szCs w:val="20"/>
                <w:color w:val="auto"/>
              </w:rPr>
            </w:pPr>
            <w:r>
              <w:rPr>
                <w:rFonts w:ascii="MS PGothic" w:cs="MS PGothic" w:eastAsia="MS PGothic" w:hAnsi="MS PGothic"/>
                <w:sz w:val="18"/>
                <w:szCs w:val="18"/>
                <w:color w:val="auto"/>
              </w:rPr>
              <w:t>☐</w:t>
            </w:r>
          </w:p>
        </w:tc>
        <w:tc>
          <w:tcPr>
            <w:tcW w:w="5120" w:type="dxa"/>
            <w:vAlign w:val="bottom"/>
          </w:tcPr>
          <w:p>
            <w:pPr>
              <w:ind w:left="2980"/>
              <w:spacing w:after="0"/>
              <w:rPr>
                <w:sz w:val="20"/>
                <w:szCs w:val="20"/>
                <w:color w:val="auto"/>
              </w:rPr>
            </w:pPr>
            <w:r>
              <w:rPr>
                <w:rFonts w:ascii="Arial" w:cs="Arial" w:eastAsia="Arial" w:hAnsi="Arial"/>
                <w:sz w:val="18"/>
                <w:szCs w:val="18"/>
                <w:color w:val="auto"/>
                <w:w w:val="98"/>
              </w:rPr>
              <w:t>Smaller reporting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120" w:type="dxa"/>
            <w:vAlign w:val="bottom"/>
          </w:tcPr>
          <w:p>
            <w:pPr>
              <w:ind w:left="2980"/>
              <w:spacing w:after="0"/>
              <w:rPr>
                <w:sz w:val="20"/>
                <w:szCs w:val="20"/>
                <w:color w:val="auto"/>
              </w:rPr>
            </w:pPr>
            <w:r>
              <w:rPr>
                <w:rFonts w:ascii="Arial" w:cs="Arial" w:eastAsia="Arial" w:hAnsi="Arial"/>
                <w:sz w:val="18"/>
                <w:szCs w:val="18"/>
                <w:color w:val="auto"/>
                <w:w w:val="99"/>
              </w:rPr>
              <w:t>Emerging growth company</w:t>
            </w:r>
          </w:p>
        </w:tc>
        <w:tc>
          <w:tcPr>
            <w:tcW w:w="360" w:type="dxa"/>
            <w:vAlign w:val="bottom"/>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firstLine="51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1160" w:firstLine="51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July 31, 2020, the registrant had 194,149,566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343535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Quarterly Report on Form 10-Q includes forward-looking statements as defined under U.S. federal securities law. Forward-looking statements include all statements that are not historical statements of fact and those regarding our intent, belief or expectations, including, but not limited to, statements regarding: our expectations regarding the settlement we have announced with Windstream Holdings, Inc. (“Windstream Holdings”) and its subsidiaries (Windstream Holdings, together with its subsidiaries, “Windstream”) and our ability to satisfy the conditions precedent to its effectiveness, and Windstream’s ability to implement a successful plan of reorganization and emerge from bankruptcy (including the timing thereof); if the settlement is not effected, the bankruptcy and Windstream’s performance under its long-term exclusive triple-net lease with us (the “Master Lease”); if the settlement is not effected, our expectations with respect to the treatment of the Master Lease in Windstream’s petitions for relief under Chapter 11 of the Bankruptcy Code, including with respect to Windstream’s claims that the Master Lease should be recharacterized as a financing transaction, that the Master Lease is a lease of personal property and that rent payments and tenant capital improvements made by Windstream under the Master Lease constituted constructive fraudulent transfers and that we are in breach of certain of our obligations under the Master Lease; our expectations about our ability to maintain our status as a real estate investment trust (a “REIT”); our expectations regarding the effect of the COVID-19 pandemic on our results of operations and financial condition, including the potential need to perform an interim goodwill analysis and report an impairment charge related thereto; our expectations regarding the future growth and demand of the telecommunication industry, future financing plans, business strategies, growth prospects, operating and financial performance, and our future liquidity needs and access to capital; our expectations regarding the probability of our obligation to pay contingent consideration upon Tower Cloud, Inc.'s ("Tower Cloud") achievement of certain defined operational and financial milestones; expectations regarding future deployment of fiber strand miles and small cell networks and recognition of revenue related thereto; expectations regarding levels of capital expenditures; expectations regarding the deductibility of goodwill for tax purposes; expectations regarding reclassification of accumulated other comprehensive income (loss) related to derivatives to interest expense; expectations regarding the amortization of intangible assets; our expectations regarding the wind down of the Consumer CLEC business; and expectations regarding the payment of dividends.</w:t>
      </w:r>
    </w:p>
    <w:p>
      <w:pPr>
        <w:spacing w:after="0" w:line="169"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Words such as “anticipate(s),” “expect(s),” “intend(s),” “plan(s),” “believe(s),” “may,” “will,” “would,” “could,” “should,” “seek(s)” and similar expressions, or the negative of these terms, are intended to identify such forward-looking statements. These statements are based on management's current expectations and beliefs and are subject to a number of risks and uncertainties that could lead to actual results differing materially from those projected, forecasted or expected. Although we believe that the assumptions underlying the forward-looking statements are reasonable, we can give no assurance that our expectations will be attained. Factors which could have a material adverse effect on our operations and future prospects or which could cause actual results to differ materially from our expectations include, but are not limited to:</w:t>
      </w:r>
    </w:p>
    <w:p>
      <w:pPr>
        <w:spacing w:after="0" w:line="286" w:lineRule="exact"/>
        <w:rPr>
          <w:sz w:val="20"/>
          <w:szCs w:val="20"/>
          <w:color w:val="auto"/>
        </w:rPr>
      </w:pPr>
    </w:p>
    <w:p>
      <w:pPr>
        <w:ind w:left="1000" w:right="320" w:hanging="493"/>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future prospects of our largest customer, Windstream Holdings, which, following a finding that it is in default of certain of its debt, on February 25, 2019, and along with all of its subsidiaries, filed voluntary petitions for relief under Chapter 11 of the Bankruptcy Code;</w:t>
      </w:r>
    </w:p>
    <w:p>
      <w:pPr>
        <w:spacing w:after="0" w:line="15" w:lineRule="exact"/>
        <w:rPr>
          <w:rFonts w:ascii="Arial" w:cs="Arial" w:eastAsia="Arial" w:hAnsi="Arial"/>
          <w:sz w:val="16"/>
          <w:szCs w:val="16"/>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our settlement with Windstream is not implemented because the conditions to the implementation of the settlement are not satisfied and/or Windstream is not able to successfully emerge and the settlement is not implemented;</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adverse impacts of the COVID-19 pandemic on our employees, our business, the business of our customers and other business partners and the global financial markets;</w:t>
      </w:r>
    </w:p>
    <w:p>
      <w:pPr>
        <w:spacing w:after="0" w:line="62" w:lineRule="exact"/>
        <w:rPr>
          <w:rFonts w:ascii="Arial" w:cs="Arial" w:eastAsia="Arial" w:hAnsi="Arial"/>
          <w:sz w:val="18"/>
          <w:szCs w:val="18"/>
          <w:color w:val="auto"/>
        </w:rPr>
      </w:pPr>
    </w:p>
    <w:p>
      <w:pPr>
        <w:ind w:left="1000" w:right="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meet and/or perform their obligations under any contractual arrangements entered into with us, including master lease arrangements;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our customers to comply with laws, rules and regulations in the operation of the assets we lease to them;</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customers to renew their leases with us upon their expiration, and the ability to reposition our properties on the same or better terms in the event of nonrenewal or in the event we replace an existing tenant;</w:t>
      </w:r>
    </w:p>
    <w:p>
      <w:pPr>
        <w:spacing w:after="0" w:line="62" w:lineRule="exact"/>
        <w:rPr>
          <w:rFonts w:ascii="Arial" w:cs="Arial" w:eastAsia="Arial" w:hAnsi="Arial"/>
          <w:sz w:val="18"/>
          <w:szCs w:val="18"/>
          <w:color w:val="auto"/>
        </w:rPr>
      </w:pPr>
    </w:p>
    <w:p>
      <w:pPr>
        <w:ind w:left="1000" w:right="7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renew, extend or retain our contracts or to obtain new contracts with significant customers (including customers of the businesses that we acquire);</w:t>
      </w:r>
    </w:p>
    <w:p>
      <w:pPr>
        <w:spacing w:after="0" w:line="62"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and our ability to identify suitable acquisition opportunities and our ability to acquire and lease the respective properties on favorable terms or operate and integrate the acquired businesses;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generate sufficient cash flows to service our outstanding indebtedness and fund our capital funding commitments;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33" w:lineRule="exact"/>
        <w:rPr>
          <w:sz w:val="20"/>
          <w:szCs w:val="20"/>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access debt and equity capital markets;</w:t>
      </w:r>
    </w:p>
    <w:p>
      <w:pPr>
        <w:spacing w:after="0" w:line="117" w:lineRule="exact"/>
        <w:rPr>
          <w:rFonts w:ascii="Arial" w:cs="Arial" w:eastAsia="Arial" w:hAnsi="Arial"/>
          <w:sz w:val="18"/>
          <w:szCs w:val="18"/>
          <w:color w:val="auto"/>
        </w:rPr>
      </w:pPr>
    </w:p>
    <w:p>
      <w:pPr>
        <w:ind w:left="1000" w:right="320" w:hanging="493"/>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changes to our business, economic trends or key assumptions regarding our estimates of fair value, including potential impacts of recent developments surrounding Windstream that could result in an impairment charge in the future, which could have a significant impact to our reported earnings;</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impact on our business or the business of our customers as a result of credit rating downgrades, and fluctuating interest rates;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impacts of litigation or disputes involving us or our customers;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retain our key management personnel;</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our status as a REIT, including as a result of the effects of the recent events with respect to our largest customer, Windstream Holdings;</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U.S. tax law and other federal, state or local laws, whether or not specific to REITs, including the impact of the 2017 U.S. tax reform legislation and the Coronavirus Aid, Relief, and Economic Security Act or the “CARES” Act;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accounting treatment of our settlement with Windstream;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covenants in our debt agreements that may limit our operational flexibility;</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we may experience equipment failures, natural disasters, cyber attacks or terrorist attacks for which our insurance may not provide adequate coverage;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fail to fully realize the potential benefits of or have difficulty in integrating the companies we acquire;</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inherent in the communications industry and in the ownership of communications distribution systems, including potential liability relating to environmental matters and illiquidity of real estate investments; and</w:t>
      </w:r>
    </w:p>
    <w:p>
      <w:pPr>
        <w:spacing w:after="0" w:line="62" w:lineRule="exact"/>
        <w:rPr>
          <w:rFonts w:ascii="Arial" w:cs="Arial" w:eastAsia="Arial" w:hAnsi="Arial"/>
          <w:sz w:val="18"/>
          <w:szCs w:val="18"/>
          <w:color w:val="auto"/>
        </w:rPr>
      </w:pPr>
    </w:p>
    <w:p>
      <w:pPr>
        <w:ind w:left="1000" w:right="100" w:hanging="493"/>
        <w:spacing w:after="0" w:line="301"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additional factors discussed in Part I, Item 2 “Management’s Discussion and Analysis of Financial Condition and Results of Operations” and Part II, Item 1A “Risk Factors” of this Quarterly Report on Form 10-Q and in Part I, Item 1A "Risk Factors" of our Annual Report on Form 10-K for the year ended December 31, 2019, and Part II, Item 1A “Risk Factors” our Quarterly Report for the quarter ended March 31, 2020, as well as those described from time to time in our future reports filed with the U.S. Securities and Exchange Commission (“SEC”).</w:t>
      </w:r>
    </w:p>
    <w:p>
      <w:pPr>
        <w:spacing w:after="0" w:line="117"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Forward-looking statements speak only as of the date of this Quarterly Report. Except in the normal course of our public disclosure obligations, we expressly disclaim any obligation to release publicly any updates or revisions to any forward-looking statements to reflect any change in our expectations or any change in events, conditions or circumstances on which any such statement is based.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18"/>
                <w:szCs w:val="18"/>
                <w:color w:val="auto"/>
              </w:rPr>
            </w:pPr>
          </w:p>
        </w:tc>
        <w:tc>
          <w:tcPr>
            <w:tcW w:w="9840" w:type="dxa"/>
            <w:vAlign w:val="bottom"/>
          </w:tcPr>
          <w:p>
            <w:pPr>
              <w:ind w:left="414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840" w:type="dxa"/>
            <w:vAlign w:val="bottom"/>
          </w:tcPr>
          <w:p>
            <w:pPr>
              <w:ind w:left="410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84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840" w:type="dxa"/>
            <w:vAlign w:val="bottom"/>
            <w:vMerge w:val="restart"/>
          </w:tcPr>
          <w:p>
            <w:pPr>
              <w:ind w:left="80"/>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3"/>
        </w:trPr>
        <w:tc>
          <w:tcPr>
            <w:tcW w:w="840" w:type="dxa"/>
            <w:vAlign w:val="bottom"/>
            <w:vMerge w:val="continue"/>
          </w:tcPr>
          <w:p>
            <w:pPr>
              <w:spacing w:after="0"/>
              <w:rPr>
                <w:sz w:val="19"/>
                <w:szCs w:val="19"/>
                <w:color w:val="auto"/>
              </w:rPr>
            </w:pPr>
          </w:p>
        </w:tc>
        <w:tc>
          <w:tcPr>
            <w:tcW w:w="984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4"/>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Financial Statements (Unaudited)</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4"/>
        </w:trPr>
        <w:tc>
          <w:tcPr>
            <w:tcW w:w="840" w:type="dxa"/>
            <w:vAlign w:val="bottom"/>
          </w:tcPr>
          <w:p>
            <w:pPr>
              <w:spacing w:after="0"/>
              <w:rPr>
                <w:sz w:val="20"/>
                <w:szCs w:val="20"/>
                <w:color w:val="auto"/>
              </w:rPr>
            </w:pPr>
          </w:p>
        </w:tc>
        <w:tc>
          <w:tcPr>
            <w:tcW w:w="9840" w:type="dxa"/>
            <w:vAlign w:val="bottom"/>
          </w:tcPr>
          <w:p>
            <w:pPr>
              <w:ind w:left="80"/>
              <w:spacing w:after="0"/>
              <w:rPr>
                <w:sz w:val="20"/>
                <w:szCs w:val="20"/>
                <w:color w:val="auto"/>
              </w:rPr>
            </w:pPr>
            <w:r>
              <w:rPr>
                <w:rFonts w:ascii="Arial" w:cs="Arial" w:eastAsia="Arial" w:hAnsi="Arial"/>
                <w:sz w:val="18"/>
                <w:szCs w:val="18"/>
                <w:b w:val="1"/>
                <w:bCs w:val="1"/>
                <w:color w:val="auto"/>
              </w:rPr>
              <w:t>Uniti Group Inc.</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Consolidated Statements of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Consolidated Statements of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Condensed Consolidated Statements of Shareholders’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8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Notes to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13">
              <w:r>
                <w:rPr>
                  <w:rFonts w:ascii="Arial" w:cs="Arial" w:eastAsia="Arial" w:hAnsi="Arial"/>
                  <w:sz w:val="18"/>
                  <w:szCs w:val="18"/>
                  <w:u w:val="single" w:color="auto"/>
                  <w:color w:val="0000EE"/>
                </w:rPr>
                <w:t>Organization and Description of 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13">
              <w:r>
                <w:rPr>
                  <w:rFonts w:ascii="Arial" w:cs="Arial" w:eastAsia="Arial" w:hAnsi="Arial"/>
                  <w:sz w:val="18"/>
                  <w:szCs w:val="18"/>
                  <w:u w:val="single" w:color="auto"/>
                  <w:color w:val="0000EE"/>
                </w:rPr>
                <w:t>Basis of Presentation and Summary of Significant Accounting Policies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16">
              <w:r>
                <w:rPr>
                  <w:rFonts w:ascii="Arial" w:cs="Arial" w:eastAsia="Arial" w:hAnsi="Arial"/>
                  <w:sz w:val="18"/>
                  <w:szCs w:val="18"/>
                  <w:u w:val="single" w:color="auto"/>
                  <w:color w:val="0000EE"/>
                </w:rPr>
                <w:t>Revenues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18">
              <w:r>
                <w:rPr>
                  <w:rFonts w:ascii="Arial" w:cs="Arial" w:eastAsia="Arial" w:hAnsi="Arial"/>
                  <w:sz w:val="18"/>
                  <w:szCs w:val="18"/>
                  <w:u w:val="single" w:color="auto"/>
                  <w:color w:val="0000EE"/>
                </w:rPr>
                <w:t>Leases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5.</w:t>
            </w:r>
            <w:hyperlink w:anchor="page21">
              <w:r>
                <w:rPr>
                  <w:rFonts w:ascii="Arial" w:cs="Arial" w:eastAsia="Arial" w:hAnsi="Arial"/>
                  <w:sz w:val="18"/>
                  <w:szCs w:val="18"/>
                  <w:u w:val="single" w:color="auto"/>
                  <w:color w:val="0000EE"/>
                </w:rPr>
                <w:t>Asset Dispositions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6.</w:t>
            </w:r>
            <w:hyperlink w:anchor="page21">
              <w:r>
                <w:rPr>
                  <w:rFonts w:ascii="Arial" w:cs="Arial" w:eastAsia="Arial" w:hAnsi="Arial"/>
                  <w:sz w:val="18"/>
                  <w:szCs w:val="18"/>
                  <w:u w:val="single" w:color="auto"/>
                  <w:color w:val="0000EE"/>
                </w:rPr>
                <w:t>Investment in Unconsolidated Partnership</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7.</w:t>
            </w:r>
            <w:hyperlink w:anchor="page22">
              <w:r>
                <w:rPr>
                  <w:rFonts w:ascii="Arial" w:cs="Arial" w:eastAsia="Arial" w:hAnsi="Arial"/>
                  <w:sz w:val="18"/>
                  <w:szCs w:val="18"/>
                  <w:u w:val="single" w:color="auto"/>
                  <w:color w:val="0000EE"/>
                </w:rPr>
                <w:t>Assets and Liabilities Held for Sale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8.</w:t>
            </w:r>
            <w:hyperlink w:anchor="page22">
              <w:r>
                <w:rPr>
                  <w:rFonts w:ascii="Arial" w:cs="Arial" w:eastAsia="Arial" w:hAnsi="Arial"/>
                  <w:sz w:val="18"/>
                  <w:szCs w:val="18"/>
                  <w:u w:val="single" w:color="auto"/>
                  <w:color w:val="0000EE"/>
                </w:rPr>
                <w:t>Fair Value of Financial Instruments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9.</w:t>
            </w:r>
            <w:hyperlink w:anchor="page24">
              <w:r>
                <w:rPr>
                  <w:rFonts w:ascii="Arial" w:cs="Arial" w:eastAsia="Arial" w:hAnsi="Arial"/>
                  <w:sz w:val="18"/>
                  <w:szCs w:val="18"/>
                  <w:u w:val="single" w:color="auto"/>
                  <w:color w:val="0000EE"/>
                </w:rPr>
                <w:t>Property Plant and Equipment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10.</w:t>
            </w:r>
            <w:hyperlink w:anchor="page25">
              <w:r>
                <w:rPr>
                  <w:rFonts w:ascii="Arial" w:cs="Arial" w:eastAsia="Arial" w:hAnsi="Arial"/>
                  <w:sz w:val="18"/>
                  <w:szCs w:val="18"/>
                  <w:u w:val="single" w:color="auto"/>
                  <w:color w:val="0000EE"/>
                </w:rPr>
                <w:t>Derivative Instruments and Hedging Activities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11.</w:t>
            </w:r>
            <w:hyperlink w:anchor="page26">
              <w:r>
                <w:rPr>
                  <w:rFonts w:ascii="Arial" w:cs="Arial" w:eastAsia="Arial" w:hAnsi="Arial"/>
                  <w:sz w:val="18"/>
                  <w:szCs w:val="18"/>
                  <w:u w:val="single" w:color="auto"/>
                  <w:color w:val="0000EE"/>
                </w:rPr>
                <w:t>Goodwill and Intangible Assets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12.</w:t>
            </w:r>
            <w:hyperlink w:anchor="page27">
              <w:r>
                <w:rPr>
                  <w:rFonts w:ascii="Arial" w:cs="Arial" w:eastAsia="Arial" w:hAnsi="Arial"/>
                  <w:sz w:val="18"/>
                  <w:szCs w:val="18"/>
                  <w:u w:val="single" w:color="auto"/>
                  <w:color w:val="0000EE"/>
                </w:rPr>
                <w:t>Notes and Other Debt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13.</w:t>
            </w:r>
            <w:hyperlink w:anchor="page31">
              <w:r>
                <w:rPr>
                  <w:rFonts w:ascii="Arial" w:cs="Arial" w:eastAsia="Arial" w:hAnsi="Arial"/>
                  <w:sz w:val="18"/>
                  <w:szCs w:val="18"/>
                  <w:u w:val="single" w:color="auto"/>
                  <w:color w:val="0000EE"/>
                </w:rPr>
                <w:t>Earnings Per Share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14.</w:t>
            </w:r>
            <w:hyperlink w:anchor="page32">
              <w:r>
                <w:rPr>
                  <w:rFonts w:ascii="Arial" w:cs="Arial" w:eastAsia="Arial" w:hAnsi="Arial"/>
                  <w:sz w:val="18"/>
                  <w:szCs w:val="18"/>
                  <w:u w:val="single" w:color="auto"/>
                  <w:color w:val="0000EE"/>
                </w:rPr>
                <w:t>Segment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15.</w:t>
            </w:r>
            <w:hyperlink w:anchor="page35">
              <w:r>
                <w:rPr>
                  <w:rFonts w:ascii="Arial" w:cs="Arial" w:eastAsia="Arial" w:hAnsi="Arial"/>
                  <w:sz w:val="18"/>
                  <w:szCs w:val="18"/>
                  <w:u w:val="single" w:color="auto"/>
                  <w:color w:val="0000EE"/>
                </w:rPr>
                <w:t>Commitments and Contingencies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16.</w:t>
            </w:r>
            <w:hyperlink w:anchor="page39">
              <w:r>
                <w:rPr>
                  <w:rFonts w:ascii="Arial" w:cs="Arial" w:eastAsia="Arial" w:hAnsi="Arial"/>
                  <w:sz w:val="18"/>
                  <w:szCs w:val="18"/>
                  <w:u w:val="single" w:color="auto"/>
                  <w:color w:val="0000EE"/>
                </w:rPr>
                <w:t>Accumulated Other Comprehensive (Loss) Income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17.</w:t>
            </w:r>
            <w:hyperlink w:anchor="page40">
              <w:r>
                <w:rPr>
                  <w:rFonts w:ascii="Arial" w:cs="Arial" w:eastAsia="Arial" w:hAnsi="Arial"/>
                  <w:sz w:val="18"/>
                  <w:szCs w:val="18"/>
                  <w:u w:val="single" w:color="auto"/>
                  <w:color w:val="0000EE"/>
                </w:rPr>
                <w:t>Subsequent Events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1.</w:t>
            </w:r>
            <w:hyperlink w:anchor="page41">
              <w:r>
                <w:rPr>
                  <w:rFonts w:ascii="Arial" w:cs="Arial" w:eastAsia="Arial" w:hAnsi="Arial"/>
                  <w:sz w:val="18"/>
                  <w:szCs w:val="18"/>
                  <w:u w:val="single" w:color="auto"/>
                  <w:color w:val="0000EE"/>
                </w:rPr>
                <w:t>Overview</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2.</w:t>
            </w:r>
            <w:hyperlink w:anchor="page44">
              <w:r>
                <w:rPr>
                  <w:rFonts w:ascii="Arial" w:cs="Arial" w:eastAsia="Arial" w:hAnsi="Arial"/>
                  <w:sz w:val="18"/>
                  <w:szCs w:val="18"/>
                  <w:u w:val="single" w:color="auto"/>
                  <w:color w:val="0000EE"/>
                </w:rPr>
                <w:t>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3.</w:t>
            </w:r>
            <w:hyperlink w:anchor="page56">
              <w:r>
                <w:rPr>
                  <w:rFonts w:ascii="Arial" w:cs="Arial" w:eastAsia="Arial" w:hAnsi="Arial"/>
                  <w:sz w:val="18"/>
                  <w:szCs w:val="18"/>
                  <w:u w:val="single" w:color="auto"/>
                  <w:color w:val="0000EE"/>
                </w:rPr>
                <w:t>Non-GAAP Financial Measures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19"/>
                <w:szCs w:val="19"/>
                <w:color w:val="auto"/>
              </w:rPr>
            </w:pPr>
          </w:p>
        </w:tc>
        <w:tc>
          <w:tcPr>
            <w:tcW w:w="9840" w:type="dxa"/>
            <w:vAlign w:val="bottom"/>
          </w:tcPr>
          <w:p>
            <w:pPr>
              <w:ind w:left="200"/>
              <w:spacing w:after="0"/>
              <w:rPr>
                <w:rFonts w:ascii="Arial" w:cs="Arial" w:eastAsia="Arial" w:hAnsi="Arial"/>
                <w:sz w:val="18"/>
                <w:szCs w:val="18"/>
                <w:color w:val="auto"/>
              </w:rPr>
            </w:pPr>
            <w:r>
              <w:rPr>
                <w:rFonts w:ascii="Arial" w:cs="Arial" w:eastAsia="Arial" w:hAnsi="Arial"/>
                <w:sz w:val="18"/>
                <w:szCs w:val="18"/>
                <w:color w:val="auto"/>
              </w:rPr>
              <w:t>4.</w:t>
            </w:r>
            <w:hyperlink w:anchor="page58">
              <w:r>
                <w:rPr>
                  <w:rFonts w:ascii="Arial" w:cs="Arial" w:eastAsia="Arial" w:hAnsi="Arial"/>
                  <w:sz w:val="18"/>
                  <w:szCs w:val="18"/>
                  <w:u w:val="single" w:color="auto"/>
                  <w:color w:val="0000EE"/>
                </w:rPr>
                <w:t>Liquidity and Capital Resources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59"/>
        </w:trPr>
        <w:tc>
          <w:tcPr>
            <w:tcW w:w="8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840" w:type="dxa"/>
            <w:vAlign w:val="bottom"/>
          </w:tcPr>
          <w:p>
            <w:pPr>
              <w:ind w:left="80"/>
              <w:spacing w:after="0"/>
              <w:rPr>
                <w:rFonts w:ascii="Arial" w:cs="Arial" w:eastAsia="Arial" w:hAnsi="Arial"/>
                <w:sz w:val="18"/>
                <w:szCs w:val="18"/>
                <w:b w:val="1"/>
                <w:bCs w:val="1"/>
                <w:u w:val="single" w:color="auto"/>
                <w:color w:val="0000EE"/>
              </w:rPr>
            </w:pPr>
            <w:hyperlink w:anchor="page64">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840" w:type="dxa"/>
            <w:vAlign w:val="bottom"/>
          </w:tcPr>
          <w:p>
            <w:pPr>
              <w:spacing w:after="0"/>
              <w:rPr>
                <w:sz w:val="20"/>
                <w:szCs w:val="20"/>
                <w:color w:val="auto"/>
              </w:rPr>
            </w:pPr>
            <w:r>
              <w:rPr>
                <w:rFonts w:ascii="Arial" w:cs="Arial" w:eastAsia="Arial" w:hAnsi="Arial"/>
                <w:sz w:val="18"/>
                <w:szCs w:val="18"/>
                <w:color w:val="auto"/>
              </w:rPr>
              <w:t>Item 1.</w:t>
            </w:r>
          </w:p>
        </w:tc>
        <w:tc>
          <w:tcPr>
            <w:tcW w:w="9840" w:type="dxa"/>
            <w:vAlign w:val="bottom"/>
          </w:tcPr>
          <w:p>
            <w:pPr>
              <w:ind w:left="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1A.</w:t>
            </w:r>
          </w:p>
        </w:tc>
        <w:tc>
          <w:tcPr>
            <w:tcW w:w="9840" w:type="dxa"/>
            <w:vAlign w:val="bottom"/>
          </w:tcPr>
          <w:p>
            <w:pPr>
              <w:ind w:left="8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2.</w:t>
            </w:r>
          </w:p>
        </w:tc>
        <w:tc>
          <w:tcPr>
            <w:tcW w:w="9840" w:type="dxa"/>
            <w:vAlign w:val="bottom"/>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3.</w:t>
            </w:r>
          </w:p>
        </w:tc>
        <w:tc>
          <w:tcPr>
            <w:tcW w:w="9840" w:type="dxa"/>
            <w:vAlign w:val="bottom"/>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4.</w:t>
            </w:r>
          </w:p>
        </w:tc>
        <w:tc>
          <w:tcPr>
            <w:tcW w:w="9840" w:type="dxa"/>
            <w:vAlign w:val="bottom"/>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840" w:type="dxa"/>
            <w:vAlign w:val="bottom"/>
          </w:tcPr>
          <w:p>
            <w:pPr>
              <w:spacing w:after="0"/>
              <w:rPr>
                <w:sz w:val="20"/>
                <w:szCs w:val="20"/>
                <w:color w:val="auto"/>
              </w:rPr>
            </w:pPr>
            <w:r>
              <w:rPr>
                <w:rFonts w:ascii="Arial" w:cs="Arial" w:eastAsia="Arial" w:hAnsi="Arial"/>
                <w:sz w:val="18"/>
                <w:szCs w:val="18"/>
                <w:color w:val="auto"/>
              </w:rPr>
              <w:t>Item 5.</w:t>
            </w:r>
          </w:p>
        </w:tc>
        <w:tc>
          <w:tcPr>
            <w:tcW w:w="9840" w:type="dxa"/>
            <w:vAlign w:val="bottom"/>
          </w:tcPr>
          <w:p>
            <w:pPr>
              <w:ind w:left="80"/>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Item 6.</w:t>
            </w:r>
          </w:p>
        </w:tc>
        <w:tc>
          <w:tcPr>
            <w:tcW w:w="9840" w:type="dxa"/>
            <w:vAlign w:val="bottom"/>
          </w:tcPr>
          <w:p>
            <w:pPr>
              <w:ind w:left="8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59"/>
        </w:trPr>
        <w:tc>
          <w:tcPr>
            <w:tcW w:w="840" w:type="dxa"/>
            <w:vAlign w:val="bottom"/>
          </w:tcPr>
          <w:p>
            <w:pPr>
              <w:spacing w:after="0"/>
              <w:rPr>
                <w:rFonts w:ascii="Arial" w:cs="Arial" w:eastAsia="Arial" w:hAnsi="Arial"/>
                <w:sz w:val="18"/>
                <w:szCs w:val="18"/>
                <w:u w:val="single" w:color="auto"/>
                <w:color w:val="0000EE"/>
                <w:w w:val="95"/>
              </w:rPr>
            </w:pPr>
            <w:hyperlink w:anchor="page68">
              <w:r>
                <w:rPr>
                  <w:rFonts w:ascii="Arial" w:cs="Arial" w:eastAsia="Arial" w:hAnsi="Arial"/>
                  <w:sz w:val="18"/>
                  <w:szCs w:val="18"/>
                  <w:u w:val="single" w:color="auto"/>
                  <w:color w:val="0000EE"/>
                  <w:w w:val="95"/>
                </w:rPr>
                <w:t>Signatures</w:t>
              </w:r>
            </w:hyperlink>
          </w:p>
        </w:tc>
        <w:tc>
          <w:tcPr>
            <w:tcW w:w="98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20" w:type="dxa"/>
            <w:vAlign w:val="bottom"/>
            <w:gridSpan w:val="3"/>
          </w:tcPr>
          <w:p>
            <w:pPr>
              <w:jc w:val="center"/>
              <w:ind w:left="3930"/>
              <w:spacing w:after="0"/>
              <w:rPr>
                <w:sz w:val="20"/>
                <w:szCs w:val="20"/>
                <w:color w:val="auto"/>
              </w:rPr>
            </w:pPr>
            <w:r>
              <w:rPr>
                <w:rFonts w:ascii="Arial" w:cs="Arial" w:eastAsia="Arial" w:hAnsi="Arial"/>
                <w:sz w:val="18"/>
                <w:szCs w:val="18"/>
                <w:b w:val="1"/>
                <w:bCs w:val="1"/>
                <w:color w:val="auto"/>
              </w:rPr>
              <w:t>PART I—FINANCIAL INFORMATION</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6600" w:type="dxa"/>
            <w:vAlign w:val="bottom"/>
          </w:tcPr>
          <w:p>
            <w:pPr>
              <w:jc w:val="center"/>
              <w:ind w:left="4550"/>
              <w:spacing w:after="0"/>
              <w:rPr>
                <w:sz w:val="20"/>
                <w:szCs w:val="20"/>
                <w:color w:val="auto"/>
              </w:rPr>
            </w:pPr>
            <w:r>
              <w:rPr>
                <w:rFonts w:ascii="Arial" w:cs="Arial" w:eastAsia="Arial" w:hAnsi="Arial"/>
                <w:sz w:val="18"/>
                <w:szCs w:val="18"/>
                <w:b w:val="1"/>
                <w:bCs w:val="1"/>
                <w:color w:val="auto"/>
                <w:w w:val="94"/>
              </w:rPr>
              <w:t>Uniti Group Inc.</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20" w:type="dxa"/>
            <w:vAlign w:val="bottom"/>
            <w:gridSpan w:val="3"/>
          </w:tcPr>
          <w:p>
            <w:pPr>
              <w:jc w:val="center"/>
              <w:ind w:left="3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w w:val="97"/>
              </w:rPr>
              <w:t>(Unaudited)</w:t>
            </w: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Arial" w:cs="Arial" w:eastAsia="Arial" w:hAnsi="Arial"/>
                <w:sz w:val="18"/>
                <w:szCs w:val="18"/>
                <w:color w:val="auto"/>
              </w:rPr>
              <w:t>(Thousands, except par value)</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w w:val="88"/>
              </w:rPr>
              <w:t>June 30, 2020</w:t>
            </w:r>
          </w:p>
        </w:tc>
        <w:tc>
          <w:tcPr>
            <w:tcW w:w="200" w:type="dxa"/>
            <w:vAlign w:val="bottom"/>
          </w:tcPr>
          <w:p>
            <w:pPr>
              <w:spacing w:after="0"/>
              <w:rPr>
                <w:sz w:val="20"/>
                <w:szCs w:val="20"/>
                <w:color w:val="auto"/>
              </w:rPr>
            </w:pPr>
          </w:p>
        </w:tc>
        <w:tc>
          <w:tcPr>
            <w:tcW w:w="19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December 31, 2019</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3,098,191</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88,269</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72,353</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77,623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346,052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531,979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Straight-line revenue receivable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3,287</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Other assets,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126,944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161,560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Assets held for sale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364,423</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Investment in unconsolidated entity</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26,004</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4,816,195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Deficit:</w:t>
            </w: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6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Accounts payable, accrued expenses and other liabilities, net</w:t>
            </w:r>
          </w:p>
        </w:tc>
        <w:tc>
          <w:tcPr>
            <w:tcW w:w="6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168,288</w:t>
            </w:r>
          </w:p>
        </w:tc>
        <w:tc>
          <w:tcPr>
            <w:tcW w:w="26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227,121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Settlement payable (Note 15)</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650,000</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ind w:left="26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97,889</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28,800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987,318</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Derivative liability, net</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28,464</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payable</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29,634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13,222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24,431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50,436</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Contingent consideration</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10,562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11,507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Notes and other debt, net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4,819,654</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Liabilities held for sale</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177,866</w:t>
            </w:r>
          </w:p>
        </w:tc>
        <w:tc>
          <w:tcPr>
            <w:tcW w:w="2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7,033,333</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6,500,164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 Deficit:</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260"/>
              <w:spacing w:after="0"/>
              <w:rPr>
                <w:sz w:val="20"/>
                <w:szCs w:val="20"/>
                <w:color w:val="auto"/>
              </w:rPr>
            </w:pPr>
            <w:r>
              <w:rPr>
                <w:rFonts w:ascii="Arial" w:cs="Arial" w:eastAsia="Arial" w:hAnsi="Arial"/>
                <w:sz w:val="18"/>
                <w:szCs w:val="18"/>
                <w:color w:val="auto"/>
                <w:w w:val="94"/>
              </w:rPr>
              <w:t>Preferred stock, $0.0001 par value, 50,000 shares authorized, no shares issued and</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outstanding</w:t>
            </w: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0"/>
              </w:rPr>
              <w:t>Common stock, $0.0001 par value, 500,000 shares authorized, issued and outstanding:</w:t>
            </w:r>
          </w:p>
        </w:tc>
        <w:tc>
          <w:tcPr>
            <w:tcW w:w="1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192,523 shares at June 30, 2020 and 192,142 at December 31, 2019</w:t>
            </w:r>
          </w:p>
        </w:tc>
        <w:tc>
          <w:tcPr>
            <w:tcW w:w="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957,656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951,295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(25,937)</w:t>
            </w:r>
          </w:p>
        </w:tc>
        <w:tc>
          <w:tcPr>
            <w:tcW w:w="200" w:type="dxa"/>
            <w:vAlign w:val="bottom"/>
            <w:shd w:val="clear" w:color="auto" w:fill="CFF0FC"/>
          </w:tcPr>
          <w:p>
            <w:pPr>
              <w:spacing w:after="0"/>
              <w:rPr>
                <w:sz w:val="19"/>
                <w:szCs w:val="19"/>
                <w:color w:val="auto"/>
              </w:rPr>
            </w:pPr>
          </w:p>
        </w:tc>
        <w:tc>
          <w:tcPr>
            <w:tcW w:w="19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(23,442)</w:t>
            </w: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Distributions in excess of accumulated earnings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(3,219,623)</w:t>
            </w:r>
          </w:p>
        </w:tc>
        <w:tc>
          <w:tcPr>
            <w:tcW w:w="200" w:type="dxa"/>
            <w:vAlign w:val="bottom"/>
          </w:tcPr>
          <w:p>
            <w:pPr>
              <w:spacing w:after="0"/>
              <w:rPr>
                <w:sz w:val="19"/>
                <w:szCs w:val="19"/>
                <w:color w:val="auto"/>
              </w:rPr>
            </w:pPr>
          </w:p>
        </w:tc>
        <w:tc>
          <w:tcPr>
            <w:tcW w:w="1980" w:type="dxa"/>
            <w:vAlign w:val="bottom"/>
            <w:gridSpan w:val="2"/>
          </w:tcPr>
          <w:p>
            <w:pPr>
              <w:jc w:val="right"/>
              <w:ind w:right="60"/>
              <w:spacing w:after="0"/>
              <w:rPr>
                <w:sz w:val="20"/>
                <w:szCs w:val="20"/>
                <w:color w:val="auto"/>
              </w:rPr>
            </w:pPr>
            <w:r>
              <w:rPr>
                <w:rFonts w:ascii="Arial" w:cs="Arial" w:eastAsia="Arial" w:hAnsi="Arial"/>
                <w:sz w:val="18"/>
                <w:szCs w:val="18"/>
                <w:color w:val="auto"/>
              </w:rPr>
              <w:t>(2,494,740)</w:t>
            </w:r>
          </w:p>
        </w:tc>
        <w:tc>
          <w:tcPr>
            <w:tcW w:w="0" w:type="dxa"/>
            <w:vAlign w:val="bottom"/>
          </w:tcPr>
          <w:p>
            <w:pPr>
              <w:spacing w:after="0"/>
              <w:rPr>
                <w:sz w:val="1"/>
                <w:szCs w:val="1"/>
                <w:color w:val="auto"/>
              </w:rPr>
            </w:pPr>
          </w:p>
        </w:tc>
      </w:tr>
      <w:tr>
        <w:trPr>
          <w:trHeight w:val="223"/>
        </w:trPr>
        <w:tc>
          <w:tcPr>
            <w:tcW w:w="660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Uniti shareholders' deficit</w:t>
            </w:r>
          </w:p>
        </w:tc>
        <w:tc>
          <w:tcPr>
            <w:tcW w:w="14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spacing w:after="0"/>
              <w:rPr>
                <w:sz w:val="19"/>
                <w:szCs w:val="19"/>
                <w:color w:val="auto"/>
              </w:rPr>
            </w:pP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(2,287,885)</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(1,566,868)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0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partnership units</w:t>
            </w:r>
          </w:p>
        </w:tc>
        <w:tc>
          <w:tcPr>
            <w:tcW w:w="1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70,622</w:t>
            </w: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83,704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6600" w:type="dxa"/>
            <w:vAlign w:val="bottom"/>
          </w:tcPr>
          <w:p>
            <w:pPr>
              <w:ind w:left="380"/>
              <w:spacing w:after="0"/>
              <w:rPr>
                <w:sz w:val="20"/>
                <w:szCs w:val="20"/>
                <w:color w:val="auto"/>
              </w:rPr>
            </w:pPr>
            <w:r>
              <w:rPr>
                <w:rFonts w:ascii="Arial" w:cs="Arial" w:eastAsia="Arial" w:hAnsi="Arial"/>
                <w:sz w:val="18"/>
                <w:szCs w:val="18"/>
                <w:color w:val="auto"/>
              </w:rPr>
              <w:t>Cumulative non-voting convertible preferred stock, $0.01 par value, 3 shares</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tcBorders>
              <w:bottom w:val="single" w:sz="8" w:color="CFF0FC"/>
            </w:tcBorders>
          </w:tcPr>
          <w:p>
            <w:pPr>
              <w:ind w:left="380"/>
              <w:spacing w:after="0"/>
              <w:rPr>
                <w:sz w:val="20"/>
                <w:szCs w:val="20"/>
                <w:color w:val="auto"/>
              </w:rPr>
            </w:pPr>
            <w:r>
              <w:rPr>
                <w:rFonts w:ascii="Arial" w:cs="Arial" w:eastAsia="Arial" w:hAnsi="Arial"/>
                <w:sz w:val="18"/>
                <w:szCs w:val="18"/>
                <w:color w:val="auto"/>
              </w:rPr>
              <w:t>authorized, 1 issued and outstanding</w:t>
            </w:r>
          </w:p>
        </w:tc>
        <w:tc>
          <w:tcPr>
            <w:tcW w:w="140" w:type="dxa"/>
            <w:vAlign w:val="bottom"/>
            <w:tcBorders>
              <w:bottom w:val="single" w:sz="8" w:color="CFF0FC"/>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Borders>
              <w:bottom w:val="single" w:sz="8" w:color="CFF0F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0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shareholders' deficit</w:t>
            </w:r>
          </w:p>
        </w:tc>
        <w:tc>
          <w:tcPr>
            <w:tcW w:w="14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(2,217,138)</w:t>
            </w:r>
          </w:p>
        </w:tc>
        <w:tc>
          <w:tcPr>
            <w:tcW w:w="2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(1,483,164)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0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Deficit</w:t>
            </w:r>
          </w:p>
        </w:tc>
        <w:tc>
          <w:tcPr>
            <w:tcW w:w="140" w:type="dxa"/>
            <w:vAlign w:val="bottom"/>
          </w:tcPr>
          <w:p>
            <w:pPr>
              <w:spacing w:after="0"/>
              <w:rPr>
                <w:sz w:val="19"/>
                <w:szCs w:val="19"/>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4,816,195</w:t>
            </w:r>
          </w:p>
        </w:tc>
        <w:tc>
          <w:tcPr>
            <w:tcW w:w="26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5,017,000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gridSpan w:val="2"/>
            <w:vMerge w:val="restart"/>
          </w:tcPr>
          <w:p>
            <w:pPr>
              <w:ind w:left="2080"/>
              <w:spacing w:after="0"/>
              <w:rPr>
                <w:sz w:val="20"/>
                <w:szCs w:val="20"/>
                <w:color w:val="auto"/>
              </w:rPr>
            </w:pPr>
            <w:r>
              <w:rPr>
                <w:rFonts w:ascii="Arial" w:cs="Arial" w:eastAsia="Arial" w:hAnsi="Arial"/>
                <w:sz w:val="18"/>
                <w:szCs w:val="18"/>
                <w:color w:val="auto"/>
                <w:w w:val="89"/>
              </w:rPr>
              <w:t>The accompanying notes are an integral part of these condensed</w:t>
            </w:r>
          </w:p>
        </w:tc>
        <w:tc>
          <w:tcPr>
            <w:tcW w:w="206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740" w:type="dxa"/>
            <w:vAlign w:val="bottom"/>
            <w:gridSpan w:val="2"/>
            <w:vMerge w:val="continue"/>
          </w:tcPr>
          <w:p>
            <w:pPr>
              <w:spacing w:after="0"/>
              <w:rPr>
                <w:sz w:val="18"/>
                <w:szCs w:val="18"/>
                <w:color w:val="auto"/>
              </w:rPr>
            </w:pPr>
          </w:p>
        </w:tc>
        <w:tc>
          <w:tcPr>
            <w:tcW w:w="2320" w:type="dxa"/>
            <w:vAlign w:val="bottom"/>
            <w:gridSpan w:val="3"/>
          </w:tcPr>
          <w:p>
            <w:pPr>
              <w:spacing w:after="0"/>
              <w:rPr>
                <w:sz w:val="20"/>
                <w:szCs w:val="20"/>
                <w:color w:val="auto"/>
              </w:rPr>
            </w:pPr>
            <w:r>
              <w:rPr>
                <w:rFonts w:ascii="Arial" w:cs="Arial" w:eastAsia="Arial" w:hAnsi="Arial"/>
                <w:sz w:val="18"/>
                <w:szCs w:val="18"/>
                <w:color w:val="auto"/>
                <w:w w:val="85"/>
              </w:rPr>
              <w:t>consolidated financial statements.</w:t>
            </w:r>
          </w:p>
        </w:tc>
        <w:tc>
          <w:tcPr>
            <w:tcW w:w="2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9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 except per share data)</w:t>
            </w:r>
          </w:p>
        </w:tc>
        <w:tc>
          <w:tcPr>
            <w:tcW w:w="120" w:type="dxa"/>
            <w:vAlign w:val="bottom"/>
            <w:tcBorders>
              <w:bottom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Leasing</w:t>
            </w: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185,320</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177,042</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369,672</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353,125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Tower</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2,392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3,146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264,414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532,982</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525,445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7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12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107,243</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97,729</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285,636</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84,969</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171,090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27,894</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26,428</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55,027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50,654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 (exclusive of depreciation and</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w:t>
            </w:r>
          </w:p>
        </w:tc>
        <w:tc>
          <w:tcPr>
            <w:tcW w:w="1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80,477</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Settlement expense (Note 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650,000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60"/>
              <w:spacing w:after="0"/>
              <w:rPr>
                <w:sz w:val="20"/>
                <w:szCs w:val="20"/>
                <w:color w:val="auto"/>
              </w:rPr>
            </w:pPr>
            <w:r>
              <w:rPr>
                <w:rFonts w:ascii="Arial" w:cs="Arial" w:eastAsia="Arial" w:hAnsi="Arial"/>
                <w:sz w:val="18"/>
                <w:szCs w:val="18"/>
                <w:color w:val="auto"/>
              </w:rPr>
              <w:t>Gain on sale of real estate (Note 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(63,818)</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(28,790)</w:t>
            </w: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(63,818)</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29"/>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(28,119)</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(31,232)</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CFF0FC"/>
            </w:tcBorders>
          </w:tcPr>
          <w:p>
            <w:pPr>
              <w:ind w:left="5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871,024</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217,024</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1,222,028</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471,509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b w:val="1"/>
                <w:bCs w:val="1"/>
                <w:color w:val="auto"/>
              </w:rPr>
              <w:t>(Loss) income before income taxes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(604,204)</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47,390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(689,046)</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Income tax (benefit) expense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(5,875)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(10,451)</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(loss) income</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(598,329)</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39,547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(678,595)</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(10,585)</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(11,998)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(587,744)</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38,717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(666,597)</w:t>
            </w:r>
          </w:p>
        </w:tc>
        <w:tc>
          <w:tcPr>
            <w:tcW w:w="24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(424)</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(223)</w:t>
            </w: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(624)</w:t>
            </w: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4780" w:type="dxa"/>
            <w:vAlign w:val="bottom"/>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63"/>
        </w:trPr>
        <w:tc>
          <w:tcPr>
            <w:tcW w:w="47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120" w:type="dxa"/>
            <w:vAlign w:val="bottom"/>
            <w:tcBorders>
              <w:bottom w:val="single" w:sz="8" w:color="CFF0FC"/>
            </w:tcBorders>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(588,169)</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38,246</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(667,225)</w:t>
            </w:r>
          </w:p>
        </w:tc>
        <w:tc>
          <w:tcPr>
            <w:tcW w:w="240" w:type="dxa"/>
            <w:vAlign w:val="bottom"/>
            <w:tcBorders>
              <w:bottom w:val="single" w:sz="8" w:color="CFF0FC"/>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39,259</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b w:val="1"/>
                <w:bCs w:val="1"/>
                <w:color w:val="auto"/>
              </w:rPr>
              <w:t>(Loss) earnings per common share:</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(3.06)</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(3.47)</w:t>
            </w: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FF0FC"/>
            </w:tcBorders>
            <w:vMerge w:val="continue"/>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Borders>
              <w:bottom w:val="single" w:sz="8" w:color="CFF0FC"/>
            </w:tcBorders>
          </w:tcPr>
          <w:p>
            <w:pPr>
              <w:spacing w:after="0"/>
              <w:rPr>
                <w:sz w:val="21"/>
                <w:szCs w:val="21"/>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spacing w:after="0"/>
              <w:rPr>
                <w:sz w:val="20"/>
                <w:szCs w:val="20"/>
                <w:color w:val="auto"/>
              </w:rPr>
            </w:pPr>
            <w:r>
              <w:rPr>
                <w:rFonts w:ascii="Arial" w:cs="Arial" w:eastAsia="Arial" w:hAnsi="Arial"/>
                <w:sz w:val="18"/>
                <w:szCs w:val="18"/>
                <w:b w:val="1"/>
                <w:bCs w:val="1"/>
                <w:color w:val="auto"/>
                <w:w w:val="94"/>
              </w:rPr>
              <w:t>Weighted-average number of common shares outstanding:</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182,971</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192,358</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182,597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192,479</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193,105</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192,358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6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7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Net (loss) income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120" w:type="dxa"/>
            <w:vAlign w:val="bottom"/>
            <w:shd w:val="clear" w:color="auto" w:fill="CFF0FC"/>
          </w:tcPr>
          <w:p>
            <w:pPr>
              <w:spacing w:after="0"/>
              <w:rPr>
                <w:sz w:val="19"/>
                <w:szCs w:val="19"/>
                <w:color w:val="auto"/>
              </w:rPr>
            </w:pPr>
          </w:p>
        </w:tc>
      </w:tr>
      <w:tr>
        <w:trPr>
          <w:trHeight w:val="229"/>
        </w:trPr>
        <w:tc>
          <w:tcPr>
            <w:tcW w:w="470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loss on derivative contracts</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(28,363)</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(7,036)</w:t>
            </w: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(50,049)</w:t>
            </w:r>
          </w:p>
        </w:tc>
      </w:tr>
      <w:tr>
        <w:trPr>
          <w:trHeight w:val="230"/>
        </w:trPr>
        <w:tc>
          <w:tcPr>
            <w:tcW w:w="4700" w:type="dxa"/>
            <w:vAlign w:val="bottom"/>
          </w:tcPr>
          <w:p>
            <w:pPr>
              <w:ind w:left="260"/>
              <w:spacing w:after="0"/>
              <w:rPr>
                <w:sz w:val="20"/>
                <w:szCs w:val="20"/>
                <w:color w:val="auto"/>
              </w:rPr>
            </w:pPr>
            <w:r>
              <w:rPr>
                <w:rFonts w:ascii="Arial" w:cs="Arial" w:eastAsia="Arial" w:hAnsi="Arial"/>
                <w:sz w:val="18"/>
                <w:szCs w:val="18"/>
                <w:color w:val="auto"/>
              </w:rPr>
              <w:t>Changes in foreign currency translation</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r>
      <w:tr>
        <w:trPr>
          <w:trHeight w:val="229"/>
        </w:trPr>
        <w:tc>
          <w:tcPr>
            <w:tcW w:w="47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rate swap termination</w:t>
            </w: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23"/>
        </w:trPr>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(loss):</w:t>
            </w:r>
          </w:p>
        </w:tc>
        <w:tc>
          <w:tcPr>
            <w:tcW w:w="1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(29,206)</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(2,540)</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(50,112)</w:t>
            </w:r>
          </w:p>
        </w:tc>
        <w:tc>
          <w:tcPr>
            <w:tcW w:w="120" w:type="dxa"/>
            <w:vAlign w:val="bottom"/>
            <w:tcBorders>
              <w:bottom w:val="single" w:sz="8" w:color="CFF0FC"/>
            </w:tcBorders>
          </w:tcPr>
          <w:p>
            <w:pPr>
              <w:spacing w:after="0"/>
              <w:rPr>
                <w:sz w:val="19"/>
                <w:szCs w:val="19"/>
                <w:color w:val="auto"/>
              </w:rPr>
            </w:pPr>
          </w:p>
        </w:tc>
      </w:tr>
      <w:tr>
        <w:trPr>
          <w:trHeight w:val="223"/>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Comprehensive (loss) income</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(595,499)</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(681,135)</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(8,073)</w:t>
            </w:r>
          </w:p>
        </w:tc>
        <w:tc>
          <w:tcPr>
            <w:tcW w:w="120" w:type="dxa"/>
            <w:vAlign w:val="bottom"/>
            <w:shd w:val="clear" w:color="auto" w:fill="CFF0FC"/>
          </w:tcPr>
          <w:p>
            <w:pPr>
              <w:spacing w:after="0"/>
              <w:rPr>
                <w:sz w:val="19"/>
                <w:szCs w:val="19"/>
                <w:color w:val="auto"/>
              </w:rPr>
            </w:pPr>
          </w:p>
        </w:tc>
      </w:tr>
      <w:tr>
        <w:trPr>
          <w:trHeight w:val="215"/>
        </w:trPr>
        <w:tc>
          <w:tcPr>
            <w:tcW w:w="4700" w:type="dxa"/>
            <w:vAlign w:val="bottom"/>
          </w:tcPr>
          <w:p>
            <w:pPr>
              <w:spacing w:after="0"/>
              <w:rPr>
                <w:sz w:val="20"/>
                <w:szCs w:val="20"/>
                <w:color w:val="auto"/>
              </w:rPr>
            </w:pPr>
            <w:r>
              <w:rPr>
                <w:rFonts w:ascii="Arial" w:cs="Arial" w:eastAsia="Arial" w:hAnsi="Arial"/>
                <w:sz w:val="18"/>
                <w:szCs w:val="18"/>
                <w:color w:val="auto"/>
                <w:w w:val="99"/>
              </w:rPr>
              <w:t>Comprehensive (loss) income attributable to noncontrolling</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interest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(10,535)</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(12,043)</w:t>
            </w:r>
          </w:p>
        </w:tc>
        <w:tc>
          <w:tcPr>
            <w:tcW w:w="32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r>
      <w:tr>
        <w:trPr>
          <w:trHeight w:val="205"/>
        </w:trPr>
        <w:tc>
          <w:tcPr>
            <w:tcW w:w="470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Comprehensive (loss) income attributable to common</w:t>
            </w:r>
          </w:p>
        </w:tc>
        <w:tc>
          <w:tcPr>
            <w:tcW w:w="1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r>
      <w:tr>
        <w:trPr>
          <w:trHeight w:val="234"/>
        </w:trPr>
        <w:tc>
          <w:tcPr>
            <w:tcW w:w="4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shareholders</w:t>
            </w:r>
          </w:p>
        </w:tc>
        <w:tc>
          <w:tcPr>
            <w:tcW w:w="44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(584,964)</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10,096</w:t>
            </w:r>
          </w:p>
        </w:tc>
        <w:tc>
          <w:tcPr>
            <w:tcW w:w="14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(669,092)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(7,906)</w:t>
            </w:r>
          </w:p>
        </w:tc>
      </w:tr>
      <w:tr>
        <w:trPr>
          <w:trHeight w:val="20"/>
        </w:trPr>
        <w:tc>
          <w:tcPr>
            <w:tcW w:w="47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Shareholders’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p>
      <w:pPr>
        <w:ind w:left="5240"/>
        <w:spacing w:after="0"/>
        <w:rPr>
          <w:sz w:val="20"/>
          <w:szCs w:val="20"/>
          <w:color w:val="auto"/>
        </w:rPr>
      </w:pPr>
      <w:r>
        <w:rPr>
          <w:rFonts w:ascii="Arial" w:cs="Arial" w:eastAsia="Arial" w:hAnsi="Arial"/>
          <w:sz w:val="16"/>
          <w:szCs w:val="16"/>
          <w:b w:val="1"/>
          <w:bCs w:val="1"/>
          <w:color w:val="auto"/>
        </w:rPr>
        <w:t>For the Three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4"/>
          </w:tcPr>
          <w:p>
            <w:pPr>
              <w:ind w:left="60"/>
              <w:spacing w:after="0" w:line="143" w:lineRule="exact"/>
              <w:rPr>
                <w:sz w:val="20"/>
                <w:szCs w:val="20"/>
                <w:color w:val="auto"/>
              </w:rPr>
            </w:pPr>
            <w:r>
              <w:rPr>
                <w:rFonts w:ascii="Arial" w:cs="Arial" w:eastAsia="Arial" w:hAnsi="Arial"/>
                <w:sz w:val="14"/>
                <w:szCs w:val="14"/>
                <w:color w:val="auto"/>
              </w:rPr>
              <w:t>Noncontrolling</w:t>
            </w:r>
          </w:p>
        </w:tc>
        <w:tc>
          <w:tcPr>
            <w:tcW w:w="8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8"/>
              </w:rPr>
              <w:t>Distributions</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Interest - Non-</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Additional</w:t>
            </w:r>
          </w:p>
        </w:tc>
        <w:tc>
          <w:tcPr>
            <w:tcW w:w="2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Other</w:t>
            </w:r>
          </w:p>
        </w:tc>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2"/>
              </w:rPr>
              <w:t>in Excess of</w:t>
            </w:r>
          </w:p>
        </w:tc>
        <w:tc>
          <w:tcPr>
            <w:tcW w:w="1020" w:type="dxa"/>
            <w:vAlign w:val="bottom"/>
            <w:gridSpan w:val="3"/>
          </w:tcPr>
          <w:p>
            <w:pPr>
              <w:spacing w:after="0" w:line="149" w:lineRule="exact"/>
              <w:rPr>
                <w:sz w:val="20"/>
                <w:szCs w:val="20"/>
                <w:color w:val="auto"/>
              </w:rPr>
            </w:pPr>
            <w:r>
              <w:rPr>
                <w:rFonts w:ascii="Arial" w:cs="Arial" w:eastAsia="Arial" w:hAnsi="Arial"/>
                <w:sz w:val="14"/>
                <w:szCs w:val="14"/>
                <w:color w:val="auto"/>
              </w:rPr>
              <w:t>Noncontrolling</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6"/>
              </w:rPr>
              <w:t>voting</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Paid-in</w:t>
            </w:r>
          </w:p>
        </w:tc>
        <w:tc>
          <w:tcPr>
            <w:tcW w:w="10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Comprehensive</w:t>
            </w: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93"/>
              </w:rPr>
              <w:t>Accumulated</w:t>
            </w: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Interest - OP</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2"/>
              </w:rPr>
              <w:t>Preferred</w:t>
            </w:r>
          </w:p>
        </w:tc>
        <w:tc>
          <w:tcPr>
            <w:tcW w:w="9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Shareholders'</w:t>
            </w:r>
          </w:p>
        </w:tc>
        <w:tc>
          <w:tcPr>
            <w:tcW w:w="0" w:type="dxa"/>
            <w:vAlign w:val="bottom"/>
          </w:tcPr>
          <w:p>
            <w:pPr>
              <w:spacing w:after="0"/>
              <w:rPr>
                <w:sz w:val="1"/>
                <w:szCs w:val="1"/>
                <w:color w:val="auto"/>
              </w:rPr>
            </w:pPr>
          </w:p>
        </w:tc>
      </w:tr>
      <w:tr>
        <w:trPr>
          <w:trHeight w:val="167"/>
        </w:trPr>
        <w:tc>
          <w:tcPr>
            <w:tcW w:w="192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6"/>
              </w:rPr>
              <w:t>(Thousands, except share data)</w:t>
            </w:r>
          </w:p>
        </w:tc>
        <w:tc>
          <w:tcPr>
            <w:tcW w:w="120" w:type="dxa"/>
            <w:vAlign w:val="bottom"/>
          </w:tcPr>
          <w:p>
            <w:pPr>
              <w:spacing w:after="0"/>
              <w:rPr>
                <w:sz w:val="14"/>
                <w:szCs w:val="14"/>
                <w:color w:val="auto"/>
              </w:rPr>
            </w:pPr>
          </w:p>
        </w:tc>
        <w:tc>
          <w:tcPr>
            <w:tcW w:w="108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color w:val="auto"/>
                <w:w w:val="96"/>
              </w:rPr>
              <w:t>Preferred Stock</w:t>
            </w:r>
          </w:p>
        </w:tc>
        <w:tc>
          <w:tcPr>
            <w:tcW w:w="1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43"/>
              <w:spacing w:after="0"/>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color w:val="auto"/>
              </w:rPr>
              <w:t>Capital</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Income (Loss)</w:t>
            </w:r>
          </w:p>
        </w:tc>
        <w:tc>
          <w:tcPr>
            <w:tcW w:w="16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Earnings</w:t>
            </w: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color w:val="auto"/>
              </w:rPr>
              <w:t>Units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line="183" w:lineRule="exact"/>
              <w:rPr>
                <w:sz w:val="20"/>
                <w:szCs w:val="20"/>
                <w:color w:val="auto"/>
              </w:rPr>
            </w:pPr>
            <w:r>
              <w:rPr>
                <w:rFonts w:ascii="Arial" w:cs="Arial" w:eastAsia="Arial" w:hAnsi="Arial"/>
                <w:sz w:val="16"/>
                <w:szCs w:val="16"/>
                <w:color w:val="auto"/>
                <w:w w:val="78"/>
              </w:rPr>
              <w:t>Shares</w:t>
            </w:r>
          </w:p>
        </w:tc>
        <w:tc>
          <w:tcPr>
            <w:tcW w:w="160" w:type="dxa"/>
            <w:vAlign w:val="bottom"/>
          </w:tcPr>
          <w:p>
            <w:pPr>
              <w:spacing w:after="0"/>
              <w:rPr>
                <w:sz w:val="15"/>
                <w:szCs w:val="15"/>
                <w:color w:val="auto"/>
              </w:rPr>
            </w:pPr>
          </w:p>
        </w:tc>
        <w:tc>
          <w:tcPr>
            <w:tcW w:w="740" w:type="dxa"/>
            <w:vAlign w:val="bottom"/>
            <w:gridSpan w:val="3"/>
          </w:tcPr>
          <w:p>
            <w:pPr>
              <w:spacing w:after="0" w:line="183" w:lineRule="exact"/>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5"/>
                <w:szCs w:val="15"/>
                <w:color w:val="auto"/>
              </w:rPr>
            </w:pPr>
          </w:p>
        </w:tc>
        <w:tc>
          <w:tcPr>
            <w:tcW w:w="880" w:type="dxa"/>
            <w:vAlign w:val="bottom"/>
            <w:gridSpan w:val="3"/>
          </w:tcPr>
          <w:p>
            <w:pPr>
              <w:spacing w:after="0" w:line="183" w:lineRule="exact"/>
              <w:rPr>
                <w:sz w:val="20"/>
                <w:szCs w:val="20"/>
                <w:color w:val="auto"/>
              </w:rPr>
            </w:pPr>
            <w:r>
              <w:rPr>
                <w:rFonts w:ascii="Arial" w:cs="Arial" w:eastAsia="Arial" w:hAnsi="Arial"/>
                <w:sz w:val="16"/>
                <w:szCs w:val="16"/>
                <w:color w:val="auto"/>
              </w:rPr>
              <w:t>Shares</w:t>
            </w:r>
          </w:p>
        </w:tc>
        <w:tc>
          <w:tcPr>
            <w:tcW w:w="580" w:type="dxa"/>
            <w:vAlign w:val="bottom"/>
            <w:gridSpan w:val="2"/>
          </w:tcPr>
          <w:p>
            <w:pPr>
              <w:jc w:val="right"/>
              <w:spacing w:after="0" w:line="183" w:lineRule="exact"/>
              <w:rPr>
                <w:sz w:val="20"/>
                <w:szCs w:val="20"/>
                <w:color w:val="auto"/>
              </w:rPr>
            </w:pPr>
            <w:r>
              <w:rPr>
                <w:rFonts w:ascii="Arial" w:cs="Arial" w:eastAsia="Arial" w:hAnsi="Arial"/>
                <w:sz w:val="16"/>
                <w:szCs w:val="16"/>
                <w:color w:val="auto"/>
                <w:w w:val="94"/>
              </w:rPr>
              <w:t>Amount</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Balance at March 31, 2019</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182,670,494</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63"/>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18</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$ 790,347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9,661</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(2,442,564)</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91,756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(1,550,782)</w:t>
            </w: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Impact of change in accounting</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(112)</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standard, net of tax</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Net income</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38,717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39,547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Amortization of discount of</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tcPr>
          <w:p>
            <w:pPr>
              <w:jc w:val="right"/>
              <w:ind w:right="120"/>
              <w:spacing w:after="0"/>
              <w:rPr>
                <w:sz w:val="20"/>
                <w:szCs w:val="20"/>
                <w:color w:val="auto"/>
              </w:rPr>
            </w:pPr>
            <w:r>
              <w:rPr>
                <w:rFonts w:ascii="Arial" w:cs="Arial" w:eastAsia="Arial" w:hAnsi="Arial"/>
                <w:sz w:val="16"/>
                <w:szCs w:val="16"/>
                <w:color w:val="auto"/>
              </w:rPr>
              <w:t>(248)</w:t>
            </w: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convertible preferred stock</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(28,621)</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(585)</w:t>
            </w: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(29,206)</w:t>
            </w: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dividends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(9,148)</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(9,148)</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declared ($0.05 per share)</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tcBorders>
              <w:right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(187)</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167"/>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4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Exchange of noncontrolling</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390,788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4,260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(4,260)</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interest</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tcBorders>
              <w:right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Convertible preferred stock</w:t>
            </w: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(219)</w:t>
            </w: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167"/>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dividends</w:t>
            </w:r>
          </w:p>
        </w:tc>
        <w:tc>
          <w:tcPr>
            <w:tcW w:w="4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4"/>
                <w:szCs w:val="14"/>
                <w:color w:val="auto"/>
              </w:rPr>
              <w:t>Net share settlement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(186)</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61,475</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3,197</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Equity component value of</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80,770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80,770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w w:val="97"/>
              </w:rPr>
              <w:t>exchangeable note issuance, net</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tcBorders>
              <w:right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Deferred tax liability related to</w:t>
            </w: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(3,499)</w:t>
            </w: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(3,499)</w:t>
            </w:r>
          </w:p>
        </w:tc>
        <w:tc>
          <w:tcPr>
            <w:tcW w:w="0" w:type="dxa"/>
            <w:vAlign w:val="bottom"/>
          </w:tcPr>
          <w:p>
            <w:pPr>
              <w:spacing w:after="0"/>
              <w:rPr>
                <w:sz w:val="1"/>
                <w:szCs w:val="1"/>
                <w:color w:val="auto"/>
              </w:rPr>
            </w:pPr>
          </w:p>
        </w:tc>
      </w:tr>
      <w:tr>
        <w:trPr>
          <w:trHeight w:val="167"/>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exchangeable note issuance</w:t>
            </w:r>
          </w:p>
        </w:tc>
        <w:tc>
          <w:tcPr>
            <w:tcW w:w="4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980" w:type="dxa"/>
            <w:vAlign w:val="bottom"/>
            <w:gridSpan w:val="3"/>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4"/>
                <w:szCs w:val="14"/>
                <w:color w:val="auto"/>
              </w:rPr>
              <w:t>Sale of common stock warrant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50,819</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50,819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Payment for bond hedge option</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(70,035)</w:t>
            </w: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(70,035)</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40" w:type="dxa"/>
            <w:vAlign w:val="bottom"/>
            <w:gridSpan w:val="2"/>
          </w:tcPr>
          <w:p>
            <w:pPr>
              <w:spacing w:after="0"/>
              <w:rPr>
                <w:sz w:val="20"/>
                <w:szCs w:val="20"/>
                <w:color w:val="auto"/>
              </w:rPr>
            </w:pPr>
            <w:r>
              <w:rPr>
                <w:rFonts w:ascii="Arial" w:cs="Arial" w:eastAsia="Arial" w:hAnsi="Arial"/>
                <w:sz w:val="14"/>
                <w:szCs w:val="14"/>
                <w:color w:val="auto"/>
              </w:rPr>
              <w:t>Balance at June 30, 2019</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183,122,757</w:t>
            </w:r>
          </w:p>
        </w:tc>
        <w:tc>
          <w:tcPr>
            <w:tcW w:w="200" w:type="dxa"/>
            <w:vAlign w:val="bottom"/>
          </w:tcPr>
          <w:p>
            <w:pPr>
              <w:spacing w:after="0"/>
              <w:rPr>
                <w:sz w:val="19"/>
                <w:szCs w:val="19"/>
                <w:color w:val="auto"/>
              </w:rPr>
            </w:pPr>
          </w:p>
        </w:tc>
        <w:tc>
          <w:tcPr>
            <w:tcW w:w="280" w:type="dxa"/>
            <w:vAlign w:val="bottom"/>
          </w:tcPr>
          <w:p>
            <w:pPr>
              <w:jc w:val="right"/>
              <w:ind w:right="163"/>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$ 855,425</w:t>
            </w:r>
          </w:p>
        </w:tc>
        <w:tc>
          <w:tcPr>
            <w:tcW w:w="160" w:type="dxa"/>
            <w:vAlign w:val="bottom"/>
          </w:tcPr>
          <w:p>
            <w:pPr>
              <w:spacing w:after="0"/>
              <w:rPr>
                <w:sz w:val="19"/>
                <w:szCs w:val="19"/>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(18,960)</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(2,413,326)</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87,554</w:t>
            </w:r>
          </w:p>
        </w:tc>
        <w:tc>
          <w:tcPr>
            <w:tcW w:w="120" w:type="dxa"/>
            <w:vAlign w:val="bottom"/>
          </w:tcPr>
          <w:p>
            <w:pPr>
              <w:spacing w:after="0"/>
              <w:rPr>
                <w:sz w:val="19"/>
                <w:szCs w:val="19"/>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(1,489,289)</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Balance at March 31, 2020</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shd w:val="clear" w:color="auto" w:fill="CFF0FC"/>
          </w:tcPr>
          <w:p>
            <w:pPr>
              <w:ind w:left="140"/>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w w:val="98"/>
              </w:rPr>
              <w:t>192,281,092</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jc w:val="right"/>
              <w:ind w:right="163"/>
              <w:spacing w:after="0"/>
              <w:rPr>
                <w:sz w:val="20"/>
                <w:szCs w:val="20"/>
                <w:color w:val="auto"/>
              </w:rPr>
            </w:pPr>
            <w:r>
              <w:rPr>
                <w:rFonts w:ascii="Arial" w:cs="Arial" w:eastAsia="Arial" w:hAnsi="Arial"/>
                <w:sz w:val="10"/>
                <w:szCs w:val="10"/>
                <w:color w:val="auto"/>
                <w:w w:val="71"/>
              </w:rPr>
              <w:t>$</w:t>
            </w: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$ 954,223</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(28,717)</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w w:val="90"/>
              </w:rPr>
              <w:t>$ (2,602,777)</w:t>
            </w: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81,676</w:t>
            </w:r>
          </w:p>
        </w:tc>
        <w:tc>
          <w:tcPr>
            <w:tcW w:w="1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0"/>
              </w:rPr>
              <w:t>$ (1,595,451)</w:t>
            </w: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(587,744)</w:t>
            </w:r>
          </w:p>
        </w:tc>
        <w:tc>
          <w:tcPr>
            <w:tcW w:w="200" w:type="dxa"/>
            <w:vAlign w:val="bottom"/>
          </w:tcPr>
          <w:p>
            <w:pPr>
              <w:spacing w:after="0"/>
              <w:rPr>
                <w:sz w:val="19"/>
                <w:szCs w:val="19"/>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(10,585)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(598,329)</w:t>
            </w:r>
          </w:p>
        </w:tc>
        <w:tc>
          <w:tcPr>
            <w:tcW w:w="0" w:type="dxa"/>
            <w:vAlign w:val="bottom"/>
          </w:tcPr>
          <w:p>
            <w:pPr>
              <w:spacing w:after="0"/>
              <w:rPr>
                <w:sz w:val="1"/>
                <w:szCs w:val="1"/>
                <w:color w:val="auto"/>
              </w:rPr>
            </w:pPr>
          </w:p>
        </w:tc>
      </w:tr>
      <w:tr>
        <w:trPr>
          <w:trHeight w:val="230"/>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Other comprehensive income</w:t>
            </w:r>
          </w:p>
        </w:tc>
        <w:tc>
          <w:tcPr>
            <w:tcW w:w="4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2,780</w:t>
            </w:r>
          </w:p>
        </w:tc>
        <w:tc>
          <w:tcPr>
            <w:tcW w:w="1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4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dividends</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2"/>
                <w:szCs w:val="12"/>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(29,102)</w:t>
            </w:r>
          </w:p>
        </w:tc>
        <w:tc>
          <w:tcPr>
            <w:tcW w:w="20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(29,102)</w:t>
            </w:r>
          </w:p>
        </w:tc>
        <w:tc>
          <w:tcPr>
            <w:tcW w:w="0" w:type="dxa"/>
            <w:vAlign w:val="bottom"/>
          </w:tcPr>
          <w:p>
            <w:pPr>
              <w:spacing w:after="0"/>
              <w:rPr>
                <w:sz w:val="1"/>
                <w:szCs w:val="1"/>
                <w:color w:val="auto"/>
              </w:rPr>
            </w:pPr>
          </w:p>
        </w:tc>
      </w:tr>
      <w:tr>
        <w:trPr>
          <w:trHeight w:val="167"/>
        </w:trPr>
        <w:tc>
          <w:tcPr>
            <w:tcW w:w="2040" w:type="dxa"/>
            <w:vAlign w:val="bottom"/>
            <w:gridSpan w:val="2"/>
          </w:tcPr>
          <w:p>
            <w:pPr>
              <w:spacing w:after="0"/>
              <w:rPr>
                <w:sz w:val="20"/>
                <w:szCs w:val="20"/>
                <w:color w:val="auto"/>
              </w:rPr>
            </w:pPr>
            <w:r>
              <w:rPr>
                <w:rFonts w:ascii="Arial" w:cs="Arial" w:eastAsia="Arial" w:hAnsi="Arial"/>
                <w:sz w:val="14"/>
                <w:szCs w:val="14"/>
                <w:color w:val="auto"/>
              </w:rPr>
              <w:t>declared ($0.15 per share)</w:t>
            </w:r>
          </w:p>
        </w:tc>
        <w:tc>
          <w:tcPr>
            <w:tcW w:w="4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40" w:type="dxa"/>
            <w:vAlign w:val="bottom"/>
            <w:tcBorders>
              <w:right w:val="single" w:sz="8" w:color="CFF0FC"/>
            </w:tcBorders>
            <w:gridSpan w:val="2"/>
            <w:shd w:val="clear" w:color="auto" w:fill="CFF0FC"/>
          </w:tcPr>
          <w:p>
            <w:pPr>
              <w:spacing w:after="0" w:line="143" w:lineRule="exact"/>
              <w:rPr>
                <w:sz w:val="20"/>
                <w:szCs w:val="20"/>
                <w:color w:val="auto"/>
              </w:rPr>
            </w:pPr>
            <w:r>
              <w:rPr>
                <w:rFonts w:ascii="Arial" w:cs="Arial" w:eastAsia="Arial" w:hAnsi="Arial"/>
                <w:sz w:val="14"/>
                <w:szCs w:val="14"/>
                <w:color w:val="auto"/>
              </w:rPr>
              <w:t>Distributions to noncontrolling</w:t>
            </w:r>
          </w:p>
        </w:tc>
        <w:tc>
          <w:tcPr>
            <w:tcW w:w="48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12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3"/>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Borders>
              <w:right w:val="single" w:sz="8" w:color="CFF0FC"/>
            </w:tcBorders>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300" w:type="dxa"/>
            <w:vAlign w:val="bottom"/>
            <w:tcBorders>
              <w:right w:val="single" w:sz="8" w:color="CFF0FC"/>
            </w:tcBorders>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(519)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(519)</w:t>
            </w:r>
          </w:p>
        </w:tc>
        <w:tc>
          <w:tcPr>
            <w:tcW w:w="0" w:type="dxa"/>
            <w:vAlign w:val="bottom"/>
          </w:tcPr>
          <w:p>
            <w:pPr>
              <w:spacing w:after="0"/>
              <w:rPr>
                <w:sz w:val="1"/>
                <w:szCs w:val="1"/>
                <w:color w:val="auto"/>
              </w:rPr>
            </w:pPr>
          </w:p>
        </w:tc>
      </w:tr>
      <w:tr>
        <w:trPr>
          <w:trHeight w:val="167"/>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interest</w:t>
            </w:r>
          </w:p>
        </w:tc>
        <w:tc>
          <w:tcPr>
            <w:tcW w:w="480" w:type="dxa"/>
            <w:vAlign w:val="bottom"/>
            <w:tcBorders>
              <w:right w:val="single" w:sz="8" w:color="CFF0FC"/>
            </w:tcBorders>
            <w:vMerge w:val="continue"/>
            <w:shd w:val="clear" w:color="auto" w:fill="CFF0FC"/>
          </w:tcPr>
          <w:p>
            <w:pPr>
              <w:spacing w:after="0"/>
              <w:rPr>
                <w:sz w:val="14"/>
                <w:szCs w:val="14"/>
                <w:color w:val="auto"/>
              </w:rPr>
            </w:pPr>
          </w:p>
        </w:tc>
        <w:tc>
          <w:tcPr>
            <w:tcW w:w="160" w:type="dxa"/>
            <w:vAlign w:val="bottom"/>
            <w:tcBorders>
              <w:right w:val="single" w:sz="8" w:color="CFF0FC"/>
            </w:tcBorders>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20" w:type="dxa"/>
            <w:vAlign w:val="bottom"/>
            <w:tcBorders>
              <w:right w:val="single" w:sz="8" w:color="CFF0FC"/>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3"/>
            <w:vMerge w:val="continue"/>
            <w:shd w:val="clear" w:color="auto" w:fill="CFF0FC"/>
          </w:tcPr>
          <w:p>
            <w:pPr>
              <w:spacing w:after="0"/>
              <w:rPr>
                <w:sz w:val="14"/>
                <w:szCs w:val="14"/>
                <w:color w:val="auto"/>
              </w:rPr>
            </w:pPr>
          </w:p>
        </w:tc>
        <w:tc>
          <w:tcPr>
            <w:tcW w:w="200" w:type="dxa"/>
            <w:vAlign w:val="bottom"/>
            <w:tcBorders>
              <w:right w:val="single" w:sz="8" w:color="CFF0FC"/>
            </w:tcBorders>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300" w:type="dxa"/>
            <w:vAlign w:val="bottom"/>
            <w:tcBorders>
              <w:right w:val="single" w:sz="8" w:color="CFF0FC"/>
            </w:tcBorders>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2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4"/>
                <w:szCs w:val="14"/>
                <w:color w:val="auto"/>
              </w:rPr>
              <w:t>Net share settlement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3"/>
          </w:tcPr>
          <w:p>
            <w:pPr>
              <w:jc w:val="right"/>
              <w:ind w:right="120"/>
              <w:spacing w:after="0"/>
              <w:rPr>
                <w:sz w:val="20"/>
                <w:szCs w:val="20"/>
                <w:color w:val="auto"/>
              </w:rPr>
            </w:pPr>
            <w:r>
              <w:rPr>
                <w:rFonts w:ascii="Arial" w:cs="Arial" w:eastAsia="Arial" w:hAnsi="Arial"/>
                <w:sz w:val="16"/>
                <w:szCs w:val="16"/>
                <w:color w:val="auto"/>
              </w:rPr>
              <w:t>(677)</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(677)</w:t>
            </w:r>
          </w:p>
        </w:tc>
        <w:tc>
          <w:tcPr>
            <w:tcW w:w="0" w:type="dxa"/>
            <w:vAlign w:val="bottom"/>
          </w:tcPr>
          <w:p>
            <w:pPr>
              <w:spacing w:after="0"/>
              <w:rPr>
                <w:sz w:val="1"/>
                <w:szCs w:val="1"/>
                <w:color w:val="auto"/>
              </w:rPr>
            </w:pPr>
          </w:p>
        </w:tc>
      </w:tr>
      <w:tr>
        <w:trPr>
          <w:trHeight w:val="230"/>
        </w:trPr>
        <w:tc>
          <w:tcPr>
            <w:tcW w:w="204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Stock-based compensation</w:t>
            </w:r>
          </w:p>
        </w:tc>
        <w:tc>
          <w:tcPr>
            <w:tcW w:w="4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right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241,991</w:t>
            </w:r>
          </w:p>
        </w:tc>
        <w:tc>
          <w:tcPr>
            <w:tcW w:w="200" w:type="dxa"/>
            <w:vAlign w:val="bottom"/>
            <w:tcBorders>
              <w:right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4,110</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4,110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spacing w:after="0"/>
              <w:rPr>
                <w:sz w:val="20"/>
                <w:szCs w:val="20"/>
                <w:color w:val="auto"/>
              </w:rPr>
            </w:pPr>
            <w:r>
              <w:rPr>
                <w:rFonts w:ascii="Arial" w:cs="Arial" w:eastAsia="Arial" w:hAnsi="Arial"/>
                <w:sz w:val="14"/>
                <w:szCs w:val="14"/>
                <w:color w:val="auto"/>
              </w:rPr>
              <w:t>Balance at June 30, 2020</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192,523,083</w:t>
            </w:r>
          </w:p>
        </w:tc>
        <w:tc>
          <w:tcPr>
            <w:tcW w:w="200" w:type="dxa"/>
            <w:vAlign w:val="bottom"/>
          </w:tcPr>
          <w:p>
            <w:pPr>
              <w:spacing w:after="0"/>
              <w:rPr>
                <w:sz w:val="18"/>
                <w:szCs w:val="18"/>
                <w:color w:val="auto"/>
              </w:rPr>
            </w:pPr>
          </w:p>
        </w:tc>
        <w:tc>
          <w:tcPr>
            <w:tcW w:w="280" w:type="dxa"/>
            <w:vAlign w:val="bottom"/>
          </w:tcPr>
          <w:p>
            <w:pPr>
              <w:jc w:val="right"/>
              <w:ind w:right="163"/>
              <w:spacing w:after="0"/>
              <w:rPr>
                <w:sz w:val="20"/>
                <w:szCs w:val="20"/>
                <w:color w:val="auto"/>
              </w:rPr>
            </w:pPr>
            <w:r>
              <w:rPr>
                <w:rFonts w:ascii="Arial" w:cs="Arial" w:eastAsia="Arial" w:hAnsi="Arial"/>
                <w:sz w:val="10"/>
                <w:szCs w:val="10"/>
                <w:color w:val="auto"/>
                <w:w w:val="71"/>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19</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$ 957,656</w:t>
            </w:r>
          </w:p>
        </w:tc>
        <w:tc>
          <w:tcPr>
            <w:tcW w:w="16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(25,937)</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(3,219,623)</w:t>
            </w: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70,622</w:t>
            </w:r>
          </w:p>
        </w:tc>
        <w:tc>
          <w:tcPr>
            <w:tcW w:w="120" w:type="dxa"/>
            <w:vAlign w:val="bottom"/>
          </w:tcPr>
          <w:p>
            <w:pPr>
              <w:spacing w:after="0"/>
              <w:rPr>
                <w:sz w:val="18"/>
                <w:szCs w:val="18"/>
                <w:color w:val="auto"/>
              </w:rPr>
            </w:pPr>
          </w:p>
        </w:tc>
        <w:tc>
          <w:tcPr>
            <w:tcW w:w="1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0"/>
              </w:rPr>
              <w:t>$ (2,217,138)</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9512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194" w:lineRule="exact"/>
        <w:rPr>
          <w:sz w:val="20"/>
          <w:szCs w:val="20"/>
          <w:color w:val="auto"/>
        </w:rPr>
      </w:pPr>
    </w:p>
    <w:p>
      <w:pPr>
        <w:ind w:right="20"/>
        <w:spacing w:after="0"/>
        <w:rPr>
          <w:sz w:val="20"/>
          <w:szCs w:val="20"/>
          <w:color w:val="auto"/>
        </w:rPr>
      </w:pPr>
      <w:r>
        <w:rPr>
          <w:rFonts w:ascii="Arial" w:cs="Arial" w:eastAsia="Arial" w:hAnsi="Arial"/>
          <w:sz w:val="14"/>
          <w:szCs w:val="14"/>
          <w:color w:val="auto"/>
        </w:rPr>
        <w:t>Balance at December 31, 2018</w:t>
      </w:r>
    </w:p>
    <w:p>
      <w:pPr>
        <w:spacing w:after="0" w:line="1" w:lineRule="exact"/>
        <w:rPr>
          <w:sz w:val="20"/>
          <w:szCs w:val="20"/>
          <w:color w:val="auto"/>
        </w:rPr>
      </w:pPr>
    </w:p>
    <w:p>
      <w:pPr>
        <w:ind w:right="60"/>
        <w:spacing w:after="0" w:line="232" w:lineRule="auto"/>
        <w:rPr>
          <w:sz w:val="20"/>
          <w:szCs w:val="20"/>
          <w:color w:val="auto"/>
        </w:rPr>
      </w:pPr>
      <w:r>
        <w:rPr>
          <w:rFonts w:ascii="Arial" w:cs="Arial" w:eastAsia="Arial" w:hAnsi="Arial"/>
          <w:sz w:val="14"/>
          <w:szCs w:val="14"/>
          <w:color w:val="auto"/>
        </w:rPr>
        <w:t>Impact of change in accounting standard, net of tax</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color w:val="auto"/>
        </w:rPr>
        <w:t>Net income</w:t>
      </w:r>
    </w:p>
    <w:p>
      <w:pPr>
        <w:spacing w:after="0" w:line="13" w:lineRule="exact"/>
        <w:rPr>
          <w:sz w:val="20"/>
          <w:szCs w:val="20"/>
          <w:color w:val="auto"/>
        </w:rPr>
      </w:pPr>
    </w:p>
    <w:p>
      <w:pPr>
        <w:jc w:val="both"/>
        <w:ind w:right="60"/>
        <w:spacing w:after="0" w:line="245" w:lineRule="auto"/>
        <w:rPr>
          <w:sz w:val="20"/>
          <w:szCs w:val="20"/>
          <w:color w:val="auto"/>
        </w:rPr>
      </w:pPr>
      <w:r>
        <w:rPr>
          <w:rFonts w:ascii="Arial" w:cs="Arial" w:eastAsia="Arial" w:hAnsi="Arial"/>
          <w:sz w:val="13"/>
          <w:szCs w:val="13"/>
          <w:color w:val="auto"/>
        </w:rPr>
        <w:t>At-the-market issuance of common stock, net of offering costs</w:t>
      </w:r>
    </w:p>
    <w:p>
      <w:pPr>
        <w:spacing w:after="0" w:line="1" w:lineRule="exact"/>
        <w:rPr>
          <w:sz w:val="20"/>
          <w:szCs w:val="20"/>
          <w:color w:val="auto"/>
        </w:rPr>
      </w:pPr>
    </w:p>
    <w:p>
      <w:pPr>
        <w:ind w:right="20"/>
        <w:spacing w:after="0" w:line="228" w:lineRule="auto"/>
        <w:rPr>
          <w:sz w:val="20"/>
          <w:szCs w:val="20"/>
          <w:color w:val="auto"/>
        </w:rPr>
      </w:pPr>
      <w:r>
        <w:rPr>
          <w:rFonts w:ascii="Arial" w:cs="Arial" w:eastAsia="Arial" w:hAnsi="Arial"/>
          <w:sz w:val="14"/>
          <w:szCs w:val="14"/>
          <w:color w:val="auto"/>
        </w:rPr>
        <w:t>Amortization of discount of convertible preferred stock</w:t>
      </w:r>
    </w:p>
    <w:p>
      <w:pPr>
        <w:ind w:right="240"/>
        <w:spacing w:after="0" w:line="231" w:lineRule="auto"/>
        <w:rPr>
          <w:sz w:val="20"/>
          <w:szCs w:val="20"/>
          <w:color w:val="auto"/>
        </w:rPr>
      </w:pPr>
      <w:r>
        <w:rPr>
          <w:rFonts w:ascii="Arial" w:cs="Arial" w:eastAsia="Arial" w:hAnsi="Arial"/>
          <w:sz w:val="14"/>
          <w:szCs w:val="14"/>
          <w:color w:val="auto"/>
        </w:rPr>
        <w:t>Other comprehensive loss</w:t>
      </w:r>
    </w:p>
    <w:p>
      <w:pPr>
        <w:spacing w:after="0" w:line="1" w:lineRule="exact"/>
        <w:rPr>
          <w:sz w:val="20"/>
          <w:szCs w:val="20"/>
          <w:color w:val="auto"/>
        </w:rPr>
      </w:pPr>
    </w:p>
    <w:p>
      <w:pPr>
        <w:spacing w:after="0" w:line="228" w:lineRule="auto"/>
        <w:rPr>
          <w:sz w:val="20"/>
          <w:szCs w:val="20"/>
          <w:color w:val="auto"/>
        </w:rPr>
      </w:pPr>
      <w:r>
        <w:rPr>
          <w:rFonts w:ascii="Arial" w:cs="Arial" w:eastAsia="Arial" w:hAnsi="Arial"/>
          <w:sz w:val="14"/>
          <w:szCs w:val="14"/>
          <w:color w:val="auto"/>
        </w:rPr>
        <w:t>Common stock dividends declared ($0.05 per share)</w:t>
      </w:r>
    </w:p>
    <w:p>
      <w:pPr>
        <w:ind w:right="160"/>
        <w:spacing w:after="0" w:line="249" w:lineRule="auto"/>
        <w:rPr>
          <w:sz w:val="20"/>
          <w:szCs w:val="20"/>
          <w:color w:val="auto"/>
        </w:rPr>
      </w:pPr>
      <w:r>
        <w:rPr>
          <w:rFonts w:ascii="Arial" w:cs="Arial" w:eastAsia="Arial" w:hAnsi="Arial"/>
          <w:sz w:val="13"/>
          <w:szCs w:val="13"/>
          <w:color w:val="auto"/>
        </w:rPr>
        <w:t>Distributions to noncontrolling interest</w:t>
      </w:r>
    </w:p>
    <w:p>
      <w:pPr>
        <w:ind w:right="160"/>
        <w:spacing w:after="0" w:line="249" w:lineRule="auto"/>
        <w:rPr>
          <w:sz w:val="20"/>
          <w:szCs w:val="20"/>
          <w:color w:val="auto"/>
        </w:rPr>
      </w:pPr>
      <w:r>
        <w:rPr>
          <w:rFonts w:ascii="Arial" w:cs="Arial" w:eastAsia="Arial" w:hAnsi="Arial"/>
          <w:sz w:val="13"/>
          <w:szCs w:val="13"/>
          <w:color w:val="auto"/>
        </w:rPr>
        <w:t>Exchange of noncontrolling interest</w:t>
      </w:r>
    </w:p>
    <w:p>
      <w:pPr>
        <w:ind w:right="220"/>
        <w:spacing w:after="0" w:line="271" w:lineRule="auto"/>
        <w:rPr>
          <w:sz w:val="20"/>
          <w:szCs w:val="20"/>
          <w:color w:val="auto"/>
        </w:rPr>
      </w:pPr>
      <w:r>
        <w:rPr>
          <w:rFonts w:ascii="Arial" w:cs="Arial" w:eastAsia="Arial" w:hAnsi="Arial"/>
          <w:sz w:val="13"/>
          <w:szCs w:val="13"/>
          <w:color w:val="auto"/>
        </w:rPr>
        <w:t>Convertible preferred stock dividends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Net share settlement</w:t>
      </w:r>
    </w:p>
    <w:p>
      <w:pPr>
        <w:spacing w:after="0" w:line="13" w:lineRule="exact"/>
        <w:rPr>
          <w:sz w:val="20"/>
          <w:szCs w:val="20"/>
          <w:color w:val="auto"/>
        </w:rPr>
      </w:pPr>
    </w:p>
    <w:p>
      <w:pPr>
        <w:ind w:right="680"/>
        <w:spacing w:after="0" w:line="270" w:lineRule="auto"/>
        <w:rPr>
          <w:sz w:val="20"/>
          <w:szCs w:val="20"/>
          <w:color w:val="auto"/>
        </w:rPr>
      </w:pPr>
      <w:r>
        <w:rPr>
          <w:rFonts w:ascii="Arial" w:cs="Arial" w:eastAsia="Arial" w:hAnsi="Arial"/>
          <w:sz w:val="12"/>
          <w:szCs w:val="12"/>
          <w:color w:val="auto"/>
        </w:rPr>
        <w:t>Stock-based compensation</w:t>
      </w:r>
    </w:p>
    <w:p>
      <w:pPr>
        <w:ind w:right="40"/>
        <w:spacing w:after="0" w:line="249" w:lineRule="auto"/>
        <w:rPr>
          <w:sz w:val="20"/>
          <w:szCs w:val="20"/>
          <w:color w:val="auto"/>
        </w:rPr>
      </w:pPr>
      <w:r>
        <w:rPr>
          <w:rFonts w:ascii="Arial" w:cs="Arial" w:eastAsia="Arial" w:hAnsi="Arial"/>
          <w:sz w:val="13"/>
          <w:szCs w:val="13"/>
          <w:color w:val="auto"/>
        </w:rPr>
        <w:t>Equity settled contingent consideration</w:t>
      </w:r>
    </w:p>
    <w:p>
      <w:pPr>
        <w:ind w:right="140"/>
        <w:spacing w:after="0" w:line="228" w:lineRule="auto"/>
        <w:rPr>
          <w:sz w:val="20"/>
          <w:szCs w:val="20"/>
          <w:color w:val="auto"/>
        </w:rPr>
      </w:pPr>
      <w:r>
        <w:rPr>
          <w:rFonts w:ascii="Arial" w:cs="Arial" w:eastAsia="Arial" w:hAnsi="Arial"/>
          <w:sz w:val="14"/>
          <w:szCs w:val="14"/>
          <w:color w:val="auto"/>
        </w:rPr>
        <w:t>Issuance of common stock - employee stock purchase plan</w:t>
      </w:r>
    </w:p>
    <w:p>
      <w:pPr>
        <w:ind w:right="60"/>
        <w:spacing w:after="0" w:line="228" w:lineRule="auto"/>
        <w:rPr>
          <w:sz w:val="20"/>
          <w:szCs w:val="20"/>
          <w:color w:val="auto"/>
        </w:rPr>
      </w:pPr>
      <w:r>
        <w:rPr>
          <w:rFonts w:ascii="Arial" w:cs="Arial" w:eastAsia="Arial" w:hAnsi="Arial"/>
          <w:sz w:val="14"/>
          <w:szCs w:val="14"/>
          <w:color w:val="auto"/>
        </w:rPr>
        <w:t>Equity component value of exchangeable not issuance, net</w:t>
      </w:r>
    </w:p>
    <w:p>
      <w:pPr>
        <w:ind w:right="120"/>
        <w:spacing w:after="0" w:line="266" w:lineRule="auto"/>
        <w:rPr>
          <w:sz w:val="20"/>
          <w:szCs w:val="20"/>
          <w:color w:val="auto"/>
        </w:rPr>
      </w:pPr>
      <w:r>
        <w:rPr>
          <w:rFonts w:ascii="Arial" w:cs="Arial" w:eastAsia="Arial" w:hAnsi="Arial"/>
          <w:sz w:val="12"/>
          <w:szCs w:val="12"/>
          <w:color w:val="auto"/>
        </w:rPr>
        <w:t>Deferred tax liability related to exchangeable note issuance</w:t>
      </w:r>
    </w:p>
    <w:p>
      <w:pPr>
        <w:ind w:right="180"/>
        <w:spacing w:after="0" w:line="231" w:lineRule="auto"/>
        <w:rPr>
          <w:sz w:val="20"/>
          <w:szCs w:val="20"/>
          <w:color w:val="auto"/>
        </w:rPr>
      </w:pPr>
      <w:r>
        <w:rPr>
          <w:rFonts w:ascii="Arial" w:cs="Arial" w:eastAsia="Arial" w:hAnsi="Arial"/>
          <w:sz w:val="14"/>
          <w:szCs w:val="14"/>
          <w:color w:val="auto"/>
        </w:rPr>
        <w:t>Sale of common stock warrant</w:t>
      </w:r>
    </w:p>
    <w:p>
      <w:pPr>
        <w:spacing w:after="0" w:line="1" w:lineRule="exact"/>
        <w:rPr>
          <w:sz w:val="20"/>
          <w:szCs w:val="20"/>
          <w:color w:val="auto"/>
        </w:rPr>
      </w:pPr>
    </w:p>
    <w:p>
      <w:pPr>
        <w:ind w:right="60"/>
        <w:spacing w:after="0" w:line="237" w:lineRule="auto"/>
        <w:rPr>
          <w:sz w:val="20"/>
          <w:szCs w:val="20"/>
          <w:color w:val="auto"/>
        </w:rPr>
      </w:pPr>
      <w:r>
        <w:rPr>
          <w:rFonts w:ascii="Arial" w:cs="Arial" w:eastAsia="Arial" w:hAnsi="Arial"/>
          <w:sz w:val="14"/>
          <w:szCs w:val="14"/>
          <w:color w:val="auto"/>
        </w:rPr>
        <w:t>Payment for bond hedge option</w:t>
      </w:r>
    </w:p>
    <w:p>
      <w:pPr>
        <w:spacing w:after="0" w:line="62" w:lineRule="exact"/>
        <w:rPr>
          <w:sz w:val="20"/>
          <w:szCs w:val="20"/>
          <w:color w:val="auto"/>
        </w:rPr>
      </w:pPr>
    </w:p>
    <w:p>
      <w:pPr>
        <w:spacing w:after="0"/>
        <w:rPr>
          <w:sz w:val="20"/>
          <w:szCs w:val="20"/>
          <w:color w:val="auto"/>
        </w:rPr>
      </w:pPr>
      <w:r>
        <w:rPr>
          <w:rFonts w:ascii="Arial" w:cs="Arial" w:eastAsia="Arial" w:hAnsi="Arial"/>
          <w:sz w:val="13"/>
          <w:szCs w:val="13"/>
          <w:color w:val="auto"/>
        </w:rPr>
        <w:t>Balance at June 30, 2019</w:t>
      </w:r>
    </w:p>
    <w:p>
      <w:pPr>
        <w:spacing w:after="0" w:line="269" w:lineRule="exact"/>
        <w:rPr>
          <w:sz w:val="20"/>
          <w:szCs w:val="20"/>
          <w:color w:val="auto"/>
        </w:rPr>
      </w:pPr>
    </w:p>
    <w:p>
      <w:pPr>
        <w:ind w:right="20"/>
        <w:spacing w:after="0" w:line="253" w:lineRule="auto"/>
        <w:rPr>
          <w:sz w:val="20"/>
          <w:szCs w:val="20"/>
          <w:color w:val="auto"/>
        </w:rPr>
      </w:pPr>
      <w:r>
        <w:rPr>
          <w:rFonts w:ascii="Arial" w:cs="Arial" w:eastAsia="Arial" w:hAnsi="Arial"/>
          <w:sz w:val="14"/>
          <w:szCs w:val="14"/>
          <w:color w:val="auto"/>
        </w:rPr>
        <w:t>Balance at December 31, 2019</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Net loss</w:t>
      </w:r>
    </w:p>
    <w:p>
      <w:pPr>
        <w:spacing w:after="0" w:line="13" w:lineRule="exact"/>
        <w:rPr>
          <w:sz w:val="20"/>
          <w:szCs w:val="20"/>
          <w:color w:val="auto"/>
        </w:rPr>
      </w:pPr>
    </w:p>
    <w:p>
      <w:pPr>
        <w:ind w:right="240"/>
        <w:spacing w:after="0" w:line="237" w:lineRule="auto"/>
        <w:rPr>
          <w:sz w:val="20"/>
          <w:szCs w:val="20"/>
          <w:color w:val="auto"/>
        </w:rPr>
      </w:pPr>
      <w:r>
        <w:rPr>
          <w:rFonts w:ascii="Arial" w:cs="Arial" w:eastAsia="Arial" w:hAnsi="Arial"/>
          <w:sz w:val="14"/>
          <w:szCs w:val="14"/>
          <w:color w:val="auto"/>
        </w:rPr>
        <w:t>Other comprehensive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For the Six Months Ended June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3"/>
          </w:tcPr>
          <w:p>
            <w:pPr>
              <w:spacing w:after="0"/>
              <w:rPr>
                <w:sz w:val="20"/>
                <w:szCs w:val="20"/>
                <w:color w:val="auto"/>
              </w:rPr>
            </w:pPr>
            <w:r>
              <w:rPr>
                <w:rFonts w:ascii="Arial" w:cs="Arial" w:eastAsia="Arial" w:hAnsi="Arial"/>
                <w:sz w:val="16"/>
                <w:szCs w:val="16"/>
                <w:color w:val="auto"/>
              </w:rPr>
              <w:t>Noncontrolling</w:t>
            </w: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Accumulated</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7"/>
              </w:rPr>
              <w:t>Distributions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3"/>
          </w:tcPr>
          <w:p>
            <w:pPr>
              <w:ind w:left="20"/>
              <w:spacing w:after="0"/>
              <w:rPr>
                <w:sz w:val="20"/>
                <w:szCs w:val="20"/>
                <w:color w:val="auto"/>
              </w:rPr>
            </w:pPr>
            <w:r>
              <w:rPr>
                <w:rFonts w:ascii="Arial" w:cs="Arial" w:eastAsia="Arial" w:hAnsi="Arial"/>
                <w:sz w:val="16"/>
                <w:szCs w:val="16"/>
                <w:color w:val="auto"/>
              </w:rPr>
              <w:t>Interest - Non-</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ind w:left="160"/>
              <w:spacing w:after="0"/>
              <w:rPr>
                <w:sz w:val="20"/>
                <w:szCs w:val="20"/>
                <w:color w:val="auto"/>
              </w:rPr>
            </w:pPr>
            <w:r>
              <w:rPr>
                <w:rFonts w:ascii="Arial" w:cs="Arial" w:eastAsia="Arial" w:hAnsi="Arial"/>
                <w:sz w:val="16"/>
                <w:szCs w:val="16"/>
                <w:color w:val="auto"/>
              </w:rPr>
              <w:t>Additional</w:t>
            </w:r>
          </w:p>
        </w:tc>
        <w:tc>
          <w:tcPr>
            <w:tcW w:w="8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6"/>
                <w:szCs w:val="16"/>
                <w:color w:val="auto"/>
                <w:w w:val="89"/>
              </w:rPr>
              <w:t>Other</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0"/>
              </w:rPr>
              <w:t>in Excess of</w:t>
            </w:r>
          </w:p>
        </w:tc>
        <w:tc>
          <w:tcPr>
            <w:tcW w:w="1240" w:type="dxa"/>
            <w:vAlign w:val="bottom"/>
            <w:gridSpan w:val="4"/>
          </w:tcPr>
          <w:p>
            <w:pPr>
              <w:ind w:left="60"/>
              <w:spacing w:after="0"/>
              <w:rPr>
                <w:sz w:val="20"/>
                <w:szCs w:val="20"/>
                <w:color w:val="auto"/>
              </w:rPr>
            </w:pPr>
            <w:r>
              <w:rPr>
                <w:rFonts w:ascii="Arial" w:cs="Arial" w:eastAsia="Arial" w:hAnsi="Arial"/>
                <w:sz w:val="16"/>
                <w:szCs w:val="16"/>
                <w:color w:val="auto"/>
              </w:rPr>
              <w:t>Noncontrolling</w:t>
            </w:r>
          </w:p>
        </w:tc>
        <w:tc>
          <w:tcPr>
            <w:tcW w:w="140" w:type="dxa"/>
            <w:vAlign w:val="bottom"/>
          </w:tcPr>
          <w:p>
            <w:pPr>
              <w:spacing w:after="0"/>
              <w:rPr>
                <w:sz w:val="17"/>
                <w:szCs w:val="17"/>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6"/>
                <w:szCs w:val="16"/>
                <w:color w:val="auto"/>
                <w:w w:val="98"/>
              </w:rPr>
              <w:t>voting</w:t>
            </w:r>
          </w:p>
        </w:tc>
        <w:tc>
          <w:tcPr>
            <w:tcW w:w="120" w:type="dxa"/>
            <w:vAlign w:val="bottom"/>
          </w:tcPr>
          <w:p>
            <w:pPr>
              <w:spacing w:after="0"/>
              <w:rPr>
                <w:sz w:val="17"/>
                <w:szCs w:val="17"/>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6"/>
                <w:szCs w:val="16"/>
                <w:color w:val="auto"/>
              </w:rPr>
              <w:t>Total</w:t>
            </w:r>
          </w:p>
        </w:tc>
      </w:tr>
      <w:tr>
        <w:trPr>
          <w:trHeight w:val="203"/>
        </w:trPr>
        <w:tc>
          <w:tcPr>
            <w:tcW w:w="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w w:val="96"/>
              </w:rPr>
              <w:t>Paid-in</w:t>
            </w:r>
          </w:p>
        </w:tc>
        <w:tc>
          <w:tcPr>
            <w:tcW w:w="1200" w:type="dxa"/>
            <w:vAlign w:val="bottom"/>
            <w:gridSpan w:val="3"/>
          </w:tcPr>
          <w:p>
            <w:pPr>
              <w:jc w:val="center"/>
              <w:ind w:right="180"/>
              <w:spacing w:after="0"/>
              <w:rPr>
                <w:sz w:val="20"/>
                <w:szCs w:val="20"/>
                <w:color w:val="auto"/>
              </w:rPr>
            </w:pPr>
            <w:r>
              <w:rPr>
                <w:rFonts w:ascii="Arial" w:cs="Arial" w:eastAsia="Arial" w:hAnsi="Arial"/>
                <w:sz w:val="16"/>
                <w:szCs w:val="16"/>
                <w:color w:val="auto"/>
                <w:w w:val="91"/>
              </w:rPr>
              <w:t>Comprehensive</w:t>
            </w:r>
          </w:p>
        </w:tc>
        <w:tc>
          <w:tcPr>
            <w:tcW w:w="98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Accumulated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6"/>
                <w:szCs w:val="16"/>
                <w:color w:val="auto"/>
                <w:w w:val="90"/>
              </w:rPr>
              <w:t>Interest - OP</w:t>
            </w:r>
          </w:p>
        </w:tc>
        <w:tc>
          <w:tcPr>
            <w:tcW w:w="140" w:type="dxa"/>
            <w:vAlign w:val="bottom"/>
          </w:tcPr>
          <w:p>
            <w:pPr>
              <w:spacing w:after="0"/>
              <w:rPr>
                <w:sz w:val="17"/>
                <w:szCs w:val="17"/>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6"/>
                <w:szCs w:val="16"/>
                <w:color w:val="auto"/>
                <w:w w:val="89"/>
              </w:rPr>
              <w:t>Preferred</w:t>
            </w:r>
          </w:p>
        </w:tc>
        <w:tc>
          <w:tcPr>
            <w:tcW w:w="940" w:type="dxa"/>
            <w:vAlign w:val="bottom"/>
            <w:gridSpan w:val="3"/>
          </w:tcPr>
          <w:p>
            <w:pPr>
              <w:spacing w:after="0"/>
              <w:rPr>
                <w:sz w:val="20"/>
                <w:szCs w:val="20"/>
                <w:color w:val="auto"/>
              </w:rPr>
            </w:pPr>
            <w:r>
              <w:rPr>
                <w:rFonts w:ascii="Arial" w:cs="Arial" w:eastAsia="Arial" w:hAnsi="Arial"/>
                <w:sz w:val="16"/>
                <w:szCs w:val="16"/>
                <w:color w:val="auto"/>
                <w:w w:val="93"/>
              </w:rPr>
              <w:t>Shareholders'</w:t>
            </w:r>
          </w:p>
        </w:tc>
      </w:tr>
      <w:tr>
        <w:trPr>
          <w:trHeight w:val="209"/>
        </w:trPr>
        <w:tc>
          <w:tcPr>
            <w:tcW w:w="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ind w:left="80"/>
              <w:spacing w:after="0"/>
              <w:rPr>
                <w:sz w:val="20"/>
                <w:szCs w:val="20"/>
                <w:color w:val="auto"/>
              </w:rPr>
            </w:pPr>
            <w:r>
              <w:rPr>
                <w:rFonts w:ascii="Arial" w:cs="Arial" w:eastAsia="Arial" w:hAnsi="Arial"/>
                <w:sz w:val="16"/>
                <w:szCs w:val="16"/>
                <w:color w:val="auto"/>
                <w:w w:val="91"/>
              </w:rPr>
              <w:t>Preferred Stock</w:t>
            </w: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6"/>
                <w:szCs w:val="16"/>
                <w:color w:val="auto"/>
                <w:w w:val="96"/>
              </w:rPr>
              <w:t>Common Stock</w:t>
            </w:r>
          </w:p>
        </w:tc>
        <w:tc>
          <w:tcPr>
            <w:tcW w:w="2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96"/>
              </w:rPr>
              <w:t>Capital</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color w:val="auto"/>
                <w:w w:val="91"/>
              </w:rPr>
              <w:t>Income</w:t>
            </w:r>
          </w:p>
        </w:tc>
        <w:tc>
          <w:tcPr>
            <w:tcW w:w="1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1"/>
              </w:rPr>
              <w:t>Earnings</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82"/>
              </w:rPr>
              <w:t>Shares</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Deficit</w:t>
            </w:r>
          </w:p>
        </w:tc>
        <w:tc>
          <w:tcPr>
            <w:tcW w:w="60" w:type="dxa"/>
            <w:vAlign w:val="bottom"/>
          </w:tcPr>
          <w:p>
            <w:pPr>
              <w:spacing w:after="0"/>
              <w:rPr>
                <w:sz w:val="18"/>
                <w:szCs w:val="18"/>
                <w:color w:val="auto"/>
              </w:rPr>
            </w:pPr>
          </w:p>
        </w:tc>
      </w:tr>
      <w:tr>
        <w:trPr>
          <w:trHeight w:val="186"/>
        </w:trPr>
        <w:tc>
          <w:tcPr>
            <w:tcW w:w="40" w:type="dxa"/>
            <w:vAlign w:val="bottom"/>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2"/>
              </w:rPr>
              <w:t>Shares</w:t>
            </w:r>
          </w:p>
        </w:tc>
        <w:tc>
          <w:tcPr>
            <w:tcW w:w="160" w:type="dxa"/>
            <w:vAlign w:val="bottom"/>
          </w:tcPr>
          <w:p>
            <w:pPr>
              <w:spacing w:after="0"/>
              <w:rPr>
                <w:sz w:val="16"/>
                <w:szCs w:val="16"/>
                <w:color w:val="auto"/>
              </w:rPr>
            </w:pPr>
          </w:p>
        </w:tc>
        <w:tc>
          <w:tcPr>
            <w:tcW w:w="56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4"/>
              </w:rPr>
              <w:t>Amount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2"/>
              </w:rPr>
              <w:t>Shares</w:t>
            </w:r>
          </w:p>
        </w:tc>
        <w:tc>
          <w:tcPr>
            <w:tcW w:w="400" w:type="dxa"/>
            <w:vAlign w:val="bottom"/>
            <w:gridSpan w:val="2"/>
          </w:tcPr>
          <w:p>
            <w:pPr>
              <w:spacing w:after="0"/>
              <w:rPr>
                <w:sz w:val="16"/>
                <w:szCs w:val="16"/>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7"/>
              </w:rPr>
              <w:t>Amount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25"/>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180,535,971</w:t>
            </w:r>
          </w:p>
        </w:tc>
        <w:tc>
          <w:tcPr>
            <w:tcW w:w="1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757,517</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30,105</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(2,373,218)</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92,375</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(1,493,203)</w:t>
            </w: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(63,222)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(63,222)</w:t>
            </w:r>
          </w:p>
        </w:tc>
      </w:tr>
      <w:tr>
        <w:trPr>
          <w:trHeight w:val="22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41,159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42,039</w:t>
            </w:r>
          </w:p>
        </w:tc>
        <w:tc>
          <w:tcPr>
            <w:tcW w:w="60" w:type="dxa"/>
            <w:vAlign w:val="bottom"/>
          </w:tcPr>
          <w:p>
            <w:pPr>
              <w:spacing w:after="0"/>
              <w:rPr>
                <w:sz w:val="19"/>
                <w:szCs w:val="19"/>
                <w:color w:val="auto"/>
              </w:rPr>
            </w:pPr>
          </w:p>
        </w:tc>
      </w:tr>
      <w:tr>
        <w:trPr>
          <w:trHeight w:val="459"/>
        </w:trPr>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1,176,186</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21,641</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21,641</w:t>
            </w:r>
          </w:p>
        </w:tc>
        <w:tc>
          <w:tcPr>
            <w:tcW w:w="60" w:type="dxa"/>
            <w:vAlign w:val="bottom"/>
          </w:tcPr>
          <w:p>
            <w:pPr>
              <w:spacing w:after="0"/>
              <w:rPr>
                <w:sz w:val="24"/>
                <w:szCs w:val="24"/>
                <w:color w:val="auto"/>
              </w:rPr>
            </w:pP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(993)</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(993)</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(49,065)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(1,047)</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(50,112)</w:t>
            </w: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(17,170)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(17,170)</w:t>
            </w:r>
          </w:p>
        </w:tc>
      </w:tr>
      <w:tr>
        <w:trPr>
          <w:trHeight w:val="311"/>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(394)</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(394)</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390,788</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(4,260)</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24"/>
                <w:szCs w:val="24"/>
                <w:color w:val="auto"/>
              </w:rPr>
            </w:pPr>
          </w:p>
        </w:tc>
      </w:tr>
      <w:tr>
        <w:trPr>
          <w:trHeight w:val="311"/>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(875)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(875)</w:t>
            </w:r>
          </w:p>
        </w:tc>
      </w:tr>
      <w:tr>
        <w:trPr>
          <w:trHeight w:val="22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(1,765)</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(1,765)</w:t>
            </w:r>
          </w:p>
        </w:tc>
      </w:tr>
      <w:tr>
        <w:trPr>
          <w:trHeight w:val="311"/>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340,627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5,085</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5,085</w:t>
            </w:r>
          </w:p>
        </w:tc>
        <w:tc>
          <w:tcPr>
            <w:tcW w:w="60" w:type="dxa"/>
            <w:vAlign w:val="bottom"/>
          </w:tcPr>
          <w:p>
            <w:pPr>
              <w:spacing w:after="0"/>
              <w:rPr>
                <w:sz w:val="24"/>
                <w:szCs w:val="24"/>
                <w:color w:val="auto"/>
              </w:rPr>
            </w:pP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645,385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11,178</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11,178</w:t>
            </w:r>
          </w:p>
        </w:tc>
        <w:tc>
          <w:tcPr>
            <w:tcW w:w="60" w:type="dxa"/>
            <w:vAlign w:val="bottom"/>
          </w:tcPr>
          <w:p>
            <w:pPr>
              <w:spacing w:after="0"/>
              <w:rPr>
                <w:sz w:val="24"/>
                <w:szCs w:val="24"/>
                <w:color w:val="auto"/>
              </w:rPr>
            </w:pP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33,800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447</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447</w:t>
            </w:r>
          </w:p>
        </w:tc>
        <w:tc>
          <w:tcPr>
            <w:tcW w:w="60" w:type="dxa"/>
            <w:vAlign w:val="bottom"/>
          </w:tcPr>
          <w:p>
            <w:pPr>
              <w:spacing w:after="0"/>
              <w:rPr>
                <w:sz w:val="24"/>
                <w:szCs w:val="24"/>
                <w:color w:val="auto"/>
              </w:rPr>
            </w:pP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80,770</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80,770</w:t>
            </w:r>
          </w:p>
        </w:tc>
        <w:tc>
          <w:tcPr>
            <w:tcW w:w="60" w:type="dxa"/>
            <w:vAlign w:val="bottom"/>
          </w:tcPr>
          <w:p>
            <w:pPr>
              <w:spacing w:after="0"/>
              <w:rPr>
                <w:sz w:val="24"/>
                <w:szCs w:val="24"/>
                <w:color w:val="auto"/>
              </w:rPr>
            </w:pPr>
          </w:p>
        </w:tc>
      </w:tr>
      <w:tr>
        <w:trPr>
          <w:trHeight w:val="459"/>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(3,499)</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(3,499)</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50,819</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50,819</w:t>
            </w:r>
          </w:p>
        </w:tc>
        <w:tc>
          <w:tcPr>
            <w:tcW w:w="60" w:type="dxa"/>
            <w:vAlign w:val="bottom"/>
          </w:tcPr>
          <w:p>
            <w:pPr>
              <w:spacing w:after="0"/>
              <w:rPr>
                <w:sz w:val="24"/>
                <w:szCs w:val="24"/>
                <w:color w:val="auto"/>
              </w:rPr>
            </w:pPr>
          </w:p>
        </w:tc>
      </w:tr>
      <w:tr>
        <w:trPr>
          <w:trHeight w:val="314"/>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6"/>
                <w:szCs w:val="16"/>
                <w:color w:val="auto"/>
              </w:rPr>
              <w:t>(70,035)</w:t>
            </w:r>
          </w:p>
        </w:tc>
        <w:tc>
          <w:tcPr>
            <w:tcW w:w="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(70,035)</w:t>
            </w:r>
          </w:p>
        </w:tc>
      </w:tr>
      <w:tr>
        <w:trPr>
          <w:trHeight w:val="20"/>
        </w:trPr>
        <w:tc>
          <w:tcPr>
            <w:tcW w:w="4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183,122,757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855,425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(18,960)</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(2,413,326)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87,554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(1,489,289)</w:t>
            </w:r>
          </w:p>
        </w:tc>
      </w:tr>
      <w:tr>
        <w:trPr>
          <w:trHeight w:val="20"/>
        </w:trPr>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04"/>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w w:val="96"/>
              </w:rPr>
              <w:t>192,141,634</w:t>
            </w:r>
          </w:p>
        </w:tc>
        <w:tc>
          <w:tcPr>
            <w:tcW w:w="16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19</w:t>
            </w:r>
          </w:p>
        </w:tc>
        <w:tc>
          <w:tcPr>
            <w:tcW w:w="240" w:type="dxa"/>
            <w:vAlign w:val="bottom"/>
            <w:gridSpan w:val="2"/>
          </w:tcPr>
          <w:p>
            <w:pPr>
              <w:ind w:left="160"/>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951,295</w:t>
            </w:r>
          </w:p>
        </w:tc>
        <w:tc>
          <w:tcPr>
            <w:tcW w:w="1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(23,442)</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 (2,494,740)</w:t>
            </w:r>
          </w:p>
        </w:tc>
        <w:tc>
          <w:tcPr>
            <w:tcW w:w="140" w:type="dxa"/>
            <w:vAlign w:val="bottom"/>
            <w:gridSpan w:val="2"/>
          </w:tcPr>
          <w:p>
            <w:pPr>
              <w:ind w:left="6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83,704</w:t>
            </w:r>
          </w:p>
        </w:tc>
        <w:tc>
          <w:tcPr>
            <w:tcW w:w="180" w:type="dxa"/>
            <w:vAlign w:val="bottom"/>
          </w:tcPr>
          <w:p>
            <w:pPr>
              <w:spacing w:after="0"/>
              <w:rPr>
                <w:sz w:val="24"/>
                <w:szCs w:val="24"/>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w w:val="97"/>
              </w:rPr>
              <w:t>(1,483,164)</w:t>
            </w:r>
          </w:p>
        </w:tc>
      </w:tr>
      <w:tr>
        <w:trPr>
          <w:trHeight w:val="23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(666,597)</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(11,998)</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(678,595)</w:t>
            </w:r>
          </w:p>
        </w:tc>
      </w:tr>
      <w:tr>
        <w:trPr>
          <w:trHeight w:val="310"/>
        </w:trPr>
        <w:tc>
          <w:tcPr>
            <w:tcW w:w="5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6"/>
                <w:szCs w:val="16"/>
                <w:color w:val="auto"/>
              </w:rPr>
              <w:t>(2,495)</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-4958715</wp:posOffset>
            </wp:positionV>
            <wp:extent cx="7132320" cy="1974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-4470400</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-4032885</wp:posOffset>
            </wp:positionV>
            <wp:extent cx="7132320" cy="2914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-3544570</wp:posOffset>
            </wp:positionV>
            <wp:extent cx="7132320" cy="291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-3055620</wp:posOffset>
            </wp:positionV>
            <wp:extent cx="7132320" cy="1974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-2661920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-2319020</wp:posOffset>
            </wp:positionV>
            <wp:extent cx="7132320" cy="1974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-1830070</wp:posOffset>
            </wp:positionV>
            <wp:extent cx="7132320" cy="291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-1247140</wp:posOffset>
            </wp:positionV>
            <wp:extent cx="7132320" cy="1974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-852805</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-535940</wp:posOffset>
            </wp:positionV>
            <wp:extent cx="7132320" cy="1974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97485"/>
                    </a:xfrm>
                    <a:prstGeom prst="rect">
                      <a:avLst/>
                    </a:prstGeom>
                    <a:noFill/>
                  </pic:spPr>
                </pic:pic>
              </a:graphicData>
            </a:graphic>
          </wp:anchor>
        </w:drawing>
        <w:drawing>
          <wp:anchor simplePos="0" relativeHeight="251657728" behindDoc="1" locked="0" layoutInCell="0" allowOverlap="1">
            <wp:simplePos x="0" y="0"/>
            <wp:positionH relativeFrom="column">
              <wp:posOffset>-997585</wp:posOffset>
            </wp:positionH>
            <wp:positionV relativeFrom="paragraph">
              <wp:posOffset>-193040</wp:posOffset>
            </wp:positionV>
            <wp:extent cx="7132320" cy="1974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20" w:lineRule="exact"/>
        <w:rPr>
          <w:sz w:val="20"/>
          <w:szCs w:val="20"/>
          <w:color w:val="auto"/>
        </w:rPr>
      </w:pPr>
    </w:p>
    <w:p>
      <w:pPr>
        <w:sectPr>
          <w:pgSz w:w="11900" w:h="16838" w:orient="portrait"/>
          <w:cols w:equalWidth="0" w:num="2">
            <w:col w:w="1480" w:space="100"/>
            <w:col w:w="9620"/>
          </w:cols>
          <w:pgMar w:left="320" w:top="125" w:right="379" w:bottom="1440" w:gutter="0" w:footer="0" w:header="0"/>
        </w:sect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20"/>
                <w:szCs w:val="20"/>
                <w:color w:val="auto"/>
              </w:rPr>
            </w:pPr>
            <w:r>
              <w:rPr>
                <w:rFonts w:ascii="Arial" w:cs="Arial" w:eastAsia="Arial" w:hAnsi="Arial"/>
                <w:sz w:val="14"/>
                <w:szCs w:val="14"/>
                <w:color w:val="auto"/>
              </w:rPr>
              <w:t>Common stock dividends declared ($0.15</w:t>
            </w:r>
          </w:p>
        </w:tc>
        <w:tc>
          <w:tcPr>
            <w:tcW w:w="56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6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(58,286)</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94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(58,286)</w:t>
            </w: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per share)</w:t>
            </w: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Distributions to noncontrolling interest</w:t>
            </w:r>
          </w:p>
        </w:tc>
        <w:tc>
          <w:tcPr>
            <w:tcW w:w="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(1,039)</w:t>
            </w: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(1,039)</w:t>
            </w:r>
          </w:p>
        </w:tc>
        <w:tc>
          <w:tcPr>
            <w:tcW w:w="0" w:type="dxa"/>
            <w:vAlign w:val="bottom"/>
          </w:tcPr>
          <w:p>
            <w:pPr>
              <w:spacing w:after="0"/>
              <w:rPr>
                <w:sz w:val="1"/>
                <w:szCs w:val="1"/>
                <w:color w:val="auto"/>
              </w:rPr>
            </w:pPr>
          </w:p>
        </w:tc>
      </w:tr>
      <w:tr>
        <w:trPr>
          <w:trHeight w:val="143"/>
        </w:trPr>
        <w:tc>
          <w:tcPr>
            <w:tcW w:w="2720" w:type="dxa"/>
            <w:vAlign w:val="bottom"/>
          </w:tcPr>
          <w:p>
            <w:pPr>
              <w:spacing w:after="0" w:line="143" w:lineRule="exact"/>
              <w:rPr>
                <w:sz w:val="20"/>
                <w:szCs w:val="20"/>
                <w:color w:val="auto"/>
              </w:rPr>
            </w:pPr>
            <w:r>
              <w:rPr>
                <w:rFonts w:ascii="Arial" w:cs="Arial" w:eastAsia="Arial" w:hAnsi="Arial"/>
                <w:sz w:val="14"/>
                <w:szCs w:val="14"/>
                <w:color w:val="auto"/>
                <w:w w:val="99"/>
              </w:rPr>
              <w:t>Cumulative non-voting convertible preferred</w:t>
            </w:r>
          </w:p>
        </w:tc>
        <w:tc>
          <w:tcPr>
            <w:tcW w:w="560" w:type="dxa"/>
            <w:vAlign w:val="bottom"/>
            <w:vMerge w:val="restart"/>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8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20"/>
                <w:szCs w:val="20"/>
                <w:color w:val="auto"/>
              </w:rPr>
            </w:pPr>
            <w:r>
              <w:rPr>
                <w:rFonts w:ascii="Arial" w:cs="Arial" w:eastAsia="Arial" w:hAnsi="Arial"/>
                <w:sz w:val="14"/>
                <w:szCs w:val="14"/>
                <w:color w:val="auto"/>
              </w:rPr>
              <w:t>stock</w:t>
            </w: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Net share settlement</w:t>
            </w:r>
          </w:p>
        </w:tc>
        <w:tc>
          <w:tcPr>
            <w:tcW w:w="560" w:type="dxa"/>
            <w:vAlign w:val="bottom"/>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(1,050)</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(1,050)</w:t>
            </w:r>
          </w:p>
        </w:tc>
        <w:tc>
          <w:tcPr>
            <w:tcW w:w="0" w:type="dxa"/>
            <w:vAlign w:val="bottom"/>
          </w:tcPr>
          <w:p>
            <w:pPr>
              <w:spacing w:after="0"/>
              <w:rPr>
                <w:sz w:val="1"/>
                <w:szCs w:val="1"/>
                <w:color w:val="auto"/>
              </w:rPr>
            </w:pPr>
          </w:p>
        </w:tc>
      </w:tr>
      <w:tr>
        <w:trPr>
          <w:trHeight w:val="229"/>
        </w:trPr>
        <w:tc>
          <w:tcPr>
            <w:tcW w:w="272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560" w:type="dxa"/>
            <w:vAlign w:val="bottom"/>
          </w:tcPr>
          <w:p>
            <w:pPr>
              <w:ind w:left="4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337,600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7,105</w:t>
            </w: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7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8"/>
              </w:rPr>
              <w:t>Issuance of common stock - employee stock</w:t>
            </w:r>
          </w:p>
        </w:tc>
        <w:tc>
          <w:tcPr>
            <w:tcW w:w="56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43,849</w:t>
            </w: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3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2"/>
                <w:szCs w:val="12"/>
                <w:color w:val="auto"/>
              </w:rPr>
            </w:pPr>
          </w:p>
        </w:tc>
        <w:tc>
          <w:tcPr>
            <w:tcW w:w="60" w:type="dxa"/>
            <w:vAlign w:val="bottom"/>
            <w:vMerge w:val="restart"/>
            <w:shd w:val="clear" w:color="auto" w:fill="CFF0FC"/>
          </w:tcPr>
          <w:p>
            <w:pPr>
              <w:spacing w:after="0"/>
              <w:rPr>
                <w:sz w:val="12"/>
                <w:szCs w:val="12"/>
                <w:color w:val="auto"/>
              </w:rPr>
            </w:pP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306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2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5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28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0" w:type="dxa"/>
            <w:vAlign w:val="bottom"/>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38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720" w:type="dxa"/>
            <w:vAlign w:val="bottom"/>
          </w:tcPr>
          <w:p>
            <w:pPr>
              <w:spacing w:after="0"/>
              <w:rPr>
                <w:sz w:val="20"/>
                <w:szCs w:val="20"/>
                <w:color w:val="auto"/>
              </w:rPr>
            </w:pPr>
            <w:r>
              <w:rPr>
                <w:rFonts w:ascii="Arial" w:cs="Arial" w:eastAsia="Arial" w:hAnsi="Arial"/>
                <w:sz w:val="14"/>
                <w:szCs w:val="14"/>
                <w:color w:val="auto"/>
              </w:rPr>
              <w:t>Balance at June 30, 2020</w:t>
            </w:r>
          </w:p>
        </w:tc>
        <w:tc>
          <w:tcPr>
            <w:tcW w:w="1020" w:type="dxa"/>
            <w:vAlign w:val="bottom"/>
            <w:gridSpan w:val="3"/>
          </w:tcPr>
          <w:p>
            <w:pPr>
              <w:ind w:left="480"/>
              <w:spacing w:after="0"/>
              <w:rPr>
                <w:sz w:val="20"/>
                <w:szCs w:val="20"/>
                <w:color w:val="auto"/>
              </w:rPr>
            </w:pPr>
            <w:r>
              <w:rPr>
                <w:rFonts w:ascii="Arial" w:cs="Arial" w:eastAsia="Arial" w:hAnsi="Arial"/>
                <w:sz w:val="16"/>
                <w:szCs w:val="16"/>
                <w:color w:val="auto"/>
              </w:rPr>
              <w:t>-   $</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192,523,083</w:t>
            </w:r>
          </w:p>
        </w:tc>
        <w:tc>
          <w:tcPr>
            <w:tcW w:w="180" w:type="dxa"/>
            <w:vAlign w:val="bottom"/>
          </w:tcPr>
          <w:p>
            <w:pPr>
              <w:spacing w:after="0"/>
              <w:rPr>
                <w:sz w:val="19"/>
                <w:szCs w:val="19"/>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19</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87"/>
              </w:rPr>
              <w:t>$ 957,656</w:t>
            </w:r>
          </w:p>
        </w:tc>
        <w:tc>
          <w:tcPr>
            <w:tcW w:w="18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 (25,937)</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w w:val="90"/>
              </w:rPr>
              <w:t>$ (3,219,623)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$ 70,622</w:t>
            </w:r>
          </w:p>
        </w:tc>
        <w:tc>
          <w:tcPr>
            <w:tcW w:w="200" w:type="dxa"/>
            <w:vAlign w:val="bottom"/>
          </w:tcPr>
          <w:p>
            <w:pPr>
              <w:spacing w:after="0"/>
              <w:rPr>
                <w:sz w:val="19"/>
                <w:szCs w:val="19"/>
                <w:color w:val="auto"/>
              </w:rPr>
            </w:pP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125</w:t>
            </w:r>
          </w:p>
        </w:tc>
        <w:tc>
          <w:tcPr>
            <w:tcW w:w="18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 (2,217,138)</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72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20" w:type="dxa"/>
            <w:vAlign w:val="bottom"/>
          </w:tcPr>
          <w:p>
            <w:pPr>
              <w:spacing w:after="0"/>
              <w:rPr>
                <w:sz w:val="20"/>
                <w:szCs w:val="20"/>
                <w:color w:val="auto"/>
              </w:rPr>
            </w:pPr>
          </w:p>
        </w:tc>
        <w:tc>
          <w:tcPr>
            <w:tcW w:w="1400" w:type="dxa"/>
            <w:vAlign w:val="bottom"/>
          </w:tcPr>
          <w:p>
            <w:pPr>
              <w:jc w:val="right"/>
              <w:ind w:right="70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80" w:type="dxa"/>
            <w:vAlign w:val="bottom"/>
          </w:tcPr>
          <w:p>
            <w:pPr>
              <w:jc w:val="right"/>
              <w:ind w:right="699"/>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20"/>
                <w:szCs w:val="20"/>
                <w:color w:val="auto"/>
              </w:rPr>
            </w:pPr>
          </w:p>
        </w:tc>
      </w:tr>
      <w:tr>
        <w:trPr>
          <w:trHeight w:val="209"/>
        </w:trPr>
        <w:tc>
          <w:tcPr>
            <w:tcW w:w="7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6"/>
                <w:szCs w:val="16"/>
                <w:b w:val="1"/>
                <w:bCs w:val="1"/>
                <w:color w:val="auto"/>
              </w:rPr>
              <w:t>Cash flow from operating activities</w:t>
            </w:r>
          </w:p>
        </w:tc>
        <w:tc>
          <w:tcPr>
            <w:tcW w:w="140" w:type="dxa"/>
            <w:vAlign w:val="bottom"/>
            <w:tcBorders>
              <w:top w:val="single" w:sz="8" w:color="CFF0FC"/>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27"/>
        </w:trPr>
        <w:tc>
          <w:tcPr>
            <w:tcW w:w="7240" w:type="dxa"/>
            <w:vAlign w:val="bottom"/>
            <w:gridSpan w:val="2"/>
          </w:tcPr>
          <w:p>
            <w:pPr>
              <w:spacing w:after="0"/>
              <w:rPr>
                <w:sz w:val="20"/>
                <w:szCs w:val="20"/>
                <w:color w:val="auto"/>
              </w:rPr>
            </w:pPr>
            <w:r>
              <w:rPr>
                <w:rFonts w:ascii="Arial" w:cs="Arial" w:eastAsia="Arial" w:hAnsi="Arial"/>
                <w:sz w:val="16"/>
                <w:szCs w:val="16"/>
                <w:color w:val="auto"/>
              </w:rPr>
              <w:t>Net (loss) income</w:t>
            </w:r>
          </w:p>
        </w:tc>
        <w:tc>
          <w:tcPr>
            <w:tcW w:w="420" w:type="dxa"/>
            <w:vAlign w:val="bottom"/>
          </w:tcPr>
          <w:p>
            <w:pPr>
              <w:jc w:val="right"/>
              <w:ind w:right="264"/>
              <w:spacing w:after="0"/>
              <w:rPr>
                <w:sz w:val="20"/>
                <w:szCs w:val="20"/>
                <w:color w:val="auto"/>
              </w:rPr>
            </w:pPr>
            <w:r>
              <w:rPr>
                <w:rFonts w:ascii="Arial" w:cs="Arial" w:eastAsia="Arial" w:hAnsi="Arial"/>
                <w:sz w:val="15"/>
                <w:szCs w:val="15"/>
                <w:color w:val="auto"/>
                <w:w w:val="71"/>
              </w:rPr>
              <w:t>$</w:t>
            </w: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(678,595)</w:t>
            </w:r>
          </w:p>
        </w:tc>
        <w:tc>
          <w:tcPr>
            <w:tcW w:w="740" w:type="dxa"/>
            <w:vAlign w:val="bottom"/>
          </w:tcPr>
          <w:p>
            <w:pPr>
              <w:jc w:val="right"/>
              <w:ind w:right="584"/>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42,039</w:t>
            </w:r>
          </w:p>
        </w:tc>
        <w:tc>
          <w:tcPr>
            <w:tcW w:w="120" w:type="dxa"/>
            <w:vAlign w:val="bottom"/>
          </w:tcPr>
          <w:p>
            <w:pPr>
              <w:spacing w:after="0"/>
              <w:rPr>
                <w:sz w:val="19"/>
                <w:szCs w:val="19"/>
                <w:color w:val="auto"/>
              </w:rPr>
            </w:pPr>
          </w:p>
        </w:tc>
      </w:tr>
      <w:tr>
        <w:trPr>
          <w:trHeight w:val="233"/>
        </w:trPr>
        <w:tc>
          <w:tcPr>
            <w:tcW w:w="7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26"/>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171,090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206,405</w:t>
            </w:r>
          </w:p>
        </w:tc>
        <w:tc>
          <w:tcPr>
            <w:tcW w:w="120" w:type="dxa"/>
            <w:vAlign w:val="bottom"/>
          </w:tcPr>
          <w:p>
            <w:pPr>
              <w:spacing w:after="0"/>
              <w:rPr>
                <w:sz w:val="19"/>
                <w:szCs w:val="19"/>
                <w:color w:val="auto"/>
              </w:rPr>
            </w:pPr>
          </w:p>
        </w:tc>
      </w:tr>
      <w:tr>
        <w:trPr>
          <w:trHeight w:val="233"/>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Amortization of deferred financing costs and debt discount</w:t>
            </w:r>
          </w:p>
        </w:tc>
        <w:tc>
          <w:tcPr>
            <w:tcW w:w="4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18,666</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17,659</w:t>
            </w:r>
          </w:p>
        </w:tc>
        <w:tc>
          <w:tcPr>
            <w:tcW w:w="120" w:type="dxa"/>
            <w:vAlign w:val="bottom"/>
            <w:shd w:val="clear" w:color="auto" w:fill="CFF0FC"/>
          </w:tcPr>
          <w:p>
            <w:pPr>
              <w:spacing w:after="0"/>
              <w:rPr>
                <w:sz w:val="20"/>
                <w:szCs w:val="20"/>
                <w:color w:val="auto"/>
              </w:rPr>
            </w:pPr>
          </w:p>
        </w:tc>
      </w:tr>
      <w:tr>
        <w:trPr>
          <w:trHeight w:val="227"/>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Write off of deferred financing costs and debt discount</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73,952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32"/>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Interest rate swap termination</w:t>
            </w:r>
          </w:p>
        </w:tc>
        <w:tc>
          <w:tcPr>
            <w:tcW w:w="4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4,496</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r>
      <w:tr>
        <w:trPr>
          <w:trHeight w:val="230"/>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Deferred income taxes</w:t>
            </w:r>
          </w:p>
        </w:tc>
        <w:tc>
          <w:tcPr>
            <w:tcW w:w="42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(11,209)</w:t>
            </w:r>
          </w:p>
        </w:tc>
        <w:tc>
          <w:tcPr>
            <w:tcW w:w="7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(2,712</w:t>
            </w:r>
            <w:r>
              <w:rPr>
                <w:rFonts w:ascii="Arial" w:cs="Arial" w:eastAsia="Arial" w:hAnsi="Arial"/>
                <w:sz w:val="17"/>
                <w:szCs w:val="17"/>
                <w:color w:val="auto"/>
              </w:rPr>
              <w:t>)</w:t>
            </w:r>
          </w:p>
        </w:tc>
      </w:tr>
      <w:tr>
        <w:trPr>
          <w:trHeight w:val="229"/>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Loss on derivative instruments</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(2,251)</w:t>
            </w:r>
          </w:p>
        </w:tc>
        <w:tc>
          <w:tcPr>
            <w:tcW w:w="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Straight-line revenues</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711</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(1,416</w:t>
            </w:r>
            <w:r>
              <w:rPr>
                <w:rFonts w:ascii="Arial" w:cs="Arial" w:eastAsia="Arial" w:hAnsi="Arial"/>
                <w:sz w:val="17"/>
                <w:szCs w:val="17"/>
                <w:color w:val="auto"/>
              </w:rPr>
              <w:t>)</w:t>
            </w:r>
          </w:p>
        </w:tc>
      </w:tr>
      <w:tr>
        <w:trPr>
          <w:trHeight w:val="230"/>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Stock-based compensation</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7,105</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5,085</w:t>
            </w:r>
          </w:p>
        </w:tc>
        <w:tc>
          <w:tcPr>
            <w:tcW w:w="120" w:type="dxa"/>
            <w:vAlign w:val="bottom"/>
            <w:shd w:val="clear" w:color="auto" w:fill="CFF0FC"/>
          </w:tcPr>
          <w:p>
            <w:pPr>
              <w:spacing w:after="0"/>
              <w:rPr>
                <w:sz w:val="19"/>
                <w:szCs w:val="19"/>
                <w:color w:val="auto"/>
              </w:rPr>
            </w:pPr>
          </w:p>
        </w:tc>
      </w:tr>
      <w:tr>
        <w:trPr>
          <w:trHeight w:val="229"/>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Change in fair value of contingent consideration</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6,140</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(25,531</w:t>
            </w:r>
            <w:r>
              <w:rPr>
                <w:rFonts w:ascii="Arial" w:cs="Arial" w:eastAsia="Arial" w:hAnsi="Arial"/>
                <w:sz w:val="17"/>
                <w:szCs w:val="17"/>
                <w:color w:val="auto"/>
              </w:rPr>
              <w:t>)</w:t>
            </w:r>
          </w:p>
        </w:tc>
      </w:tr>
      <w:tr>
        <w:trPr>
          <w:trHeight w:val="230"/>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Gain on sale of real estate</w:t>
            </w:r>
          </w:p>
        </w:tc>
        <w:tc>
          <w:tcPr>
            <w:tcW w:w="42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(63,818)</w:t>
            </w:r>
          </w:p>
        </w:tc>
        <w:tc>
          <w:tcPr>
            <w:tcW w:w="7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(28,790</w:t>
            </w:r>
            <w:r>
              <w:rPr>
                <w:rFonts w:ascii="Arial" w:cs="Arial" w:eastAsia="Arial" w:hAnsi="Arial"/>
                <w:sz w:val="17"/>
                <w:szCs w:val="17"/>
                <w:color w:val="auto"/>
              </w:rPr>
              <w:t>)</w:t>
            </w:r>
          </w:p>
        </w:tc>
      </w:tr>
      <w:tr>
        <w:trPr>
          <w:trHeight w:val="226"/>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Loss on asset disposal</w:t>
            </w:r>
          </w:p>
        </w:tc>
        <w:tc>
          <w:tcPr>
            <w:tcW w:w="4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672</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r>
      <w:tr>
        <w:trPr>
          <w:trHeight w:val="233"/>
        </w:trPr>
        <w:tc>
          <w:tcPr>
            <w:tcW w:w="724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rPr>
              <w:t>Other</w:t>
            </w:r>
          </w:p>
        </w:tc>
        <w:tc>
          <w:tcPr>
            <w:tcW w:w="4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(195)</w:t>
            </w: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2,252</w:t>
            </w:r>
          </w:p>
        </w:tc>
        <w:tc>
          <w:tcPr>
            <w:tcW w:w="120" w:type="dxa"/>
            <w:vAlign w:val="bottom"/>
            <w:shd w:val="clear" w:color="auto" w:fill="CFF0FC"/>
          </w:tcPr>
          <w:p>
            <w:pPr>
              <w:spacing w:after="0"/>
              <w:rPr>
                <w:sz w:val="20"/>
                <w:szCs w:val="20"/>
                <w:color w:val="auto"/>
              </w:rPr>
            </w:pPr>
          </w:p>
        </w:tc>
      </w:tr>
      <w:tr>
        <w:trPr>
          <w:trHeight w:val="220"/>
        </w:trPr>
        <w:tc>
          <w:tcPr>
            <w:tcW w:w="7240" w:type="dxa"/>
            <w:vAlign w:val="bottom"/>
            <w:gridSpan w:val="2"/>
          </w:tcPr>
          <w:p>
            <w:pPr>
              <w:ind w:left="260"/>
              <w:spacing w:after="0"/>
              <w:rPr>
                <w:sz w:val="20"/>
                <w:szCs w:val="20"/>
                <w:color w:val="auto"/>
              </w:rPr>
            </w:pPr>
            <w:r>
              <w:rPr>
                <w:rFonts w:ascii="Arial" w:cs="Arial" w:eastAsia="Arial" w:hAnsi="Arial"/>
                <w:sz w:val="16"/>
                <w:szCs w:val="16"/>
                <w:color w:val="auto"/>
              </w:rPr>
              <w:t>Changes in assets and liabilities, net of acquisitions:</w:t>
            </w: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9"/>
        </w:trPr>
        <w:tc>
          <w:tcPr>
            <w:tcW w:w="724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Accounts receivable</w:t>
            </w:r>
          </w:p>
        </w:tc>
        <w:tc>
          <w:tcPr>
            <w:tcW w:w="42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6,263</w:t>
            </w:r>
          </w:p>
        </w:tc>
        <w:tc>
          <w:tcPr>
            <w:tcW w:w="2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25,169</w:t>
            </w:r>
          </w:p>
        </w:tc>
        <w:tc>
          <w:tcPr>
            <w:tcW w:w="120" w:type="dxa"/>
            <w:vAlign w:val="bottom"/>
            <w:shd w:val="clear" w:color="auto" w:fill="CFF0FC"/>
          </w:tcPr>
          <w:p>
            <w:pPr>
              <w:spacing w:after="0"/>
              <w:rPr>
                <w:sz w:val="20"/>
                <w:szCs w:val="20"/>
                <w:color w:val="auto"/>
              </w:rPr>
            </w:pPr>
          </w:p>
        </w:tc>
      </w:tr>
      <w:tr>
        <w:trPr>
          <w:trHeight w:val="229"/>
        </w:trPr>
        <w:tc>
          <w:tcPr>
            <w:tcW w:w="7240" w:type="dxa"/>
            <w:vAlign w:val="bottom"/>
            <w:gridSpan w:val="2"/>
          </w:tcPr>
          <w:p>
            <w:pPr>
              <w:ind w:left="380"/>
              <w:spacing w:after="0"/>
              <w:rPr>
                <w:sz w:val="20"/>
                <w:szCs w:val="20"/>
                <w:color w:val="auto"/>
              </w:rPr>
            </w:pPr>
            <w:r>
              <w:rPr>
                <w:rFonts w:ascii="Arial" w:cs="Arial" w:eastAsia="Arial" w:hAnsi="Arial"/>
                <w:sz w:val="16"/>
                <w:szCs w:val="16"/>
                <w:color w:val="auto"/>
              </w:rPr>
              <w:t>Other assets</w:t>
            </w:r>
          </w:p>
        </w:tc>
        <w:tc>
          <w:tcPr>
            <w:tcW w:w="420" w:type="dxa"/>
            <w:vAlign w:val="bottom"/>
          </w:tcPr>
          <w:p>
            <w:pPr>
              <w:spacing w:after="0"/>
              <w:rPr>
                <w:sz w:val="19"/>
                <w:szCs w:val="19"/>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(8,285)</w:t>
            </w:r>
          </w:p>
        </w:tc>
        <w:tc>
          <w:tcPr>
            <w:tcW w:w="74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6"/>
                <w:szCs w:val="16"/>
                <w:color w:val="auto"/>
              </w:rPr>
              <w:t>(12,849</w:t>
            </w:r>
            <w:r>
              <w:rPr>
                <w:rFonts w:ascii="Arial" w:cs="Arial" w:eastAsia="Arial" w:hAnsi="Arial"/>
                <w:sz w:val="17"/>
                <w:szCs w:val="17"/>
                <w:color w:val="auto"/>
              </w:rPr>
              <w:t>)</w:t>
            </w:r>
          </w:p>
        </w:tc>
      </w:tr>
      <w:tr>
        <w:trPr>
          <w:trHeight w:val="230"/>
        </w:trPr>
        <w:tc>
          <w:tcPr>
            <w:tcW w:w="7240" w:type="dxa"/>
            <w:vAlign w:val="bottom"/>
            <w:gridSpan w:val="2"/>
            <w:shd w:val="clear" w:color="auto" w:fill="CFF0FC"/>
          </w:tcPr>
          <w:p>
            <w:pPr>
              <w:ind w:left="380"/>
              <w:spacing w:after="0"/>
              <w:rPr>
                <w:sz w:val="20"/>
                <w:szCs w:val="20"/>
                <w:color w:val="auto"/>
              </w:rPr>
            </w:pPr>
            <w:r>
              <w:rPr>
                <w:rFonts w:ascii="Arial" w:cs="Arial" w:eastAsia="Arial" w:hAnsi="Arial"/>
                <w:sz w:val="16"/>
                <w:szCs w:val="16"/>
                <w:color w:val="auto"/>
              </w:rPr>
              <w:t>Accounts payable, accrued expenses and other liabilities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51,539</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23,053</w:t>
            </w:r>
          </w:p>
        </w:tc>
        <w:tc>
          <w:tcPr>
            <w:tcW w:w="120" w:type="dxa"/>
            <w:vAlign w:val="bottom"/>
            <w:shd w:val="clear" w:color="auto" w:fill="CFF0FC"/>
          </w:tcPr>
          <w:p>
            <w:pPr>
              <w:spacing w:after="0"/>
              <w:rPr>
                <w:sz w:val="19"/>
                <w:szCs w:val="19"/>
                <w:color w:val="auto"/>
              </w:rPr>
            </w:pPr>
          </w:p>
        </w:tc>
      </w:tr>
      <w:tr>
        <w:trPr>
          <w:trHeight w:val="226"/>
        </w:trPr>
        <w:tc>
          <w:tcPr>
            <w:tcW w:w="7240" w:type="dxa"/>
            <w:vAlign w:val="bottom"/>
            <w:tcBorders>
              <w:bottom w:val="single" w:sz="8" w:color="CFF0FC"/>
            </w:tcBorders>
            <w:gridSpan w:val="2"/>
          </w:tcPr>
          <w:p>
            <w:pPr>
              <w:ind w:left="380"/>
              <w:spacing w:after="0"/>
              <w:rPr>
                <w:sz w:val="20"/>
                <w:szCs w:val="20"/>
                <w:color w:val="auto"/>
              </w:rPr>
            </w:pPr>
            <w:r>
              <w:rPr>
                <w:rFonts w:ascii="Arial" w:cs="Arial" w:eastAsia="Arial" w:hAnsi="Arial"/>
                <w:sz w:val="16"/>
                <w:szCs w:val="16"/>
                <w:color w:val="auto"/>
              </w:rPr>
              <w:t>Settlement payable (Note 15)</w:t>
            </w: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650,000</w:t>
            </w:r>
          </w:p>
        </w:tc>
        <w:tc>
          <w:tcPr>
            <w:tcW w:w="240" w:type="dxa"/>
            <w:vAlign w:val="bottom"/>
            <w:tcBorders>
              <w:bottom w:val="single" w:sz="8" w:color="CFF0FC"/>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9"/>
                <w:szCs w:val="19"/>
                <w:color w:val="auto"/>
              </w:rPr>
            </w:pPr>
          </w:p>
        </w:tc>
      </w:tr>
      <w:tr>
        <w:trPr>
          <w:trHeight w:val="226"/>
        </w:trPr>
        <w:tc>
          <w:tcPr>
            <w:tcW w:w="724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226,281</w:t>
            </w:r>
          </w:p>
        </w:tc>
        <w:tc>
          <w:tcPr>
            <w:tcW w:w="2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250,364</w:t>
            </w:r>
          </w:p>
        </w:tc>
        <w:tc>
          <w:tcPr>
            <w:tcW w:w="120" w:type="dxa"/>
            <w:vAlign w:val="bottom"/>
            <w:shd w:val="clear" w:color="auto" w:fill="CFF0FC"/>
          </w:tcPr>
          <w:p>
            <w:pPr>
              <w:spacing w:after="0"/>
              <w:rPr>
                <w:sz w:val="19"/>
                <w:szCs w:val="19"/>
                <w:color w:val="auto"/>
              </w:rPr>
            </w:pPr>
          </w:p>
        </w:tc>
      </w:tr>
      <w:tr>
        <w:trPr>
          <w:trHeight w:val="210"/>
        </w:trPr>
        <w:tc>
          <w:tcPr>
            <w:tcW w:w="7240" w:type="dxa"/>
            <w:vAlign w:val="bottom"/>
            <w:gridSpan w:val="2"/>
          </w:tcPr>
          <w:p>
            <w:pPr>
              <w:spacing w:after="0"/>
              <w:rPr>
                <w:sz w:val="20"/>
                <w:szCs w:val="20"/>
                <w:color w:val="auto"/>
              </w:rPr>
            </w:pPr>
            <w:r>
              <w:rPr>
                <w:rFonts w:ascii="Arial" w:cs="Arial" w:eastAsia="Arial" w:hAnsi="Arial"/>
                <w:sz w:val="16"/>
                <w:szCs w:val="16"/>
                <w:b w:val="1"/>
                <w:bCs w:val="1"/>
                <w:color w:val="auto"/>
              </w:rPr>
              <w:t>Cash flow from investing activities</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bl>
    <w:p>
      <w:pPr>
        <w:spacing w:after="0" w:line="18" w:lineRule="exact"/>
        <w:rPr>
          <w:sz w:val="20"/>
          <w:szCs w:val="20"/>
          <w:color w:val="auto"/>
        </w:rPr>
      </w:pPr>
    </w:p>
    <w:p>
      <w:pPr>
        <w:sectPr>
          <w:pgSz w:w="11900" w:h="16838" w:orient="portrait"/>
          <w:cols w:equalWidth="0" w:num="1">
            <w:col w:w="11240"/>
          </w:cols>
          <w:pgMar w:left="320" w:top="125" w:right="339" w:bottom="1440" w:gutter="0" w:footer="0" w:header="0"/>
        </w:sectPr>
      </w:pPr>
    </w:p>
    <w:p>
      <w:pPr>
        <w:spacing w:after="0" w:line="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Acquisition of businesses, net of cash acquired</w:t>
      </w:r>
    </w:p>
    <w:p>
      <w:pPr>
        <w:spacing w:after="0" w:line="6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Other capital expenditures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Proceeds from sale of real estate, net of cash</w:t>
      </w:r>
    </w:p>
    <w:p>
      <w:pPr>
        <w:spacing w:after="0" w:line="71" w:lineRule="exact"/>
        <w:rPr>
          <w:sz w:val="20"/>
          <w:szCs w:val="20"/>
          <w:color w:val="auto"/>
        </w:rPr>
      </w:pPr>
    </w:p>
    <w:p>
      <w:pPr>
        <w:spacing w:after="0"/>
        <w:rPr>
          <w:sz w:val="20"/>
          <w:szCs w:val="20"/>
          <w:color w:val="auto"/>
        </w:rPr>
      </w:pPr>
      <w:r>
        <w:rPr>
          <w:rFonts w:ascii="Arial" w:cs="Arial" w:eastAsia="Arial" w:hAnsi="Arial"/>
          <w:sz w:val="15"/>
          <w:szCs w:val="15"/>
          <w:color w:val="auto"/>
        </w:rPr>
        <w:t>Net cash provided by (used in) investing activities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 from financing activities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2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(4,210</w:t>
            </w:r>
            <w:r>
              <w:rPr>
                <w:rFonts w:ascii="Arial" w:cs="Arial" w:eastAsia="Arial" w:hAnsi="Arial"/>
                <w:sz w:val="17"/>
                <w:szCs w:val="17"/>
                <w:color w:val="auto"/>
              </w:rPr>
              <w:t>)</w:t>
            </w:r>
          </w:p>
        </w:tc>
      </w:tr>
      <w:tr>
        <w:trPr>
          <w:trHeight w:val="230"/>
        </w:trPr>
        <w:tc>
          <w:tcPr>
            <w:tcW w:w="2060" w:type="dxa"/>
            <w:vAlign w:val="bottom"/>
            <w:gridSpan w:val="2"/>
          </w:tcPr>
          <w:p>
            <w:pPr>
              <w:jc w:val="right"/>
              <w:ind w:right="200"/>
              <w:spacing w:after="0"/>
              <w:rPr>
                <w:sz w:val="20"/>
                <w:szCs w:val="20"/>
                <w:color w:val="auto"/>
              </w:rPr>
            </w:pPr>
            <w:r>
              <w:rPr>
                <w:rFonts w:ascii="Arial" w:cs="Arial" w:eastAsia="Arial" w:hAnsi="Arial"/>
                <w:sz w:val="16"/>
                <w:szCs w:val="16"/>
                <w:color w:val="auto"/>
              </w:rPr>
              <w:t>(134,035)</w:t>
            </w:r>
          </w:p>
        </w:tc>
        <w:tc>
          <w:tcPr>
            <w:tcW w:w="1880" w:type="dxa"/>
            <w:vAlign w:val="bottom"/>
            <w:gridSpan w:val="2"/>
          </w:tcPr>
          <w:p>
            <w:pPr>
              <w:jc w:val="right"/>
              <w:spacing w:after="0"/>
              <w:rPr>
                <w:sz w:val="20"/>
                <w:szCs w:val="20"/>
                <w:color w:val="auto"/>
              </w:rPr>
            </w:pPr>
            <w:r>
              <w:rPr>
                <w:rFonts w:ascii="Arial" w:cs="Arial" w:eastAsia="Arial" w:hAnsi="Arial"/>
                <w:sz w:val="16"/>
                <w:szCs w:val="16"/>
                <w:color w:val="auto"/>
              </w:rPr>
              <w:t>(180,478</w:t>
            </w:r>
            <w:r>
              <w:rPr>
                <w:rFonts w:ascii="Arial" w:cs="Arial" w:eastAsia="Arial" w:hAnsi="Arial"/>
                <w:sz w:val="17"/>
                <w:szCs w:val="17"/>
                <w:color w:val="auto"/>
              </w:rPr>
              <w:t>)</w:t>
            </w:r>
          </w:p>
        </w:tc>
      </w:tr>
      <w:tr>
        <w:trPr>
          <w:trHeight w:val="227"/>
        </w:trPr>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225,149</w:t>
            </w:r>
          </w:p>
        </w:tc>
        <w:tc>
          <w:tcPr>
            <w:tcW w:w="240" w:type="dxa"/>
            <w:vAlign w:val="bottom"/>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127,524</w:t>
            </w:r>
          </w:p>
        </w:tc>
        <w:tc>
          <w:tcPr>
            <w:tcW w:w="60" w:type="dxa"/>
            <w:vAlign w:val="bottom"/>
          </w:tcPr>
          <w:p>
            <w:pPr>
              <w:spacing w:after="0"/>
              <w:rPr>
                <w:sz w:val="19"/>
                <w:szCs w:val="19"/>
                <w:color w:val="auto"/>
              </w:rPr>
            </w:pPr>
          </w:p>
        </w:tc>
      </w:tr>
      <w:tr>
        <w:trPr>
          <w:trHeight w:val="226"/>
        </w:trPr>
        <w:tc>
          <w:tcPr>
            <w:tcW w:w="1820" w:type="dxa"/>
            <w:vAlign w:val="bottom"/>
          </w:tcPr>
          <w:p>
            <w:pPr>
              <w:jc w:val="right"/>
              <w:spacing w:after="0"/>
              <w:rPr>
                <w:sz w:val="20"/>
                <w:szCs w:val="20"/>
                <w:color w:val="auto"/>
              </w:rPr>
            </w:pPr>
            <w:r>
              <w:rPr>
                <w:rFonts w:ascii="Arial" w:cs="Arial" w:eastAsia="Arial" w:hAnsi="Arial"/>
                <w:sz w:val="16"/>
                <w:szCs w:val="16"/>
                <w:color w:val="auto"/>
              </w:rPr>
              <w:t>91,114</w:t>
            </w: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6"/>
                <w:szCs w:val="16"/>
                <w:color w:val="auto"/>
              </w:rPr>
              <w:t>(57,164</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-4591685</wp:posOffset>
            </wp:positionH>
            <wp:positionV relativeFrom="paragraph">
              <wp:posOffset>-591185</wp:posOffset>
            </wp:positionV>
            <wp:extent cx="7132320"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-299720</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-4591685</wp:posOffset>
            </wp:positionH>
            <wp:positionV relativeFrom="paragraph">
              <wp:posOffset>0</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3" w:lineRule="exact"/>
        <w:rPr>
          <w:sz w:val="20"/>
          <w:szCs w:val="20"/>
          <w:color w:val="auto"/>
        </w:rPr>
      </w:pPr>
    </w:p>
    <w:p>
      <w:pPr>
        <w:sectPr>
          <w:pgSz w:w="11900" w:h="16838" w:orient="portrait"/>
          <w:cols w:equalWidth="0" w:num="2">
            <w:col w:w="6520" w:space="720"/>
            <w:col w:w="4000"/>
          </w:cols>
          <w:pgMar w:left="320" w:top="125" w:right="339" w:bottom="1440" w:gutter="0" w:footer="0" w:header="0"/>
          <w:type w:val="continuous"/>
        </w:sectPr>
      </w:pPr>
    </w:p>
    <w:p>
      <w:pPr>
        <w:ind w:left="260"/>
        <w:spacing w:after="0"/>
        <w:rPr>
          <w:sz w:val="20"/>
          <w:szCs w:val="20"/>
          <w:color w:val="auto"/>
        </w:rPr>
      </w:pPr>
      <w:r>
        <w:rPr>
          <w:rFonts w:ascii="Arial" w:cs="Arial" w:eastAsia="Arial" w:hAnsi="Arial"/>
          <w:sz w:val="14"/>
          <w:szCs w:val="14"/>
          <w:color w:val="auto"/>
        </w:rPr>
        <w:t>Repayment of Senior Secured Term Loan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46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4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Principal payments on debt</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of contingent consideration</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Distributions paid to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7" w:lineRule="exact"/>
        <w:rPr>
          <w:sz w:val="20"/>
          <w:szCs w:val="20"/>
          <w:color w:val="auto"/>
        </w:rPr>
      </w:pPr>
    </w:p>
    <w:p>
      <w:pPr>
        <w:ind w:left="260"/>
        <w:spacing w:after="0"/>
        <w:rPr>
          <w:sz w:val="20"/>
          <w:szCs w:val="20"/>
          <w:color w:val="auto"/>
        </w:rPr>
      </w:pPr>
      <w:r>
        <w:rPr>
          <w:rFonts w:ascii="Arial" w:cs="Arial" w:eastAsia="Arial" w:hAnsi="Arial"/>
          <w:sz w:val="15"/>
          <w:szCs w:val="15"/>
          <w:color w:val="auto"/>
        </w:rPr>
        <w:t>Borrowings under revolving credit facility</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under revolving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Finance lease payments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for financing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Common stock issuance, net of costs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issuance of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sale of warrants</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 for bond hedge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stock purchase program</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share settlement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6"/>
        </w:trPr>
        <w:tc>
          <w:tcPr>
            <w:tcW w:w="1480" w:type="dxa"/>
            <w:vAlign w:val="bottom"/>
          </w:tcPr>
          <w:p>
            <w:pPr>
              <w:jc w:val="right"/>
              <w:ind w:right="639"/>
              <w:spacing w:after="0"/>
              <w:rPr>
                <w:sz w:val="20"/>
                <w:szCs w:val="20"/>
                <w:color w:val="auto"/>
              </w:rPr>
            </w:pPr>
            <w:r>
              <w:rPr>
                <w:rFonts w:ascii="Arial" w:cs="Arial" w:eastAsia="Arial" w:hAnsi="Arial"/>
                <w:sz w:val="16"/>
                <w:szCs w:val="16"/>
                <w:color w:val="auto"/>
                <w:w w:val="90"/>
              </w:rPr>
              <w:t>(2,044,728)</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5"/>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(10,540</w:t>
            </w:r>
            <w:r>
              <w:rPr>
                <w:rFonts w:ascii="Arial" w:cs="Arial" w:eastAsia="Arial" w:hAnsi="Arial"/>
                <w:sz w:val="17"/>
                <w:szCs w:val="17"/>
                <w:color w:val="auto"/>
              </w:rPr>
              <w:t>)</w:t>
            </w:r>
          </w:p>
        </w:tc>
      </w:tr>
      <w:tr>
        <w:trPr>
          <w:trHeight w:val="230"/>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(71,645)</w:t>
            </w:r>
          </w:p>
        </w:tc>
        <w:tc>
          <w:tcPr>
            <w:tcW w:w="1360" w:type="dxa"/>
            <w:vAlign w:val="bottom"/>
          </w:tcPr>
          <w:p>
            <w:pPr>
              <w:jc w:val="right"/>
              <w:spacing w:after="0"/>
              <w:rPr>
                <w:sz w:val="20"/>
                <w:szCs w:val="20"/>
                <w:color w:val="auto"/>
              </w:rPr>
            </w:pPr>
            <w:r>
              <w:rPr>
                <w:rFonts w:ascii="Arial" w:cs="Arial" w:eastAsia="Arial" w:hAnsi="Arial"/>
                <w:sz w:val="16"/>
                <w:szCs w:val="16"/>
                <w:color w:val="auto"/>
              </w:rPr>
              <w:t>(120,161</w:t>
            </w:r>
            <w:r>
              <w:rPr>
                <w:rFonts w:ascii="Arial" w:cs="Arial" w:eastAsia="Arial" w:hAnsi="Arial"/>
                <w:sz w:val="17"/>
                <w:szCs w:val="17"/>
                <w:color w:val="auto"/>
              </w:rPr>
              <w:t>)</w:t>
            </w:r>
          </w:p>
        </w:tc>
      </w:tr>
      <w:tr>
        <w:trPr>
          <w:trHeight w:val="230"/>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(7,086)</w:t>
            </w:r>
          </w:p>
        </w:tc>
        <w:tc>
          <w:tcPr>
            <w:tcW w:w="1360" w:type="dxa"/>
            <w:vAlign w:val="bottom"/>
          </w:tcPr>
          <w:p>
            <w:pPr>
              <w:jc w:val="right"/>
              <w:spacing w:after="0"/>
              <w:rPr>
                <w:sz w:val="20"/>
                <w:szCs w:val="20"/>
                <w:color w:val="auto"/>
              </w:rPr>
            </w:pPr>
            <w:r>
              <w:rPr>
                <w:rFonts w:ascii="Arial" w:cs="Arial" w:eastAsia="Arial" w:hAnsi="Arial"/>
                <w:sz w:val="16"/>
                <w:szCs w:val="16"/>
                <w:color w:val="auto"/>
              </w:rPr>
              <w:t>(28,170</w:t>
            </w:r>
            <w:r>
              <w:rPr>
                <w:rFonts w:ascii="Arial" w:cs="Arial" w:eastAsia="Arial" w:hAnsi="Arial"/>
                <w:sz w:val="17"/>
                <w:szCs w:val="17"/>
                <w:color w:val="auto"/>
              </w:rPr>
              <w:t>)</w:t>
            </w:r>
          </w:p>
        </w:tc>
      </w:tr>
      <w:tr>
        <w:trPr>
          <w:trHeight w:val="230"/>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(1,282)</w:t>
            </w:r>
          </w:p>
        </w:tc>
        <w:tc>
          <w:tcPr>
            <w:tcW w:w="1360" w:type="dxa"/>
            <w:vAlign w:val="bottom"/>
          </w:tcPr>
          <w:p>
            <w:pPr>
              <w:jc w:val="right"/>
              <w:spacing w:after="0"/>
              <w:rPr>
                <w:sz w:val="20"/>
                <w:szCs w:val="20"/>
                <w:color w:val="auto"/>
              </w:rPr>
            </w:pPr>
            <w:r>
              <w:rPr>
                <w:rFonts w:ascii="Arial" w:cs="Arial" w:eastAsia="Arial" w:hAnsi="Arial"/>
                <w:sz w:val="16"/>
                <w:szCs w:val="16"/>
                <w:color w:val="auto"/>
              </w:rPr>
              <w:t>(2,686</w:t>
            </w:r>
            <w:r>
              <w:rPr>
                <w:rFonts w:ascii="Arial" w:cs="Arial" w:eastAsia="Arial" w:hAnsi="Arial"/>
                <w:sz w:val="17"/>
                <w:szCs w:val="17"/>
                <w:color w:val="auto"/>
              </w:rPr>
              <w:t>)</w:t>
            </w:r>
          </w:p>
        </w:tc>
      </w:tr>
      <w:tr>
        <w:trPr>
          <w:trHeight w:val="223"/>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10,000</w:t>
            </w:r>
          </w:p>
        </w:tc>
        <w:tc>
          <w:tcPr>
            <w:tcW w:w="1360" w:type="dxa"/>
            <w:vAlign w:val="bottom"/>
          </w:tcPr>
          <w:p>
            <w:pPr>
              <w:jc w:val="right"/>
              <w:spacing w:after="0"/>
              <w:rPr>
                <w:sz w:val="20"/>
                <w:szCs w:val="20"/>
                <w:color w:val="auto"/>
              </w:rPr>
            </w:pPr>
            <w:r>
              <w:rPr>
                <w:rFonts w:ascii="Arial" w:cs="Arial" w:eastAsia="Arial" w:hAnsi="Arial"/>
                <w:sz w:val="16"/>
                <w:szCs w:val="16"/>
                <w:color w:val="auto"/>
              </w:rPr>
              <w:t>139,000</w:t>
            </w:r>
          </w:p>
        </w:tc>
      </w:tr>
      <w:tr>
        <w:trPr>
          <w:trHeight w:val="235"/>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(456,700)</w:t>
            </w:r>
          </w:p>
        </w:tc>
        <w:tc>
          <w:tcPr>
            <w:tcW w:w="1360" w:type="dxa"/>
            <w:vAlign w:val="bottom"/>
          </w:tcPr>
          <w:p>
            <w:pPr>
              <w:jc w:val="right"/>
              <w:spacing w:after="0"/>
              <w:rPr>
                <w:sz w:val="20"/>
                <w:szCs w:val="20"/>
                <w:color w:val="auto"/>
              </w:rPr>
            </w:pPr>
            <w:r>
              <w:rPr>
                <w:rFonts w:ascii="Arial" w:cs="Arial" w:eastAsia="Arial" w:hAnsi="Arial"/>
                <w:sz w:val="16"/>
                <w:szCs w:val="16"/>
                <w:color w:val="auto"/>
              </w:rPr>
              <w:t>(203,981</w:t>
            </w:r>
            <w:r>
              <w:rPr>
                <w:rFonts w:ascii="Arial" w:cs="Arial" w:eastAsia="Arial" w:hAnsi="Arial"/>
                <w:sz w:val="17"/>
                <w:szCs w:val="17"/>
                <w:color w:val="auto"/>
              </w:rPr>
              <w:t>)</w:t>
            </w:r>
          </w:p>
        </w:tc>
      </w:tr>
      <w:tr>
        <w:trPr>
          <w:trHeight w:val="230"/>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(1,979)</w:t>
            </w:r>
          </w:p>
        </w:tc>
        <w:tc>
          <w:tcPr>
            <w:tcW w:w="1360" w:type="dxa"/>
            <w:vAlign w:val="bottom"/>
          </w:tcPr>
          <w:p>
            <w:pPr>
              <w:jc w:val="right"/>
              <w:spacing w:after="0"/>
              <w:rPr>
                <w:sz w:val="20"/>
                <w:szCs w:val="20"/>
                <w:color w:val="auto"/>
              </w:rPr>
            </w:pPr>
            <w:r>
              <w:rPr>
                <w:rFonts w:ascii="Arial" w:cs="Arial" w:eastAsia="Arial" w:hAnsi="Arial"/>
                <w:sz w:val="16"/>
                <w:szCs w:val="16"/>
                <w:color w:val="auto"/>
              </w:rPr>
              <w:t>(1,896</w:t>
            </w:r>
            <w:r>
              <w:rPr>
                <w:rFonts w:ascii="Arial" w:cs="Arial" w:eastAsia="Arial" w:hAnsi="Arial"/>
                <w:sz w:val="17"/>
                <w:szCs w:val="17"/>
                <w:color w:val="auto"/>
              </w:rPr>
              <w:t>)</w:t>
            </w:r>
          </w:p>
        </w:tc>
      </w:tr>
      <w:tr>
        <w:trPr>
          <w:trHeight w:val="230"/>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(47,775)</w:t>
            </w:r>
          </w:p>
        </w:tc>
        <w:tc>
          <w:tcPr>
            <w:tcW w:w="1360" w:type="dxa"/>
            <w:vAlign w:val="bottom"/>
          </w:tcPr>
          <w:p>
            <w:pPr>
              <w:jc w:val="right"/>
              <w:spacing w:after="0"/>
              <w:rPr>
                <w:sz w:val="20"/>
                <w:szCs w:val="20"/>
                <w:color w:val="auto"/>
              </w:rPr>
            </w:pPr>
            <w:r>
              <w:rPr>
                <w:rFonts w:ascii="Arial" w:cs="Arial" w:eastAsia="Arial" w:hAnsi="Arial"/>
                <w:sz w:val="16"/>
                <w:szCs w:val="16"/>
                <w:color w:val="auto"/>
              </w:rPr>
              <w:t>(49,462</w:t>
            </w:r>
            <w:r>
              <w:rPr>
                <w:rFonts w:ascii="Arial" w:cs="Arial" w:eastAsia="Arial" w:hAnsi="Arial"/>
                <w:sz w:val="17"/>
                <w:szCs w:val="17"/>
                <w:color w:val="auto"/>
              </w:rPr>
              <w:t>)</w:t>
            </w:r>
          </w:p>
        </w:tc>
      </w:tr>
      <w:tr>
        <w:trPr>
          <w:trHeight w:val="223"/>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21,641</w:t>
            </w:r>
          </w:p>
        </w:tc>
      </w:tr>
      <w:tr>
        <w:trPr>
          <w:trHeight w:val="230"/>
        </w:trPr>
        <w:tc>
          <w:tcPr>
            <w:tcW w:w="1480" w:type="dxa"/>
            <w:vAlign w:val="bottom"/>
          </w:tcPr>
          <w:p>
            <w:pPr>
              <w:jc w:val="right"/>
              <w:ind w:right="699"/>
              <w:spacing w:after="0"/>
              <w:rPr>
                <w:sz w:val="20"/>
                <w:szCs w:val="20"/>
                <w:color w:val="auto"/>
              </w:rPr>
            </w:pPr>
            <w:r>
              <w:rPr>
                <w:rFonts w:ascii="Arial" w:cs="Arial" w:eastAsia="Arial" w:hAnsi="Arial"/>
                <w:sz w:val="16"/>
                <w:szCs w:val="16"/>
                <w:color w:val="auto"/>
                <w:w w:val="95"/>
              </w:rPr>
              <w:t>2,250,000</w:t>
            </w:r>
          </w:p>
        </w:tc>
        <w:tc>
          <w:tcPr>
            <w:tcW w:w="1360" w:type="dxa"/>
            <w:vAlign w:val="bottom"/>
          </w:tcPr>
          <w:p>
            <w:pPr>
              <w:jc w:val="right"/>
              <w:spacing w:after="0"/>
              <w:rPr>
                <w:sz w:val="20"/>
                <w:szCs w:val="20"/>
                <w:color w:val="auto"/>
              </w:rPr>
            </w:pPr>
            <w:r>
              <w:rPr>
                <w:rFonts w:ascii="Arial" w:cs="Arial" w:eastAsia="Arial" w:hAnsi="Arial"/>
                <w:sz w:val="16"/>
                <w:szCs w:val="16"/>
                <w:color w:val="auto"/>
              </w:rPr>
              <w:t>345,000</w:t>
            </w:r>
          </w:p>
        </w:tc>
      </w:tr>
      <w:tr>
        <w:trPr>
          <w:trHeight w:val="230"/>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50,819</w:t>
            </w:r>
          </w:p>
        </w:tc>
      </w:tr>
      <w:tr>
        <w:trPr>
          <w:trHeight w:val="236"/>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(70,035</w:t>
            </w:r>
            <w:r>
              <w:rPr>
                <w:rFonts w:ascii="Arial" w:cs="Arial" w:eastAsia="Arial" w:hAnsi="Arial"/>
                <w:sz w:val="17"/>
                <w:szCs w:val="17"/>
                <w:color w:val="auto"/>
              </w:rPr>
              <w:t>)</w:t>
            </w:r>
          </w:p>
        </w:tc>
      </w:tr>
      <w:tr>
        <w:trPr>
          <w:trHeight w:val="223"/>
        </w:trPr>
        <w:tc>
          <w:tcPr>
            <w:tcW w:w="1480" w:type="dxa"/>
            <w:vAlign w:val="bottom"/>
          </w:tcPr>
          <w:p>
            <w:pPr>
              <w:jc w:val="right"/>
              <w:ind w:right="699"/>
              <w:spacing w:after="0"/>
              <w:rPr>
                <w:sz w:val="20"/>
                <w:szCs w:val="20"/>
                <w:color w:val="auto"/>
              </w:rPr>
            </w:pPr>
            <w:r>
              <w:rPr>
                <w:rFonts w:ascii="Arial" w:cs="Arial" w:eastAsia="Arial" w:hAnsi="Arial"/>
                <w:sz w:val="16"/>
                <w:szCs w:val="16"/>
                <w:color w:val="auto"/>
              </w:rPr>
              <w:t>306</w:t>
            </w:r>
          </w:p>
        </w:tc>
        <w:tc>
          <w:tcPr>
            <w:tcW w:w="1360" w:type="dxa"/>
            <w:vAlign w:val="bottom"/>
          </w:tcPr>
          <w:p>
            <w:pPr>
              <w:jc w:val="right"/>
              <w:spacing w:after="0"/>
              <w:rPr>
                <w:sz w:val="20"/>
                <w:szCs w:val="20"/>
                <w:color w:val="auto"/>
              </w:rPr>
            </w:pPr>
            <w:r>
              <w:rPr>
                <w:rFonts w:ascii="Arial" w:cs="Arial" w:eastAsia="Arial" w:hAnsi="Arial"/>
                <w:sz w:val="16"/>
                <w:szCs w:val="16"/>
                <w:color w:val="auto"/>
              </w:rPr>
              <w:t>447</w:t>
            </w:r>
          </w:p>
        </w:tc>
      </w:tr>
      <w:tr>
        <w:trPr>
          <w:trHeight w:val="234"/>
        </w:trPr>
        <w:tc>
          <w:tcPr>
            <w:tcW w:w="1480" w:type="dxa"/>
            <w:vAlign w:val="bottom"/>
          </w:tcPr>
          <w:p>
            <w:pPr>
              <w:jc w:val="right"/>
              <w:ind w:right="639"/>
              <w:spacing w:after="0"/>
              <w:rPr>
                <w:sz w:val="20"/>
                <w:szCs w:val="20"/>
                <w:color w:val="auto"/>
              </w:rPr>
            </w:pPr>
            <w:r>
              <w:rPr>
                <w:rFonts w:ascii="Arial" w:cs="Arial" w:eastAsia="Arial" w:hAnsi="Arial"/>
                <w:sz w:val="16"/>
                <w:szCs w:val="16"/>
                <w:color w:val="auto"/>
              </w:rPr>
              <w:t>(1,050)</w:t>
            </w:r>
          </w:p>
        </w:tc>
        <w:tc>
          <w:tcPr>
            <w:tcW w:w="1360" w:type="dxa"/>
            <w:vAlign w:val="bottom"/>
          </w:tcPr>
          <w:p>
            <w:pPr>
              <w:jc w:val="right"/>
              <w:spacing w:after="0"/>
              <w:rPr>
                <w:sz w:val="20"/>
                <w:szCs w:val="20"/>
                <w:color w:val="auto"/>
              </w:rPr>
            </w:pPr>
            <w:r>
              <w:rPr>
                <w:rFonts w:ascii="Arial" w:cs="Arial" w:eastAsia="Arial" w:hAnsi="Arial"/>
                <w:sz w:val="16"/>
                <w:szCs w:val="16"/>
                <w:color w:val="auto"/>
              </w:rPr>
              <w:t>(1,765</w:t>
            </w:r>
            <w:r>
              <w:rPr>
                <w:rFonts w:ascii="Arial" w:cs="Arial" w:eastAsia="Arial" w:hAnsi="Arial"/>
                <w:sz w:val="17"/>
                <w:szCs w:val="17"/>
                <w:color w:val="auto"/>
              </w:rPr>
              <w:t>)</w:t>
            </w:r>
          </w:p>
        </w:tc>
      </w:tr>
    </w:tbl>
    <w:p>
      <w:pPr>
        <w:spacing w:after="0" w:line="20" w:lineRule="exact"/>
        <w:rPr>
          <w:sz w:val="20"/>
          <w:szCs w:val="20"/>
          <w:color w:val="auto"/>
        </w:rPr>
      </w:pPr>
    </w:p>
    <w:p>
      <w:pPr>
        <w:sectPr>
          <w:pgSz w:w="11900" w:h="16838" w:orient="portrait"/>
          <w:cols w:equalWidth="0" w:num="2">
            <w:col w:w="7620" w:space="720"/>
            <w:col w:w="290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2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provided by financing activities</w:t>
            </w: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7240" w:type="dxa"/>
            <w:vAlign w:val="bottom"/>
            <w:vMerge w:val="continue"/>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(371,939)</w:t>
            </w:r>
          </w:p>
        </w:tc>
        <w:tc>
          <w:tcPr>
            <w:tcW w:w="6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68,211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240" w:type="dxa"/>
            <w:vAlign w:val="bottom"/>
          </w:tcPr>
          <w:p>
            <w:pPr>
              <w:ind w:left="260"/>
              <w:spacing w:after="0"/>
              <w:rPr>
                <w:sz w:val="20"/>
                <w:szCs w:val="20"/>
                <w:color w:val="auto"/>
              </w:rPr>
            </w:pPr>
            <w:r>
              <w:rPr>
                <w:rFonts w:ascii="Arial" w:cs="Arial" w:eastAsia="Arial" w:hAnsi="Arial"/>
                <w:sz w:val="16"/>
                <w:szCs w:val="16"/>
                <w:color w:val="auto"/>
              </w:rPr>
              <w:t>Effect of exchange rates on cash and cash equivalents</w:t>
            </w:r>
          </w:p>
        </w:tc>
        <w:tc>
          <w:tcPr>
            <w:tcW w:w="6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6"/>
                <w:szCs w:val="16"/>
                <w:color w:val="auto"/>
              </w:rPr>
              <w:t>(43</w:t>
            </w: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7240" w:type="dxa"/>
            <w:vAlign w:val="bottom"/>
            <w:vMerge w:val="restart"/>
            <w:shd w:val="clear" w:color="auto" w:fill="CFF0FC"/>
          </w:tcPr>
          <w:p>
            <w:pPr>
              <w:ind w:left="260"/>
              <w:spacing w:after="0"/>
              <w:rPr>
                <w:sz w:val="20"/>
                <w:szCs w:val="20"/>
                <w:color w:val="auto"/>
              </w:rPr>
            </w:pPr>
            <w:r>
              <w:rPr>
                <w:rFonts w:ascii="Arial" w:cs="Arial" w:eastAsia="Arial" w:hAnsi="Arial"/>
                <w:sz w:val="16"/>
                <w:szCs w:val="16"/>
                <w:color w:val="auto"/>
              </w:rPr>
              <w:t>Net (decrease) increase in cash and cash equivalents</w:t>
            </w: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40" w:type="dxa"/>
            <w:vAlign w:val="bottom"/>
            <w:vMerge w:val="continue"/>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(54,544)</w:t>
            </w:r>
          </w:p>
        </w:tc>
        <w:tc>
          <w:tcPr>
            <w:tcW w:w="6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261,368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6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142,813</w:t>
            </w:r>
          </w:p>
        </w:tc>
        <w:tc>
          <w:tcPr>
            <w:tcW w:w="240" w:type="dxa"/>
            <w:vAlign w:val="bottom"/>
            <w:tcBorders>
              <w:bottom w:val="single" w:sz="8" w:color="CFF0FC"/>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38,026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and cash equivalents at end of period</w:t>
            </w:r>
          </w:p>
        </w:tc>
        <w:tc>
          <w:tcPr>
            <w:tcW w:w="660" w:type="dxa"/>
            <w:vAlign w:val="bottom"/>
            <w:tcBorders>
              <w:bottom w:val="single" w:sz="8" w:color="auto"/>
            </w:tcBorders>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88,269</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299,394</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vMerge w:val="restart"/>
          </w:tcPr>
          <w:p>
            <w:pPr>
              <w:spacing w:after="0"/>
              <w:rPr>
                <w:sz w:val="20"/>
                <w:szCs w:val="20"/>
                <w:color w:val="auto"/>
              </w:rPr>
            </w:pPr>
            <w:r>
              <w:rPr>
                <w:rFonts w:ascii="Arial" w:cs="Arial" w:eastAsia="Arial" w:hAnsi="Arial"/>
                <w:sz w:val="16"/>
                <w:szCs w:val="16"/>
                <w:color w:val="auto"/>
              </w:rPr>
              <w:t>Non-cash investing and financing activities:</w:t>
            </w:r>
          </w:p>
        </w:tc>
        <w:tc>
          <w:tcPr>
            <w:tcW w:w="6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24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2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Property and equipment acquired but not yet paid</w:t>
            </w:r>
          </w:p>
        </w:tc>
        <w:tc>
          <w:tcPr>
            <w:tcW w:w="660" w:type="dxa"/>
            <w:vAlign w:val="bottom"/>
            <w:shd w:val="clear" w:color="auto" w:fill="CFF0FC"/>
          </w:tcPr>
          <w:p>
            <w:pPr>
              <w:jc w:val="right"/>
              <w:ind w:right="504"/>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17,825</w:t>
            </w:r>
          </w:p>
        </w:tc>
        <w:tc>
          <w:tcPr>
            <w:tcW w:w="240" w:type="dxa"/>
            <w:vAlign w:val="bottom"/>
            <w:shd w:val="clear" w:color="auto" w:fill="CFF0FC"/>
          </w:tcPr>
          <w:p>
            <w:pPr>
              <w:spacing w:after="0"/>
              <w:rPr>
                <w:sz w:val="20"/>
                <w:szCs w:val="20"/>
                <w:color w:val="auto"/>
              </w:rPr>
            </w:pPr>
          </w:p>
        </w:tc>
        <w:tc>
          <w:tcPr>
            <w:tcW w:w="680" w:type="dxa"/>
            <w:vAlign w:val="bottom"/>
            <w:shd w:val="clear" w:color="auto" w:fill="CFF0FC"/>
          </w:tcPr>
          <w:p>
            <w:pPr>
              <w:jc w:val="right"/>
              <w:ind w:right="524"/>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19,817</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5" w:right="339" w:bottom="1440" w:gutter="0" w:footer="0" w:header="0"/>
          <w:type w:val="continuous"/>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740" w:type="dxa"/>
            <w:vAlign w:val="bottom"/>
          </w:tcPr>
          <w:p>
            <w:pPr>
              <w:ind w:left="260"/>
              <w:spacing w:after="0"/>
              <w:rPr>
                <w:sz w:val="20"/>
                <w:szCs w:val="20"/>
                <w:color w:val="auto"/>
              </w:rPr>
            </w:pPr>
            <w:r>
              <w:rPr>
                <w:rFonts w:ascii="Arial" w:cs="Arial" w:eastAsia="Arial" w:hAnsi="Arial"/>
                <w:sz w:val="16"/>
                <w:szCs w:val="16"/>
                <w:color w:val="auto"/>
              </w:rPr>
              <w:t>Tenant capital improvements</w:t>
            </w:r>
          </w:p>
        </w:tc>
        <w:tc>
          <w:tcPr>
            <w:tcW w:w="3140" w:type="dxa"/>
            <w:vAlign w:val="bottom"/>
          </w:tcPr>
          <w:p>
            <w:pPr>
              <w:jc w:val="right"/>
              <w:ind w:right="719"/>
              <w:spacing w:after="0"/>
              <w:rPr>
                <w:sz w:val="20"/>
                <w:szCs w:val="20"/>
                <w:color w:val="auto"/>
              </w:rPr>
            </w:pPr>
            <w:r>
              <w:rPr>
                <w:rFonts w:ascii="Arial" w:cs="Arial" w:eastAsia="Arial" w:hAnsi="Arial"/>
                <w:sz w:val="16"/>
                <w:szCs w:val="16"/>
                <w:color w:val="auto"/>
              </w:rPr>
              <w:t>87,017</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81,137</w:t>
            </w:r>
          </w:p>
        </w:tc>
      </w:tr>
      <w:tr>
        <w:trPr>
          <w:trHeight w:val="233"/>
        </w:trPr>
        <w:tc>
          <w:tcPr>
            <w:tcW w:w="6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contingent consideration through non-cash consideration</w:t>
            </w:r>
          </w:p>
        </w:tc>
        <w:tc>
          <w:tcPr>
            <w:tcW w:w="3140" w:type="dxa"/>
            <w:vAlign w:val="bottom"/>
            <w:shd w:val="clear" w:color="auto" w:fill="CFF0FC"/>
          </w:tcPr>
          <w:p>
            <w:pPr>
              <w:jc w:val="right"/>
              <w:ind w:right="71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11,178</w:t>
            </w:r>
          </w:p>
        </w:tc>
      </w:tr>
      <w:tr>
        <w:trPr>
          <w:trHeight w:val="210"/>
        </w:trPr>
        <w:tc>
          <w:tcPr>
            <w:tcW w:w="6740" w:type="dxa"/>
            <w:vAlign w:val="bottom"/>
          </w:tcPr>
          <w:p>
            <w:pPr>
              <w:ind w:left="260"/>
              <w:spacing w:after="0"/>
              <w:rPr>
                <w:sz w:val="20"/>
                <w:szCs w:val="20"/>
                <w:color w:val="auto"/>
              </w:rPr>
            </w:pPr>
            <w:r>
              <w:rPr>
                <w:rFonts w:ascii="Arial" w:cs="Arial" w:eastAsia="Arial" w:hAnsi="Arial"/>
                <w:sz w:val="16"/>
                <w:szCs w:val="16"/>
                <w:color w:val="auto"/>
              </w:rPr>
              <w:t>Exchange of noncontrolling interest through non-cash consideration</w:t>
            </w:r>
          </w:p>
        </w:tc>
        <w:tc>
          <w:tcPr>
            <w:tcW w:w="314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4,260</w:t>
            </w:r>
          </w:p>
        </w:tc>
      </w:tr>
    </w:tbl>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Description of Business</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Uniti Group Inc. (the “Company,” “Uniti,” “we,” “us,” or “our”) was incorporated in the state of Maryland on September 4, 2014. We are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 We manage our operations in four separate lines of business: Uniti Fiber, Uniti Towers, Uniti Leasing, and the Consumer CLEC Business.</w:t>
      </w:r>
    </w:p>
    <w:p>
      <w:pPr>
        <w:spacing w:after="0" w:line="18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with the only significant difference between the financial position and results of operations of the Operating Partnership and its subsidiaries compared to the consolidated financial position and consolidated results of operations of Uniti is that the results for the Operating Partnership and its subsidiaries do not include Uniti’s Consumer CLEC segment, which consists of Talk America Services. The up-REIT structure is intended to facilitate future acquisition opportunities by providing the Company with the ability to use common units of the Operating Partnership as a tax-efficient acquisition currency. As of June 30, 2020, we are the sole general partner of the Operating Partnership and own approximately 98.2% of the partnership interests in the Operating Partnership.</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Summary of Significant Accounting Policies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 xml:space="preserve">The accompanying Condensed Consolidated Financial Statements include all accounts of the Company and its wholly owned and/or controlled subsidiaries, including the Operating Partnership. Under the Accounting Standards Codification 810, </w:t>
      </w:r>
      <w:r>
        <w:rPr>
          <w:rFonts w:ascii="Arial" w:cs="Arial" w:eastAsia="Arial" w:hAnsi="Arial"/>
          <w:sz w:val="17"/>
          <w:szCs w:val="17"/>
          <w:i w:val="1"/>
          <w:iCs w:val="1"/>
          <w:color w:val="auto"/>
        </w:rPr>
        <w:t>Consolidation</w:t>
      </w:r>
      <w:r>
        <w:rPr>
          <w:rFonts w:ascii="Arial" w:cs="Arial" w:eastAsia="Arial" w:hAnsi="Arial"/>
          <w:sz w:val="17"/>
          <w:szCs w:val="17"/>
          <w:color w:val="auto"/>
        </w:rPr>
        <w:t xml:space="preserve"> (“ASC 810”), the Operating Partnership is considered a variable interest entity and is consolidated in the Condensed Consolidated Financial Statements of Uniti Group Inc. because the Company is the primary beneficiary. All material intercompany balances and transactions have been eliminated.</w:t>
      </w:r>
    </w:p>
    <w:p>
      <w:pPr>
        <w:spacing w:after="0" w:line="17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ASC 810 provides guidance on the identification of entities for which control is achieved through means other than voting rights (“variable interest entities” or “VIEs”) and the determination of which business enterprise, if any, should consolidate the VIEs. Generally, the consideration of whether an entity is a VIE applies when either: (1) the equity investors (if any) lack (i) the ability to make decisions about the entity’s activities through voting or similar rights, (ii) the obligation to absorb the expected losses of the entity, or (iii) the right to receive the expected residual returns of the entity; (2) the equity investment at risk is insufficient to finance that entity’s activities without additional subordinated financial support; or (3) the equity investors have voting rights that are not proportionate to their economic interests and substantially all of the activities of the entity involve or are conducted on behalf of an investor with a disproportionately small voting interest. The Company consolidates VIEs in which it is considered to be the primary beneficiary. The primary beneficiary is defined as the entity having both of the following characteristics: (1) the power to direct the activities that, when taken together, most significantly impact the VIE’s performance; and (2) the obligation to absorb losses and right to receive the returns from the VIE that would be significant to the VIE.</w:t>
      </w:r>
    </w:p>
    <w:p>
      <w:pPr>
        <w:spacing w:after="0" w:line="194"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Accordingly, they do not include all of the information and footnotes required by GAAP for complete financial statements. In the opinion of management, all adjustments (consisting of normal recurring accruals) considered necessary for a fair statement of results for the interim period have been included. Operating results from any interim period are not necessarily indicative of the results that may be expected for the full fiscal year. The accompanying Condensed Consolidated Financial Statements and related notes should be read in conjunction with the audited consolidated financial statements and notes thereto included in our Annual Report on Form 10-K for the year ended December 31, 2019 (“Annual Report”), filed with the SEC on March 12, 2020. Accordingly, significant accounting policies and other disclosures normally provided have been omitted from the accompanying Condensed Consolidated Financial Statements and related notes since such items are disclosed in our Annual Report.</w:t>
      </w:r>
    </w:p>
    <w:p>
      <w:pPr>
        <w:spacing w:after="0" w:line="161" w:lineRule="exact"/>
        <w:rPr>
          <w:sz w:val="20"/>
          <w:szCs w:val="20"/>
          <w:color w:val="auto"/>
        </w:rPr>
      </w:pPr>
    </w:p>
    <w:p>
      <w:pPr>
        <w:ind w:right="60"/>
        <w:spacing w:after="0" w:line="258" w:lineRule="auto"/>
        <w:rPr>
          <w:sz w:val="20"/>
          <w:szCs w:val="20"/>
          <w:color w:val="auto"/>
        </w:rPr>
      </w:pPr>
      <w:r>
        <w:rPr>
          <w:rFonts w:ascii="Arial" w:cs="Arial" w:eastAsia="Arial" w:hAnsi="Arial"/>
          <w:sz w:val="18"/>
          <w:szCs w:val="18"/>
          <w:u w:val="single" w:color="auto"/>
          <w:color w:val="auto"/>
        </w:rPr>
        <w:t>Going Concern</w:t>
      </w:r>
      <w:r>
        <w:rPr>
          <w:rFonts w:ascii="Arial" w:cs="Arial" w:eastAsia="Arial" w:hAnsi="Arial"/>
          <w:sz w:val="21"/>
          <w:szCs w:val="21"/>
          <w:color w:val="auto"/>
        </w:rPr>
        <w:t>—</w:t>
      </w:r>
      <w:r>
        <w:rPr>
          <w:rFonts w:ascii="Arial" w:cs="Arial" w:eastAsia="Arial" w:hAnsi="Arial"/>
          <w:sz w:val="18"/>
          <w:szCs w:val="18"/>
          <w:color w:val="auto"/>
        </w:rPr>
        <w:t xml:space="preserve">In accordance with Accounting Standards Update ("ASU") 2014-15, </w:t>
      </w:r>
      <w:r>
        <w:rPr>
          <w:rFonts w:ascii="Arial" w:cs="Arial" w:eastAsia="Arial" w:hAnsi="Arial"/>
          <w:sz w:val="18"/>
          <w:szCs w:val="18"/>
          <w:i w:val="1"/>
          <w:iCs w:val="1"/>
          <w:color w:val="auto"/>
        </w:rPr>
        <w:t>Disclosure of Uncertainties about an Entity's Ability to Continue as</w:t>
      </w:r>
      <w:r>
        <w:rPr>
          <w:rFonts w:ascii="Arial" w:cs="Arial" w:eastAsia="Arial" w:hAnsi="Arial"/>
          <w:sz w:val="18"/>
          <w:szCs w:val="18"/>
          <w:color w:val="auto"/>
        </w:rPr>
        <w:t xml:space="preserve"> </w:t>
      </w:r>
      <w:r>
        <w:rPr>
          <w:rFonts w:ascii="Arial" w:cs="Arial" w:eastAsia="Arial" w:hAnsi="Arial"/>
          <w:sz w:val="18"/>
          <w:szCs w:val="18"/>
          <w:i w:val="1"/>
          <w:iCs w:val="1"/>
          <w:color w:val="auto"/>
        </w:rPr>
        <w:t>a Going Concern (Subtopic 205-40)</w:t>
      </w:r>
      <w:r>
        <w:rPr>
          <w:rFonts w:ascii="Arial" w:cs="Arial" w:eastAsia="Arial" w:hAnsi="Arial"/>
          <w:sz w:val="18"/>
          <w:szCs w:val="18"/>
          <w:color w:val="auto"/>
        </w:rPr>
        <w:t>, the Company’s management has evaluated whether there are conditions and events, considered in the aggregate, that</w:t>
      </w:r>
      <w:r>
        <w:rPr>
          <w:rFonts w:ascii="Arial" w:cs="Arial" w:eastAsia="Arial" w:hAnsi="Arial"/>
          <w:sz w:val="18"/>
          <w:szCs w:val="18"/>
          <w:i w:val="1"/>
          <w:iCs w:val="1"/>
          <w:color w:val="auto"/>
        </w:rPr>
        <w:t xml:space="preserve"> </w:t>
      </w:r>
      <w:r>
        <w:rPr>
          <w:rFonts w:ascii="Arial" w:cs="Arial" w:eastAsia="Arial" w:hAnsi="Arial"/>
          <w:sz w:val="18"/>
          <w:szCs w:val="18"/>
          <w:color w:val="auto"/>
        </w:rPr>
        <w:t>raise substantial doubt about the Company’s ability to continue as a going concern within one year after the date the accompanying Condensed Consolidated Financial Statements are issued. The accompanying Condensed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Consolidated Financial Statements have been prepared on a going concern basis, which contemplates the realization of assets and satisfaction of liabilities in the ordinary course of business. As noted below, the Company’s largest customer, Windstream Holdings, Inc. (“Windstream Holdings” and together with its consolidated subsidiaries “Windstream”), has been in bankruptcy proceedings that had created substantial doubt as to the Company’s ability to continue as a going concern. In light of the approval by the U.S. Bankruptcy Court for the Southern District of New York (the “Bankruptcy Court”) of Windstream’s plan of reorganization and its approval of the Settlement (as defined below) between Windstream and the Company, which includes an order approving Windstream’s acceptance of the Master Lease (as defined below), the Company has evaluated the relevant conditions and factors and has determined that there is no longer substantial doubt about the Company’s ability to continue as a going concern.</w:t>
      </w:r>
    </w:p>
    <w:p>
      <w:pPr>
        <w:spacing w:after="0" w:line="16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We are party to a master lease agreement (the “Master Lease”) with Windstream Holdings from which 65.0% of our revenue for the year ended December 31, 2019 was derived. In recent years, Windstream has experienced annual declines in its total revenue, sales and cash flow, and has had its credit ratings downgraded by nationally recognized credit rating agencies multiple times.</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response to the adverse outcome in a litigation against Windstream, on February 25, 2019, Windstream filed a voluntary petition for relief under Chapter 11 of the Bankruptcy Code and is currently operating as a “debtor in possession” under supervision of the Bankruptcy Court.</w:t>
      </w:r>
    </w:p>
    <w:p>
      <w:pPr>
        <w:spacing w:after="0" w:line="170" w:lineRule="exact"/>
        <w:rPr>
          <w:sz w:val="20"/>
          <w:szCs w:val="20"/>
          <w:color w:val="auto"/>
        </w:rPr>
      </w:pPr>
    </w:p>
    <w:p>
      <w:pPr>
        <w:ind w:right="20"/>
        <w:spacing w:after="0" w:line="268" w:lineRule="auto"/>
        <w:rPr>
          <w:rFonts w:ascii="Arial" w:cs="Arial" w:eastAsia="Arial" w:hAnsi="Arial"/>
          <w:sz w:val="17"/>
          <w:szCs w:val="17"/>
          <w:u w:val="single" w:color="auto"/>
          <w:color w:val="auto"/>
        </w:rPr>
      </w:pPr>
      <w:r>
        <w:rPr>
          <w:rFonts w:ascii="Arial" w:cs="Arial" w:eastAsia="Arial" w:hAnsi="Arial"/>
          <w:sz w:val="17"/>
          <w:szCs w:val="17"/>
          <w:color w:val="auto"/>
        </w:rPr>
        <w:t xml:space="preserve">In bankruptcy, Windstream had the option to assume or reject the Master Lease. Windstream also filed claims against the Company alleging, among other things: that the Master Lease should be recharacterized as a financing transaction, which would impact its treatment in Windstream’s bankruptcy (including potentially through changing our status to that of a creditor that would share in creditor recoveries from the estate rather than receive rent payments) and which could affect our status as a REIT; that the Master Lease is a lease of personal property; and that rent payments and tenant capital improvements made by Windstream under the Master Lease since at least the third quarter of 2017 constitute constructive fraudulent transfers. We participated in mediation of these claims in Windstream’s bankruptcy. On March 2, 2020, Uniti and Windstream jointly announced that they reached an agreement in principle (the “Settlement”)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On May 12, 2020, Uniti and Windstream entered into the settlement agreement to implement the Settlement. The Settlement is subject to finalizing and executing definitive documentation and the receipt of certain regulatory approvals. Following satisfaction of all such conditions precedent, consummation of the Settlement will occur on the earlier of Windstream’s </w:t>
      </w:r>
      <w:hyperlink w:anchor="page35">
        <w:r>
          <w:rPr>
            <w:rFonts w:ascii="Arial" w:cs="Arial" w:eastAsia="Arial" w:hAnsi="Arial"/>
            <w:sz w:val="17"/>
            <w:szCs w:val="17"/>
            <w:color w:val="auto"/>
          </w:rPr>
          <w:t xml:space="preserve">emergence from bankruptcy and February 28, 2021. All litigation between Windstream and Uniti is stayed while the parties implement the Settlement. </w:t>
        </w:r>
        <w:r>
          <w:rPr>
            <w:rFonts w:ascii="Arial" w:cs="Arial" w:eastAsia="Arial" w:hAnsi="Arial"/>
            <w:sz w:val="17"/>
            <w:szCs w:val="17"/>
            <w:u w:val="single" w:color="auto"/>
            <w:color w:val="auto"/>
          </w:rPr>
          <w:t>See</w:t>
        </w:r>
      </w:hyperlink>
      <w:r>
        <w:rPr>
          <w:rFonts w:ascii="Arial" w:cs="Arial" w:eastAsia="Arial" w:hAnsi="Arial"/>
          <w:sz w:val="17"/>
          <w:szCs w:val="17"/>
          <w:color w:val="auto"/>
        </w:rPr>
        <w:t xml:space="preserve"> </w:t>
      </w:r>
      <w:hyperlink w:anchor="page35">
        <w:r>
          <w:rPr>
            <w:rFonts w:ascii="Arial" w:cs="Arial" w:eastAsia="Arial" w:hAnsi="Arial"/>
            <w:sz w:val="17"/>
            <w:szCs w:val="17"/>
            <w:u w:val="single" w:color="auto"/>
            <w:color w:val="auto"/>
          </w:rPr>
          <w:t>Note 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6943725</wp:posOffset>
            </wp:positionH>
            <wp:positionV relativeFrom="paragraph">
              <wp:posOffset>-172085</wp:posOffset>
            </wp:positionV>
            <wp:extent cx="1651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10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393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93700" cy="8255"/>
                    </a:xfrm>
                    <a:prstGeom prst="rect">
                      <a:avLst/>
                    </a:prstGeom>
                    <a:noFill/>
                  </pic:spPr>
                </pic:pic>
              </a:graphicData>
            </a:graphic>
          </wp:anchor>
        </w:drawing>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June 26, 2020, the Bankruptcy Court approved Windstream’s plan of reorganization. Consummation of the plan of reorganization is subject to certain conditions precedent, including consummation of the Settlement and receipt of certain regulatory approvals. We believe that we are likely to effectuate the Settlement. However, even if it cannot be implemented, we believe the probability of Windstream rejecting the Master Lease in bankruptcy to be remote if Windstream intends to reorganize. A significant amount of Windstream’s revenue is generated from the use of our network included in the Master Lease, and we believe that the Master Lease is essential to Windstream’s operations. Furthermore, Windstream is designated as a “carrier of last resort” in certain markets where it utilizes the Master Lease to provide service to its customers, and Windstream would require approval from the Public Utility Commissions (“PUC”) and the Federal Communications Commission (“FCC”) to cease providing service in those markets. However, should we fail to implement the Settlement, a rejection of the Master Lease, an adverse determination by a judge on Windstream’s claims against, or even a temporary disruption in payments to us, may require us to fund certain expenses and obligations (e.g., real estate taxes, insurance and maintenance expenses) to preserve the value of our properties, and could materially adversely affect our consolidated results of operations, liquidity and financial condition, including our ability to service debt, comply with debt covenants and maintain our status as a REIT.</w:t>
      </w:r>
    </w:p>
    <w:p>
      <w:pPr>
        <w:spacing w:after="0" w:line="172" w:lineRule="exact"/>
        <w:rPr>
          <w:sz w:val="20"/>
          <w:szCs w:val="20"/>
          <w:color w:val="auto"/>
        </w:rPr>
      </w:pPr>
    </w:p>
    <w:p>
      <w:pPr>
        <w:jc w:val="both"/>
        <w:spacing w:after="0" w:line="263" w:lineRule="auto"/>
        <w:rPr>
          <w:rFonts w:ascii="Arial" w:cs="Arial" w:eastAsia="Arial" w:hAnsi="Arial"/>
          <w:sz w:val="18"/>
          <w:szCs w:val="18"/>
          <w:color w:val="212529"/>
        </w:rPr>
      </w:pPr>
      <w:r>
        <w:rPr>
          <w:rFonts w:ascii="Arial" w:cs="Arial" w:eastAsia="Arial" w:hAnsi="Arial"/>
          <w:sz w:val="18"/>
          <w:szCs w:val="18"/>
          <w:u w:val="single" w:color="auto"/>
          <w:color w:val="auto"/>
        </w:rPr>
        <w:t>Investment in Unconsolidated Entity</w:t>
      </w:r>
      <w:r>
        <w:rPr>
          <w:rFonts w:ascii="Arial" w:cs="Arial" w:eastAsia="Arial" w:hAnsi="Arial"/>
          <w:sz w:val="18"/>
          <w:szCs w:val="18"/>
          <w:color w:val="auto"/>
        </w:rPr>
        <w:t xml:space="preserve">—We </w:t>
      </w:r>
      <w:r>
        <w:rPr>
          <w:rFonts w:ascii="Arial" w:cs="Arial" w:eastAsia="Arial" w:hAnsi="Arial"/>
          <w:sz w:val="18"/>
          <w:szCs w:val="18"/>
          <w:color w:val="212529"/>
        </w:rPr>
        <w:t>report the investment in our unconsolidated entity under the equity method of accounting. We adjust our</w:t>
      </w:r>
      <w:r>
        <w:rPr>
          <w:rFonts w:ascii="Arial" w:cs="Arial" w:eastAsia="Arial" w:hAnsi="Arial"/>
          <w:sz w:val="18"/>
          <w:szCs w:val="18"/>
          <w:color w:val="auto"/>
        </w:rPr>
        <w:t xml:space="preserve"> </w:t>
      </w:r>
      <w:r>
        <w:rPr>
          <w:rFonts w:ascii="Arial" w:cs="Arial" w:eastAsia="Arial" w:hAnsi="Arial"/>
          <w:sz w:val="18"/>
          <w:szCs w:val="18"/>
          <w:color w:val="212529"/>
        </w:rPr>
        <w:t xml:space="preserve">investment in the unconsolidated entity for additional contributions made, distributions received as well as our share of the investee's earnings or losses, which are reported on a 90-day lag and are included in our Consolidated Statements of Income. </w:t>
      </w:r>
      <w:hyperlink w:anchor="page21">
        <w:r>
          <w:rPr>
            <w:rFonts w:ascii="Arial" w:cs="Arial" w:eastAsia="Arial" w:hAnsi="Arial"/>
            <w:sz w:val="18"/>
            <w:szCs w:val="18"/>
            <w:u w:val="single" w:color="auto"/>
            <w:color w:val="0000EE"/>
          </w:rPr>
          <w:t>See Note 6.</w:t>
        </w:r>
      </w:hyperlink>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Goodwill</w:t>
      </w:r>
      <w:r>
        <w:rPr>
          <w:rFonts w:ascii="Arial" w:cs="Arial" w:eastAsia="Arial" w:hAnsi="Arial"/>
          <w:sz w:val="18"/>
          <w:szCs w:val="18"/>
          <w:color w:val="auto"/>
        </w:rPr>
        <w:t xml:space="preserve">—The COVID-19 pandemic has negatively impacted the global economy, disrupted global supply chains and created significant volatility and disruption of financial markets. In accordance with ASC 350, </w:t>
      </w:r>
      <w:r>
        <w:rPr>
          <w:rFonts w:ascii="Arial" w:cs="Arial" w:eastAsia="Arial" w:hAnsi="Arial"/>
          <w:sz w:val="18"/>
          <w:szCs w:val="18"/>
          <w:i w:val="1"/>
          <w:iCs w:val="1"/>
          <w:color w:val="auto"/>
        </w:rPr>
        <w:t>Intangibles – Goodwill and Other</w:t>
      </w:r>
      <w:r>
        <w:rPr>
          <w:rFonts w:ascii="Arial" w:cs="Arial" w:eastAsia="Arial" w:hAnsi="Arial"/>
          <w:sz w:val="18"/>
          <w:szCs w:val="18"/>
          <w:color w:val="auto"/>
        </w:rPr>
        <w:t>, we have considered events or circumstances resulting from the COVID-19 pandemic that may indicate whether it is more likely than not that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 We continue to monitor the developments associated with the COVID-19 pandemic and its related impact on our business and, if we determine that the COVID-19 pandemic is negatively impacting our business, we may conclude that an interim impairment analysis is required in a future period.</w:t>
      </w:r>
    </w:p>
    <w:p>
      <w:pPr>
        <w:spacing w:after="0" w:line="19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or received significant requests for payment relief from our customers as a result of the COVID-19 pandemic. Furthermore, as of the date of this Quarterly Report on Form 10-Q, we have not observed declines in the valuation of relevant acquisitions, which would impact the estimated fair value of our Fiber reporting unit under the market approach, as we use market data of comparable business and acquisition valuations of recent transactions to estimate fair value. As a result, we concluded that no triggering events were present and have not performed an interim impairment analysis during the quarter. We have implemented policies and procedures designed to mitigate the risk of adverse impacts of the COVID-19 pandemic, or a future pandemic, on our operations, but we may incur additional costs to ensure continuity of business operations caused by COVID-19,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 Given the ongoing and dynamic nature of the circumstances, it is difficult to predict the impact of COVID-19 on us, and there is no guarantee that efforts by us, designed to address adverse impacts of COVID-19, will be effective and those adverse impacts may be material to the financial statements.</w:t>
      </w:r>
    </w:p>
    <w:p>
      <w:pPr>
        <w:spacing w:after="0" w:line="167"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u w:val="single" w:color="auto"/>
          <w:color w:val="auto"/>
        </w:rPr>
        <w:t>Concentration of Credit Risks</w:t>
      </w:r>
      <w:r>
        <w:rPr>
          <w:rFonts w:ascii="Arial" w:cs="Arial" w:eastAsia="Arial" w:hAnsi="Arial"/>
          <w:sz w:val="17"/>
          <w:szCs w:val="17"/>
          <w:color w:val="auto"/>
        </w:rPr>
        <w:t>—Revenue under the Master Lease provided 65.2% and 65.2% of our revenue for the six months ended June 30, 2020 and 2019, respectively. Because a substantial portion of our revenue and cash flows are derived from lease payments by Windstream pursuant to the Master Lease, there could be a material adverse impact on our consolidated results of operations, liquidity, financial condition and/or ability to pay dividends and service debt if Windstream were to default under the Master Lease, succeed in its claims against us or otherwise experiences operating or liquidity difficulties and becomes unable to generate sufficient cash to make payments to us.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Windstream is a publicly traded company and is subject to the periodic filing requirements of the Securities Exchange Act of 1934, as amended.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Windstream filings can be found at www.sec.gov. Windstream filings are not incorporated by reference in this Quarterly Report on Form 10-Q.</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Reclassifications</w:t>
      </w:r>
      <w:r>
        <w:rPr>
          <w:rFonts w:ascii="Arial" w:cs="Arial" w:eastAsia="Arial" w:hAnsi="Arial"/>
          <w:sz w:val="16"/>
          <w:szCs w:val="16"/>
          <w:color w:val="auto"/>
          <w:highlight w:val="white"/>
        </w:rPr>
        <w:t>—Certain prior year asset categories and related amounts in Note 4 have been reclassified to conform with current year presentation.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Standards</w:t>
      </w:r>
    </w:p>
    <w:p>
      <w:pPr>
        <w:spacing w:after="0" w:line="22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 xml:space="preserve">On June 16, 2016, the FASB issued ASU 2016-13, </w:t>
      </w:r>
      <w:r>
        <w:rPr>
          <w:rFonts w:ascii="Arial" w:cs="Arial" w:eastAsia="Arial" w:hAnsi="Arial"/>
          <w:sz w:val="18"/>
          <w:szCs w:val="18"/>
          <w:i w:val="1"/>
          <w:iCs w:val="1"/>
          <w:color w:val="auto"/>
        </w:rPr>
        <w:t>Financial Instruments – Credit Losses (Topic 326): 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amends the accounting for credit losses affecting loans, debt securities, trade receivables, net investments in leases,</w:t>
      </w:r>
      <w:r>
        <w:rPr>
          <w:rFonts w:ascii="Arial" w:cs="Arial" w:eastAsia="Arial" w:hAnsi="Arial"/>
          <w:sz w:val="18"/>
          <w:szCs w:val="18"/>
          <w:i w:val="1"/>
          <w:iCs w:val="1"/>
          <w:color w:val="auto"/>
        </w:rPr>
        <w:t xml:space="preserve"> </w:t>
      </w:r>
      <w:r>
        <w:rPr>
          <w:rFonts w:ascii="Arial" w:cs="Arial" w:eastAsia="Arial" w:hAnsi="Arial"/>
          <w:sz w:val="18"/>
          <w:szCs w:val="18"/>
          <w:color w:val="auto"/>
        </w:rPr>
        <w:t>and any other financial asset not excluded from the scope that have the contractual right to receive cash. ASU 2016-13 is effect for the interim and annual reporting periods beginning after December 15, 2019. We adopted ASU 2016-13 effective January 1, 2020, and there was no material impact on our financial statements and related disclosures.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following is a description of principal activities, separated by reportable segments </w:t>
      </w:r>
      <w:hyperlink w:anchor="page32">
        <w:r>
          <w:rPr>
            <w:rFonts w:ascii="Arial" w:cs="Arial" w:eastAsia="Arial" w:hAnsi="Arial"/>
            <w:sz w:val="16"/>
            <w:szCs w:val="16"/>
            <w:u w:val="single" w:color="auto"/>
            <w:color w:val="0000EE"/>
          </w:rPr>
          <w:t>(see Note 14),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from which the Company generates its revenues.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Leasing</w:t>
      </w:r>
    </w:p>
    <w:p>
      <w:pPr>
        <w:spacing w:after="0" w:line="225" w:lineRule="exact"/>
        <w:rPr>
          <w:sz w:val="20"/>
          <w:szCs w:val="20"/>
          <w:color w:val="auto"/>
        </w:rPr>
      </w:pPr>
    </w:p>
    <w:p>
      <w:pPr>
        <w:ind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Leasing revenue represents the results from our leasing business, Uniti Leasing, which is engaged in the acquisition of mission-critical communications assets and leasing them back to anchor customers on either an exclusive or shared-tenant basis. Due to the nature of these activities, they are outside the scope of the guidance of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(“Topic 606”), and are recognized under other applicable guidance, including ASC 842. </w:t>
      </w:r>
      <w:hyperlink w:anchor="page18">
        <w:r>
          <w:rPr>
            <w:rFonts w:ascii="Arial" w:cs="Arial" w:eastAsia="Arial" w:hAnsi="Arial"/>
            <w:sz w:val="18"/>
            <w:szCs w:val="18"/>
            <w:u w:val="single" w:color="auto"/>
            <w:color w:val="auto"/>
          </w:rPr>
          <w:t>See Note 4.</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Fiber Infrastructure</w:t>
      </w:r>
    </w:p>
    <w:p>
      <w:pPr>
        <w:spacing w:after="0" w:line="225"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Fiber Infrastructure segment represents the operations of our fiber business, Uniti Fiber, which provides (i) consumer, enterprise, wholesale and backhaul lit fiber, (ii) E-rate, (iii) small cell, (iv) construction services, (v) dark fiber and (vi) other revenue generating activities.</w:t>
      </w:r>
    </w:p>
    <w:p>
      <w:pPr>
        <w:spacing w:after="0" w:line="146" w:lineRule="exact"/>
        <w:rPr>
          <w:sz w:val="20"/>
          <w:szCs w:val="20"/>
          <w:color w:val="auto"/>
        </w:rPr>
      </w:pPr>
    </w:p>
    <w:p>
      <w:pPr>
        <w:ind w:left="1120" w:hanging="74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Consumer, enterprise, wholesale, and backhaul lit fiber fall under the guidance of Topic 606. Revenue is recognized over the life of the contracts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20" w:right="20" w:hanging="74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E-rate contracts involve providing lit fiber services to schools and libraries, and is governed by Topic 606. Revenue is recognized over the life of the contract in a pattern that reflects the satisfaction of Uniti’s stand-ready obligation to provide lit fiber services. The transaction price is equal to the monthly-recurring charge multiplied by the contract term, plus any non-recurring or variable charges. For each contract, the customer is invoiced monthly.</w:t>
      </w:r>
    </w:p>
    <w:p>
      <w:pPr>
        <w:spacing w:after="0" w:line="186" w:lineRule="exact"/>
        <w:rPr>
          <w:rFonts w:ascii="Arial" w:cs="Arial" w:eastAsia="Arial" w:hAnsi="Arial"/>
          <w:sz w:val="18"/>
          <w:szCs w:val="18"/>
          <w:color w:val="auto"/>
        </w:rPr>
      </w:pPr>
    </w:p>
    <w:p>
      <w:pPr>
        <w:ind w:left="1120" w:right="160" w:hanging="748"/>
        <w:spacing w:after="0" w:line="257"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Small cell contracts provide improved network connection to areas that may not require or accommodate a tower. Small cell arrangements typically contain five streams of revenue: site development, radio frequency (“RF”) design, dark fiber lease, construction services, and maintenance services. Site development, RF design and construction are each separate services and are considered distinct performance obligations under Topic 606. Dark fiber and associated maintenance services constitute a lease, and as such, they are outside the scope of Topic 606 and are governed by other applicable guidance.</w:t>
      </w:r>
    </w:p>
    <w:p>
      <w:pPr>
        <w:spacing w:after="0" w:line="187" w:lineRule="exact"/>
        <w:rPr>
          <w:rFonts w:ascii="Arial" w:cs="Arial" w:eastAsia="Arial" w:hAnsi="Arial"/>
          <w:sz w:val="18"/>
          <w:szCs w:val="18"/>
          <w:color w:val="auto"/>
        </w:rPr>
      </w:pPr>
    </w:p>
    <w:p>
      <w:pPr>
        <w:ind w:left="1120" w:right="80" w:hanging="748"/>
        <w:spacing w:after="0" w:line="301" w:lineRule="auto"/>
        <w:tabs>
          <w:tab w:leader="none" w:pos="11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Construction revenue is generated from contracts to provide various construction services such as equipment installation or the laying of fiber. Construction revenue is recognized over time as construction activities occur as we are either enhancing a customer’s owned asset or constructing an asset with no alternative use to us and we would be entitled to our costs plus a reasonable profit margin if the contract was terminated early by the customer. We are utilizing our costs incurred as the measure of progress of satisfying our performance obligation.</w:t>
      </w:r>
    </w:p>
    <w:p>
      <w:pPr>
        <w:spacing w:after="0" w:line="157" w:lineRule="exact"/>
        <w:rPr>
          <w:rFonts w:ascii="Arial" w:cs="Arial" w:eastAsia="Arial" w:hAnsi="Arial"/>
          <w:sz w:val="16"/>
          <w:szCs w:val="16"/>
          <w:color w:val="auto"/>
        </w:rPr>
      </w:pPr>
    </w:p>
    <w:p>
      <w:pPr>
        <w:ind w:left="1120" w:right="100" w:hanging="748"/>
        <w:spacing w:after="0" w:line="259" w:lineRule="auto"/>
        <w:tabs>
          <w:tab w:leader="none" w:pos="11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Dark fiber arrangements represent operating leases under ASC 842 and are outside the scope of Topic 606. When (a) a customer makes an advance payment or (b) a customer is contractually obligated to pay any amounts in advance, which is not deemed a separate performance obligation, deferred leasing revenue is recorded. This leasing revenue is recognized ratably over the expected term of the contract, unless the pattern of service suggests otherwise.</w:t>
      </w:r>
    </w:p>
    <w:p>
      <w:pPr>
        <w:spacing w:after="0" w:line="186" w:lineRule="exact"/>
        <w:rPr>
          <w:rFonts w:ascii="Arial" w:cs="Arial" w:eastAsia="Arial" w:hAnsi="Arial"/>
          <w:sz w:val="18"/>
          <w:szCs w:val="18"/>
          <w:color w:val="auto"/>
        </w:rPr>
      </w:pPr>
    </w:p>
    <w:p>
      <w:pPr>
        <w:ind w:left="1120" w:right="60" w:hanging="748"/>
        <w:spacing w:after="0" w:line="283" w:lineRule="auto"/>
        <w:tabs>
          <w:tab w:leader="none" w:pos="1120" w:val="left"/>
        </w:tabs>
        <w:numPr>
          <w:ilvl w:val="0"/>
          <w:numId w:val="5"/>
        </w:numPr>
        <w:rPr>
          <w:rFonts w:ascii="Arial" w:cs="Arial" w:eastAsia="Arial" w:hAnsi="Arial"/>
          <w:sz w:val="19"/>
          <w:szCs w:val="19"/>
          <w:color w:val="auto"/>
        </w:rPr>
      </w:pPr>
      <w:r>
        <w:rPr>
          <w:rFonts w:ascii="Arial" w:cs="Arial" w:eastAsia="Arial" w:hAnsi="Arial"/>
          <w:sz w:val="16"/>
          <w:szCs w:val="16"/>
          <w:color w:val="auto"/>
        </w:rPr>
        <w:t>The Company generates revenues from other services, such as consultation services and equipment sales. Revenue from the sale of customer premise equipment and modems that are not provided as an essential part of the telecommunications services, including broadband, long distance, and enhanced services is recognized when products are delivered to and accepted by the customer. Revenue from customer premise equipment and modems provided as an essential part of the telecommunications services, including broadband, long distance, and enhanced services are recognized over time in a pattern that reflects the satisfaction of the service performance obligation.</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Towers</w:t>
      </w:r>
    </w:p>
    <w:p>
      <w:pPr>
        <w:spacing w:after="0" w:line="22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The Towers segment represents the operations of our towers business, Uniti Towers, through which we acquire and construct tower and tower-related real estate, which we then lease to our customers in the United States. Revenue from our towers business qualifies as a lease under ASC 842 and is outside the scope of Topic 606.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CLEC</w:t>
      </w:r>
    </w:p>
    <w:p>
      <w:pPr>
        <w:spacing w:after="0" w:line="22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Consumer CLEC segment represents the operations of Talk America Services (“Talk America”) through which we operate the Consumer CLEC Business, which provides local telephone, high-speed internet and long-distance services to customers in the eastern and central United States. Customers are billed monthly for services rendered based on actual usage or contracted amounts. The transaction price is equal to the monthly-recurring charge multiplied by the initial contract term (typically 12 months), plus any non-recurring or variable charges.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Disaggregation of Revenue</w:t>
            </w:r>
          </w:p>
        </w:tc>
        <w:tc>
          <w:tcPr>
            <w:tcW w:w="2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48"/>
        </w:trPr>
        <w:tc>
          <w:tcPr>
            <w:tcW w:w="6620" w:type="dxa"/>
            <w:vAlign w:val="bottom"/>
            <w:gridSpan w:val="6"/>
          </w:tcPr>
          <w:p>
            <w:pPr>
              <w:spacing w:after="0"/>
              <w:rPr>
                <w:sz w:val="20"/>
                <w:szCs w:val="20"/>
                <w:color w:val="auto"/>
              </w:rPr>
            </w:pPr>
            <w:r>
              <w:rPr>
                <w:rFonts w:ascii="Arial" w:cs="Arial" w:eastAsia="Arial" w:hAnsi="Arial"/>
                <w:sz w:val="18"/>
                <w:szCs w:val="18"/>
                <w:color w:val="auto"/>
              </w:rPr>
              <w:t>The following table presents our revenues disaggregated by revenue stream.</w:t>
            </w: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198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2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w w:val="94"/>
              </w:rPr>
              <w:t>Three Months Ended June 30,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6"/>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(Thousands)</w:t>
            </w:r>
          </w:p>
        </w:tc>
        <w:tc>
          <w:tcPr>
            <w:tcW w:w="16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i w:val="1"/>
                <w:iCs w:val="1"/>
                <w:color w:val="auto"/>
              </w:rPr>
              <w:t>Revenue disaggregated by revenue stream</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80" w:type="dxa"/>
            <w:vAlign w:val="bottom"/>
            <w:gridSpan w:val="2"/>
          </w:tcPr>
          <w:p>
            <w:pPr>
              <w:spacing w:after="0"/>
              <w:rPr>
                <w:sz w:val="20"/>
                <w:szCs w:val="20"/>
                <w:color w:val="auto"/>
              </w:rPr>
            </w:pPr>
            <w:r>
              <w:rPr>
                <w:rFonts w:ascii="Arial" w:cs="Arial" w:eastAsia="Arial" w:hAnsi="Arial"/>
                <w:sz w:val="18"/>
                <w:szCs w:val="18"/>
                <w:color w:val="auto"/>
              </w:rPr>
              <w:t>Revenue from contracts with customers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Lit backhaul</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27,216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33,401</w:t>
            </w: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55,408</w:t>
            </w:r>
          </w:p>
        </w:tc>
        <w:tc>
          <w:tcPr>
            <w:tcW w:w="280" w:type="dxa"/>
            <w:vAlign w:val="bottom"/>
          </w:tcPr>
          <w:p>
            <w:pPr>
              <w:spacing w:after="0"/>
              <w:rPr>
                <w:sz w:val="19"/>
                <w:szCs w:val="19"/>
                <w:color w:val="auto"/>
              </w:rPr>
            </w:pPr>
          </w:p>
        </w:tc>
        <w:tc>
          <w:tcPr>
            <w:tcW w:w="280" w:type="dxa"/>
            <w:vAlign w:val="bottom"/>
            <w:gridSpan w:val="2"/>
          </w:tcPr>
          <w:p>
            <w:pPr>
              <w:jc w:val="right"/>
              <w:ind w:right="149"/>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65,606</w:t>
            </w:r>
          </w:p>
        </w:tc>
        <w:tc>
          <w:tcPr>
            <w:tcW w:w="120" w:type="dxa"/>
            <w:vAlign w:val="bottom"/>
          </w:tcPr>
          <w:p>
            <w:pPr>
              <w:spacing w:after="0"/>
              <w:rPr>
                <w:sz w:val="19"/>
                <w:szCs w:val="19"/>
                <w:color w:val="auto"/>
              </w:rPr>
            </w:pPr>
          </w:p>
        </w:tc>
      </w:tr>
      <w:tr>
        <w:trPr>
          <w:trHeight w:val="230"/>
        </w:trPr>
        <w:tc>
          <w:tcPr>
            <w:tcW w:w="4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Enterprise and wholesale</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19,241</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35,970</w:t>
            </w:r>
          </w:p>
        </w:tc>
        <w:tc>
          <w:tcPr>
            <w:tcW w:w="120" w:type="dxa"/>
            <w:vAlign w:val="bottom"/>
            <w:shd w:val="clear" w:color="auto" w:fill="CFF0FC"/>
          </w:tcPr>
          <w:p>
            <w:pPr>
              <w:spacing w:after="0"/>
              <w:rPr>
                <w:sz w:val="19"/>
                <w:szCs w:val="19"/>
                <w:color w:val="auto"/>
              </w:rPr>
            </w:pPr>
          </w:p>
        </w:tc>
      </w:tr>
      <w:tr>
        <w:trPr>
          <w:trHeight w:val="229"/>
        </w:trPr>
        <w:tc>
          <w:tcPr>
            <w:tcW w:w="4880" w:type="dxa"/>
            <w:vAlign w:val="bottom"/>
            <w:gridSpan w:val="2"/>
          </w:tcPr>
          <w:p>
            <w:pPr>
              <w:ind w:left="380"/>
              <w:spacing w:after="0"/>
              <w:rPr>
                <w:sz w:val="20"/>
                <w:szCs w:val="20"/>
                <w:color w:val="auto"/>
              </w:rPr>
            </w:pPr>
            <w:r>
              <w:rPr>
                <w:rFonts w:ascii="Arial" w:cs="Arial" w:eastAsia="Arial" w:hAnsi="Arial"/>
                <w:sz w:val="18"/>
                <w:szCs w:val="18"/>
                <w:color w:val="auto"/>
              </w:rPr>
              <w:t>E-Rate and government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21,821</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22,533</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42,758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44,528</w:t>
            </w:r>
          </w:p>
        </w:tc>
        <w:tc>
          <w:tcPr>
            <w:tcW w:w="120" w:type="dxa"/>
            <w:vAlign w:val="bottom"/>
          </w:tcPr>
          <w:p>
            <w:pPr>
              <w:spacing w:after="0"/>
              <w:rPr>
                <w:sz w:val="19"/>
                <w:szCs w:val="19"/>
                <w:color w:val="auto"/>
              </w:rPr>
            </w:pPr>
          </w:p>
        </w:tc>
      </w:tr>
      <w:tr>
        <w:trPr>
          <w:trHeight w:val="230"/>
        </w:trPr>
        <w:tc>
          <w:tcPr>
            <w:tcW w:w="48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1,303</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gridSpan w:val="2"/>
          </w:tcPr>
          <w:p>
            <w:pPr>
              <w:ind w:left="140"/>
              <w:spacing w:after="0"/>
              <w:rPr>
                <w:sz w:val="20"/>
                <w:szCs w:val="20"/>
                <w:color w:val="auto"/>
              </w:rPr>
            </w:pPr>
            <w:r>
              <w:rPr>
                <w:rFonts w:ascii="Arial" w:cs="Arial" w:eastAsia="Arial" w:hAnsi="Arial"/>
                <w:sz w:val="18"/>
                <w:szCs w:val="18"/>
                <w:color w:val="auto"/>
              </w:rPr>
              <w:t>Fiber Infrastructure</w:t>
            </w: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69,420</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75,849</w:t>
            </w:r>
          </w:p>
        </w:tc>
        <w:tc>
          <w:tcPr>
            <w:tcW w:w="26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138,355</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147,787</w:t>
            </w:r>
          </w:p>
        </w:tc>
        <w:tc>
          <w:tcPr>
            <w:tcW w:w="120" w:type="dxa"/>
            <w:vAlign w:val="bottom"/>
          </w:tcPr>
          <w:p>
            <w:pPr>
              <w:spacing w:after="0"/>
              <w:rPr>
                <w:sz w:val="19"/>
                <w:szCs w:val="19"/>
                <w:color w:val="auto"/>
              </w:rPr>
            </w:pPr>
          </w:p>
        </w:tc>
      </w:tr>
      <w:tr>
        <w:trPr>
          <w:trHeight w:val="230"/>
        </w:trPr>
        <w:tc>
          <w:tcPr>
            <w:tcW w:w="48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Consumer CLEC</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revenue from contracts with customers</w:t>
            </w:r>
          </w:p>
        </w:tc>
        <w:tc>
          <w:tcPr>
            <w:tcW w:w="1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69,388</w:t>
            </w:r>
          </w:p>
        </w:tc>
        <w:tc>
          <w:tcPr>
            <w:tcW w:w="26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78,748</w:t>
            </w:r>
          </w:p>
        </w:tc>
        <w:tc>
          <w:tcPr>
            <w:tcW w:w="2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139,006</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153,721</w:t>
            </w:r>
          </w:p>
        </w:tc>
        <w:tc>
          <w:tcPr>
            <w:tcW w:w="120" w:type="dxa"/>
            <w:vAlign w:val="bottom"/>
          </w:tcPr>
          <w:p>
            <w:pPr>
              <w:spacing w:after="0"/>
              <w:rPr>
                <w:sz w:val="19"/>
                <w:szCs w:val="19"/>
                <w:color w:val="auto"/>
              </w:rPr>
            </w:pPr>
          </w:p>
        </w:tc>
      </w:tr>
      <w:tr>
        <w:trPr>
          <w:trHeight w:val="229"/>
        </w:trPr>
        <w:tc>
          <w:tcPr>
            <w:tcW w:w="48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Revenue accounted for under other applicable guidance</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197,432</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26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393,976</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371,724</w:t>
            </w:r>
          </w:p>
        </w:tc>
        <w:tc>
          <w:tcPr>
            <w:tcW w:w="120" w:type="dxa"/>
            <w:vAlign w:val="bottom"/>
            <w:shd w:val="clear" w:color="auto" w:fill="CFF0FC"/>
          </w:tcPr>
          <w:p>
            <w:pPr>
              <w:spacing w:after="0"/>
              <w:rPr>
                <w:sz w:val="19"/>
                <w:szCs w:val="19"/>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2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264,414</w:t>
            </w:r>
          </w:p>
        </w:tc>
        <w:tc>
          <w:tcPr>
            <w:tcW w:w="26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532,982</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525,445</w:t>
            </w:r>
          </w:p>
        </w:tc>
        <w:tc>
          <w:tcPr>
            <w:tcW w:w="120" w:type="dxa"/>
            <w:vAlign w:val="bottom"/>
          </w:tcPr>
          <w:p>
            <w:pPr>
              <w:spacing w:after="0"/>
              <w:rPr>
                <w:sz w:val="19"/>
                <w:szCs w:val="19"/>
                <w:color w:val="auto"/>
              </w:rPr>
            </w:pPr>
          </w:p>
        </w:tc>
      </w:tr>
      <w:tr>
        <w:trPr>
          <w:trHeight w:val="20"/>
        </w:trPr>
        <w:tc>
          <w:tcPr>
            <w:tcW w:w="19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At June 30, 2020, and December 31, 2019, lease receivables were $18.7 million and $28.8 million, respectively, and receivables from contracts with customers were $52.8 million and $48.6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Contract Assets (Unbilled Revenue) and Liabilities (Deferred Revenue)</w:t>
      </w:r>
    </w:p>
    <w:p>
      <w:pPr>
        <w:spacing w:after="0" w:line="22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Contract assets primarily consist of unbilled construction revenue where we are utilizing our costs incurred as the measure of progress of satisfying our performance obligation. When the contract price is invoiced, the related unbilled receivable is reclassified to trade accounts receivable, where the balance will be settled upon the collection of the invoiced amount. Contract liabilities are generally comprised of upfront fees charged to the customer for the cost of establishing the necessary components of the Company’s network prior to the commencement of use by the customer. Fees charged to customers for the recurring use of the Company’s network are recognized during the related periods of service. Upfront fees that are billed in advance of providing services are deferred until such time the customer accepts the Company’s network and then are recognized as service revenues ratably over a period in which substantive services required under the revenue arrangement are expected to be performed, which is the initial term of the arrangement. During the three and six months ended June 30, 2020, we recognized revenues of $1.3 million and $2.7 million, respectively, which was included in the December 31, 2019 contract liabilities balance.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accounted for under Topic 606.</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254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4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2540" w:type="dxa"/>
            <w:vAlign w:val="bottom"/>
          </w:tcPr>
          <w:p>
            <w:pPr>
              <w:spacing w:after="0"/>
              <w:rPr>
                <w:sz w:val="24"/>
                <w:szCs w:val="24"/>
                <w:color w:val="auto"/>
              </w:rPr>
            </w:pPr>
          </w:p>
        </w:tc>
        <w:tc>
          <w:tcPr>
            <w:tcW w:w="4700" w:type="dxa"/>
            <w:vAlign w:val="bottom"/>
            <w:gridSpan w:val="3"/>
          </w:tcPr>
          <w:p>
            <w:pPr>
              <w:jc w:val="center"/>
              <w:ind w:left="1370"/>
              <w:spacing w:after="0"/>
              <w:rPr>
                <w:sz w:val="20"/>
                <w:szCs w:val="20"/>
                <w:color w:val="auto"/>
              </w:rPr>
            </w:pPr>
            <w:r>
              <w:rPr>
                <w:rFonts w:ascii="Arial" w:cs="Arial" w:eastAsia="Arial" w:hAnsi="Arial"/>
                <w:sz w:val="18"/>
                <w:szCs w:val="18"/>
                <w:b w:val="1"/>
                <w:bCs w:val="1"/>
                <w:color w:val="auto"/>
                <w:w w:val="94"/>
              </w:rPr>
              <w:t>Uniti Group Inc.</w:t>
            </w: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540" w:type="dxa"/>
            <w:vAlign w:val="bottom"/>
          </w:tcPr>
          <w:p>
            <w:pPr>
              <w:spacing w:after="0"/>
              <w:rPr>
                <w:sz w:val="18"/>
                <w:szCs w:val="18"/>
                <w:color w:val="auto"/>
              </w:rPr>
            </w:pPr>
          </w:p>
        </w:tc>
        <w:tc>
          <w:tcPr>
            <w:tcW w:w="67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9"/>
              </w:rPr>
              <w:t>Notes to the Condensed Consolidated Financial Statements – Continued</w:t>
            </w: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540" w:type="dxa"/>
            <w:vAlign w:val="bottom"/>
          </w:tcPr>
          <w:p>
            <w:pPr>
              <w:spacing w:after="0"/>
              <w:rPr>
                <w:sz w:val="20"/>
                <w:szCs w:val="20"/>
                <w:color w:val="auto"/>
              </w:rPr>
            </w:pPr>
          </w:p>
        </w:tc>
        <w:tc>
          <w:tcPr>
            <w:tcW w:w="4700" w:type="dxa"/>
            <w:vAlign w:val="bottom"/>
            <w:gridSpan w:val="3"/>
          </w:tcPr>
          <w:p>
            <w:pPr>
              <w:jc w:val="center"/>
              <w:ind w:left="1390"/>
              <w:spacing w:after="0"/>
              <w:rPr>
                <w:sz w:val="20"/>
                <w:szCs w:val="20"/>
                <w:color w:val="auto"/>
              </w:rPr>
            </w:pPr>
            <w:r>
              <w:rPr>
                <w:rFonts w:ascii="Arial" w:cs="Arial" w:eastAsia="Arial" w:hAnsi="Arial"/>
                <w:sz w:val="18"/>
                <w:szCs w:val="18"/>
                <w:b w:val="1"/>
                <w:bCs w:val="1"/>
                <w:color w:val="auto"/>
                <w:w w:val="91"/>
              </w:rPr>
              <w:t>(unaudited)</w:t>
            </w:r>
          </w:p>
        </w:tc>
        <w:tc>
          <w:tcPr>
            <w:tcW w:w="1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2540" w:type="dxa"/>
            <w:vAlign w:val="bottom"/>
          </w:tcPr>
          <w:p>
            <w:pPr>
              <w:spacing w:after="0"/>
              <w:rPr>
                <w:sz w:val="20"/>
                <w:szCs w:val="20"/>
                <w:color w:val="auto"/>
              </w:rPr>
            </w:pPr>
            <w:r>
              <w:rPr>
                <w:rFonts w:ascii="Arial" w:cs="Arial" w:eastAsia="Arial" w:hAnsi="Arial"/>
                <w:sz w:val="18"/>
                <w:szCs w:val="18"/>
                <w:color w:val="auto"/>
              </w:rPr>
              <w:t>(Thousands)</w:t>
            </w:r>
          </w:p>
        </w:tc>
        <w:tc>
          <w:tcPr>
            <w:tcW w:w="4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b w:val="1"/>
                <w:bCs w:val="1"/>
                <w:color w:val="auto"/>
              </w:rPr>
              <w:t>Contract Assets</w:t>
            </w:r>
          </w:p>
        </w:tc>
        <w:tc>
          <w:tcPr>
            <w:tcW w:w="140" w:type="dxa"/>
            <w:vAlign w:val="bottom"/>
          </w:tcPr>
          <w:p>
            <w:pPr>
              <w:spacing w:after="0"/>
              <w:rPr>
                <w:sz w:val="24"/>
                <w:szCs w:val="24"/>
                <w:color w:val="auto"/>
              </w:rPr>
            </w:pPr>
          </w:p>
        </w:tc>
        <w:tc>
          <w:tcPr>
            <w:tcW w:w="1860" w:type="dxa"/>
            <w:vAlign w:val="bottom"/>
            <w:gridSpan w:val="2"/>
          </w:tcPr>
          <w:p>
            <w:pPr>
              <w:ind w:left="40"/>
              <w:spacing w:after="0"/>
              <w:rPr>
                <w:sz w:val="20"/>
                <w:szCs w:val="20"/>
                <w:color w:val="auto"/>
              </w:rPr>
            </w:pPr>
            <w:r>
              <w:rPr>
                <w:rFonts w:ascii="Arial" w:cs="Arial" w:eastAsia="Arial" w:hAnsi="Arial"/>
                <w:sz w:val="18"/>
                <w:szCs w:val="18"/>
                <w:b w:val="1"/>
                <w:bCs w:val="1"/>
                <w:color w:val="auto"/>
              </w:rPr>
              <w:t>Contract Liabilities</w:t>
            </w:r>
          </w:p>
        </w:tc>
      </w:tr>
      <w:tr>
        <w:trPr>
          <w:trHeight w:val="223"/>
        </w:trPr>
        <w:tc>
          <w:tcPr>
            <w:tcW w:w="25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Balance at December 31, 2019</w:t>
            </w:r>
          </w:p>
        </w:tc>
        <w:tc>
          <w:tcPr>
            <w:tcW w:w="42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11,535</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12,717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3"/>
        </w:trPr>
        <w:tc>
          <w:tcPr>
            <w:tcW w:w="2540" w:type="dxa"/>
            <w:vAlign w:val="bottom"/>
          </w:tcPr>
          <w:p>
            <w:pPr>
              <w:spacing w:after="0"/>
              <w:rPr>
                <w:sz w:val="20"/>
                <w:szCs w:val="20"/>
                <w:color w:val="auto"/>
              </w:rPr>
            </w:pPr>
            <w:r>
              <w:rPr>
                <w:rFonts w:ascii="Arial" w:cs="Arial" w:eastAsia="Arial" w:hAnsi="Arial"/>
                <w:sz w:val="18"/>
                <w:szCs w:val="18"/>
                <w:color w:val="auto"/>
              </w:rPr>
              <w:t>Balance at June 30, 2020</w:t>
            </w:r>
          </w:p>
        </w:tc>
        <w:tc>
          <w:tcPr>
            <w:tcW w:w="4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9,689</w:t>
            </w:r>
          </w:p>
        </w:tc>
        <w:tc>
          <w:tcPr>
            <w:tcW w:w="3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10,975</w:t>
            </w:r>
          </w:p>
        </w:tc>
        <w:tc>
          <w:tcPr>
            <w:tcW w:w="100" w:type="dxa"/>
            <w:vAlign w:val="bottom"/>
          </w:tcPr>
          <w:p>
            <w:pPr>
              <w:spacing w:after="0"/>
              <w:rPr>
                <w:sz w:val="19"/>
                <w:szCs w:val="19"/>
                <w:color w:val="auto"/>
              </w:rPr>
            </w:pPr>
          </w:p>
        </w:tc>
      </w:tr>
      <w:tr>
        <w:trPr>
          <w:trHeight w:val="20"/>
        </w:trPr>
        <w:tc>
          <w:tcPr>
            <w:tcW w:w="25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Transaction Price Allocated to Remaining Performance Obligations</w:t>
      </w:r>
    </w:p>
    <w:p>
      <w:pPr>
        <w:spacing w:after="0" w:line="225" w:lineRule="exact"/>
        <w:rPr>
          <w:sz w:val="20"/>
          <w:szCs w:val="20"/>
          <w:color w:val="auto"/>
        </w:rPr>
      </w:pPr>
    </w:p>
    <w:p>
      <w:pPr>
        <w:ind w:right="140"/>
        <w:spacing w:after="0" w:line="280" w:lineRule="auto"/>
        <w:rPr>
          <w:sz w:val="20"/>
          <w:szCs w:val="20"/>
          <w:color w:val="auto"/>
        </w:rPr>
      </w:pPr>
      <w:r>
        <w:rPr>
          <w:rFonts w:ascii="Arial" w:cs="Arial" w:eastAsia="Arial" w:hAnsi="Arial"/>
          <w:sz w:val="17"/>
          <w:szCs w:val="17"/>
          <w:color w:val="auto"/>
        </w:rPr>
        <w:t>Performance obligations within contracts to stand ready to provide services are typically satisfied over time or as those services are provided. Contract liabilities primarily relate to deferred revenue from upfront customer payments. The deferred revenue is recognized, and the liability reduced, over the contract term as the Company completes the performance obligation. As of June 30, 2020, our future revenues (i.e., transaction price related to remaining performance obligations) under contract accounted for under Topic 606 totaled $519.1 million, of which $429.9 million is related to contracts that are currently being invoiced and have an average remaining contract term of 1.9 years, while $89.2 million represents our backlog for sales bookings which have yet to be installed and have an average remaining contract term of 6.6 years.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Practical Expedients and Exemptions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do not disclose the value of unsatisfied performance obligations for contracts that have an original expected duration of one year or less.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exclude from the transaction price any amounts collected from customers for sales taxes and therefore, such amounts are not included in revenue.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Leases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We lease communications towers, ground, communications equipment, and dark fiber to tenants under operating leases. Our leases have initial lease terms ranging from five to 35 years, most of which includes options to extend or renew the leases for five to 20 years (based on the satisfaction of certain conditions as defined in the lease agreements),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income for the three and six months ended June 30, 2020 and 2019, respectively,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00" w:type="dxa"/>
            <w:vAlign w:val="bottom"/>
            <w:gridSpan w:val="5"/>
          </w:tcPr>
          <w:p>
            <w:pPr>
              <w:ind w:left="34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197,432</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185,666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393,976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371,724</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Lease payments to be received under non-cancellable operating leases where we are the lessor for the remainder of the lease terms as of June 30, 2020 are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6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0" w:type="dxa"/>
            <w:vAlign w:val="bottom"/>
          </w:tcPr>
          <w:p>
            <w:pPr>
              <w:spacing w:after="0"/>
              <w:rPr>
                <w:sz w:val="14"/>
                <w:szCs w:val="14"/>
                <w:color w:val="auto"/>
              </w:rPr>
            </w:pPr>
          </w:p>
        </w:tc>
        <w:tc>
          <w:tcPr>
            <w:tcW w:w="2160" w:type="dxa"/>
            <w:vAlign w:val="bottom"/>
            <w:gridSpan w:val="2"/>
          </w:tcPr>
          <w:p>
            <w:pPr>
              <w:ind w:left="300"/>
              <w:spacing w:after="0"/>
              <w:rPr>
                <w:sz w:val="20"/>
                <w:szCs w:val="20"/>
                <w:color w:val="auto"/>
              </w:rPr>
            </w:pPr>
            <w:r>
              <w:rPr>
                <w:rFonts w:ascii="Arial" w:cs="Arial" w:eastAsia="Arial" w:hAnsi="Arial"/>
                <w:sz w:val="14"/>
                <w:szCs w:val="14"/>
                <w:b w:val="1"/>
                <w:bCs w:val="1"/>
                <w:color w:val="auto"/>
              </w:rPr>
              <w:t xml:space="preserve">June 30, 2020 </w:t>
            </w:r>
            <w:r>
              <w:rPr>
                <w:rFonts w:ascii="Arial" w:cs="Arial" w:eastAsia="Arial" w:hAnsi="Arial"/>
                <w:sz w:val="12"/>
                <w:szCs w:val="12"/>
                <w:b w:val="1"/>
                <w:bCs w:val="1"/>
                <w:color w:val="auto"/>
              </w:rPr>
              <w:t>(1)</w:t>
            </w:r>
          </w:p>
        </w:tc>
      </w:tr>
      <w:tr>
        <w:trPr>
          <w:trHeight w:val="223"/>
        </w:trPr>
        <w:tc>
          <w:tcPr>
            <w:tcW w:w="8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364,898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44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724,279</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727,103</w:t>
            </w:r>
          </w:p>
        </w:tc>
        <w:tc>
          <w:tcPr>
            <w:tcW w:w="120" w:type="dxa"/>
            <w:vAlign w:val="bottom"/>
            <w:shd w:val="clear" w:color="auto" w:fill="CFF0FC"/>
          </w:tcPr>
          <w:p>
            <w:pPr>
              <w:spacing w:after="0"/>
              <w:rPr>
                <w:sz w:val="19"/>
                <w:szCs w:val="19"/>
                <w:color w:val="auto"/>
              </w:rPr>
            </w:pP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729,968</w:t>
            </w:r>
          </w:p>
        </w:tc>
        <w:tc>
          <w:tcPr>
            <w:tcW w:w="120" w:type="dxa"/>
            <w:vAlign w:val="bottom"/>
          </w:tcPr>
          <w:p>
            <w:pPr>
              <w:spacing w:after="0"/>
              <w:rPr>
                <w:sz w:val="19"/>
                <w:szCs w:val="19"/>
                <w:color w:val="auto"/>
              </w:rPr>
            </w:pPr>
          </w:p>
        </w:tc>
      </w:tr>
      <w:tr>
        <w:trPr>
          <w:trHeight w:val="230"/>
        </w:trPr>
        <w:tc>
          <w:tcPr>
            <w:tcW w:w="84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732,960</w:t>
            </w:r>
          </w:p>
        </w:tc>
        <w:tc>
          <w:tcPr>
            <w:tcW w:w="120" w:type="dxa"/>
            <w:vAlign w:val="bottom"/>
            <w:shd w:val="clear" w:color="auto" w:fill="CFF0FC"/>
          </w:tcPr>
          <w:p>
            <w:pPr>
              <w:spacing w:after="0"/>
              <w:rPr>
                <w:sz w:val="19"/>
                <w:szCs w:val="19"/>
                <w:color w:val="auto"/>
              </w:rPr>
            </w:pPr>
          </w:p>
        </w:tc>
      </w:tr>
      <w:tr>
        <w:trPr>
          <w:trHeight w:val="230"/>
        </w:trPr>
        <w:tc>
          <w:tcPr>
            <w:tcW w:w="86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4,361,810</w:t>
            </w:r>
          </w:p>
        </w:tc>
        <w:tc>
          <w:tcPr>
            <w:tcW w:w="120" w:type="dxa"/>
            <w:vAlign w:val="bottom"/>
            <w:tcBorders>
              <w:bottom w:val="single" w:sz="8" w:color="CFF0FC"/>
            </w:tcBorders>
          </w:tcPr>
          <w:p>
            <w:pPr>
              <w:spacing w:after="0"/>
              <w:rPr>
                <w:sz w:val="19"/>
                <w:szCs w:val="19"/>
                <w:color w:val="auto"/>
              </w:rPr>
            </w:pPr>
          </w:p>
        </w:tc>
      </w:tr>
      <w:tr>
        <w:trPr>
          <w:trHeight w:val="223"/>
        </w:trPr>
        <w:tc>
          <w:tcPr>
            <w:tcW w:w="86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lease receivables</w:t>
            </w:r>
          </w:p>
        </w:tc>
        <w:tc>
          <w:tcPr>
            <w:tcW w:w="400" w:type="dxa"/>
            <w:vAlign w:val="bottom"/>
            <w:tcBorders>
              <w:bottom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2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7,641,018</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6"/>
        </w:numPr>
        <w:rPr>
          <w:rFonts w:ascii="Arial" w:cs="Arial" w:eastAsia="Arial" w:hAnsi="Arial"/>
          <w:sz w:val="15"/>
          <w:szCs w:val="15"/>
          <w:color w:val="auto"/>
        </w:rPr>
      </w:pPr>
      <w:r>
        <w:rPr>
          <w:rFonts w:ascii="Arial" w:cs="Arial" w:eastAsia="Arial" w:hAnsi="Arial"/>
          <w:sz w:val="18"/>
          <w:szCs w:val="18"/>
          <w:color w:val="auto"/>
        </w:rPr>
        <w:t>Total future minimum lease payments to be received include $6.7 billion relating to the Master Lease with Windstream.</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84" w:lineRule="exact"/>
        <w:rPr>
          <w:rFonts w:ascii="Arial" w:cs="Arial" w:eastAsia="Arial" w:hAnsi="Arial"/>
          <w:sz w:val="15"/>
          <w:szCs w:val="15"/>
          <w:color w:val="auto"/>
        </w:rPr>
      </w:pPr>
    </w:p>
    <w:p>
      <w:pPr>
        <w:ind w:left="5540"/>
        <w:spacing w:after="0"/>
        <w:rPr>
          <w:rFonts w:ascii="Arial" w:cs="Arial" w:eastAsia="Arial" w:hAnsi="Arial"/>
          <w:sz w:val="15"/>
          <w:szCs w:val="15"/>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underlying assets under operating leases where we are the lessor are summarized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 2019</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Land</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27,290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27,392</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Building and improvements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342,484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341,096</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Poles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261,997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258,535</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Fiber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2,909,484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2,836,939</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Equipment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Copper</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3,816,448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3,792,366</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Conduit</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89,770</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Tower assets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1,397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168,453</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assets</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32,660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10,278</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7,492,230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7,557,909</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(5,131,752)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(5,033,080)</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 xml:space="preserve">Underlying assets under operating leases, net </w:t>
            </w:r>
            <w:r>
              <w:rPr>
                <w:rFonts w:ascii="Arial" w:cs="Arial" w:eastAsia="Arial" w:hAnsi="Arial"/>
                <w:sz w:val="15"/>
                <w:szCs w:val="15"/>
                <w:color w:val="auto"/>
              </w:rPr>
              <w:t>(1)</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2,360,478</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2,524,829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Includes $161.0 million of assets held for sale (see Note 7).</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Depreciation expense for the underlying assets under operating leases where we are the lessor for the three and six months ended June 30, 2020 and 2019, respectively, is summarized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4"/>
                <w:szCs w:val="14"/>
                <w:b w:val="1"/>
                <w:bCs w:val="1"/>
                <w:color w:val="auto"/>
              </w:rPr>
              <w:t>Six Months Ended June 30,</w:t>
            </w:r>
          </w:p>
        </w:tc>
        <w:tc>
          <w:tcPr>
            <w:tcW w:w="120" w:type="dxa"/>
            <w:vAlign w:val="bottom"/>
          </w:tcPr>
          <w:p>
            <w:pPr>
              <w:spacing w:after="0"/>
              <w:rPr>
                <w:sz w:val="14"/>
                <w:szCs w:val="14"/>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1040" w:type="dxa"/>
            <w:vAlign w:val="bottom"/>
          </w:tcPr>
          <w:p>
            <w:pPr>
              <w:jc w:val="right"/>
              <w:ind w:right="462"/>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562"/>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0"/>
              </w:rPr>
              <w:t>Depreciation expense for underlying assets under operating leases</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53,303</w:t>
            </w:r>
          </w:p>
        </w:tc>
        <w:tc>
          <w:tcPr>
            <w:tcW w:w="2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75,093</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ind w:right="42"/>
              <w:spacing w:after="0"/>
              <w:rPr>
                <w:sz w:val="20"/>
                <w:szCs w:val="20"/>
                <w:color w:val="auto"/>
              </w:rPr>
            </w:pPr>
            <w:r>
              <w:rPr>
                <w:rFonts w:ascii="Arial" w:cs="Arial" w:eastAsia="Arial" w:hAnsi="Arial"/>
                <w:sz w:val="18"/>
                <w:szCs w:val="18"/>
                <w:color w:val="auto"/>
              </w:rPr>
              <w:t>109,437</w:t>
            </w:r>
          </w:p>
        </w:tc>
        <w:tc>
          <w:tcPr>
            <w:tcW w:w="1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151,367</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commitments under operating leases for communications towers, ground, colocation, dark fiber lease arrangements, and buildings. We also have finance leases for dark fiber lease arrangements and other communications equipment. Our leases have initial lease terms ranging from less than one year to 30 years, most of which includes options to extend or renew the leases for less than one year to 20 years, and some of which may include options to terminate the leases within one to six months. Certain lease agreements contain provisions for future rent increases. Payments due under the lease contracts include fixed payments plus, for some of our leases, variable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we have short term lease commitments amounting to approximately $1.9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 for the three and six months ended June 30, 2020 and 2019, respectively,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8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48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9"/>
                <w:szCs w:val="19"/>
                <w:color w:val="auto"/>
              </w:rPr>
            </w:pPr>
          </w:p>
        </w:tc>
        <w:tc>
          <w:tcPr>
            <w:tcW w:w="1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 cost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Amortization of ROU assets</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890</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1,979</w:t>
            </w:r>
          </w:p>
        </w:tc>
        <w:tc>
          <w:tcPr>
            <w:tcW w:w="160" w:type="dxa"/>
            <w:vAlign w:val="bottom"/>
          </w:tcPr>
          <w:p>
            <w:pPr>
              <w:spacing w:after="0"/>
              <w:rPr>
                <w:sz w:val="19"/>
                <w:szCs w:val="19"/>
                <w:color w:val="auto"/>
              </w:rPr>
            </w:pPr>
          </w:p>
        </w:tc>
        <w:tc>
          <w:tcPr>
            <w:tcW w:w="44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1,896</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Interest on lease liabilities</w:t>
            </w:r>
          </w:p>
        </w:tc>
        <w:tc>
          <w:tcPr>
            <w:tcW w:w="1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2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24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w:t>
            </w:r>
          </w:p>
        </w:tc>
        <w:tc>
          <w:tcPr>
            <w:tcW w:w="120" w:type="dxa"/>
            <w:vAlign w:val="bottom"/>
            <w:shd w:val="clear" w:color="auto" w:fill="CFF0FC"/>
          </w:tcPr>
          <w:p>
            <w:pPr>
              <w:spacing w:after="0"/>
              <w:rPr>
                <w:sz w:val="19"/>
                <w:szCs w:val="19"/>
                <w:color w:val="auto"/>
              </w:rPr>
            </w:pPr>
          </w:p>
        </w:tc>
      </w:tr>
      <w:tr>
        <w:trPr>
          <w:trHeight w:val="223"/>
        </w:trPr>
        <w:tc>
          <w:tcPr>
            <w:tcW w:w="4820" w:type="dxa"/>
            <w:vAlign w:val="bottom"/>
          </w:tcPr>
          <w:p>
            <w:pPr>
              <w:ind w:left="240"/>
              <w:spacing w:after="0"/>
              <w:rPr>
                <w:sz w:val="20"/>
                <w:szCs w:val="20"/>
                <w:color w:val="auto"/>
              </w:rPr>
            </w:pPr>
            <w:r>
              <w:rPr>
                <w:rFonts w:ascii="Arial" w:cs="Arial" w:eastAsia="Arial" w:hAnsi="Arial"/>
                <w:sz w:val="18"/>
                <w:szCs w:val="18"/>
                <w:color w:val="auto"/>
              </w:rPr>
              <w:t>Total finance lease cost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1,923</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1,442</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3,517</w:t>
            </w:r>
          </w:p>
        </w:tc>
        <w:tc>
          <w:tcPr>
            <w:tcW w:w="12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6,421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12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Short-term lease cost</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526</w:t>
            </w:r>
          </w:p>
        </w:tc>
        <w:tc>
          <w:tcPr>
            <w:tcW w:w="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929</w:t>
            </w:r>
          </w:p>
        </w:tc>
        <w:tc>
          <w:tcPr>
            <w:tcW w:w="120" w:type="dxa"/>
            <w:vAlign w:val="bottom"/>
          </w:tcPr>
          <w:p>
            <w:pPr>
              <w:spacing w:after="0"/>
              <w:rPr>
                <w:sz w:val="19"/>
                <w:szCs w:val="19"/>
                <w:color w:val="auto"/>
              </w:rPr>
            </w:pPr>
          </w:p>
        </w:tc>
      </w:tr>
      <w:tr>
        <w:trPr>
          <w:trHeight w:val="230"/>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1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2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Less sublease income</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(3,076)</w:t>
            </w:r>
          </w:p>
        </w:tc>
        <w:tc>
          <w:tcPr>
            <w:tcW w:w="3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(2,633)</w:t>
            </w:r>
          </w:p>
        </w:tc>
        <w:tc>
          <w:tcPr>
            <w:tcW w:w="3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(6,770)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(5,378)</w:t>
            </w:r>
          </w:p>
        </w:tc>
      </w:tr>
      <w:tr>
        <w:trPr>
          <w:trHeight w:val="223"/>
        </w:trPr>
        <w:tc>
          <w:tcPr>
            <w:tcW w:w="48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6,081</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12,218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55"/>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ind w:right="473"/>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Amounts reported in the Condensed Consolidated Balance Sheets for leases where we are the lessee were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1"/>
              </w:rPr>
              <w:t>Location on Condensed Consolidated Balance</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82"/>
              </w:rPr>
              <w:t>Sheets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i w:val="1"/>
                <w:iCs w:val="1"/>
                <w:color w:val="auto"/>
              </w:rPr>
              <w:t>Operating leases</w:t>
            </w:r>
          </w:p>
        </w:tc>
        <w:tc>
          <w:tcPr>
            <w:tcW w:w="140" w:type="dxa"/>
            <w:vAlign w:val="bottom"/>
            <w:tcBorders>
              <w:top w:val="single" w:sz="8" w:color="CFF0FC"/>
            </w:tcBorders>
            <w:shd w:val="clear" w:color="auto" w:fill="CFF0FC"/>
          </w:tcPr>
          <w:p>
            <w:pPr>
              <w:spacing w:after="0"/>
              <w:rPr>
                <w:sz w:val="19"/>
                <w:szCs w:val="19"/>
                <w:color w:val="auto"/>
              </w:rPr>
            </w:pPr>
          </w:p>
        </w:tc>
        <w:tc>
          <w:tcPr>
            <w:tcW w:w="288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 xml:space="preserve">ROU assets, net </w:t>
            </w:r>
            <w:r>
              <w:rPr>
                <w:rFonts w:ascii="Arial" w:cs="Arial" w:eastAsia="Arial" w:hAnsi="Arial"/>
                <w:sz w:val="15"/>
                <w:szCs w:val="15"/>
                <w:color w:val="auto"/>
              </w:rPr>
              <w:t>(1)</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Other assets, net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85,256</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127,490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Lease liabilities </w:t>
            </w:r>
            <w:r>
              <w:rPr>
                <w:rFonts w:ascii="Arial" w:cs="Arial" w:eastAsia="Arial" w:hAnsi="Arial"/>
                <w:sz w:val="15"/>
                <w:szCs w:val="15"/>
                <w:color w:val="auto"/>
              </w:rPr>
              <w:t>(2)</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5"/>
              </w:rPr>
              <w:t>Accounts payable, accrued expenses</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84,642</w:t>
            </w: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127,879</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660" w:type="dxa"/>
            <w:vAlign w:val="bottom"/>
            <w:shd w:val="clear" w:color="auto" w:fill="CFF0FC"/>
          </w:tcPr>
          <w:p>
            <w:pPr>
              <w:spacing w:after="0"/>
              <w:rPr>
                <w:sz w:val="10"/>
                <w:szCs w:val="10"/>
                <w:color w:val="auto"/>
              </w:rPr>
            </w:pPr>
          </w:p>
        </w:tc>
        <w:tc>
          <w:tcPr>
            <w:tcW w:w="302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and other liabilities, net</w:t>
            </w:r>
          </w:p>
        </w:tc>
        <w:tc>
          <w:tcPr>
            <w:tcW w:w="14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6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340" w:type="dxa"/>
            <w:vAlign w:val="bottom"/>
            <w:vMerge w:val="continue"/>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60" w:type="dxa"/>
            <w:vAlign w:val="bottom"/>
            <w:shd w:val="clear" w:color="auto" w:fill="CFF0FC"/>
          </w:tcPr>
          <w:p>
            <w:pPr>
              <w:spacing w:after="0"/>
              <w:rPr>
                <w:sz w:val="9"/>
                <w:szCs w:val="9"/>
                <w:color w:val="auto"/>
              </w:rPr>
            </w:pPr>
          </w:p>
        </w:tc>
        <w:tc>
          <w:tcPr>
            <w:tcW w:w="3020" w:type="dxa"/>
            <w:vAlign w:val="bottom"/>
            <w:gridSpan w:val="2"/>
            <w:vMerge w:val="continue"/>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12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34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ROU asset, gross</w:t>
            </w:r>
          </w:p>
        </w:tc>
        <w:tc>
          <w:tcPr>
            <w:tcW w:w="30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128,259</w:t>
            </w:r>
          </w:p>
        </w:tc>
        <w:tc>
          <w:tcPr>
            <w:tcW w:w="240" w:type="dxa"/>
            <w:vAlign w:val="bottom"/>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129,900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Lease liabilities</w:t>
            </w:r>
          </w:p>
        </w:tc>
        <w:tc>
          <w:tcPr>
            <w:tcW w:w="302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Finance lease obligations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50,436</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52,994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remaining lease term</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8.8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11.8 years</w:t>
            </w:r>
          </w:p>
        </w:tc>
        <w:tc>
          <w:tcPr>
            <w:tcW w:w="0" w:type="dxa"/>
            <w:vAlign w:val="bottom"/>
          </w:tcPr>
          <w:p>
            <w:pPr>
              <w:spacing w:after="0"/>
              <w:rPr>
                <w:sz w:val="1"/>
                <w:szCs w:val="1"/>
                <w:color w:val="auto"/>
              </w:rPr>
            </w:pPr>
          </w:p>
        </w:tc>
      </w:tr>
      <w:tr>
        <w:trPr>
          <w:trHeight w:val="23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13.6 years</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13.9 years</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Weighted-average discount rate</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Operating leases</w:t>
            </w:r>
          </w:p>
        </w:tc>
        <w:tc>
          <w:tcPr>
            <w:tcW w:w="1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9"/>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Finance leases</w:t>
            </w:r>
          </w:p>
        </w:tc>
        <w:tc>
          <w:tcPr>
            <w:tcW w:w="140" w:type="dxa"/>
            <w:vAlign w:val="bottom"/>
            <w:shd w:val="clear" w:color="auto" w:fill="CFF0FC"/>
          </w:tcPr>
          <w:p>
            <w:pPr>
              <w:spacing w:after="0"/>
              <w:rPr>
                <w:sz w:val="19"/>
                <w:szCs w:val="19"/>
                <w:color w:val="auto"/>
              </w:rPr>
            </w:pPr>
          </w:p>
        </w:tc>
        <w:tc>
          <w:tcPr>
            <w:tcW w:w="28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$8.4 million right of use (“ROU”) assets, net in Assets Held for Sale as of June 30, 2020 (See Note 7).</w:t>
      </w:r>
    </w:p>
    <w:p>
      <w:pPr>
        <w:spacing w:after="0" w:line="36" w:lineRule="exact"/>
        <w:rPr>
          <w:rFonts w:ascii="Arial" w:cs="Arial" w:eastAsia="Arial" w:hAnsi="Arial"/>
          <w:sz w:val="15"/>
          <w:szCs w:val="15"/>
          <w:color w:val="auto"/>
        </w:rPr>
      </w:pPr>
    </w:p>
    <w:p>
      <w:pPr>
        <w:ind w:left="240" w:hanging="232"/>
        <w:spacing w:after="0"/>
        <w:tabs>
          <w:tab w:leader="none" w:pos="24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Includes $3.1 million lease liabilities in Liabilities Held for Sale as of June 30, 2020 (See Note 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related to leases as of June 30, 2020 and 2019, respectively, are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7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Pr>
          <w:p>
            <w:pPr>
              <w:spacing w:after="0"/>
              <w:rPr>
                <w:sz w:val="19"/>
                <w:szCs w:val="19"/>
                <w:color w:val="auto"/>
              </w:rPr>
            </w:pP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1,979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Non-cash items: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New operating leases</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3,847</w:t>
            </w:r>
          </w:p>
        </w:tc>
        <w:tc>
          <w:tcPr>
            <w:tcW w:w="22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12,621</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ind w:left="140"/>
              <w:spacing w:after="0"/>
              <w:rPr>
                <w:sz w:val="20"/>
                <w:szCs w:val="20"/>
                <w:color w:val="auto"/>
              </w:rPr>
            </w:pPr>
            <w:r>
              <w:rPr>
                <w:rFonts w:ascii="Arial" w:cs="Arial" w:eastAsia="Arial" w:hAnsi="Arial"/>
                <w:sz w:val="18"/>
                <w:szCs w:val="18"/>
                <w:color w:val="auto"/>
              </w:rPr>
              <w:t>New finance leases</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20"/>
                <w:szCs w:val="20"/>
                <w:color w:val="auto"/>
              </w:rPr>
            </w:pPr>
          </w:p>
        </w:tc>
      </w:tr>
      <w:tr>
        <w:trPr>
          <w:trHeight w:val="431"/>
        </w:trPr>
        <w:tc>
          <w:tcPr>
            <w:tcW w:w="6740" w:type="dxa"/>
            <w:vAlign w:val="bottom"/>
          </w:tcPr>
          <w:p>
            <w:pPr>
              <w:spacing w:after="0"/>
              <w:rPr>
                <w:sz w:val="20"/>
                <w:szCs w:val="20"/>
                <w:color w:val="auto"/>
              </w:rPr>
            </w:pPr>
            <w:r>
              <w:rPr>
                <w:rFonts w:ascii="Arial" w:cs="Arial" w:eastAsia="Arial" w:hAnsi="Arial"/>
                <w:sz w:val="18"/>
                <w:szCs w:val="18"/>
                <w:color w:val="auto"/>
                <w:w w:val="95"/>
              </w:rPr>
              <w:t>Future lease payments under non-cancellable leases as of June 30, 2020 are as follows: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740" w:type="dxa"/>
            <w:vAlign w:val="bottom"/>
          </w:tcPr>
          <w:p>
            <w:pPr>
              <w:spacing w:after="0"/>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Operating Leases</w:t>
            </w: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Finance Leases</w:t>
            </w:r>
          </w:p>
        </w:tc>
      </w:tr>
      <w:tr>
        <w:trPr>
          <w:trHeight w:val="223"/>
        </w:trPr>
        <w:tc>
          <w:tcPr>
            <w:tcW w:w="67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11,222</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20,975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6,680</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15,646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6,658</w:t>
            </w:r>
          </w:p>
        </w:tc>
        <w:tc>
          <w:tcPr>
            <w:tcW w:w="100" w:type="dxa"/>
            <w:vAlign w:val="bottom"/>
          </w:tcPr>
          <w:p>
            <w:pPr>
              <w:spacing w:after="0"/>
              <w:rPr>
                <w:sz w:val="19"/>
                <w:szCs w:val="19"/>
                <w:color w:val="auto"/>
              </w:rPr>
            </w:pPr>
          </w:p>
        </w:tc>
      </w:tr>
      <w:tr>
        <w:trPr>
          <w:trHeight w:val="230"/>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11,498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6,294</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54,862</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50,444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132,438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80,517</w:t>
            </w:r>
          </w:p>
        </w:tc>
        <w:tc>
          <w:tcPr>
            <w:tcW w:w="100" w:type="dxa"/>
            <w:vAlign w:val="bottom"/>
            <w:shd w:val="clear" w:color="auto" w:fill="CFF0FC"/>
          </w:tcPr>
          <w:p>
            <w:pPr>
              <w:spacing w:after="0"/>
              <w:rPr>
                <w:sz w:val="19"/>
                <w:szCs w:val="19"/>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imputed interest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80" w:type="dxa"/>
            <w:vAlign w:val="bottom"/>
            <w:gridSpan w:val="2"/>
          </w:tcPr>
          <w:p>
            <w:pPr>
              <w:jc w:val="right"/>
              <w:ind w:right="160"/>
              <w:spacing w:after="0"/>
              <w:rPr>
                <w:sz w:val="20"/>
                <w:szCs w:val="20"/>
                <w:color w:val="auto"/>
              </w:rPr>
            </w:pPr>
            <w:r>
              <w:rPr>
                <w:rFonts w:ascii="Arial" w:cs="Arial" w:eastAsia="Arial" w:hAnsi="Arial"/>
                <w:sz w:val="18"/>
                <w:szCs w:val="18"/>
                <w:color w:val="auto"/>
              </w:rPr>
              <w:t>(47,796)</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(30,081)</w:t>
            </w:r>
          </w:p>
        </w:tc>
      </w:tr>
      <w:tr>
        <w:trPr>
          <w:trHeight w:val="223"/>
        </w:trPr>
        <w:tc>
          <w:tcPr>
            <w:tcW w:w="6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gridSpan w:val="2"/>
          </w:tcPr>
          <w:p>
            <w:pPr>
              <w:jc w:val="center"/>
              <w:ind w:left="2392"/>
              <w:spacing w:after="0"/>
              <w:rPr>
                <w:sz w:val="20"/>
                <w:szCs w:val="20"/>
                <w:color w:val="auto"/>
              </w:rPr>
            </w:pPr>
            <w:r>
              <w:rPr>
                <w:rFonts w:ascii="Arial" w:cs="Arial" w:eastAsia="Arial" w:hAnsi="Arial"/>
                <w:sz w:val="18"/>
                <w:szCs w:val="18"/>
                <w:b w:val="1"/>
                <w:bCs w:val="1"/>
                <w:color w:val="auto"/>
                <w:w w:val="94"/>
              </w:rPr>
              <w:t>Uniti Group Inc.</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gridSpan w:val="2"/>
          </w:tcPr>
          <w:p>
            <w:pPr>
              <w:jc w:val="center"/>
              <w:ind w:left="2392"/>
              <w:spacing w:after="0"/>
              <w:rPr>
                <w:sz w:val="20"/>
                <w:szCs w:val="20"/>
                <w:color w:val="auto"/>
              </w:rPr>
            </w:pPr>
            <w:r>
              <w:rPr>
                <w:rFonts w:ascii="Arial" w:cs="Arial" w:eastAsia="Arial" w:hAnsi="Arial"/>
                <w:sz w:val="18"/>
                <w:szCs w:val="18"/>
                <w:b w:val="1"/>
                <w:bCs w:val="1"/>
                <w:color w:val="auto"/>
                <w:w w:val="89"/>
              </w:rPr>
              <w:t>Notes to the Condensed Consolidated Financial Statements – Continued</w:t>
            </w: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8760" w:type="dxa"/>
            <w:vAlign w:val="bottom"/>
            <w:gridSpan w:val="2"/>
          </w:tcPr>
          <w:p>
            <w:pPr>
              <w:jc w:val="center"/>
              <w:ind w:left="2412"/>
              <w:spacing w:after="0"/>
              <w:rPr>
                <w:sz w:val="20"/>
                <w:szCs w:val="20"/>
                <w:color w:val="auto"/>
              </w:rPr>
            </w:pPr>
            <w:r>
              <w:rPr>
                <w:rFonts w:ascii="Arial" w:cs="Arial" w:eastAsia="Arial" w:hAnsi="Arial"/>
                <w:sz w:val="18"/>
                <w:szCs w:val="18"/>
                <w:b w:val="1"/>
                <w:bCs w:val="1"/>
                <w:color w:val="auto"/>
                <w:w w:val="91"/>
              </w:rPr>
              <w:t>(unaudited)</w:t>
            </w: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32"/>
        </w:trPr>
        <w:tc>
          <w:tcPr>
            <w:tcW w:w="8760" w:type="dxa"/>
            <w:vAlign w:val="bottom"/>
            <w:gridSpan w:val="2"/>
          </w:tcPr>
          <w:p>
            <w:pPr>
              <w:spacing w:after="0"/>
              <w:rPr>
                <w:sz w:val="20"/>
                <w:szCs w:val="20"/>
                <w:color w:val="auto"/>
              </w:rPr>
            </w:pPr>
            <w:r>
              <w:rPr>
                <w:rFonts w:ascii="Arial" w:cs="Arial" w:eastAsia="Arial" w:hAnsi="Arial"/>
                <w:sz w:val="18"/>
                <w:szCs w:val="18"/>
                <w:color w:val="auto"/>
              </w:rPr>
              <w:t>Future sublease rentals as of June 30, 2020 are as follows:</w:t>
            </w: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78"/>
        </w:trPr>
        <w:tc>
          <w:tcPr>
            <w:tcW w:w="87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60" w:type="dxa"/>
            <w:vAlign w:val="bottom"/>
          </w:tcPr>
          <w:p>
            <w:pPr>
              <w:spacing w:after="0"/>
              <w:rPr>
                <w:sz w:val="24"/>
                <w:szCs w:val="2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Sublease Rentals</w:t>
            </w:r>
          </w:p>
        </w:tc>
      </w:tr>
      <w:tr>
        <w:trPr>
          <w:trHeight w:val="223"/>
        </w:trPr>
        <w:tc>
          <w:tcPr>
            <w:tcW w:w="8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2020</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3,598</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2021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7,760</w:t>
            </w:r>
          </w:p>
        </w:tc>
        <w:tc>
          <w:tcPr>
            <w:tcW w:w="120" w:type="dxa"/>
            <w:vAlign w:val="bottom"/>
          </w:tcPr>
          <w:p>
            <w:pPr>
              <w:spacing w:after="0"/>
              <w:rPr>
                <w:sz w:val="19"/>
                <w:szCs w:val="19"/>
                <w:color w:val="auto"/>
              </w:rPr>
            </w:pPr>
          </w:p>
        </w:tc>
      </w:tr>
      <w:tr>
        <w:trPr>
          <w:trHeight w:val="230"/>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7,784</w:t>
            </w:r>
          </w:p>
        </w:tc>
        <w:tc>
          <w:tcPr>
            <w:tcW w:w="120" w:type="dxa"/>
            <w:vAlign w:val="bottom"/>
            <w:shd w:val="clear" w:color="auto" w:fill="CFF0FC"/>
          </w:tcPr>
          <w:p>
            <w:pPr>
              <w:spacing w:after="0"/>
              <w:rPr>
                <w:sz w:val="19"/>
                <w:szCs w:val="19"/>
                <w:color w:val="auto"/>
              </w:rPr>
            </w:pPr>
          </w:p>
        </w:tc>
      </w:tr>
      <w:tr>
        <w:trPr>
          <w:trHeight w:val="229"/>
        </w:trPr>
        <w:tc>
          <w:tcPr>
            <w:tcW w:w="8520" w:type="dxa"/>
            <w:vAlign w:val="bottom"/>
          </w:tcPr>
          <w:p>
            <w:pPr>
              <w:spacing w:after="0"/>
              <w:rPr>
                <w:sz w:val="20"/>
                <w:szCs w:val="20"/>
                <w:color w:val="auto"/>
              </w:rPr>
            </w:pPr>
            <w:r>
              <w:rPr>
                <w:rFonts w:ascii="Arial" w:cs="Arial" w:eastAsia="Arial" w:hAnsi="Arial"/>
                <w:sz w:val="18"/>
                <w:szCs w:val="18"/>
                <w:color w:val="auto"/>
              </w:rPr>
              <w:t>2023</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7,807</w:t>
            </w:r>
          </w:p>
        </w:tc>
        <w:tc>
          <w:tcPr>
            <w:tcW w:w="120" w:type="dxa"/>
            <w:vAlign w:val="bottom"/>
          </w:tcPr>
          <w:p>
            <w:pPr>
              <w:spacing w:after="0"/>
              <w:rPr>
                <w:sz w:val="19"/>
                <w:szCs w:val="19"/>
                <w:color w:val="auto"/>
              </w:rPr>
            </w:pPr>
          </w:p>
        </w:tc>
      </w:tr>
      <w:tr>
        <w:trPr>
          <w:trHeight w:val="230"/>
        </w:trPr>
        <w:tc>
          <w:tcPr>
            <w:tcW w:w="852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7,831</w:t>
            </w:r>
          </w:p>
        </w:tc>
        <w:tc>
          <w:tcPr>
            <w:tcW w:w="120" w:type="dxa"/>
            <w:vAlign w:val="bottom"/>
            <w:shd w:val="clear" w:color="auto" w:fill="CFF0FC"/>
          </w:tcPr>
          <w:p>
            <w:pPr>
              <w:spacing w:after="0"/>
              <w:rPr>
                <w:sz w:val="19"/>
                <w:szCs w:val="19"/>
                <w:color w:val="auto"/>
              </w:rPr>
            </w:pPr>
          </w:p>
        </w:tc>
      </w:tr>
      <w:tr>
        <w:trPr>
          <w:trHeight w:val="229"/>
        </w:trPr>
        <w:tc>
          <w:tcPr>
            <w:tcW w:w="876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113,575</w:t>
            </w:r>
          </w:p>
        </w:tc>
        <w:tc>
          <w:tcPr>
            <w:tcW w:w="120" w:type="dxa"/>
            <w:vAlign w:val="bottom"/>
            <w:tcBorders>
              <w:bottom w:val="single" w:sz="8" w:color="CFF0FC"/>
            </w:tcBorders>
          </w:tcPr>
          <w:p>
            <w:pPr>
              <w:spacing w:after="0"/>
              <w:rPr>
                <w:sz w:val="19"/>
                <w:szCs w:val="19"/>
                <w:color w:val="auto"/>
              </w:rPr>
            </w:pPr>
          </w:p>
        </w:tc>
      </w:tr>
      <w:tr>
        <w:trPr>
          <w:trHeight w:val="223"/>
        </w:trPr>
        <w:tc>
          <w:tcPr>
            <w:tcW w:w="8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148,355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8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U.S. Tower Portfolio</w:t>
      </w:r>
    </w:p>
    <w:p>
      <w:pPr>
        <w:spacing w:after="0" w:line="225"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On June 1, 2020, the Company completed the sale of its U.S. tower business to Melody Investment Advisors LP (“Melody”), selling net assets having a book value of $190.0 million for total cash consideration of $225.8 million. The Company retained a 10% investment interest in the tower business, having a fair value of $26.0 million, through a newly formed limited partnership with Melody </w:t>
      </w:r>
      <w:hyperlink w:anchor="page21">
        <w:r>
          <w:rPr>
            <w:rFonts w:ascii="Arial" w:cs="Arial" w:eastAsia="Arial" w:hAnsi="Arial"/>
            <w:sz w:val="18"/>
            <w:szCs w:val="18"/>
            <w:color w:val="auto"/>
          </w:rPr>
          <w:t xml:space="preserve">(see </w:t>
        </w:r>
        <w:r>
          <w:rPr>
            <w:rFonts w:ascii="Arial" w:cs="Arial" w:eastAsia="Arial" w:hAnsi="Arial"/>
            <w:sz w:val="18"/>
            <w:szCs w:val="18"/>
            <w:u w:val="single" w:color="auto"/>
            <w:color w:val="auto"/>
          </w:rPr>
          <w:t>Note</w:t>
        </w:r>
        <w:r>
          <w:rPr>
            <w:rFonts w:ascii="Arial" w:cs="Arial" w:eastAsia="Arial" w:hAnsi="Arial"/>
            <w:sz w:val="18"/>
            <w:szCs w:val="18"/>
            <w:color w:val="auto"/>
          </w:rPr>
          <w:t xml:space="preserve"> </w:t>
        </w:r>
      </w:hyperlink>
      <w:r>
        <w:rPr>
          <w:rFonts w:ascii="Arial" w:cs="Arial" w:eastAsia="Arial" w:hAnsi="Arial"/>
          <w:sz w:val="18"/>
          <w:szCs w:val="18"/>
          <w:color w:val="auto"/>
        </w:rPr>
        <w:t>6), and will receive incremental earn-out payments, estimated to be $1.9 million, which is included in other assets on the Condensed Consolidated Balance Sheet as of June 30, 2020. During the second quarter, we recorded a gain of $63.7 million related to this transaction.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Ground Lease Portfolio</w:t>
      </w:r>
    </w:p>
    <w:p>
      <w:pPr>
        <w:spacing w:after="0" w:line="225"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On May 23, 2019, the Company completed the sale of substantially all of its U.S. ground lease business. During second quarter, we received cash consideration of $30.7 million resulting in a pre-tax gain of $5.0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 of Latin American Tower Portfolio</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April 2, 2019, the Company completed the sale of the Uniti Towers’ Latin America business (“LATAM”) to an entity controlled by Phoenix Towers International for cash consideration of $101.6 million resulting in a pre-tax gain of $23.8 million.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Investment in Unconsolidated Entity</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12529"/>
        </w:rPr>
        <w:t xml:space="preserve">We report the investment in our unconsolidated entity under the equity method of accounting. As of June 30, 2020, we had a 10% interest in Harmoni Towers LP (“Harmoni”). </w:t>
      </w:r>
      <w:r>
        <w:rPr>
          <w:rFonts w:ascii="Arial" w:cs="Arial" w:eastAsia="Arial" w:hAnsi="Arial"/>
          <w:sz w:val="18"/>
          <w:szCs w:val="18"/>
          <w:color w:val="000000"/>
        </w:rPr>
        <w:t>Harmoni was primarily established to develop wireless communication towers as real estate property for long-term</w:t>
      </w:r>
      <w:r>
        <w:rPr>
          <w:rFonts w:ascii="Arial" w:cs="Arial" w:eastAsia="Arial" w:hAnsi="Arial"/>
          <w:sz w:val="18"/>
          <w:szCs w:val="18"/>
          <w:color w:val="212529"/>
        </w:rPr>
        <w:t xml:space="preserve"> </w:t>
      </w:r>
      <w:r>
        <w:rPr>
          <w:rFonts w:ascii="Arial" w:cs="Arial" w:eastAsia="Arial" w:hAnsi="Arial"/>
          <w:sz w:val="18"/>
          <w:szCs w:val="18"/>
          <w:color w:val="000000"/>
        </w:rPr>
        <w:t>investment. We concluded that Harmoni is a VIE; however, the Company determined that it was not the primary beneficiary of Harmoni because the Company lacks the power to direct the activities that most significantly impact its economic performance. The Company’s current investment and maximum exposure to loss as a result of its involvement with Harmoni was approximately $26.0 million as of June 30, 2020. The Company has not provided financial support to Harmoni.</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provide transition services to Harmoni in exchange for fees and reimbursements. Total transition service fees earned in connection with Harmoni were $0.4 million for the three and six months ended June 30, 2020, which is included in operating expense on a net basis in our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Assets and Liabilities Held for Sale</w:t>
      </w:r>
    </w:p>
    <w:p>
      <w:pPr>
        <w:spacing w:after="0" w:line="2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June 2020, the Company entered into a definitive agreement to sell an ownership stake in the entity that controls the Company’s Midwest fiber network assets (the “Propco”) to Macquarie Infrastructure Partners (“MIP”) for total cash consideration of approximately $168 million. Uniti will retain an investment in the Propco through an affiliate of MIP and is eligible to receive an additional earnout payment in 2023 of up to approximately $20.0 million upon the achievement of certain operational milestones. The Company classified the Propco’s assets and liabilities separately on the Condensed Consolidated Balance Sheet as of June 30, 2020.</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assets and liabilities associated with the Propco classified as held for sale as of June 30, 2020:</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620" w:type="dxa"/>
            <w:vAlign w:val="bottom"/>
          </w:tcPr>
          <w:p>
            <w:pPr>
              <w:spacing w:after="0"/>
              <w:rPr>
                <w:sz w:val="14"/>
                <w:szCs w:val="14"/>
                <w:color w:val="auto"/>
              </w:rPr>
            </w:pPr>
          </w:p>
        </w:tc>
        <w:tc>
          <w:tcPr>
            <w:tcW w:w="2620" w:type="dxa"/>
            <w:vAlign w:val="bottom"/>
            <w:gridSpan w:val="2"/>
          </w:tcPr>
          <w:p>
            <w:pPr>
              <w:ind w:left="520"/>
              <w:spacing w:after="0"/>
              <w:rPr>
                <w:sz w:val="20"/>
                <w:szCs w:val="20"/>
                <w:color w:val="auto"/>
              </w:rPr>
            </w:pPr>
            <w:r>
              <w:rPr>
                <w:rFonts w:ascii="Arial" w:cs="Arial" w:eastAsia="Arial" w:hAnsi="Arial"/>
                <w:sz w:val="14"/>
                <w:szCs w:val="14"/>
                <w:b w:val="1"/>
                <w:bCs w:val="1"/>
                <w:color w:val="auto"/>
              </w:rPr>
              <w:t>June 30, 2020</w:t>
            </w:r>
          </w:p>
        </w:tc>
      </w:tr>
      <w:tr>
        <w:trPr>
          <w:trHeight w:val="223"/>
        </w:trPr>
        <w:tc>
          <w:tcPr>
            <w:tcW w:w="7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25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Property, plant and equipment, net</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188,818</w:t>
            </w:r>
          </w:p>
        </w:tc>
        <w:tc>
          <w:tcPr>
            <w:tcW w:w="100" w:type="dxa"/>
            <w:vAlign w:val="bottom"/>
          </w:tcPr>
          <w:p>
            <w:pPr>
              <w:spacing w:after="0"/>
              <w:rPr>
                <w:sz w:val="19"/>
                <w:szCs w:val="19"/>
                <w:color w:val="auto"/>
              </w:rPr>
            </w:pPr>
          </w:p>
        </w:tc>
      </w:tr>
      <w:tr>
        <w:trPr>
          <w:trHeight w:val="229"/>
        </w:trPr>
        <w:tc>
          <w:tcPr>
            <w:tcW w:w="8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620" w:type="dxa"/>
            <w:vAlign w:val="bottom"/>
            <w:shd w:val="clear" w:color="auto" w:fill="CFF0FC"/>
          </w:tcPr>
          <w:p>
            <w:pPr>
              <w:spacing w:after="0"/>
              <w:rPr>
                <w:sz w:val="19"/>
                <w:szCs w:val="19"/>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Intangible assets, net</w:t>
            </w:r>
          </w:p>
        </w:tc>
        <w:tc>
          <w:tcPr>
            <w:tcW w:w="620" w:type="dxa"/>
            <w:vAlign w:val="bottom"/>
          </w:tcPr>
          <w:p>
            <w:pPr>
              <w:spacing w:after="0"/>
              <w:rPr>
                <w:sz w:val="19"/>
                <w:szCs w:val="19"/>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167,185</w:t>
            </w:r>
          </w:p>
        </w:tc>
        <w:tc>
          <w:tcPr>
            <w:tcW w:w="100" w:type="dxa"/>
            <w:vAlign w:val="bottom"/>
          </w:tcPr>
          <w:p>
            <w:pPr>
              <w:spacing w:after="0"/>
              <w:rPr>
                <w:sz w:val="19"/>
                <w:szCs w:val="19"/>
                <w:color w:val="auto"/>
              </w:rPr>
            </w:pPr>
          </w:p>
        </w:tc>
      </w:tr>
      <w:tr>
        <w:trPr>
          <w:trHeight w:val="230"/>
        </w:trPr>
        <w:tc>
          <w:tcPr>
            <w:tcW w:w="8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Right of use assets, net</w:t>
            </w:r>
          </w:p>
        </w:tc>
        <w:tc>
          <w:tcPr>
            <w:tcW w:w="620" w:type="dxa"/>
            <w:vAlign w:val="bottom"/>
            <w:shd w:val="clear" w:color="auto" w:fill="CFF0FC"/>
          </w:tcPr>
          <w:p>
            <w:pPr>
              <w:spacing w:after="0"/>
              <w:rPr>
                <w:sz w:val="19"/>
                <w:szCs w:val="19"/>
                <w:color w:val="auto"/>
              </w:rPr>
            </w:pPr>
          </w:p>
        </w:tc>
        <w:tc>
          <w:tcPr>
            <w:tcW w:w="2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FF0FC"/>
          </w:tcPr>
          <w:p>
            <w:pPr>
              <w:spacing w:after="0"/>
              <w:rPr>
                <w:sz w:val="19"/>
                <w:szCs w:val="19"/>
                <w:color w:val="auto"/>
              </w:rPr>
            </w:pPr>
          </w:p>
        </w:tc>
      </w:tr>
      <w:tr>
        <w:trPr>
          <w:trHeight w:val="229"/>
        </w:trPr>
        <w:tc>
          <w:tcPr>
            <w:tcW w:w="800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assets</w:t>
            </w:r>
          </w:p>
        </w:tc>
        <w:tc>
          <w:tcPr>
            <w:tcW w:w="62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tcPr>
          <w:p>
            <w:pPr>
              <w:spacing w:after="0"/>
              <w:rPr>
                <w:sz w:val="19"/>
                <w:szCs w:val="19"/>
                <w:color w:val="auto"/>
              </w:rPr>
            </w:pPr>
          </w:p>
        </w:tc>
      </w:tr>
      <w:tr>
        <w:trPr>
          <w:trHeight w:val="223"/>
        </w:trPr>
        <w:tc>
          <w:tcPr>
            <w:tcW w:w="800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Assets</w:t>
            </w:r>
          </w:p>
        </w:tc>
        <w:tc>
          <w:tcPr>
            <w:tcW w:w="620" w:type="dxa"/>
            <w:vAlign w:val="bottom"/>
            <w:tcBorders>
              <w:bottom w:val="single" w:sz="8" w:color="auto"/>
            </w:tcBorders>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364,423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0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620" w:type="dxa"/>
            <w:vAlign w:val="bottom"/>
            <w:shd w:val="clear" w:color="auto" w:fill="CFF0FC"/>
          </w:tcPr>
          <w:p>
            <w:pPr>
              <w:spacing w:after="0"/>
              <w:rPr>
                <w:sz w:val="19"/>
                <w:szCs w:val="19"/>
                <w:color w:val="auto"/>
              </w:rPr>
            </w:pPr>
          </w:p>
        </w:tc>
        <w:tc>
          <w:tcPr>
            <w:tcW w:w="2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00" w:type="dxa"/>
            <w:vAlign w:val="bottom"/>
            <w:gridSpan w:val="2"/>
          </w:tcPr>
          <w:p>
            <w:pPr>
              <w:ind w:left="260"/>
              <w:spacing w:after="0"/>
              <w:rPr>
                <w:sz w:val="20"/>
                <w:szCs w:val="20"/>
                <w:color w:val="auto"/>
              </w:rPr>
            </w:pPr>
            <w:r>
              <w:rPr>
                <w:rFonts w:ascii="Arial" w:cs="Arial" w:eastAsia="Arial" w:hAnsi="Arial"/>
                <w:sz w:val="18"/>
                <w:szCs w:val="18"/>
                <w:color w:val="auto"/>
              </w:rPr>
              <w:t>Lease liabilities</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spacing w:after="0"/>
              <w:rPr>
                <w:sz w:val="20"/>
                <w:szCs w:val="20"/>
                <w:color w:val="auto"/>
              </w:rPr>
            </w:pPr>
            <w:r>
              <w:rPr>
                <w:rFonts w:ascii="Arial" w:cs="Arial" w:eastAsia="Arial" w:hAnsi="Arial"/>
                <w:sz w:val="18"/>
                <w:szCs w:val="18"/>
                <w:color w:val="auto"/>
              </w:rPr>
              <w:t>3,074</w:t>
            </w:r>
          </w:p>
        </w:tc>
        <w:tc>
          <w:tcPr>
            <w:tcW w:w="100" w:type="dxa"/>
            <w:vAlign w:val="bottom"/>
          </w:tcPr>
          <w:p>
            <w:pPr>
              <w:spacing w:after="0"/>
              <w:rPr>
                <w:sz w:val="19"/>
                <w:szCs w:val="19"/>
                <w:color w:val="auto"/>
              </w:rPr>
            </w:pPr>
          </w:p>
        </w:tc>
      </w:tr>
      <w:tr>
        <w:trPr>
          <w:trHeight w:val="229"/>
        </w:trPr>
        <w:tc>
          <w:tcPr>
            <w:tcW w:w="80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620" w:type="dxa"/>
            <w:vAlign w:val="bottom"/>
            <w:tcBorders>
              <w:bottom w:val="single" w:sz="8" w:color="auto"/>
            </w:tcBorders>
            <w:shd w:val="clear" w:color="auto" w:fill="CFF0FC"/>
          </w:tcPr>
          <w:p>
            <w:pPr>
              <w:spacing w:after="0"/>
              <w:rPr>
                <w:sz w:val="19"/>
                <w:szCs w:val="19"/>
                <w:color w:val="auto"/>
              </w:rPr>
            </w:pPr>
          </w:p>
        </w:tc>
        <w:tc>
          <w:tcPr>
            <w:tcW w:w="2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174,792</w:t>
            </w:r>
          </w:p>
        </w:tc>
        <w:tc>
          <w:tcPr>
            <w:tcW w:w="100" w:type="dxa"/>
            <w:vAlign w:val="bottom"/>
            <w:shd w:val="clear" w:color="auto" w:fill="CFF0FC"/>
          </w:tcPr>
          <w:p>
            <w:pPr>
              <w:spacing w:after="0"/>
              <w:rPr>
                <w:sz w:val="19"/>
                <w:szCs w:val="19"/>
                <w:color w:val="auto"/>
              </w:rPr>
            </w:pPr>
          </w:p>
        </w:tc>
      </w:tr>
      <w:tr>
        <w:trPr>
          <w:trHeight w:val="223"/>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177,866</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Propco is included in the results of the Leasing segment. The sale does not represent a strategic shift that will have a major effect on operations and financial results and, therefore, did not qualify for presentation as a discontinued operation.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Fair Value of Financial Instruments</w:t>
      </w:r>
    </w:p>
    <w:p>
      <w:pPr>
        <w:spacing w:after="0" w:line="22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 xml:space="preserve">FASB ASC 820, </w:t>
      </w:r>
      <w:r>
        <w:rPr>
          <w:rFonts w:ascii="Arial" w:cs="Arial" w:eastAsia="Arial" w:hAnsi="Arial"/>
          <w:sz w:val="17"/>
          <w:szCs w:val="17"/>
          <w:i w:val="1"/>
          <w:iCs w:val="1"/>
          <w:color w:val="auto"/>
        </w:rPr>
        <w:t>Fair Value Measurements</w:t>
      </w:r>
      <w:r>
        <w:rPr>
          <w:rFonts w:ascii="Arial" w:cs="Arial" w:eastAsia="Arial" w:hAnsi="Arial"/>
          <w:sz w:val="17"/>
          <w:szCs w:val="17"/>
          <w:color w:val="auto"/>
        </w:rPr>
        <w:t>, establishes a hierarchy of valuation techniques based on the observability of inputs utilized in measuring assets and liabilities at fair values. This hierarchy establishes market-based or observable inputs as the preferred source of values, followed by valuation models using management assumptions in the absence of market inputs. The three levels of the hierarchy are as follows:</w:t>
      </w:r>
    </w:p>
    <w:p>
      <w:pPr>
        <w:spacing w:after="0" w:line="57" w:lineRule="exact"/>
        <w:rPr>
          <w:sz w:val="20"/>
          <w:szCs w:val="20"/>
          <w:color w:val="auto"/>
        </w:rPr>
      </w:pPr>
    </w:p>
    <w:p>
      <w:pPr>
        <w:ind w:right="780"/>
        <w:spacing w:after="0" w:line="389" w:lineRule="auto"/>
        <w:rPr>
          <w:sz w:val="20"/>
          <w:szCs w:val="20"/>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(unadjusted) in active markets for identical assets or liabilities that the reporting entity can access at the assessment date;</w:t>
      </w:r>
      <w:r>
        <w:rPr>
          <w:rFonts w:ascii="Arial" w:cs="Arial" w:eastAsia="Arial" w:hAnsi="Arial"/>
          <w:sz w:val="18"/>
          <w:szCs w:val="18"/>
          <w:b w:val="1"/>
          <w:bCs w:val="1"/>
          <w:i w:val="1"/>
          <w:iCs w:val="1"/>
          <w:color w:val="auto"/>
        </w:rPr>
        <w:t xml:space="preserve"> Level 2 </w:t>
      </w:r>
      <w:r>
        <w:rPr>
          <w:rFonts w:ascii="Arial" w:cs="Arial" w:eastAsia="Arial" w:hAnsi="Arial"/>
          <w:sz w:val="18"/>
          <w:szCs w:val="18"/>
          <w:color w:val="auto"/>
        </w:rPr>
        <w:t>– Inputs other than quoted prices included within Level 1 that are observable for the asset or liability, either directly or indirectly; and</w:t>
      </w:r>
      <w:r>
        <w:rPr>
          <w:rFonts w:ascii="Arial" w:cs="Arial" w:eastAsia="Arial" w:hAnsi="Arial"/>
          <w:sz w:val="18"/>
          <w:szCs w:val="18"/>
          <w:b w:val="1"/>
          <w:bCs w:val="1"/>
          <w:i w:val="1"/>
          <w:iCs w:val="1"/>
          <w:color w:val="auto"/>
        </w:rPr>
        <w:t xml:space="preserve"> Level 3 </w:t>
      </w:r>
      <w:r>
        <w:rPr>
          <w:rFonts w:ascii="Arial" w:cs="Arial" w:eastAsia="Arial" w:hAnsi="Arial"/>
          <w:sz w:val="18"/>
          <w:szCs w:val="18"/>
          <w:color w:val="auto"/>
        </w:rPr>
        <w:t>– Unobservable inputs for the asset or liability.</w:t>
      </w:r>
    </w:p>
    <w:p>
      <w:pPr>
        <w:spacing w:after="0" w:line="7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financial instruments consist of cash and cash equivalents, accounts and other receivables, a derivative asset and liability, our outstanding notes and other debt, contingent consideration and accounts, interest and dividends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of our financial instruments at June 30, 2020 and December 31, 2019:</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14"/>
                <w:szCs w:val="1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Prices with Other</w:t>
            </w:r>
          </w:p>
        </w:tc>
        <w:tc>
          <w:tcPr>
            <w:tcW w:w="120" w:type="dxa"/>
            <w:vAlign w:val="bottom"/>
          </w:tcPr>
          <w:p>
            <w:pPr>
              <w:spacing w:after="0"/>
              <w:rPr>
                <w:sz w:val="14"/>
                <w:szCs w:val="1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June 30, 2020</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notes - 7.875%, due February 15, 2025</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2,283,750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2,283,750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541,750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541,750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1,043,400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1,043,400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546,000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546,000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372,497</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372,497</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128,307</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128,307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 net</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28,464</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40" w:type="dxa"/>
            <w:vAlign w:val="bottom"/>
          </w:tcPr>
          <w:p>
            <w:pPr>
              <w:ind w:left="140"/>
              <w:spacing w:after="0"/>
              <w:rPr>
                <w:sz w:val="20"/>
                <w:szCs w:val="20"/>
                <w:color w:val="auto"/>
              </w:rPr>
            </w:pPr>
            <w:r>
              <w:rPr>
                <w:rFonts w:ascii="Arial" w:cs="Arial" w:eastAsia="Arial" w:hAnsi="Arial"/>
                <w:sz w:val="18"/>
                <w:szCs w:val="18"/>
                <w:color w:val="auto"/>
              </w:rPr>
              <w:t>Total</w:t>
            </w:r>
          </w:p>
        </w:tc>
        <w:tc>
          <w:tcPr>
            <w:tcW w:w="18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4,954,730</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4,944,168</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2"/>
        </w:trPr>
        <w:tc>
          <w:tcPr>
            <w:tcW w:w="6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100" w:type="dxa"/>
            <w:vAlign w:val="bottom"/>
          </w:tcPr>
          <w:p>
            <w:pPr>
              <w:spacing w:after="0"/>
              <w:rPr>
                <w:sz w:val="24"/>
                <w:szCs w:val="24"/>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Prices with Other</w:t>
            </w:r>
          </w:p>
        </w:tc>
        <w:tc>
          <w:tcPr>
            <w:tcW w:w="120" w:type="dxa"/>
            <w:vAlign w:val="bottom"/>
          </w:tcPr>
          <w:p>
            <w:pPr>
              <w:spacing w:after="0"/>
              <w:rPr>
                <w:sz w:val="24"/>
                <w:szCs w:val="24"/>
                <w:color w:val="auto"/>
              </w:rPr>
            </w:pPr>
          </w:p>
        </w:tc>
        <w:tc>
          <w:tcPr>
            <w:tcW w:w="11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Prices with</w:t>
            </w: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Total</w:t>
            </w: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71"/>
        </w:trPr>
        <w:tc>
          <w:tcPr>
            <w:tcW w:w="6140" w:type="dxa"/>
            <w:vAlign w:val="bottom"/>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Inputs (Level 3)</w:t>
            </w:r>
          </w:p>
        </w:tc>
        <w:tc>
          <w:tcPr>
            <w:tcW w:w="0" w:type="dxa"/>
            <w:vAlign w:val="bottom"/>
          </w:tcPr>
          <w:p>
            <w:pPr>
              <w:spacing w:after="0"/>
              <w:rPr>
                <w:sz w:val="1"/>
                <w:szCs w:val="1"/>
                <w:color w:val="auto"/>
              </w:rPr>
            </w:pPr>
          </w:p>
        </w:tc>
      </w:tr>
      <w:tr>
        <w:trPr>
          <w:trHeight w:val="223"/>
        </w:trPr>
        <w:tc>
          <w:tcPr>
            <w:tcW w:w="61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At December 31, 2019</w:t>
            </w:r>
          </w:p>
        </w:tc>
        <w:tc>
          <w:tcPr>
            <w:tcW w:w="18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spacing w:after="0"/>
              <w:rPr>
                <w:sz w:val="20"/>
                <w:szCs w:val="20"/>
                <w:color w:val="auto"/>
              </w:rPr>
            </w:pPr>
            <w:r>
              <w:rPr>
                <w:rFonts w:ascii="Arial" w:cs="Arial" w:eastAsia="Arial" w:hAnsi="Arial"/>
                <w:sz w:val="18"/>
                <w:szCs w:val="18"/>
                <w:color w:val="auto"/>
              </w:rPr>
              <w:t>Liabilities</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secured term loan B - variable rate, due October 24, 2022</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1,998,721</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notes - 6.00%, due April 15, 2023</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528,000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Senior unsecured notes - 8.25%, due October 15, 2023</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971,250</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40"/>
              <w:spacing w:after="0"/>
              <w:rPr>
                <w:sz w:val="20"/>
                <w:szCs w:val="20"/>
                <w:color w:val="auto"/>
              </w:rPr>
            </w:pPr>
            <w:r>
              <w:rPr>
                <w:rFonts w:ascii="Arial" w:cs="Arial" w:eastAsia="Arial" w:hAnsi="Arial"/>
                <w:sz w:val="18"/>
                <w:szCs w:val="18"/>
                <w:color w:val="auto"/>
              </w:rPr>
              <w:t>Senior unsecured notes - 7.125%, due December 15, 2024</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511,500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511,500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Exchangeable senior unsecured notes - 4.00%, due June 15, 2024</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309,638</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40"/>
              <w:spacing w:after="0"/>
              <w:rPr>
                <w:sz w:val="20"/>
                <w:szCs w:val="20"/>
                <w:color w:val="auto"/>
              </w:rPr>
            </w:pPr>
            <w:r>
              <w:rPr>
                <w:rFonts w:ascii="Arial" w:cs="Arial" w:eastAsia="Arial" w:hAnsi="Arial"/>
                <w:sz w:val="18"/>
                <w:szCs w:val="18"/>
                <w:color w:val="auto"/>
              </w:rPr>
              <w:t>Senior secured revolving credit facility, variable rate, due April 24, 2022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574,961</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574,961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14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Contingent consideration</w:t>
            </w:r>
          </w:p>
        </w:tc>
        <w:tc>
          <w:tcPr>
            <w:tcW w:w="180" w:type="dxa"/>
            <w:vAlign w:val="bottom"/>
            <w:tcBorders>
              <w:bottom w:val="single" w:sz="8" w:color="CFF0FC"/>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1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42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4,929,256</w:t>
            </w:r>
          </w:p>
        </w:tc>
        <w:tc>
          <w:tcPr>
            <w:tcW w:w="10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861"/>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4,917,749</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carrying value of cash and cash equivalents, accounts and other receivables, and accounts, interest and dividends payable approximate fair values due to the short-term nature of these financial instruments.</w:t>
      </w:r>
    </w:p>
    <w:p>
      <w:pPr>
        <w:spacing w:after="0" w:line="170" w:lineRule="exact"/>
        <w:rPr>
          <w:sz w:val="20"/>
          <w:szCs w:val="20"/>
          <w:color w:val="auto"/>
        </w:rPr>
      </w:pPr>
    </w:p>
    <w:p>
      <w:pPr>
        <w:ind w:right="60"/>
        <w:spacing w:after="0" w:line="269" w:lineRule="auto"/>
        <w:rPr>
          <w:rFonts w:ascii="Arial" w:cs="Arial" w:eastAsia="Arial" w:hAnsi="Arial"/>
          <w:sz w:val="17"/>
          <w:szCs w:val="17"/>
          <w:u w:val="single" w:color="auto"/>
          <w:color w:val="0000EE"/>
        </w:rPr>
      </w:pPr>
      <w:r>
        <w:rPr>
          <w:rFonts w:ascii="Arial" w:cs="Arial" w:eastAsia="Arial" w:hAnsi="Arial"/>
          <w:sz w:val="17"/>
          <w:szCs w:val="17"/>
          <w:color w:val="auto"/>
        </w:rPr>
        <w:t xml:space="preserve">The total principal balance of our outstanding notes and other debt was $4.98 billion at June 30, 2020, with a fair value of $4.92 billion. The estimated fair value of our outstanding notes and other debt was based on available external pricing data and current market rates for similar debt instruments, among </w:t>
      </w:r>
      <w:hyperlink w:anchor="page25">
        <w:r>
          <w:rPr>
            <w:rFonts w:ascii="Arial" w:cs="Arial" w:eastAsia="Arial" w:hAnsi="Arial"/>
            <w:sz w:val="17"/>
            <w:szCs w:val="17"/>
            <w:u w:val="single" w:color="auto"/>
            <w:color w:val="auto"/>
          </w:rPr>
          <w:t xml:space="preserve">other factors, which are classified as Level 2 inputs within the fair value hierarchy. Derivative assets and liabilities are carried at fair value. </w:t>
        </w:r>
        <w:r>
          <w:rPr>
            <w:rFonts w:ascii="Arial" w:cs="Arial" w:eastAsia="Arial" w:hAnsi="Arial"/>
            <w:sz w:val="17"/>
            <w:szCs w:val="17"/>
            <w:u w:val="single" w:color="auto"/>
            <w:color w:val="0000EE"/>
          </w:rPr>
          <w:t>See Note 10.</w:t>
        </w:r>
      </w:hyperlink>
      <w:r>
        <w:rPr>
          <w:rFonts w:ascii="Arial" w:cs="Arial" w:eastAsia="Arial" w:hAnsi="Arial"/>
          <w:sz w:val="17"/>
          <w:szCs w:val="17"/>
          <w:u w:val="single" w:color="auto"/>
          <w:color w:val="auto"/>
        </w:rPr>
        <w:t xml:space="preserve"> </w:t>
      </w:r>
      <w:hyperlink w:anchor="page25">
        <w:r>
          <w:rPr>
            <w:rFonts w:ascii="Arial" w:cs="Arial" w:eastAsia="Arial" w:hAnsi="Arial"/>
            <w:sz w:val="17"/>
            <w:szCs w:val="17"/>
            <w:u w:val="single" w:color="auto"/>
            <w:color w:val="0000EE"/>
          </w:rPr>
          <w:t>The fair value of an interest rate swap is determined based on the present value of expected future cash flows using observable, quoted LIBOR swap rates</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for the full term of the swap and also incorporate credit valuation adjustments to appropriately reflect both Uniti’s own non-performance risk and non-</w:t>
        </w:r>
      </w:hyperlink>
      <w:hyperlink w:anchor="page25">
        <w:r>
          <w:rPr>
            <w:rFonts w:ascii="Arial" w:cs="Arial" w:eastAsia="Arial" w:hAnsi="Arial"/>
            <w:sz w:val="17"/>
            <w:szCs w:val="17"/>
            <w:u w:val="single" w:color="auto"/>
            <w:color w:val="0000EE"/>
          </w:rPr>
          <w:t>performance risk of the respective counterparties. The Company has determined that the majority of the inputs used to value its derivative assets and</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liabilities fall within Level 2 of the fair value hierarchy; however, the associated credit valuation adjustments utilized Level 3 inputs, such as estimates of</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credit spreads, to evaluate the likelihood of default by the Company and its counterparties. As of June 30, 2020, the Company has assessed the significance</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of the impact of the credit valuation adjustments on the overall valuation of its derivative positions and has determined that the credit valuation adjustment</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is not significant to the overall value of the derivatives. As such, the Company classifies its derivative assets and liabilities valuation in Level 2 of the fair</w:t>
        </w:r>
      </w:hyperlink>
      <w:r>
        <w:rPr>
          <w:rFonts w:ascii="Arial" w:cs="Arial" w:eastAsia="Arial" w:hAnsi="Arial"/>
          <w:sz w:val="17"/>
          <w:szCs w:val="17"/>
          <w:u w:val="single" w:color="auto"/>
          <w:color w:val="0000EE"/>
        </w:rPr>
        <w:t xml:space="preserve"> </w:t>
      </w:r>
      <w:hyperlink w:anchor="page25">
        <w:r>
          <w:rPr>
            <w:rFonts w:ascii="Arial" w:cs="Arial" w:eastAsia="Arial" w:hAnsi="Arial"/>
            <w:sz w:val="17"/>
            <w:szCs w:val="17"/>
            <w:u w:val="single" w:color="auto"/>
            <w:color w:val="0000EE"/>
          </w:rPr>
          <w:t>value hierarchy</w:t>
        </w:r>
        <w:r>
          <w:rPr>
            <w:rFonts w:ascii="Arial" w:cs="Arial" w:eastAsia="Arial" w:hAnsi="Arial"/>
            <w:sz w:val="17"/>
            <w:szCs w:val="17"/>
            <w:u w:val="single" w:color="auto"/>
            <w:color w:val="000000"/>
          </w:rPr>
          <w:t>.</w:t>
        </w:r>
      </w:hyperlink>
    </w:p>
    <w:p>
      <w:pPr>
        <w:spacing w:after="0" w:line="200" w:lineRule="exact"/>
        <w:rPr>
          <w:rFonts w:ascii="Arial" w:cs="Arial" w:eastAsia="Arial" w:hAnsi="Arial"/>
          <w:sz w:val="17"/>
          <w:szCs w:val="17"/>
          <w:u w:val="single" w:color="auto"/>
          <w:color w:val="0000EE"/>
        </w:rPr>
      </w:pPr>
    </w:p>
    <w:p>
      <w:pPr>
        <w:spacing w:after="0" w:line="225" w:lineRule="exact"/>
        <w:rPr>
          <w:rFonts w:ascii="Arial" w:cs="Arial" w:eastAsia="Arial" w:hAnsi="Arial"/>
          <w:sz w:val="17"/>
          <w:szCs w:val="17"/>
          <w:u w:val="single" w:color="auto"/>
          <w:color w:val="0000EE"/>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0"/>
        <w:spacing w:after="0" w:line="311" w:lineRule="auto"/>
        <w:rPr>
          <w:rFonts w:ascii="Arial" w:cs="Arial" w:eastAsia="Arial" w:hAnsi="Arial"/>
          <w:sz w:val="16"/>
          <w:szCs w:val="16"/>
          <w:color w:val="auto"/>
        </w:rPr>
      </w:pPr>
      <w:r>
        <w:rPr>
          <w:rFonts w:ascii="Arial" w:cs="Arial" w:eastAsia="Arial" w:hAnsi="Arial"/>
          <w:sz w:val="16"/>
          <w:szCs w:val="16"/>
          <w:color w:val="auto"/>
        </w:rPr>
        <w:t>Given the limited trade activity of the Exchangeable Notes, the fair value of the Exchangeable Notes (</w:t>
      </w:r>
      <w:hyperlink w:anchor="page27">
        <w:r>
          <w:rPr>
            <w:rFonts w:ascii="Arial" w:cs="Arial" w:eastAsia="Arial" w:hAnsi="Arial"/>
            <w:sz w:val="16"/>
            <w:szCs w:val="16"/>
            <w:u w:val="single" w:color="auto"/>
            <w:color w:val="0000EE"/>
          </w:rPr>
          <w:t>see Note 12</w:t>
        </w:r>
      </w:hyperlink>
      <w:r>
        <w:rPr>
          <w:rFonts w:ascii="Arial" w:cs="Arial" w:eastAsia="Arial" w:hAnsi="Arial"/>
          <w:sz w:val="16"/>
          <w:szCs w:val="16"/>
          <w:color w:val="auto"/>
        </w:rPr>
        <w:t>) is determined based on inputs that are observable in the market and have been classified as Level 2 in the fair value hierarchy. Specifically, we estimated the fair value of the Exchangeable Notes based on readily available external pricing information, quoted market prices, and current market rates for similar convertible debt instruments.</w:t>
      </w:r>
    </w:p>
    <w:p>
      <w:pPr>
        <w:spacing w:after="0" w:line="14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acquired Tower Cloud, Inc. (“Tower Cloud”) on August 31, 2016. As part of the Tower Cloud acquisition, we may be obligated to pay contingent consideration upon achievement of certain defined operational and financial milestones from the date of acquisition through December 31, 2021. At the Company’s discretion, a combination of cash and Uniti common shares may be used to satisfy the contingent consideration payments, provided that at least 50% of the aggregate amount of payments is satisfied in cash. We recorded the estimated fair value of future contingent consideration of $10.6 million as of June 30, 2020. The fair value of the contingent consideration as of June 30, 2020, was determined using a discounted cash flow model and probability adjusted estimates of the future operational milestones and is classified as Level 3. During the six months ended June 30, 2020 and 2019, we paid $7.1 million and $28.2 million, respectively, for the achievement of certain milestones in accordance with the Tower Cloud merger agreement.</w:t>
      </w:r>
    </w:p>
    <w:p>
      <w:pPr>
        <w:spacing w:after="0" w:line="166"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Changes in the fair value of contingent consideration arrangements are recorded in our Condensed Consolidated Statement of (Loss) Income in the period in which the change occurs. For the three months and six months ended June 30, 2020, there was a $4.6 million and $6.1 million, respectively, increase in the fair value of the contingent consideration that was recorded in Other (income) expense on the Condensed Consolidated Statements of (Loss)</w:t>
      </w:r>
    </w:p>
    <w:p>
      <w:pPr>
        <w:spacing w:after="0" w:line="2" w:lineRule="exact"/>
        <w:rPr>
          <w:sz w:val="20"/>
          <w:szCs w:val="20"/>
          <w:color w:val="auto"/>
        </w:rPr>
      </w:pPr>
    </w:p>
    <w:p>
      <w:pPr>
        <w:ind w:right="460"/>
        <w:spacing w:after="0" w:line="290" w:lineRule="auto"/>
        <w:rPr>
          <w:sz w:val="20"/>
          <w:szCs w:val="20"/>
          <w:color w:val="auto"/>
        </w:rPr>
      </w:pPr>
      <w:r>
        <w:rPr>
          <w:rFonts w:ascii="Arial" w:cs="Arial" w:eastAsia="Arial" w:hAnsi="Arial"/>
          <w:sz w:val="17"/>
          <w:szCs w:val="17"/>
          <w:color w:val="auto"/>
        </w:rPr>
        <w:t>Income. For the three and six months ended June 30, 2019, there was a $22.3 million and $25.5 million, respectively, decrease in the fair value of the contingent consideration that was recorded in Other (income) expense on the Condensed Consolidated Statements of (Loss) Income.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roll forward of our liabilities measured at fair value on a recurring basis using unobservable inputs (Level 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w w:val="91"/>
              </w:rPr>
              <w:t>December 31, 2019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(Gain)/Loss included in</w:t>
            </w:r>
          </w:p>
        </w:tc>
        <w:tc>
          <w:tcPr>
            <w:tcW w:w="240" w:type="dxa"/>
            <w:vAlign w:val="bottom"/>
          </w:tcPr>
          <w:p>
            <w:pPr>
              <w:spacing w:after="0"/>
              <w:rPr>
                <w:sz w:val="14"/>
                <w:szCs w:val="14"/>
                <w:color w:val="auto"/>
              </w:rPr>
            </w:pPr>
          </w:p>
        </w:tc>
        <w:tc>
          <w:tcPr>
            <w:tcW w:w="15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Settlements</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June 30, 2020</w:t>
            </w:r>
          </w:p>
        </w:tc>
        <w:tc>
          <w:tcPr>
            <w:tcW w:w="0" w:type="dxa"/>
            <w:vAlign w:val="bottom"/>
          </w:tcPr>
          <w:p>
            <w:pPr>
              <w:spacing w:after="0"/>
              <w:rPr>
                <w:sz w:val="1"/>
                <w:szCs w:val="1"/>
                <w:color w:val="auto"/>
              </w:rPr>
            </w:pPr>
          </w:p>
        </w:tc>
      </w:tr>
      <w:tr>
        <w:trPr>
          <w:trHeight w:val="171"/>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Transfers into Level 3</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earnings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Contingent consideration</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11,507</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6,141</w:t>
            </w:r>
          </w:p>
        </w:tc>
        <w:tc>
          <w:tcPr>
            <w:tcW w:w="24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gridSpan w:val="2"/>
            <w:shd w:val="clear" w:color="auto" w:fill="CFF0FC"/>
          </w:tcPr>
          <w:p>
            <w:pPr>
              <w:jc w:val="center"/>
              <w:spacing w:after="0"/>
              <w:rPr>
                <w:sz w:val="20"/>
                <w:szCs w:val="20"/>
                <w:color w:val="auto"/>
              </w:rPr>
            </w:pPr>
            <w:r>
              <w:rPr>
                <w:rFonts w:ascii="Arial" w:cs="Arial" w:eastAsia="Arial" w:hAnsi="Arial"/>
                <w:sz w:val="18"/>
                <w:szCs w:val="18"/>
                <w:color w:val="auto"/>
                <w:w w:val="84"/>
              </w:rPr>
              <w:t>(7,086)</w:t>
            </w: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743"/>
        </w:trPr>
        <w:tc>
          <w:tcPr>
            <w:tcW w:w="3040" w:type="dxa"/>
            <w:vAlign w:val="bottom"/>
            <w:gridSpan w:val="2"/>
          </w:tcPr>
          <w:p>
            <w:pPr>
              <w:spacing w:after="0"/>
              <w:rPr>
                <w:sz w:val="20"/>
                <w:szCs w:val="20"/>
                <w:color w:val="auto"/>
              </w:rPr>
            </w:pPr>
            <w:r>
              <w:rPr>
                <w:rFonts w:ascii="Arial" w:cs="Arial" w:eastAsia="Arial" w:hAnsi="Arial"/>
                <w:sz w:val="18"/>
                <w:szCs w:val="18"/>
                <w:b w:val="1"/>
                <w:bCs w:val="1"/>
                <w:color w:val="auto"/>
                <w:w w:val="92"/>
              </w:rPr>
              <w:t>Note 9. Property, Plant and Equipment</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120" w:type="dxa"/>
            <w:vAlign w:val="bottom"/>
            <w:gridSpan w:val="7"/>
          </w:tcPr>
          <w:p>
            <w:pPr>
              <w:spacing w:after="0"/>
              <w:rPr>
                <w:sz w:val="20"/>
                <w:szCs w:val="20"/>
                <w:color w:val="auto"/>
              </w:rPr>
            </w:pPr>
            <w:r>
              <w:rPr>
                <w:rFonts w:ascii="Arial" w:cs="Arial" w:eastAsia="Arial" w:hAnsi="Arial"/>
                <w:sz w:val="18"/>
                <w:szCs w:val="18"/>
                <w:color w:val="auto"/>
                <w:w w:val="98"/>
              </w:rPr>
              <w:t>The carrying value of property, plant and equipment is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304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Depreciable Lives</w:t>
            </w: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23"/>
        </w:trPr>
        <w:tc>
          <w:tcPr>
            <w:tcW w:w="304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Land</w:t>
            </w:r>
          </w:p>
        </w:tc>
        <w:tc>
          <w:tcPr>
            <w:tcW w:w="8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Indefinite</w:t>
            </w: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27,905</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28,337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Building and improvements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3 - 40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350,164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355,225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Real property interests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Poles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261,997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258,535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Fiber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3,434,306</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3,456,398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Equipment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5 - 7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317,170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293,427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Copper</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3,816,448</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3,792,366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Conduit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30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89,771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89,770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Tower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8,571</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tcPr>
          <w:p>
            <w:pPr>
              <w:spacing w:after="0"/>
              <w:rPr>
                <w:sz w:val="20"/>
                <w:szCs w:val="20"/>
                <w:color w:val="auto"/>
              </w:rPr>
            </w:pPr>
            <w:r>
              <w:rPr>
                <w:rFonts w:ascii="Arial" w:cs="Arial" w:eastAsia="Arial" w:hAnsi="Arial"/>
                <w:sz w:val="18"/>
                <w:szCs w:val="18"/>
                <w:color w:val="auto"/>
              </w:rPr>
              <w:t>Finance lease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128,259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129,900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assets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140"/>
              <w:spacing w:after="0"/>
              <w:rPr>
                <w:sz w:val="20"/>
                <w:szCs w:val="20"/>
                <w:color w:val="auto"/>
              </w:rPr>
            </w:pPr>
            <w:r>
              <w:rPr>
                <w:rFonts w:ascii="Arial" w:cs="Arial" w:eastAsia="Arial" w:hAnsi="Arial"/>
                <w:sz w:val="18"/>
                <w:szCs w:val="18"/>
                <w:color w:val="auto"/>
              </w:rPr>
              <w:t>15 - 20 years</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10,362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11,591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Arial" w:cs="Arial" w:eastAsia="Arial" w:hAnsi="Arial"/>
                <w:sz w:val="18"/>
                <w:szCs w:val="18"/>
                <w:color w:val="auto"/>
              </w:rPr>
              <w:t>Corporate assets</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4"/>
          </w:tcPr>
          <w:p>
            <w:pPr>
              <w:jc w:val="right"/>
              <w:ind w:right="140"/>
              <w:spacing w:after="0"/>
              <w:rPr>
                <w:sz w:val="20"/>
                <w:szCs w:val="20"/>
                <w:color w:val="auto"/>
              </w:rPr>
            </w:pPr>
            <w:r>
              <w:rPr>
                <w:rFonts w:ascii="Arial" w:cs="Arial" w:eastAsia="Arial" w:hAnsi="Arial"/>
                <w:sz w:val="18"/>
                <w:szCs w:val="18"/>
                <w:color w:val="auto"/>
              </w:rPr>
              <w:t>3 - 7 years</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12,797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5,552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5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49,542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89,007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4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8,507,292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8,683,479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(5,409,101)</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(5,273,534)</w:t>
            </w:r>
          </w:p>
        </w:tc>
        <w:tc>
          <w:tcPr>
            <w:tcW w:w="0" w:type="dxa"/>
            <w:vAlign w:val="bottom"/>
          </w:tcPr>
          <w:p>
            <w:pPr>
              <w:spacing w:after="0"/>
              <w:rPr>
                <w:sz w:val="1"/>
                <w:szCs w:val="1"/>
                <w:color w:val="auto"/>
              </w:rPr>
            </w:pPr>
          </w:p>
        </w:tc>
      </w:tr>
      <w:tr>
        <w:trPr>
          <w:trHeight w:val="223"/>
        </w:trPr>
        <w:tc>
          <w:tcPr>
            <w:tcW w:w="3040" w:type="dxa"/>
            <w:vAlign w:val="bottom"/>
            <w:gridSpan w:val="2"/>
          </w:tcPr>
          <w:p>
            <w:pPr>
              <w:spacing w:after="0"/>
              <w:rPr>
                <w:sz w:val="20"/>
                <w:szCs w:val="20"/>
                <w:color w:val="auto"/>
              </w:rPr>
            </w:pPr>
            <w:r>
              <w:rPr>
                <w:rFonts w:ascii="Arial" w:cs="Arial" w:eastAsia="Arial" w:hAnsi="Arial"/>
                <w:sz w:val="18"/>
                <w:szCs w:val="18"/>
                <w:color w:val="auto"/>
              </w:rPr>
              <w:t>Net property, plant and equipment</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3,098,191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3,409,945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20" w:type="dxa"/>
            <w:vAlign w:val="bottom"/>
            <w:gridSpan w:val="7"/>
            <w:vMerge w:val="restart"/>
          </w:tcPr>
          <w:p>
            <w:pPr>
              <w:spacing w:after="0"/>
              <w:rPr>
                <w:sz w:val="20"/>
                <w:szCs w:val="20"/>
                <w:color w:val="auto"/>
              </w:rPr>
            </w:pPr>
            <w:r>
              <w:rPr>
                <w:rFonts w:ascii="Arial" w:cs="Arial" w:eastAsia="Arial" w:hAnsi="Arial"/>
                <w:sz w:val="14"/>
                <w:szCs w:val="14"/>
                <w:color w:val="auto"/>
              </w:rPr>
              <w:t>(1) See our Annual Report for property, plant and equipment accounting policies.</w:t>
            </w: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5120" w:type="dxa"/>
            <w:vAlign w:val="bottom"/>
            <w:gridSpan w:val="7"/>
            <w:vMerge w:val="continue"/>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Depreciation expense for the three and six months ended June 30, 2020 was $77.2 million and $155.0 million, respectively. Depreciation expense for the three and six months ended June 30, 2019 was $96.5 million and $194.0 million, respectively.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Derivative Instruments and Hedging Activities</w:t>
      </w:r>
    </w:p>
    <w:p>
      <w:pPr>
        <w:spacing w:after="0" w:line="229"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The Company uses derivative instruments to mitigate the effects of interest rate volatility inherent in our variable rate debt, which could unfavorably impact our future earnings and forecasted cash flows. The Company does not use derivative instruments for speculative or trading purposes.</w:t>
      </w:r>
    </w:p>
    <w:p>
      <w:pPr>
        <w:spacing w:after="0" w:line="124" w:lineRule="exact"/>
        <w:rPr>
          <w:sz w:val="20"/>
          <w:szCs w:val="20"/>
          <w:color w:val="auto"/>
        </w:rPr>
      </w:pPr>
    </w:p>
    <w:p>
      <w:pPr>
        <w:ind w:right="260"/>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On April 27, 2015, we entered into fixed for floating interest rate swap agreements to mitigate the interest rate risk inherent in our variable rate Senior Secured Term Loan B facility. These interest rate swaps were designated as cash flow hedges and have a notional value of $2.03 billion and mature on October 24, 2022. </w:t>
      </w:r>
      <w:r>
        <w:rPr>
          <w:rFonts w:ascii="Arial" w:cs="Arial" w:eastAsia="Arial" w:hAnsi="Arial"/>
          <w:sz w:val="18"/>
          <w:szCs w:val="18"/>
          <w:color w:val="1F2322"/>
        </w:rPr>
        <w:t>As result of the repayment of the Company’s term loan facility in February of 2020 (</w:t>
      </w:r>
      <w:hyperlink w:anchor="page27">
        <w:r>
          <w:rPr>
            <w:rFonts w:ascii="Arial" w:cs="Arial" w:eastAsia="Arial" w:hAnsi="Arial"/>
            <w:sz w:val="18"/>
            <w:szCs w:val="18"/>
            <w:u w:val="single" w:color="auto"/>
            <w:color w:val="0000EE"/>
          </w:rPr>
          <w:t>see Note 12</w:t>
        </w:r>
      </w:hyperlink>
      <w:r>
        <w:rPr>
          <w:rFonts w:ascii="Arial" w:cs="Arial" w:eastAsia="Arial" w:hAnsi="Arial"/>
          <w:sz w:val="18"/>
          <w:szCs w:val="18"/>
          <w:color w:val="1F2322"/>
        </w:rPr>
        <w:t>),</w:t>
      </w:r>
      <w:r>
        <w:rPr>
          <w:rFonts w:ascii="Arial" w:cs="Arial" w:eastAsia="Arial" w:hAnsi="Arial"/>
          <w:sz w:val="18"/>
          <w:szCs w:val="18"/>
          <w:color w:val="auto"/>
        </w:rPr>
        <w:t xml:space="preserve"> </w:t>
      </w:r>
      <w:r>
        <w:rPr>
          <w:rFonts w:ascii="Arial" w:cs="Arial" w:eastAsia="Arial" w:hAnsi="Arial"/>
          <w:sz w:val="18"/>
          <w:szCs w:val="18"/>
          <w:color w:val="1F2322"/>
        </w:rPr>
        <w:t>the Company entered into receive-fixed interest rate swaps to offset its existing pay-fixed interest rate swaps. As a result, the Company discontinued hedge accounting as the hedge accounting requirements were no longer met. Amounts in accumulated other comprehensive (loss) income as of the date of de-designation, will be reclassified to interest expense as the hedged transactions impact earnings. Prospectively, changes in fair value of all interest rate swaps will be recorded directly to earnings.</w:t>
      </w:r>
    </w:p>
    <w:p>
      <w:pPr>
        <w:spacing w:after="0" w:line="19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1F2322"/>
        </w:rPr>
        <w:t>The Company has elected to offset derivative positions that are subject to master netting arrangements with the same counterparty in our Condensed Consolidated Balance Sheets. The gross amounts of our derivative instruments subject to master netting arrangements with the same counterparty as of June 30, 2020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2"/>
              </w:rPr>
              <w:t>Gross Amounts Offset in the</w:t>
            </w:r>
          </w:p>
        </w:tc>
        <w:tc>
          <w:tcPr>
            <w:tcW w:w="12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Net Amounts of Assets or</w:t>
            </w:r>
          </w:p>
        </w:tc>
        <w:tc>
          <w:tcPr>
            <w:tcW w:w="0" w:type="dxa"/>
            <w:vAlign w:val="bottom"/>
          </w:tcPr>
          <w:p>
            <w:pPr>
              <w:spacing w:after="0"/>
              <w:rPr>
                <w:sz w:val="1"/>
                <w:szCs w:val="1"/>
                <w:color w:val="auto"/>
              </w:rPr>
            </w:pPr>
          </w:p>
        </w:tc>
      </w:tr>
      <w:tr>
        <w:trPr>
          <w:trHeight w:val="148"/>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Gross Amounts of Recognized</w:t>
            </w:r>
          </w:p>
        </w:tc>
        <w:tc>
          <w:tcPr>
            <w:tcW w:w="21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Liabilities presented in the</w:t>
            </w:r>
          </w:p>
        </w:tc>
        <w:tc>
          <w:tcPr>
            <w:tcW w:w="0" w:type="dxa"/>
            <w:vAlign w:val="bottom"/>
          </w:tcPr>
          <w:p>
            <w:pPr>
              <w:spacing w:after="0"/>
              <w:rPr>
                <w:sz w:val="1"/>
                <w:szCs w:val="1"/>
                <w:color w:val="auto"/>
              </w:rPr>
            </w:pPr>
          </w:p>
        </w:tc>
      </w:tr>
      <w:tr>
        <w:trPr>
          <w:trHeight w:val="148"/>
        </w:trPr>
        <w:tc>
          <w:tcPr>
            <w:tcW w:w="4940" w:type="dxa"/>
            <w:vAlign w:val="bottom"/>
            <w:gridSpan w:val="2"/>
            <w:vMerge w:val="restart"/>
          </w:tcPr>
          <w:p>
            <w:pPr>
              <w:spacing w:after="0"/>
              <w:rPr>
                <w:sz w:val="20"/>
                <w:szCs w:val="20"/>
                <w:color w:val="auto"/>
              </w:rPr>
            </w:pPr>
            <w:r>
              <w:rPr>
                <w:rFonts w:ascii="Arial" w:cs="Arial" w:eastAsia="Arial" w:hAnsi="Arial"/>
                <w:sz w:val="18"/>
                <w:szCs w:val="18"/>
                <w:color w:val="auto"/>
              </w:rPr>
              <w:t>Offsetting of Derivative Assets and Liabilities (Thousands)</w:t>
            </w:r>
          </w:p>
        </w:tc>
        <w:tc>
          <w:tcPr>
            <w:tcW w:w="21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9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120" w:type="dxa"/>
            <w:vAlign w:val="bottom"/>
          </w:tcPr>
          <w:p>
            <w:pPr>
              <w:spacing w:after="0"/>
              <w:rPr>
                <w:sz w:val="12"/>
                <w:szCs w:val="12"/>
                <w:color w:val="auto"/>
              </w:rPr>
            </w:pPr>
          </w:p>
        </w:tc>
        <w:tc>
          <w:tcPr>
            <w:tcW w:w="1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171"/>
        </w:trPr>
        <w:tc>
          <w:tcPr>
            <w:tcW w:w="49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2"/>
          </w:tcPr>
          <w:p>
            <w:pPr>
              <w:ind w:left="120"/>
              <w:spacing w:after="0"/>
              <w:rPr>
                <w:sz w:val="20"/>
                <w:szCs w:val="20"/>
                <w:color w:val="auto"/>
              </w:rPr>
            </w:pPr>
            <w:r>
              <w:rPr>
                <w:rFonts w:ascii="Arial" w:cs="Arial" w:eastAsia="Arial" w:hAnsi="Arial"/>
                <w:sz w:val="14"/>
                <w:szCs w:val="14"/>
                <w:b w:val="1"/>
                <w:bCs w:val="1"/>
                <w:color w:val="auto"/>
              </w:rPr>
              <w:t>Assets or Liabilities</w:t>
            </w:r>
          </w:p>
        </w:tc>
        <w:tc>
          <w:tcPr>
            <w:tcW w:w="120" w:type="dxa"/>
            <w:vAlign w:val="bottom"/>
          </w:tcPr>
          <w:p>
            <w:pPr>
              <w:spacing w:after="0"/>
              <w:rPr>
                <w:sz w:val="14"/>
                <w:szCs w:val="14"/>
                <w:color w:val="auto"/>
              </w:rPr>
            </w:pPr>
          </w:p>
        </w:tc>
        <w:tc>
          <w:tcPr>
            <w:tcW w:w="1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Balance Sheets</w:t>
            </w:r>
          </w:p>
        </w:tc>
        <w:tc>
          <w:tcPr>
            <w:tcW w:w="120" w:type="dxa"/>
            <w:vAlign w:val="bottom"/>
          </w:tcPr>
          <w:p>
            <w:pPr>
              <w:spacing w:after="0"/>
              <w:rPr>
                <w:sz w:val="14"/>
                <w:szCs w:val="14"/>
                <w:color w:val="auto"/>
              </w:rPr>
            </w:pPr>
          </w:p>
        </w:tc>
        <w:tc>
          <w:tcPr>
            <w:tcW w:w="1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Balance Sheets</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35,138</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rPr>
              <w:t>(35,138)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(35,138)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ind w:left="1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63,602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ind w:left="1180"/>
              <w:spacing w:after="0"/>
              <w:rPr>
                <w:sz w:val="20"/>
                <w:szCs w:val="20"/>
                <w:color w:val="auto"/>
              </w:rPr>
            </w:pPr>
            <w:r>
              <w:rPr>
                <w:rFonts w:ascii="Arial" w:cs="Arial" w:eastAsia="Arial" w:hAnsi="Arial"/>
                <w:sz w:val="18"/>
                <w:szCs w:val="18"/>
                <w:color w:val="auto"/>
              </w:rPr>
              <w:t>(35,138)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63,602</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FF0FC"/>
          </w:tcPr>
          <w:p>
            <w:pPr>
              <w:ind w:left="1180"/>
              <w:spacing w:after="0"/>
              <w:rPr>
                <w:sz w:val="20"/>
                <w:szCs w:val="20"/>
                <w:color w:val="auto"/>
              </w:rPr>
            </w:pPr>
            <w:r>
              <w:rPr>
                <w:rFonts w:ascii="Arial" w:cs="Arial" w:eastAsia="Arial" w:hAnsi="Arial"/>
                <w:sz w:val="18"/>
                <w:szCs w:val="18"/>
                <w:color w:val="auto"/>
                <w:w w:val="80"/>
              </w:rPr>
              <w:t>(35,138)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fair value and the presentation in our Condensed Consolidated Balance Sheets: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Location on Condensed</w:t>
            </w:r>
          </w:p>
        </w:tc>
        <w:tc>
          <w:tcPr>
            <w:tcW w:w="200" w:type="dxa"/>
            <w:vAlign w:val="bottom"/>
          </w:tcPr>
          <w:p>
            <w:pPr>
              <w:spacing w:after="0"/>
              <w:rPr>
                <w:sz w:val="14"/>
                <w:szCs w:val="14"/>
                <w:color w:val="auto"/>
              </w:rPr>
            </w:pPr>
          </w:p>
        </w:tc>
        <w:tc>
          <w:tcPr>
            <w:tcW w:w="16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4"/>
                <w:szCs w:val="14"/>
                <w:color w:val="auto"/>
              </w:rPr>
            </w:pPr>
          </w:p>
        </w:tc>
        <w:tc>
          <w:tcPr>
            <w:tcW w:w="1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71"/>
        </w:trPr>
        <w:tc>
          <w:tcPr>
            <w:tcW w:w="52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Consolidated Balance Sheets</w:t>
            </w:r>
          </w:p>
        </w:tc>
        <w:tc>
          <w:tcPr>
            <w:tcW w:w="20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9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Interest rate swaps</w:t>
            </w:r>
          </w:p>
        </w:tc>
        <w:tc>
          <w:tcPr>
            <w:tcW w:w="280" w:type="dxa"/>
            <w:vAlign w:val="bottom"/>
            <w:tcBorders>
              <w:top w:val="single" w:sz="8" w:color="CFF0FC"/>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Derivative liability, net</w:t>
            </w:r>
          </w:p>
        </w:tc>
        <w:tc>
          <w:tcPr>
            <w:tcW w:w="2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28,464</w:t>
            </w: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23,679</w:t>
            </w:r>
          </w:p>
        </w:tc>
        <w:tc>
          <w:tcPr>
            <w:tcW w:w="4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of June 30, 2020, all of the interest rate swaps were valued in net unrealized loss positions and recognized as liability balances within the derivative liability, net in our Condensed Consolidated Balance Sheets. As hedge accounting is no longer applied beginning in February 2020, the unrealized loss amounts are now being recorded directly to earnings. For the six months ended June 30, 2020, the amount recorded in other comprehensive income related to the unrealized loss on derivative instruments prior to the February 2020 discontinuance of hedge accounting was $7.7 million. The amount reclassified out of other comprehensive income into interest expense on our Condensed Consolidated Statement of (Loss) Income for the three and six months ended June 30, 2020 was $2.8 million and $5.2 million, respectively</w:t>
      </w:r>
    </w:p>
    <w:p>
      <w:pPr>
        <w:spacing w:after="0" w:line="19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As of June 30, 2019, all of the interest rate swaps were valued in net unrealized loss positions and recognized as liability balances within the derivative liability, net in our Condensed Consolidated Balance Sheets. For the three and six months ended June 30, 2019, the amount recorded in other comprehensive income related to the unrealized loss on derivative instruments was $26.6 million and $46.1 million, respectively. The amount reclassified out of other comprehensive income into interest expense on our Condensed Consolidated Statement of (Loss) Income for the three and six months ended June 30, 2019 was a benefit of $1.9 million and $4.0 million,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During the next twelve months, beginning July 1, 2020, we estimate that $11.3 million will be reclassified as an increase to interest expense.</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25" w:right="29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Exchangeable Notes Hedge Transactions</w:t>
      </w:r>
    </w:p>
    <w:p>
      <w:pPr>
        <w:spacing w:after="0" w:line="225" w:lineRule="exact"/>
        <w:rPr>
          <w:sz w:val="20"/>
          <w:szCs w:val="20"/>
          <w:color w:val="auto"/>
        </w:rPr>
      </w:pPr>
    </w:p>
    <w:p>
      <w:pPr>
        <w:ind w:right="20"/>
        <w:spacing w:after="0" w:line="269" w:lineRule="auto"/>
        <w:rPr>
          <w:rFonts w:ascii="Arial" w:cs="Arial" w:eastAsia="Arial" w:hAnsi="Arial"/>
          <w:sz w:val="17"/>
          <w:szCs w:val="17"/>
          <w:color w:val="auto"/>
        </w:rPr>
      </w:pPr>
      <w:r>
        <w:rPr>
          <w:rFonts w:ascii="Arial" w:cs="Arial" w:eastAsia="Arial" w:hAnsi="Arial"/>
          <w:sz w:val="17"/>
          <w:szCs w:val="17"/>
          <w:color w:val="auto"/>
        </w:rPr>
        <w:t xml:space="preserve">On June 25, 2019, concurrently with the pricing of the Exchangeable Notes </w:t>
      </w:r>
      <w:hyperlink w:anchor="page27">
        <w:r>
          <w:rPr>
            <w:rFonts w:ascii="Arial" w:cs="Arial" w:eastAsia="Arial" w:hAnsi="Arial"/>
            <w:sz w:val="17"/>
            <w:szCs w:val="17"/>
            <w:color w:val="auto"/>
          </w:rPr>
          <w:t xml:space="preserve">(see </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w:t>
        </w:r>
      </w:hyperlink>
      <w:r>
        <w:rPr>
          <w:rFonts w:ascii="Arial" w:cs="Arial" w:eastAsia="Arial" w:hAnsi="Arial"/>
          <w:sz w:val="17"/>
          <w:szCs w:val="17"/>
          <w:color w:val="auto"/>
        </w:rPr>
        <w:t>12), and on June 27, 2019, concurrently with the exercise by the Initial Purchasers (as defined below) of their option to purchase additional Exchangeable Notes, Uniti Fiber, the issuer of the Exchangeable Notes, entered into the Note Hedge Transactions with certain of the Counterparties. The Note Hedge Transactions cover, subject to anti-dilution adjustments substantially similar to those applicable to the Exchangeable Notes, the same number of shares of the Company’s common stock that initially underlie the Exchangeable Notes in the aggregate and are exercisable upon exchange of the Exchangeable Notes. The Note Hedge Transactions have an initial strike price that corresponds to the initial exchange price of the Exchangeable Notes, subject to anti-dilution adjustments substantially similar to those applicable to the Exchangeable Notes. The Note Hedge Transactions will expire upon the maturity of the Exchangeable Notes, if not earlier exercised. The Note Hedge Transactions are intended to reduce potential dilution to the Company’s common stock upon any exchange of the Exchangeable Notes and/or offset any cash payments Uniti Fiber is required to make in excess of the principal amount of exchanged Exchangeable Notes, as the case may be, in the event that the market value per share of the Company’s common stock, as measured under the Note Hedge Transactions, at the time of exercise is greater than the strike price of the Note Hedge Transactions.</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Note Hedge Transactions are separate transactions, entered into by Uniti Fiber with the Counterparties, and are not part of the terms of the Exchangeable Notes. Holders of the Exchangeable Notes will not have any rights with respect to the Note Hedge Transactions. Uniti Fiber used approximately $70.0 million of the net proceeds from the offering of the Exchangeable Notes to pay the cost of the Note Hedge Transactions. The Note Hedge Transactions meet certain accounting criteria under GAAP, and are recorded in additional paid-in capital on our Condensed Consolidated Balance Sheets, and are not accounted for as derivatives that are remeasured each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Transactions</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On June 25, 2019, concurrently with the pricing of the Exchangeable Notes, and on June 27, 2019 concurrently with the exercise by the Initial Purchasers of their option to purchase additional Exchangeable Notes, the Company entered into warrant transactions to sell to the Counterparties Warrants to acquire, subject to anti-dilution adjustments, up to approximately 27.8 million shares of the Company’s common stock in the aggregate at an exercise price of approximately $16.42 per share. The maximum number of shares of the Company’s common stock that could be issued pursuant to the Warrants is approximately 55.5 million. The Company offered and sold the Warrants in reliance on the exemption from registration provided by Section 4(a)(2) of the Securities Act of 1933, as amended (the “Securities Act”). If the market value per share of the Company’s common stock, as measured under the Warrants, at the time of exercise exceeds the strike price of the Warrants, the Warrants will have a dilutive effect on the Company’s common stock unless, subject to the terms of the Warrants, the Company elects to cash settle the Warrants. The Warrants will expire over a period beginning in September 2024.</w:t>
      </w:r>
    </w:p>
    <w:p>
      <w:pPr>
        <w:spacing w:after="0" w:line="165"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The Warrants are separate transactions, entered into by the Company with the Counterparties, and are not part of the terms of the Exchangeable Notes. Holders of the Exchangeable Notes will not have any rights with respect to the Warrants. The Company received approximately $50.8 million from the offering and sale of the Warrants. The Warrants meet certain accounting criteria under GAAP, and are recorded in additional paid-in capital on our Condensed Consolidated Balance Sheets, and are not accounted for as derivatives that are remeasured each reporting period.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There were no changes in the carrying amount of goodwill occurring during the six months ended June 30, 2020. The balance of Goodwill recorded in our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Fiber Infrastructure segment as of June 30, 2020 and December 31, 2019 is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920" w:type="dxa"/>
            <w:vAlign w:val="bottom"/>
          </w:tcPr>
          <w:p>
            <w:pPr>
              <w:spacing w:after="0"/>
              <w:rPr>
                <w:sz w:val="20"/>
                <w:szCs w:val="20"/>
                <w:color w:val="auto"/>
              </w:rPr>
            </w:pPr>
            <w:r>
              <w:rPr>
                <w:rFonts w:ascii="Arial" w:cs="Arial" w:eastAsia="Arial" w:hAnsi="Arial"/>
                <w:sz w:val="14"/>
                <w:szCs w:val="14"/>
                <w:color w:val="auto"/>
              </w:rPr>
              <w:t>(Thousands)</w:t>
            </w:r>
          </w:p>
        </w:tc>
        <w:tc>
          <w:tcPr>
            <w:tcW w:w="2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376"/>
              <w:spacing w:after="0"/>
              <w:rPr>
                <w:sz w:val="20"/>
                <w:szCs w:val="20"/>
                <w:color w:val="auto"/>
              </w:rPr>
            </w:pPr>
            <w:r>
              <w:rPr>
                <w:rFonts w:ascii="Arial" w:cs="Arial" w:eastAsia="Arial" w:hAnsi="Arial"/>
                <w:sz w:val="14"/>
                <w:szCs w:val="14"/>
                <w:b w:val="1"/>
                <w:bCs w:val="1"/>
                <w:color w:val="auto"/>
              </w:rPr>
              <w:t>Fiber Infrastructure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39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Goodwill at December 31, 2019</w:t>
            </w:r>
          </w:p>
        </w:tc>
        <w:tc>
          <w:tcPr>
            <w:tcW w:w="23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340" w:type="dxa"/>
            <w:vAlign w:val="bottom"/>
            <w:tcBorders>
              <w:top w:val="single" w:sz="8" w:color="CFF0FC"/>
            </w:tcBorders>
            <w:shd w:val="clear" w:color="auto" w:fill="CFF0FC"/>
          </w:tcPr>
          <w:p>
            <w:pPr>
              <w:spacing w:after="0"/>
              <w:rPr>
                <w:sz w:val="19"/>
                <w:szCs w:val="19"/>
                <w:color w:val="auto"/>
              </w:rPr>
            </w:pPr>
          </w:p>
        </w:tc>
        <w:tc>
          <w:tcPr>
            <w:tcW w:w="500" w:type="dxa"/>
            <w:vAlign w:val="bottom"/>
            <w:tcBorders>
              <w:top w:val="single" w:sz="8" w:color="auto"/>
              <w:bottom w:val="single" w:sz="8" w:color="auto"/>
            </w:tcBorders>
            <w:shd w:val="clear" w:color="auto" w:fill="CFF0FC"/>
          </w:tcPr>
          <w:p>
            <w:pPr>
              <w:jc w:val="right"/>
              <w:ind w:right="3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Goodwill at June 30, 2020</w:t>
            </w:r>
          </w:p>
        </w:tc>
        <w:tc>
          <w:tcPr>
            <w:tcW w:w="2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34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2320" w:type="dxa"/>
            <w:vAlign w:val="bottom"/>
            <w:vMerge w:val="restart"/>
          </w:tcPr>
          <w:p>
            <w:pPr>
              <w:jc w:val="right"/>
              <w:ind w:right="43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2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92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4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rPr>
              <w:t>June 30, 2020</w:t>
            </w: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30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40" w:type="dxa"/>
            <w:vAlign w:val="bottom"/>
            <w:tcBorders>
              <w:top w:val="single" w:sz="8" w:color="auto"/>
            </w:tcBorders>
            <w:gridSpan w:val="2"/>
          </w:tcPr>
          <w:p>
            <w:pPr>
              <w:jc w:val="right"/>
              <w:ind w:right="860"/>
              <w:spacing w:after="0" w:line="133" w:lineRule="exact"/>
              <w:rPr>
                <w:sz w:val="20"/>
                <w:szCs w:val="20"/>
                <w:color w:val="auto"/>
              </w:rPr>
            </w:pPr>
            <w:r>
              <w:rPr>
                <w:rFonts w:ascii="Arial" w:cs="Arial" w:eastAsia="Arial" w:hAnsi="Arial"/>
                <w:sz w:val="14"/>
                <w:szCs w:val="14"/>
                <w:b w:val="1"/>
                <w:bCs w:val="1"/>
                <w:color w:val="auto"/>
              </w:rPr>
              <w:t>Original</w:t>
            </w:r>
          </w:p>
        </w:tc>
        <w:tc>
          <w:tcPr>
            <w:tcW w:w="30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gridSpan w:val="2"/>
          </w:tcPr>
          <w:p>
            <w:pPr>
              <w:jc w:val="right"/>
              <w:ind w:right="700"/>
              <w:spacing w:after="0" w:line="133" w:lineRule="exact"/>
              <w:rPr>
                <w:sz w:val="20"/>
                <w:szCs w:val="20"/>
                <w:color w:val="auto"/>
              </w:rPr>
            </w:pPr>
            <w:r>
              <w:rPr>
                <w:rFonts w:ascii="Arial" w:cs="Arial" w:eastAsia="Arial" w:hAnsi="Arial"/>
                <w:sz w:val="14"/>
                <w:szCs w:val="14"/>
                <w:b w:val="1"/>
                <w:bCs w:val="1"/>
                <w:color w:val="auto"/>
              </w:rPr>
              <w:t>Original</w:t>
            </w: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jc w:val="right"/>
              <w:ind w:right="335"/>
              <w:spacing w:after="0" w:line="13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rPr>
              <w:t>Cost</w:t>
            </w:r>
          </w:p>
        </w:tc>
        <w:tc>
          <w:tcPr>
            <w:tcW w:w="300" w:type="dxa"/>
            <w:vAlign w:val="bottom"/>
          </w:tcPr>
          <w:p>
            <w:pPr>
              <w:spacing w:after="0"/>
              <w:rPr>
                <w:sz w:val="14"/>
                <w:szCs w:val="14"/>
                <w:color w:val="auto"/>
              </w:rPr>
            </w:pPr>
          </w:p>
        </w:tc>
        <w:tc>
          <w:tcPr>
            <w:tcW w:w="156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4"/>
                <w:szCs w:val="14"/>
                <w:color w:val="auto"/>
              </w:rPr>
            </w:pPr>
          </w:p>
        </w:tc>
        <w:tc>
          <w:tcPr>
            <w:tcW w:w="14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Amortization</w:t>
            </w:r>
          </w:p>
        </w:tc>
        <w:tc>
          <w:tcPr>
            <w:tcW w:w="0" w:type="dxa"/>
            <w:vAlign w:val="bottom"/>
          </w:tcPr>
          <w:p>
            <w:pPr>
              <w:spacing w:after="0"/>
              <w:rPr>
                <w:sz w:val="1"/>
                <w:szCs w:val="1"/>
                <w:color w:val="auto"/>
              </w:rPr>
            </w:pPr>
          </w:p>
        </w:tc>
      </w:tr>
      <w:tr>
        <w:trPr>
          <w:trHeight w:val="237"/>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Indefinite life intangible assets:</w:t>
            </w:r>
          </w:p>
        </w:tc>
        <w:tc>
          <w:tcPr>
            <w:tcW w:w="140" w:type="dxa"/>
            <w:vAlign w:val="bottom"/>
            <w:tcBorders>
              <w:top w:val="single" w:sz="8" w:color="CFF0FC"/>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Trade name</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2,000</w:t>
            </w:r>
          </w:p>
        </w:tc>
        <w:tc>
          <w:tcPr>
            <w:tcW w:w="14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r>
              <w:rPr>
                <w:rFonts w:ascii="Arial" w:cs="Arial" w:eastAsia="Arial" w:hAnsi="Arial"/>
                <w:sz w:val="18"/>
                <w:szCs w:val="18"/>
                <w:color w:val="auto"/>
              </w:rPr>
              <w:t>Finite life intangible assets:</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Customer lists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450,603</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(106,051)</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450,603</w:t>
            </w:r>
          </w:p>
        </w:tc>
        <w:tc>
          <w:tcPr>
            <w:tcW w:w="140" w:type="dxa"/>
            <w:vAlign w:val="bottom"/>
            <w:shd w:val="clear" w:color="auto" w:fill="CFF0FC"/>
          </w:tcPr>
          <w:p>
            <w:pPr>
              <w:spacing w:after="0"/>
              <w:rPr>
                <w:sz w:val="20"/>
                <w:szCs w:val="20"/>
                <w:color w:val="auto"/>
              </w:rPr>
            </w:pPr>
          </w:p>
        </w:tc>
        <w:tc>
          <w:tcPr>
            <w:tcW w:w="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(93,794)</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In-place lease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50,705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30"/>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Rights of way</w:t>
            </w:r>
          </w:p>
        </w:tc>
        <w:tc>
          <w:tcPr>
            <w:tcW w:w="1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124,696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(1,386)</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2,000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(500)</w:t>
            </w: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Total intangible assets</w:t>
            </w: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452,603</w:t>
            </w: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628,004</w:t>
            </w:r>
          </w:p>
        </w:tc>
        <w:tc>
          <w:tcPr>
            <w:tcW w:w="1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(106,551)</w:t>
            </w:r>
          </w:p>
        </w:tc>
        <w:tc>
          <w:tcPr>
            <w:tcW w:w="3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(96,025)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intangible assets, net</w:t>
            </w:r>
          </w:p>
        </w:tc>
        <w:tc>
          <w:tcPr>
            <w:tcW w:w="1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640" w:type="dxa"/>
            <w:vAlign w:val="bottom"/>
            <w:vMerge w:val="continue"/>
            <w:shd w:val="clear" w:color="auto" w:fill="CFF0FC"/>
          </w:tcPr>
          <w:p>
            <w:pPr>
              <w:spacing w:after="0"/>
              <w:rPr>
                <w:sz w:val="20"/>
                <w:szCs w:val="20"/>
                <w:color w:val="auto"/>
              </w:rPr>
            </w:pPr>
          </w:p>
        </w:tc>
        <w:tc>
          <w:tcPr>
            <w:tcW w:w="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346,052</w:t>
            </w: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531,979</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June 30, 2020, the remaining weighted average amortization period of the Company’s intangible assets was 16.9 years. Amortization expense for the three and six months ended June 30, 2020 was $7.8 million and $16.1 million, respectively. Amortization expense for the three and six months ended June 30, 2019 was $6.1 million and $12.4 million, respectively.</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Amortization expense is estimated to be $28.0 million for the full year of 2020, $23.9 million in 2021, $22.9 million in 2022, $22.8 million in 2023, and $22.8 million for 2024.</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Notes and Other Debt</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debt, including the senior secured credit facility and notes described below, are obligations of the Operating Partnership and/or certain of its subsidiaries as discussed below. The Company is, however, a guarantor of such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is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0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0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37"/>
        </w:trPr>
        <w:tc>
          <w:tcPr>
            <w:tcW w:w="6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Principal amount</w:t>
            </w:r>
          </w:p>
        </w:tc>
        <w:tc>
          <w:tcPr>
            <w:tcW w:w="1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4,983,319</w:t>
            </w:r>
          </w:p>
        </w:tc>
        <w:tc>
          <w:tcPr>
            <w:tcW w:w="18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5,224,747</w:t>
            </w: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60" w:type="dxa"/>
            <w:vAlign w:val="bottom"/>
            <w:gridSpan w:val="2"/>
          </w:tcPr>
          <w:p>
            <w:pPr>
              <w:spacing w:after="0"/>
              <w:rPr>
                <w:sz w:val="20"/>
                <w:szCs w:val="20"/>
                <w:color w:val="auto"/>
              </w:rPr>
            </w:pPr>
            <w:r>
              <w:rPr>
                <w:rFonts w:ascii="Arial" w:cs="Arial" w:eastAsia="Arial" w:hAnsi="Arial"/>
                <w:sz w:val="18"/>
                <w:szCs w:val="18"/>
                <w:color w:val="auto"/>
              </w:rPr>
              <w:t>Less unamortized discount, premium and debt issuance costs</w:t>
            </w:r>
          </w:p>
        </w:tc>
        <w:tc>
          <w:tcPr>
            <w:tcW w:w="300" w:type="dxa"/>
            <w:vAlign w:val="bottom"/>
          </w:tcPr>
          <w:p>
            <w:pPr>
              <w:spacing w:after="0"/>
              <w:rPr>
                <w:sz w:val="20"/>
                <w:szCs w:val="20"/>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(163,665)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36"/>
        </w:trPr>
        <w:tc>
          <w:tcPr>
            <w:tcW w:w="70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Notes and other debt less unamortized discount, premium and debt issuance costs</w:t>
            </w: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4,819,654</w:t>
            </w:r>
          </w:p>
        </w:tc>
        <w:tc>
          <w:tcPr>
            <w:tcW w:w="18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5,017,679</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80" w:type="dxa"/>
            <w:vAlign w:val="bottom"/>
            <w:vMerge w:val="restart"/>
          </w:tcPr>
          <w:p>
            <w:pPr>
              <w:ind w:left="5540"/>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68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Notes and other debt at June 30, 2020 and December 31, 2019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900" w:type="dxa"/>
            <w:vAlign w:val="bottom"/>
            <w:gridSpan w:val="5"/>
          </w:tcPr>
          <w:p>
            <w:pPr>
              <w:jc w:val="right"/>
              <w:ind w:right="1280"/>
              <w:spacing w:after="0"/>
              <w:rPr>
                <w:sz w:val="20"/>
                <w:szCs w:val="20"/>
                <w:color w:val="auto"/>
              </w:rPr>
            </w:pPr>
            <w:r>
              <w:rPr>
                <w:rFonts w:ascii="Arial" w:cs="Arial" w:eastAsia="Arial" w:hAnsi="Arial"/>
                <w:sz w:val="14"/>
                <w:szCs w:val="14"/>
                <w:b w:val="1"/>
                <w:bCs w:val="1"/>
                <w:color w:val="auto"/>
              </w:rPr>
              <w:t>June 30, 2020</w:t>
            </w:r>
          </w:p>
        </w:tc>
        <w:tc>
          <w:tcPr>
            <w:tcW w:w="220" w:type="dxa"/>
            <w:vAlign w:val="bottom"/>
          </w:tcPr>
          <w:p>
            <w:pPr>
              <w:spacing w:after="0"/>
              <w:rPr>
                <w:sz w:val="14"/>
                <w:szCs w:val="14"/>
                <w:color w:val="auto"/>
              </w:rPr>
            </w:pPr>
          </w:p>
        </w:tc>
        <w:tc>
          <w:tcPr>
            <w:tcW w:w="2800" w:type="dxa"/>
            <w:vAlign w:val="bottom"/>
            <w:gridSpan w:val="5"/>
          </w:tcPr>
          <w:p>
            <w:pPr>
              <w:jc w:val="right"/>
              <w:ind w:right="10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33"/>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ind w:right="15"/>
              <w:spacing w:after="0" w:line="133" w:lineRule="exact"/>
              <w:rPr>
                <w:sz w:val="20"/>
                <w:szCs w:val="20"/>
                <w:color w:val="auto"/>
              </w:rPr>
            </w:pPr>
            <w:r>
              <w:rPr>
                <w:rFonts w:ascii="Arial" w:cs="Arial" w:eastAsia="Arial" w:hAnsi="Arial"/>
                <w:sz w:val="14"/>
                <w:szCs w:val="14"/>
                <w:b w:val="1"/>
                <w:bCs w:val="1"/>
                <w:color w:val="auto"/>
                <w:w w:val="96"/>
              </w:rPr>
              <w:t>Unamortized</w:t>
            </w:r>
          </w:p>
        </w:tc>
        <w:tc>
          <w:tcPr>
            <w:tcW w:w="2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w w:val="96"/>
              </w:rPr>
              <w:t>Unamortized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Discount, Premium</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4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220" w:type="dxa"/>
            <w:vAlign w:val="bottom"/>
          </w:tcPr>
          <w:p>
            <w:pPr>
              <w:spacing w:after="0"/>
              <w:rPr>
                <w:sz w:val="12"/>
                <w:szCs w:val="12"/>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and Debt Issuance</w:t>
            </w:r>
          </w:p>
        </w:tc>
        <w:tc>
          <w:tcPr>
            <w:tcW w:w="0" w:type="dxa"/>
            <w:vAlign w:val="bottom"/>
          </w:tcPr>
          <w:p>
            <w:pPr>
              <w:spacing w:after="0"/>
              <w:rPr>
                <w:sz w:val="1"/>
                <w:szCs w:val="1"/>
                <w:color w:val="auto"/>
              </w:rPr>
            </w:pPr>
          </w:p>
        </w:tc>
      </w:tr>
      <w:tr>
        <w:trPr>
          <w:trHeight w:val="171"/>
        </w:trPr>
        <w:tc>
          <w:tcPr>
            <w:tcW w:w="50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Costs</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5"/>
              </w:rPr>
              <w:t>Senior secured term loan B - variable rate, due October 24, 2022</w:t>
            </w:r>
          </w:p>
        </w:tc>
        <w:tc>
          <w:tcPr>
            <w:tcW w:w="1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7.47%)</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2,044,728</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(74,523)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secured notes - 7.875%, due February 15, 2025</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8.38%)</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2,250,000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(43,814)</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secured notes - 6.00%, due April 15, 2023</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(discount is based on imputed interest rate of 6.29%)</w:t>
            </w: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(4,856)</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550,000</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- 8.25%, due October 15, 2023</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9.06%)</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(25,550)</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1,110,000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(28,808)</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Senior unsecured notes - 7.125% due December 15, 2024</w:t>
            </w: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(5,819)</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(6,304)</w:t>
            </w:r>
          </w:p>
        </w:tc>
        <w:tc>
          <w:tcPr>
            <w:tcW w:w="0" w:type="dxa"/>
            <w:vAlign w:val="bottom"/>
          </w:tcPr>
          <w:p>
            <w:pPr>
              <w:spacing w:after="0"/>
              <w:rPr>
                <w:sz w:val="1"/>
                <w:szCs w:val="1"/>
                <w:color w:val="auto"/>
              </w:rPr>
            </w:pPr>
          </w:p>
        </w:tc>
      </w:tr>
      <w:tr>
        <w:trPr>
          <w:trHeight w:val="215"/>
        </w:trPr>
        <w:tc>
          <w:tcPr>
            <w:tcW w:w="5080" w:type="dxa"/>
            <w:vAlign w:val="bottom"/>
            <w:gridSpan w:val="2"/>
          </w:tcPr>
          <w:p>
            <w:pPr>
              <w:spacing w:after="0"/>
              <w:rPr>
                <w:sz w:val="20"/>
                <w:szCs w:val="20"/>
                <w:color w:val="auto"/>
              </w:rPr>
            </w:pPr>
            <w:r>
              <w:rPr>
                <w:rFonts w:ascii="Arial" w:cs="Arial" w:eastAsia="Arial" w:hAnsi="Arial"/>
                <w:sz w:val="18"/>
                <w:szCs w:val="18"/>
                <w:color w:val="auto"/>
              </w:rPr>
              <w:t>Senior unsecured notes - 4.00%, due June 15, 2024</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(discount is based on imputed interest rate of 11.1%)</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(77,659)</w:t>
            </w:r>
          </w:p>
        </w:tc>
        <w:tc>
          <w:tcPr>
            <w:tcW w:w="2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345,000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(85,272)</w:t>
            </w:r>
          </w:p>
        </w:tc>
        <w:tc>
          <w:tcPr>
            <w:tcW w:w="0" w:type="dxa"/>
            <w:vAlign w:val="bottom"/>
          </w:tcPr>
          <w:p>
            <w:pPr>
              <w:spacing w:after="0"/>
              <w:rPr>
                <w:sz w:val="1"/>
                <w:szCs w:val="1"/>
                <w:color w:val="auto"/>
              </w:rPr>
            </w:pPr>
          </w:p>
        </w:tc>
      </w:tr>
      <w:tr>
        <w:trPr>
          <w:trHeight w:val="215"/>
        </w:trPr>
        <w:tc>
          <w:tcPr>
            <w:tcW w:w="508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6"/>
              </w:rPr>
              <w:t>Senior secured revolving credit facility, variable rate, due April 24,</w:t>
            </w: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(5,967)</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575,019</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(6,528)</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ind w:left="1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gridSpan w:val="2"/>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4,983,319</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(163,665)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5,224,747</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(207,068)</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At June 30, 2020, notes and other debt included the following: (i) $2.25 billion aggregate principal amount of 7.875% senior secured notes due 2025 (the “2025 Secured Notes”); (ii) $550.0 million aggregate principal amount of 6.00% Senior Secured Notes due April 15, 2023 (the “2023 Secured Notes” and, together with the 2025 Secured Notes, the “Secured Notes”); (iii) $1.11 billion aggregate principal amount of 8.25% Senior Unsecured Notes due October 15, 2023 (the “2023 Notes”); (iv) $600.0 million aggregate principal amount of 7.125% Senior Unsecured Notes due December 15, 2024 (the</w:t>
      </w:r>
    </w:p>
    <w:p>
      <w:pPr>
        <w:spacing w:after="0" w:line="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“2024 Notes”); (v) $345.0 million aggregate principal amount of 4.00% Exchangeable Senior Notes due June 15, 2024 (the “Exchangeable Notes” and together with the Secured Notes, the 2023 Notes and the 2024 Notes, the “Notes”) and (vi) $128.3 million under the senior secured revolving credit facility (the “Revolving Credit Facility”), variable rate, that matures April 24, 2022 pursuant the credit agreement by and among the Borrowers (as defined below), the guarantors and lenders party thereto and Bank of America, N.A., as administrative agent and collateral agent (the “Credit Agreement”). On February 10, 2020, the Operating Partnership and certain of its wholly-owned subsidiaries issued the 2025 Secured Notes and used the proceeds from the offering to repay all $2.05 billion of outstanding term loans under our senior secured credit facilities and to repay approximately $156.7 million of revolving loans (and terminated related commitments of approximately $157.6 million). As a result of the repayment of the term loans and terminated commitments of the revolving loans, we recognized $72.5 million and $1.4 million, respectively, of non-cash interest expense for the write off of the unamortized discount and deferred financing costs within interest expense, net on the Condensed Consolidated Statements of (Loss) Income for the six months ended June 30,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Credit Agreement</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Operating Partnership, Uniti Group Finance 2019 Inc. and CSL Capital, LLC (the “Borrowers”) are borrowers under the Credit Agreement, which as of December 31, 2019, which provided for a term loan facility (in an initial principal amount of $2.14 billion) and provides for a revolving credit facility (in an initial aggregate principal amount of up to $750 million) (the “Revolving Credit Facility”). On February 10, 2020, in connection with the issuance of the 2025 Secured Notes and the effectiveness of the Sixth Amendment described below, the Borrowers repaid all $2.05 billion of outstanding term loans and repaid approximately $156.7 million of revolving loans under the Revolving Credit Facility (and terminated related commitments in an amount equal to $157.6 million, thereby reducing total commitments under the Revolving Credit Facility to $418.3 million). As of June 30, 2020, total commitments under the Revolving Credit Facility are $418.3 million with $290.0 million of borrowing availability.</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both"/>
        <w:ind w:right="300"/>
        <w:spacing w:after="0" w:line="381" w:lineRule="auto"/>
        <w:rPr>
          <w:sz w:val="20"/>
          <w:szCs w:val="20"/>
          <w:color w:val="auto"/>
        </w:rPr>
      </w:pPr>
      <w:r>
        <w:rPr>
          <w:rFonts w:ascii="Arial" w:cs="Arial" w:eastAsia="Arial" w:hAnsi="Arial"/>
          <w:sz w:val="15"/>
          <w:szCs w:val="15"/>
          <w:color w:val="auto"/>
        </w:rPr>
        <w:t>All obligations under the Credit Agreement are guaranteed by (i) the Company and (ii) certain of the Operating Partnership’s subsidiaries (the “Subsidiary Guarantors”) and are secured by substantially all of the assets of the Borrowers and the Subsidiary Guarantors, which assets also secure the Secured Notes.</w:t>
      </w:r>
    </w:p>
    <w:p>
      <w:pPr>
        <w:spacing w:after="0" w:line="100"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The Revolving Credit Facility presently bears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8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Borrowers are subject to customary covenants under the Credit Agreement, including an obligation to maintain a consolidated secured leverage ratio, as defined in the Credit Agreement, not to exceed 5.00 to 1.00. We are permitted, subject to customary conditions, to incur other indebtedness, so long as, on a pro forma basis after giving effect to any such indebtedness, our consolidated total leverage ratio, as defined in the Credit Agreement, does not exceed 6.50 to 1.00 and, if such debt is secured, our consolidated secured leverage ratio, as defined in the Credit Agreement, does not exceed 4.00 to 1.00. In addition, the Credit Agreement contains customary events of default, including a cross default provision whereby the failure of the Borrowers or certain of their subsidiaries to make payments under other debt obligations, or the occurrence of certain events affecting those other borrowing arrangements, could trigger an obligation to repay any amounts outstanding under the Credit Agreement. In particular, a repayment obligation could be triggered if (i) the Borrowers or certain of their subsidiaries fail to make a payment when due of any principal or interest on any other indebtedness aggregating $75.0 million or more, or (ii) an event occurs that causes, or would permit the holders of any other indebtedness aggregating $75.0 million or more to cause, such indebtedness to become due prior to its stated maturity. As of June 30, 2020, the Borrowers were in compliance with all of the covenants under the Credit Agreement.</w:t>
      </w:r>
    </w:p>
    <w:p>
      <w:pPr>
        <w:spacing w:after="0" w:line="18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On March 18, 2019, we received a limited waiver from our lenders under our Credit Agreement, waiving an event of default related solely to the receipt of a going concern opinion from our auditors for our 2018 audited financial statements. The limited waiver was issued in connection with the fourth amendment (the “Fourth Amendment”) to our Credit Agreement. During the pendency of Windstream’s bankruptcy, the Fourth Amendment generally limits our ability under the Credit Agreement to (i) prepay unsecured indebtedness and (ii) pay cash dividends in excess of 90% of our REIT taxable income, determined without regard to the dividends paid deduction and excluding any net capital gains.</w:t>
      </w:r>
    </w:p>
    <w:p>
      <w:pPr>
        <w:spacing w:after="0" w:line="176"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On June 24, 2019, we entered into an amendment (the “Fifth Amendment”) to our Credit Agreement to extend the maturity date of $575.9 million of commitments under the Revolving Credit Facility to April 24, 2022 and to pay down approximately $101.6 million of outstanding revolving loans and terminate the related commitments. The maturity date of approximately $72.4 million of other commitments was not extended. On June 28, 2019, the Company repaid approximately $174.0 million in total borrowings, which consisted of the $101.6 million required repayment pursuant to the Fifth Amendment and $72.4 million of non-extended borrowings, thereby terminating the non-extended commitments. As a result, all remaining commitments will terminate on April 24, 2022, at which time all outstanding borrowings must be repaid. The Company used a portion of the net proceeds from the offering of Exchangeable Notes described below to fund the repayments.</w:t>
      </w:r>
    </w:p>
    <w:p>
      <w:pPr>
        <w:spacing w:after="0" w:line="17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an amendment (the “Sixth Amendment”) to our Credit Agreement. In addition to the restrictions imposed by the Fourth Amendment discussed above,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w:t>
      </w:r>
    </w:p>
    <w:p>
      <w:pPr>
        <w:spacing w:after="0" w:line="166"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A termination of the Master Lease would result in an “event of default” under the Credit Agreement if a replacement lease was not entered into within ninety (90) calendar days and we do not maintain pro forma compliance with a consolidated secured leverage ratio, as defined in the Credit Agreement, of 5.00 to 1.00.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Notes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Borrowers, as co-issuers, have outstanding $550 million aggregate principal amount of the 2023 Secured Notes, of which $400 million was originally issued on April 24, 2015 at an issue price of 100% of par value and the remaining $150 million was issued on</w:t>
      </w: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June 9, 2016 at an issue price of 99.25% of the par value as an add-on to the existing 2023 Secured Notes. The Borrowers, as co-issuers, also have outstanding $1.11 billion aggregate principal amount of the 2023 Notes that were originally issued on April 24, 2015 at an issue price of 97.055% of par value. The 2023 Secured Notes and the 2023 Notes are guaranteed by the Company and the Subsidiary Guarantors.</w:t>
      </w:r>
    </w:p>
    <w:p>
      <w:pPr>
        <w:spacing w:after="0" w:line="16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Operating Partnership and its wholly-owned subsidiaries, CSL Capital, LLC and Uniti Fiber, as co-issuers, have outstanding $600 million aggregate principal amount of the 2024 Notes, of which $400 million was originally issued on December 15, 2016 at an issue price of 100% of par value and the remaining $200 million of which was issued on May 8, 2017 at an issue price of 100.50% of par value under a separate indenture and was mandatorily exchanged on August 11, 2017 for 2024 Notes issued as “additional notes” under the indenture governing the 2024 Notes. The 2024 Notes are guaranteed by the Company and the Subsidiary Guarantors (other than Uniti Fiber, which is a co-issuer of the 2024 Notes).</w:t>
      </w:r>
    </w:p>
    <w:p>
      <w:pPr>
        <w:spacing w:after="0" w:line="1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On February 10, 2020, the Borrowers and Uniti Fiber, as co-issuers, issued $2.25 billion aggregate principal amount of the 2025 Secured Notes at an issue price of 100% of par value. The 2025 Secured Notes are guaranteed by the Company and the Subsidiary Guarantors (other than Uniti Fiber, which is a co-issuer of the 2025 Secured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Exchangeable Notes</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On June 28, 2019, Uniti Fiber issued $345 million aggregate principal amount of the Exchangeable Notes. The Exchangeable Notes are senior unsecured notes and are guaranteed by the Company and each of the Company’s subsidiaries (other than Uniti Fiber) that is an issuer, obligor or guarantor under the Notes. The Exchangeable Notes bear interest at a fixed rate of 4.00% per year, payable semiannually in arrears on June 15 and December 15 of each year, beginning on December 15, 2019. The Exchangeable Notes are exchangeable into cash, shares of the Company’s common stock, or a combination thereof, at Uniti Fiber’s election, subject to limitations under the Company's Credit Agreement. The Exchangeable Notes will mature on June 15, 2024, unless earlier exchanged, redeemed or repurchased.</w:t>
      </w:r>
    </w:p>
    <w:p>
      <w:pPr>
        <w:spacing w:after="0" w:line="19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Under GAAP, certain convertible debt instruments that may be settled in cash upon conversion are required to be separately accounted for as liability and equity components of the instrument in a manner that reflects the issuer’s non-convertible debt borrowing rate. Accordingly, in accounting for the issuance of the Exchangeable Notes, the Company separated the Exchangeable Notes into liability and equity components. The carrying amount of the liability component was calculated by measuring the fair value of a similar liability that does not have an associated convertible feature.</w:t>
      </w:r>
    </w:p>
    <w:p>
      <w:pPr>
        <w:spacing w:after="0" w:line="15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carrying amount of the equity component, which is recognized as a debt discount, represents the difference between the proceeds from the issuance of the Exchangeable Notes and the fair value of the liability component of the Exchangeable Notes. The excess of the principal amount of the liability component over its carrying amount will be amortized to interest expense using an effective interest rate of 11.1% over the term of the Exchangeable Notes. The equity component is not remeasured as long as it continues to meet the conditions for equity classification.</w:t>
      </w:r>
    </w:p>
    <w:p>
      <w:pPr>
        <w:spacing w:after="0" w:line="17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Debt issuance costs related to the Exchangeable Notes were comprised of commissions payable to the Initial Purchasers of $10.4 million and third-party costs of approximately $1.4 million.</w:t>
      </w:r>
    </w:p>
    <w:p>
      <w:pPr>
        <w:spacing w:after="0" w:line="170"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In accounting for the debt issuance costs related to the issuance of the Exchangeable Notes, the Company allocated the total amount incurred to the liability and equity components based on their relative values. Debt issuance costs attributable to the liability component were recorded as a contra-liability and are presented net against the Exchangeable Notes balance on our Condensed Consolidated Balance Sheets. These costs are amortized to interest expense using the effective interest method over the term of the Exchangeable Notes. Debt issuance costs of $2.9 million attributable to the equity component are netted with the equity component in stockholders’ equity, which netted to $80.8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Financing Cost</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Deferred financing costs were incurred in connection with the issuance of the Notes and the Revolving Credit Facility. These costs are amortized using the effective interest method over the term of the related indebtedness and are included in interest expense in our Condensed Consolidated Statements of (Loss) Income. For the three and six months ended June 30, 2020, we recognized $4.5 million and $7.5 million, respectively, of non-cash interest expense related to the amortization of deferred financing costs. For the three and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six months ended June 30, 2019, we recognized $3.7 million and $7.5 million, respectively, of non-cash interest expense related to the amortization of deferred financing costs.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Earnings Per Share</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 xml:space="preserve">Our time-based restricted stock awards are considered participating securities as they receive non-forfeitable rights to dividends at the same rate as common stock. As participating securities, we included these instruments in the computation of earnings per share under the two-class method described in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w:t>
      </w:r>
    </w:p>
    <w:p>
      <w:pPr>
        <w:spacing w:after="0" w:line="184"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also have outstanding performance-based restricted stock units that contain forfeitable rights to receive dividends. Therefore, the awards are considered non-participating restrictive shares and are not dilutive under the two-class method until performance conditions are met.</w:t>
      </w:r>
    </w:p>
    <w:p>
      <w:pPr>
        <w:spacing w:after="0" w:line="14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Prior to the second quarter of 2019, the earnings-per-share impact of the Company’s 3% Convertible Preferred Stock, $0.0001 par value (“Series A Shares”), issued in connection with the May 2, 2016 acquisition of PEG Bandwidth, LLC, was calculated using the net share settlement method, whereby the redemption value of the instrument is assumed to be settled in cash and only the conversion premium, if any, is assumed to be settled in shares. The Series A Shares provided Uniti the option to settle the instrument in cash or shares. During the second quarter of 2019, the Company received notice from the holder of the Series A Shares of its election to convert all its shares, and the Company made an election to issue shares upon conversion, which occurred on July 2, 2019.</w:t>
      </w:r>
    </w:p>
    <w:p>
      <w:pPr>
        <w:spacing w:after="0" w:line="192" w:lineRule="exact"/>
        <w:rPr>
          <w:sz w:val="20"/>
          <w:szCs w:val="20"/>
          <w:color w:val="auto"/>
        </w:rPr>
      </w:pPr>
    </w:p>
    <w:p>
      <w:pPr>
        <w:spacing w:after="0" w:line="275" w:lineRule="auto"/>
        <w:rPr>
          <w:rFonts w:ascii="Arial" w:cs="Arial" w:eastAsia="Arial" w:hAnsi="Arial"/>
          <w:sz w:val="17"/>
          <w:szCs w:val="17"/>
          <w:color w:val="auto"/>
        </w:rPr>
      </w:pPr>
      <w:r>
        <w:rPr>
          <w:rFonts w:ascii="Arial" w:cs="Arial" w:eastAsia="Arial" w:hAnsi="Arial"/>
          <w:sz w:val="17"/>
          <w:szCs w:val="17"/>
          <w:color w:val="auto"/>
        </w:rPr>
        <w:t>The dilutive effect of the Exchangeable Notes (</w:t>
      </w:r>
      <w:hyperlink w:anchor="page27">
        <w:r>
          <w:rPr>
            <w:rFonts w:ascii="Arial" w:cs="Arial" w:eastAsia="Arial" w:hAnsi="Arial"/>
            <w:sz w:val="17"/>
            <w:szCs w:val="17"/>
            <w:u w:val="single" w:color="auto"/>
            <w:color w:val="0000EE"/>
          </w:rPr>
          <w:t>see Note 12</w:t>
        </w:r>
      </w:hyperlink>
      <w:r>
        <w:rPr>
          <w:rFonts w:ascii="Arial" w:cs="Arial" w:eastAsia="Arial" w:hAnsi="Arial"/>
          <w:sz w:val="17"/>
          <w:szCs w:val="17"/>
          <w:color w:val="auto"/>
        </w:rPr>
        <w:t>) is calculated by using the “if-converted” method. This assumes an add-back of interest, net of income taxes, to net income attributable to shareholders as if the securities were converted at the beginning of the reporting period (or at time of issuance, if later) and the resulting common shares included in number of weighted average shares. The dilutive effect of the Warrants (</w:t>
      </w:r>
      <w:hyperlink w:anchor="page25">
        <w:r>
          <w:rPr>
            <w:rFonts w:ascii="Arial" w:cs="Arial" w:eastAsia="Arial" w:hAnsi="Arial"/>
            <w:sz w:val="17"/>
            <w:szCs w:val="17"/>
            <w:u w:val="single" w:color="auto"/>
            <w:color w:val="0000EE"/>
          </w:rPr>
          <w:t>see Note 10</w:t>
        </w:r>
      </w:hyperlink>
      <w:r>
        <w:rPr>
          <w:rFonts w:ascii="Arial" w:cs="Arial" w:eastAsia="Arial" w:hAnsi="Arial"/>
          <w:sz w:val="17"/>
          <w:szCs w:val="17"/>
          <w:color w:val="auto"/>
        </w:rPr>
        <w:t>) is calculated using the treasury-stock method. During the three and six months ended June 30, 2020 and 2019, the Warrants were excluded from diluted shares outstanding because the exercise price exceeded the average market price of our common stock for the reporting period.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sets forth the computation of basic and diluted earnings per share under the two-class method: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Pr>
          <w:p>
            <w:pPr>
              <w:spacing w:after="0"/>
              <w:rPr>
                <w:sz w:val="14"/>
                <w:szCs w:val="1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40" w:type="dxa"/>
            <w:vAlign w:val="bottom"/>
            <w:tcBorders>
              <w:top w:val="single" w:sz="8" w:color="CFF0FC"/>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110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(587,744)</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(666,597)</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5"/>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Amortization of discount on convertible preferred</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22"/>
        </w:trPr>
        <w:tc>
          <w:tcPr>
            <w:tcW w:w="4740" w:type="dxa"/>
            <w:vAlign w:val="bottom"/>
            <w:gridSpan w:val="2"/>
            <w:vMerge w:val="restart"/>
          </w:tcPr>
          <w:p>
            <w:pPr>
              <w:ind w:left="62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tcBorders>
              <w:bottom w:val="single" w:sz="8" w:color="CFF0FC"/>
            </w:tcBorders>
            <w:gridSpan w:val="2"/>
            <w:vMerge w:val="continue"/>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24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40" w:type="dxa"/>
            <w:vAlign w:val="bottom"/>
            <w:tcBorders>
              <w:bottom w:val="single" w:sz="8" w:color="CFF0FC"/>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00" w:type="dxa"/>
            <w:vAlign w:val="bottom"/>
            <w:tcBorders>
              <w:bottom w:val="single" w:sz="8" w:color="CFF0FC"/>
            </w:tcBorders>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192,479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182,971</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192,358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182,597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Basic (loss) earnings per common share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35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color w:val="auto"/>
              </w:rPr>
              <w:t>(Thousands, except per share data)</w:t>
            </w:r>
          </w:p>
        </w:tc>
        <w:tc>
          <w:tcPr>
            <w:tcW w:w="320" w:type="dxa"/>
            <w:vAlign w:val="bottom"/>
          </w:tcPr>
          <w:p>
            <w:pPr>
              <w:spacing w:after="0"/>
              <w:rPr>
                <w:sz w:val="14"/>
                <w:szCs w:val="14"/>
                <w:color w:val="auto"/>
              </w:rPr>
            </w:pPr>
          </w:p>
        </w:tc>
        <w:tc>
          <w:tcPr>
            <w:tcW w:w="300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28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5"/>
        </w:trPr>
        <w:tc>
          <w:tcPr>
            <w:tcW w:w="4740" w:type="dxa"/>
            <w:vAlign w:val="bottom"/>
            <w:gridSpan w:val="2"/>
            <w:vMerge w:val="continue"/>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spacing w:after="0"/>
              <w:rPr>
                <w:sz w:val="20"/>
                <w:szCs w:val="20"/>
                <w:color w:val="auto"/>
              </w:rPr>
            </w:pPr>
            <w:r>
              <w:rPr>
                <w:rFonts w:ascii="Arial" w:cs="Arial" w:eastAsia="Arial" w:hAnsi="Arial"/>
                <w:sz w:val="18"/>
                <w:szCs w:val="18"/>
                <w:color w:val="auto"/>
              </w:rPr>
              <w:t>Numerator:</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Net (loss) income attributable to shareholders</w:t>
            </w: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(587,744)</w:t>
            </w:r>
          </w:p>
        </w:tc>
        <w:tc>
          <w:tcPr>
            <w:tcW w:w="420" w:type="dxa"/>
            <w:vAlign w:val="bottom"/>
            <w:gridSpan w:val="2"/>
            <w:shd w:val="clear" w:color="auto" w:fill="CFF0FC"/>
          </w:tcPr>
          <w:p>
            <w:pPr>
              <w:jc w:val="right"/>
              <w:ind w:right="16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38,717</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(666,597)</w:t>
            </w:r>
          </w:p>
        </w:tc>
        <w:tc>
          <w:tcPr>
            <w:tcW w:w="320" w:type="dxa"/>
            <w:vAlign w:val="bottom"/>
            <w:gridSpan w:val="2"/>
            <w:shd w:val="clear" w:color="auto" w:fill="CFF0FC"/>
          </w:tcPr>
          <w:p>
            <w:pPr>
              <w:jc w:val="right"/>
              <w:ind w:right="189"/>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tcPr>
          <w:p>
            <w:pPr>
              <w:ind w:left="380"/>
              <w:spacing w:after="0"/>
              <w:rPr>
                <w:sz w:val="20"/>
                <w:szCs w:val="20"/>
                <w:color w:val="auto"/>
              </w:rPr>
            </w:pPr>
            <w:r>
              <w:rPr>
                <w:rFonts w:ascii="Arial" w:cs="Arial" w:eastAsia="Arial" w:hAnsi="Arial"/>
                <w:sz w:val="18"/>
                <w:szCs w:val="18"/>
                <w:color w:val="auto"/>
              </w:rPr>
              <w:t>Less: Income allocated to participating securities</w:t>
            </w:r>
          </w:p>
        </w:tc>
        <w:tc>
          <w:tcPr>
            <w:tcW w:w="32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(223)</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Dividends declared on convertible preferred stock</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5"/>
        </w:trPr>
        <w:tc>
          <w:tcPr>
            <w:tcW w:w="4740" w:type="dxa"/>
            <w:vAlign w:val="bottom"/>
            <w:gridSpan w:val="2"/>
          </w:tcPr>
          <w:p>
            <w:pPr>
              <w:ind w:left="620"/>
              <w:spacing w:after="0"/>
              <w:rPr>
                <w:sz w:val="20"/>
                <w:szCs w:val="20"/>
                <w:color w:val="auto"/>
              </w:rPr>
            </w:pPr>
            <w:r>
              <w:rPr>
                <w:rFonts w:ascii="Arial" w:cs="Arial" w:eastAsia="Arial" w:hAnsi="Arial"/>
                <w:sz w:val="18"/>
                <w:szCs w:val="18"/>
                <w:color w:val="auto"/>
              </w:rPr>
              <w:t>Amortization of discount on convertible preferred</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(248)</w:t>
            </w:r>
          </w:p>
        </w:tc>
        <w:tc>
          <w:tcPr>
            <w:tcW w:w="32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122"/>
        </w:trPr>
        <w:tc>
          <w:tcPr>
            <w:tcW w:w="4740" w:type="dxa"/>
            <w:vAlign w:val="bottom"/>
            <w:gridSpan w:val="2"/>
            <w:vMerge w:val="restart"/>
          </w:tcPr>
          <w:p>
            <w:pPr>
              <w:ind w:left="62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rPr>
              <w:t>Impact on if-converted dilutive securities</w:t>
            </w: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w:t>
            </w:r>
          </w:p>
        </w:tc>
        <w:tc>
          <w:tcPr>
            <w:tcW w:w="2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Net (loss) income attributable to common shares</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(588,169)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38,609</w:t>
            </w:r>
          </w:p>
        </w:tc>
        <w:tc>
          <w:tcPr>
            <w:tcW w:w="240" w:type="dxa"/>
            <w:vAlign w:val="bottom"/>
          </w:tcPr>
          <w:p>
            <w:pPr>
              <w:spacing w:after="0"/>
              <w:rPr>
                <w:sz w:val="19"/>
                <w:szCs w:val="19"/>
                <w:color w:val="auto"/>
              </w:rPr>
            </w:pP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(667,225)</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41,023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ind w:left="260"/>
              <w:spacing w:after="0"/>
              <w:rPr>
                <w:sz w:val="20"/>
                <w:szCs w:val="20"/>
                <w:color w:val="auto"/>
              </w:rPr>
            </w:pPr>
            <w:r>
              <w:rPr>
                <w:rFonts w:ascii="Arial" w:cs="Arial" w:eastAsia="Arial" w:hAnsi="Arial"/>
                <w:sz w:val="18"/>
                <w:szCs w:val="18"/>
                <w:color w:val="auto"/>
              </w:rPr>
              <w:t>Basic weighted-average common shares outstanding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192,479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182,971</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192,358</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182,597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Effect of dilutive non-participating securities</w:t>
            </w: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Impact on if-converted dilutive securities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10,126</w:t>
            </w:r>
          </w:p>
        </w:tc>
        <w:tc>
          <w:tcPr>
            <w:tcW w:w="2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w w:val="94"/>
              </w:rPr>
              <w:t>Weighted-average shares for dilutive earnings per common</w:t>
            </w: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192,479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193,105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192,358</w:t>
            </w: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192,276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740" w:type="dxa"/>
            <w:vAlign w:val="bottom"/>
            <w:gridSpan w:val="2"/>
            <w:vMerge w:val="restart"/>
            <w:shd w:val="clear" w:color="auto" w:fill="CFF0FC"/>
          </w:tcPr>
          <w:p>
            <w:pPr>
              <w:ind w:left="260"/>
              <w:spacing w:after="0"/>
              <w:rPr>
                <w:sz w:val="20"/>
                <w:szCs w:val="20"/>
                <w:color w:val="auto"/>
              </w:rPr>
            </w:pPr>
            <w:r>
              <w:rPr>
                <w:rFonts w:ascii="Arial" w:cs="Arial" w:eastAsia="Arial" w:hAnsi="Arial"/>
                <w:sz w:val="18"/>
                <w:szCs w:val="18"/>
                <w:color w:val="auto"/>
              </w:rPr>
              <w:t>share</w:t>
            </w:r>
          </w:p>
        </w:tc>
        <w:tc>
          <w:tcPr>
            <w:tcW w:w="3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100" w:type="dxa"/>
            <w:vAlign w:val="bottom"/>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740" w:type="dxa"/>
            <w:vAlign w:val="bottom"/>
            <w:gridSpan w:val="2"/>
            <w:vMerge w:val="continue"/>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2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00" w:type="dxa"/>
            <w:vAlign w:val="bottom"/>
            <w:tcBorders>
              <w:bottom w:val="single" w:sz="8" w:color="auto"/>
            </w:tcBorders>
            <w:shd w:val="clear" w:color="auto" w:fill="CFF0FC"/>
          </w:tcPr>
          <w:p>
            <w:pPr>
              <w:spacing w:after="0"/>
              <w:rPr>
                <w:sz w:val="9"/>
                <w:szCs w:val="9"/>
                <w:color w:val="auto"/>
              </w:rPr>
            </w:pPr>
          </w:p>
        </w:tc>
        <w:tc>
          <w:tcPr>
            <w:tcW w:w="1100" w:type="dxa"/>
            <w:vAlign w:val="bottom"/>
            <w:tcBorders>
              <w:bottom w:val="single" w:sz="8" w:color="auto"/>
            </w:tcBorders>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Dilutive (loss) earnings per common share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six months ended June 30, 2020, 29,198,385 potential common shares related to the Exchangeable Notes and 730,863 non-participating securities were excluded from the computation of earnings per share, as their effect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Segment Information</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management, including our chief executive officer, who is our chief operating decision maker, manages our operations as four reportable segments in addition to our corporate operations, which include:</w:t>
      </w:r>
    </w:p>
    <w:p>
      <w:pPr>
        <w:spacing w:after="0" w:line="17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color w:val="auto"/>
        </w:rPr>
        <w:t>: Represents the results from our leasing business, Uniti Leasing, which is engaged in the acquisition of mission-critical communications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leasing them back to anchor customers on either an exclusive or shared-tenant basis.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color w:val="auto"/>
        </w:rPr>
        <w:t>: Represents the operations of our fiber business, Uniti Fiber, which is a leading provider of infrastructure solutions, including cell site</w:t>
      </w:r>
      <w:r>
        <w:rPr>
          <w:rFonts w:ascii="Arial" w:cs="Arial" w:eastAsia="Arial" w:hAnsi="Arial"/>
          <w:sz w:val="18"/>
          <w:szCs w:val="18"/>
          <w:i w:val="1"/>
          <w:iCs w:val="1"/>
          <w:color w:val="auto"/>
        </w:rPr>
        <w:t xml:space="preserve"> </w:t>
      </w:r>
      <w:r>
        <w:rPr>
          <w:rFonts w:ascii="Arial" w:cs="Arial" w:eastAsia="Arial" w:hAnsi="Arial"/>
          <w:sz w:val="18"/>
          <w:szCs w:val="18"/>
          <w:color w:val="auto"/>
        </w:rPr>
        <w:t>backhaul and dark fiber, to the telecommunications industry.</w:t>
      </w:r>
    </w:p>
    <w:p>
      <w:pPr>
        <w:spacing w:after="0" w:line="170" w:lineRule="exact"/>
        <w:rPr>
          <w:sz w:val="20"/>
          <w:szCs w:val="20"/>
          <w:color w:val="auto"/>
        </w:rPr>
      </w:pPr>
    </w:p>
    <w:p>
      <w:pPr>
        <w:ind w:right="140"/>
        <w:spacing w:after="0" w:line="255" w:lineRule="auto"/>
        <w:rPr>
          <w:rFonts w:ascii="Arial" w:cs="Arial" w:eastAsia="Arial" w:hAnsi="Arial"/>
          <w:sz w:val="18"/>
          <w:szCs w:val="18"/>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color w:val="auto"/>
        </w:rPr>
        <w:t>: Represents the operations of our towers business, Uniti Towers, through which we acquire and construct tower and tower-related real estate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lease space on communications towers to wireless service providers and other tenants in the United States. On April 2, 2019, the Company completed the sale of LATAM and no longer has on-going operations in Latin America. On May 23, 2019, the Company completed the sale of substantially all of its ground lease business located across the United States. On June 1, 2020, the Company completed the sale of its U.S. tower business to Melody for total cash consideration of $225.8 million. The Company retained a 10% investment interest in the tower business through a newly formed limited partnership with Melody. </w:t>
      </w:r>
      <w:hyperlink w:anchor="page21">
        <w:r>
          <w:rPr>
            <w:rFonts w:ascii="Arial" w:cs="Arial" w:eastAsia="Arial" w:hAnsi="Arial"/>
            <w:sz w:val="18"/>
            <w:szCs w:val="18"/>
            <w:u w:val="single" w:color="auto"/>
            <w:color w:val="0000EE"/>
          </w:rPr>
          <w:t>See Note 5</w:t>
        </w:r>
      </w:hyperlink>
      <w:r>
        <w:rPr>
          <w:rFonts w:ascii="Arial" w:cs="Arial" w:eastAsia="Arial" w:hAnsi="Arial"/>
          <w:sz w:val="18"/>
          <w:szCs w:val="18"/>
          <w:i w:val="1"/>
          <w:iCs w:val="1"/>
          <w:color w:val="auto"/>
        </w:rPr>
        <w:t>.</w:t>
      </w:r>
    </w:p>
    <w:p>
      <w:pPr>
        <w:spacing w:after="0" w:line="19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u w:val="single" w:color="auto"/>
          <w:color w:val="auto"/>
        </w:rPr>
        <w:t>Consumer CLEC</w:t>
      </w:r>
      <w:r>
        <w:rPr>
          <w:rFonts w:ascii="Arial" w:cs="Arial" w:eastAsia="Arial" w:hAnsi="Arial"/>
          <w:sz w:val="17"/>
          <w:szCs w:val="17"/>
          <w:color w:val="auto"/>
        </w:rPr>
        <w:t>: Represents the operations of Talk America Services (“Talk America”) through which we operate the Consumer CLEC Business, which</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Uniti’s separation and spin-off from Windstream (the “Spin-Off”) was reported as an integrated operation within Windstream. Talk America provides local telephone, high-speed internet and long distance services to customers in the eastern and central United States. We have commenced a wind down of our Consumer CLEC business, which we substantially completed during the second quarter of 2020.</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u w:val="single" w:color="auto"/>
          <w:color w:val="auto"/>
        </w:rPr>
        <w:t>Corporate</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our corporate and back office functions. Certain costs and expenses, primarily related to headcount, insurance, professional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similar charges, that are directly attributable to operations of our business segments are allocated to the respective segments.</w:t>
      </w:r>
    </w:p>
    <w:p>
      <w:pPr>
        <w:spacing w:after="0" w:line="14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Management evaluates the performance of each segment using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costs associated with Windstream’s bankruptcy, costs associated with litigation claims made against us, and costs associated with the implementation of our new enterprise resource planning system, the write off of unamortized deferred financing costs, costs incurred as a result of the early repayment of debt, gains or losses on dispositions, changes in the fair value of contingent consideration and financial instruments, and other similar items. The Company believes that net income, as defined by GAAP, is the most appropriate earnings metric; however, we believe that Adjusted EBITDA serves as a useful supplement to net income because it allows investors, analysts and management to evaluate the performance of our segments in a manner that is comparable period over period. Adjusted EBITDA should not be considered as an alternative to net income as determined in accordance with GAAP.</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data related to our segments is presented below for the three and six months ended June 30, 2020 and 2019:</w:t>
      </w:r>
    </w:p>
    <w:p>
      <w:pPr>
        <w:spacing w:after="0" w:line="248"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Subtotal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vMerge w:val="restart"/>
          </w:tcPr>
          <w:p>
            <w:pPr>
              <w:spacing w:after="0"/>
              <w:rPr>
                <w:sz w:val="12"/>
                <w:szCs w:val="12"/>
                <w:color w:val="auto"/>
              </w:rPr>
            </w:pPr>
          </w:p>
        </w:tc>
        <w:tc>
          <w:tcPr>
            <w:tcW w:w="1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vMerge w:val="restart"/>
          </w:tcPr>
          <w:p>
            <w:pPr>
              <w:spacing w:after="0"/>
              <w:rPr>
                <w:sz w:val="12"/>
                <w:szCs w:val="12"/>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p>
      <w:pPr>
        <w:spacing w:after="0"/>
        <w:tabs>
          <w:tab w:leader="none" w:pos="236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Settlement expense</w:t>
      </w:r>
    </w:p>
    <w:p>
      <w:pPr>
        <w:spacing w:after="0" w:line="35"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Transaction related and other costs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185,320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79,140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266,820</w:t>
            </w:r>
          </w:p>
        </w:tc>
        <w:tc>
          <w:tcPr>
            <w:tcW w:w="60" w:type="dxa"/>
            <w:vAlign w:val="bottom"/>
          </w:tcPr>
          <w:p>
            <w:pPr>
              <w:spacing w:after="0"/>
              <w:rPr>
                <w:sz w:val="20"/>
                <w:szCs w:val="20"/>
                <w:color w:val="auto"/>
              </w:rPr>
            </w:pPr>
          </w:p>
        </w:tc>
      </w:tr>
      <w:tr>
        <w:trPr>
          <w:trHeight w:val="458"/>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182,810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28,493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(8,227)</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202,869</w:t>
            </w:r>
          </w:p>
        </w:tc>
        <w:tc>
          <w:tcPr>
            <w:tcW w:w="6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107,243</w:t>
            </w:r>
          </w:p>
        </w:tc>
        <w:tc>
          <w:tcPr>
            <w:tcW w:w="60" w:type="dxa"/>
            <w:vAlign w:val="bottom"/>
          </w:tcPr>
          <w:p>
            <w:pPr>
              <w:spacing w:after="0"/>
              <w:rPr>
                <w:sz w:val="24"/>
                <w:szCs w:val="24"/>
                <w:color w:val="auto"/>
              </w:rPr>
            </w:pPr>
          </w:p>
        </w:tc>
      </w:tr>
      <w:tr>
        <w:trPr>
          <w:trHeight w:val="337"/>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52,405</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32,279</w:t>
            </w:r>
          </w:p>
        </w:tc>
        <w:tc>
          <w:tcPr>
            <w:tcW w:w="54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5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84,969</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6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18,556</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(63,818)</w:t>
            </w:r>
          </w:p>
        </w:tc>
      </w:tr>
      <w:tr>
        <w:trPr>
          <w:trHeight w:val="230"/>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(5,875)</w:t>
            </w: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(598,329)</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-1919605</wp:posOffset>
            </wp:positionV>
            <wp:extent cx="713232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-1628140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-1199515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-899795</wp:posOffset>
            </wp:positionV>
            <wp:extent cx="7132320" cy="282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-471170</wp:posOffset>
            </wp:positionV>
            <wp:extent cx="713232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-179705</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20"/>
          </w:cols>
          <w:pgMar w:left="320" w:top="125" w:right="379" w:bottom="1440" w:gutter="0" w:footer="0" w:header="0"/>
          <w:type w:val="continuous"/>
        </w:sectPr>
      </w:pPr>
    </w:p>
    <w:p>
      <w:pPr>
        <w:spacing w:after="0" w:line="24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1"/>
          </w:tcPr>
          <w:p>
            <w:pPr>
              <w:jc w:val="center"/>
              <w:ind w:right="500"/>
              <w:spacing w:after="0"/>
              <w:rPr>
                <w:sz w:val="20"/>
                <w:szCs w:val="20"/>
                <w:color w:val="auto"/>
              </w:rPr>
            </w:pPr>
            <w:r>
              <w:rPr>
                <w:rFonts w:ascii="Arial" w:cs="Arial" w:eastAsia="Arial" w:hAnsi="Arial"/>
                <w:sz w:val="14"/>
                <w:szCs w:val="14"/>
                <w:b w:val="1"/>
                <w:bCs w:val="1"/>
                <w:color w:val="auto"/>
                <w:w w:val="93"/>
              </w:rPr>
              <w:t>Three Months Ended June 30, 2019</w:t>
            </w: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tcPr>
          <w:p>
            <w:pPr>
              <w:jc w:val="center"/>
              <w:ind w:right="113"/>
              <w:spacing w:after="0" w:line="133" w:lineRule="exact"/>
              <w:rPr>
                <w:sz w:val="20"/>
                <w:szCs w:val="20"/>
                <w:color w:val="auto"/>
              </w:rPr>
            </w:pPr>
            <w:r>
              <w:rPr>
                <w:rFonts w:ascii="Arial" w:cs="Arial" w:eastAsia="Arial" w:hAnsi="Arial"/>
                <w:sz w:val="14"/>
                <w:szCs w:val="14"/>
                <w:b w:val="1"/>
                <w:bCs w:val="1"/>
                <w:color w:val="auto"/>
                <w:w w:val="92"/>
              </w:rPr>
              <w:t>Subtotal of</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w w:val="97"/>
              </w:rPr>
              <w:t>Towers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gridSpan w:val="5"/>
            <w:vMerge w:val="restart"/>
          </w:tcPr>
          <w:p>
            <w:pPr>
              <w:ind w:left="20"/>
              <w:spacing w:after="0"/>
              <w:rPr>
                <w:sz w:val="20"/>
                <w:szCs w:val="20"/>
                <w:color w:val="auto"/>
              </w:rPr>
            </w:pPr>
            <w:r>
              <w:rPr>
                <w:rFonts w:ascii="Arial" w:cs="Arial" w:eastAsia="Arial" w:hAnsi="Arial"/>
                <w:sz w:val="14"/>
                <w:szCs w:val="14"/>
                <w:b w:val="1"/>
                <w:bCs w:val="1"/>
                <w:color w:val="auto"/>
              </w:rPr>
              <w:t>Consumer CLEC</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gridSpan w:val="5"/>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177,042</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center"/>
              <w:ind w:right="139"/>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264,414</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175,881</w:t>
            </w: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center"/>
              <w:ind w:right="39"/>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46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(6,576)</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206,864</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140"/>
              <w:spacing w:after="0"/>
              <w:rPr>
                <w:sz w:val="20"/>
                <w:szCs w:val="20"/>
                <w:color w:val="auto"/>
              </w:rPr>
            </w:pPr>
            <w:r>
              <w:rPr>
                <w:rFonts w:ascii="Arial" w:cs="Arial" w:eastAsia="Arial" w:hAnsi="Arial"/>
                <w:sz w:val="18"/>
                <w:szCs w:val="18"/>
                <w:color w:val="auto"/>
              </w:rPr>
              <w:t>Depreciation and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72,275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28,494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1,412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102,578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gridSpan w:val="2"/>
            <w:vMerge w:val="restart"/>
          </w:tcPr>
          <w:p>
            <w:pPr>
              <w:ind w:left="1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15"/>
        </w:trPr>
        <w:tc>
          <w:tcPr>
            <w:tcW w:w="2280" w:type="dxa"/>
            <w:vAlign w:val="bottom"/>
            <w:gridSpan w:val="2"/>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7,035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costs</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29"/>
        </w:trPr>
        <w:tc>
          <w:tcPr>
            <w:tcW w:w="2280" w:type="dxa"/>
            <w:vAlign w:val="bottom"/>
            <w:gridSpan w:val="2"/>
          </w:tcPr>
          <w:p>
            <w:pPr>
              <w:ind w:left="140"/>
              <w:spacing w:after="0"/>
              <w:rPr>
                <w:sz w:val="20"/>
                <w:szCs w:val="20"/>
                <w:color w:val="auto"/>
              </w:rPr>
            </w:pPr>
            <w:r>
              <w:rPr>
                <w:rFonts w:ascii="Arial" w:cs="Arial" w:eastAsia="Arial" w:hAnsi="Arial"/>
                <w:sz w:val="18"/>
                <w:szCs w:val="18"/>
                <w:color w:val="auto"/>
                <w:w w:val="97"/>
              </w:rPr>
              <w:t>Stock-based compensation</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39,547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80" w:type="dxa"/>
            <w:vAlign w:val="bottom"/>
            <w:gridSpan w:val="12"/>
            <w:vMerge w:val="restart"/>
          </w:tcPr>
          <w:p>
            <w:pPr>
              <w:jc w:val="center"/>
              <w:ind w:right="420"/>
              <w:spacing w:after="0"/>
              <w:rPr>
                <w:sz w:val="20"/>
                <w:szCs w:val="20"/>
                <w:color w:val="auto"/>
              </w:rPr>
            </w:pPr>
            <w:r>
              <w:rPr>
                <w:rFonts w:ascii="Arial" w:cs="Arial" w:eastAsia="Arial" w:hAnsi="Arial"/>
                <w:sz w:val="18"/>
                <w:szCs w:val="18"/>
                <w:b w:val="1"/>
                <w:bCs w:val="1"/>
                <w:color w:val="auto"/>
                <w:w w:val="90"/>
              </w:rPr>
              <w:t>Six Months Ended June 30, 2020</w:t>
            </w: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gridSpan w:val="12"/>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Subtotal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vMerge w:val="restart"/>
          </w:tcPr>
          <w:p>
            <w:pPr>
              <w:ind w:left="20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Fiber Infrastructure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Towers</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Consumer CLEC</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22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369,672</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156,547</w:t>
            </w:r>
          </w:p>
        </w:tc>
        <w:tc>
          <w:tcPr>
            <w:tcW w:w="42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532,982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114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4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gridSpan w:val="2"/>
          </w:tcPr>
          <w:p>
            <w:pPr>
              <w:spacing w:after="0"/>
              <w:rPr>
                <w:sz w:val="19"/>
                <w:szCs w:val="19"/>
                <w:color w:val="auto"/>
              </w:rPr>
            </w:pPr>
          </w:p>
        </w:tc>
        <w:tc>
          <w:tcPr>
            <w:tcW w:w="1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364,689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56,034</w:t>
            </w:r>
          </w:p>
        </w:tc>
        <w:tc>
          <w:tcPr>
            <w:tcW w:w="64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89"/>
              </w:rPr>
              <w:t>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(275)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(15,942)</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404,583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Less:</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285,636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gridSpan w:val="2"/>
          </w:tcPr>
          <w:p>
            <w:pPr>
              <w:ind w:left="140"/>
              <w:spacing w:after="0"/>
              <w:rPr>
                <w:sz w:val="20"/>
                <w:szCs w:val="20"/>
                <w:color w:val="auto"/>
              </w:rPr>
            </w:pPr>
            <w:r>
              <w:rPr>
                <w:rFonts w:ascii="Arial" w:cs="Arial" w:eastAsia="Arial" w:hAnsi="Arial"/>
                <w:sz w:val="18"/>
                <w:szCs w:val="18"/>
                <w:color w:val="auto"/>
              </w:rPr>
              <w:t>Depreciation and</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107,027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783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171,090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gridSpan w:val="2"/>
            <w:vMerge w:val="restart"/>
          </w:tcPr>
          <w:p>
            <w:pPr>
              <w:ind w:left="140"/>
              <w:spacing w:after="0"/>
              <w:rPr>
                <w:sz w:val="20"/>
                <w:szCs w:val="20"/>
                <w:color w:val="auto"/>
              </w:rPr>
            </w:pPr>
            <w:r>
              <w:rPr>
                <w:rFonts w:ascii="Arial" w:cs="Arial" w:eastAsia="Arial" w:hAnsi="Arial"/>
                <w:sz w:val="18"/>
                <w:szCs w:val="18"/>
                <w:color w:val="auto"/>
              </w:rPr>
              <w:t>amortization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gridSpan w:val="4"/>
            <w:vMerge w:val="continue"/>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280" w:type="dxa"/>
            <w:vAlign w:val="bottom"/>
            <w:gridSpan w:val="2"/>
          </w:tcPr>
          <w:p>
            <w:pPr>
              <w:ind w:left="140"/>
              <w:spacing w:after="0"/>
              <w:rPr>
                <w:sz w:val="20"/>
                <w:szCs w:val="20"/>
                <w:color w:val="auto"/>
              </w:rPr>
            </w:pPr>
            <w:r>
              <w:rPr>
                <w:rFonts w:ascii="Arial" w:cs="Arial" w:eastAsia="Arial" w:hAnsi="Arial"/>
                <w:sz w:val="18"/>
                <w:szCs w:val="18"/>
                <w:color w:val="auto"/>
              </w:rPr>
              <w:t>Settlement expense</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Transaction related and</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34,528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28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color w:val="auto"/>
              </w:rPr>
              <w:t>other costs</w:t>
            </w: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gridSpan w:val="2"/>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40"/>
              <w:spacing w:after="0"/>
              <w:rPr>
                <w:sz w:val="20"/>
                <w:szCs w:val="20"/>
                <w:color w:val="auto"/>
              </w:rPr>
            </w:pPr>
            <w:r>
              <w:rPr>
                <w:rFonts w:ascii="Arial" w:cs="Arial" w:eastAsia="Arial" w:hAnsi="Arial"/>
                <w:sz w:val="18"/>
                <w:szCs w:val="18"/>
                <w:color w:val="auto"/>
              </w:rPr>
              <w:t>Gain on sale of real estate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7"/>
              </w:rPr>
              <w:t>Stock-based compensation</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gridSpan w:val="2"/>
          </w:tcPr>
          <w:p>
            <w:pPr>
              <w:ind w:left="14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3"/>
        </w:trPr>
        <w:tc>
          <w:tcPr>
            <w:tcW w:w="228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vMerge w:val="restart"/>
          </w:tcPr>
          <w:p>
            <w:pPr>
              <w:jc w:val="center"/>
              <w:ind w:right="39"/>
              <w:spacing w:after="0"/>
              <w:rPr>
                <w:sz w:val="20"/>
                <w:szCs w:val="20"/>
                <w:color w:val="auto"/>
              </w:rPr>
            </w:pPr>
            <w:r>
              <w:rPr>
                <w:rFonts w:ascii="Arial" w:cs="Arial" w:eastAsia="Arial" w:hAnsi="Arial"/>
                <w:sz w:val="18"/>
                <w:szCs w:val="18"/>
                <w:color w:val="auto"/>
                <w:w w:val="89"/>
              </w:rPr>
              <w:t>34</w:t>
            </w: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Six Months Ended June 30, 2019</w:t>
            </w:r>
          </w:p>
        </w:tc>
        <w:tc>
          <w:tcPr>
            <w:tcW w:w="4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center"/>
              <w:ind w:right="114"/>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Towers</w:t>
            </w:r>
          </w:p>
        </w:tc>
        <w:tc>
          <w:tcPr>
            <w:tcW w:w="240" w:type="dxa"/>
            <w:vAlign w:val="bottom"/>
          </w:tcPr>
          <w:p>
            <w:pPr>
              <w:spacing w:after="0"/>
              <w:rPr>
                <w:sz w:val="12"/>
                <w:szCs w:val="12"/>
                <w:color w:val="auto"/>
              </w:rPr>
            </w:pPr>
          </w:p>
        </w:tc>
        <w:tc>
          <w:tcPr>
            <w:tcW w:w="14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Consumer CLEC</w:t>
            </w:r>
          </w:p>
        </w:tc>
        <w:tc>
          <w:tcPr>
            <w:tcW w:w="180" w:type="dxa"/>
            <w:vAlign w:val="bottom"/>
          </w:tcPr>
          <w:p>
            <w:pPr>
              <w:spacing w:after="0"/>
              <w:rPr>
                <w:sz w:val="12"/>
                <w:szCs w:val="12"/>
                <w:color w:val="auto"/>
              </w:rPr>
            </w:pPr>
          </w:p>
        </w:tc>
        <w:tc>
          <w:tcPr>
            <w:tcW w:w="12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353,125</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2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5,934</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525,445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3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350,632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67,036</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1000" w:type="dxa"/>
            <w:vAlign w:val="bottom"/>
            <w:gridSpan w:val="2"/>
            <w:shd w:val="clear" w:color="auto" w:fill="CFF0FC"/>
          </w:tcPr>
          <w:p>
            <w:pPr>
              <w:jc w:val="right"/>
              <w:ind w:right="607"/>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1,211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(12,023)</w:t>
            </w: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8"/>
                <w:szCs w:val="18"/>
                <w:color w:val="auto"/>
              </w:rPr>
              <w:t>Less:</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rPr>
              <w:t>Depreciation and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146,028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56,752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206,405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amortization</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15"/>
        </w:trPr>
        <w:tc>
          <w:tcPr>
            <w:tcW w:w="2280" w:type="dxa"/>
            <w:vAlign w:val="bottom"/>
          </w:tcPr>
          <w:p>
            <w:pPr>
              <w:ind w:left="140"/>
              <w:spacing w:after="0"/>
              <w:rPr>
                <w:sz w:val="20"/>
                <w:szCs w:val="20"/>
                <w:color w:val="auto"/>
              </w:rPr>
            </w:pPr>
            <w:r>
              <w:rPr>
                <w:rFonts w:ascii="Arial" w:cs="Arial" w:eastAsia="Arial" w:hAnsi="Arial"/>
                <w:sz w:val="18"/>
                <w:szCs w:val="18"/>
                <w:color w:val="auto"/>
                <w:w w:val="90"/>
              </w:rPr>
              <w:t>Transaction related and other</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13,704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280" w:type="dxa"/>
            <w:vAlign w:val="bottom"/>
            <w:vMerge w:val="restart"/>
          </w:tcPr>
          <w:p>
            <w:pPr>
              <w:ind w:left="140"/>
              <w:spacing w:after="0"/>
              <w:rPr>
                <w:sz w:val="20"/>
                <w:szCs w:val="20"/>
                <w:color w:val="auto"/>
              </w:rPr>
            </w:pPr>
            <w:r>
              <w:rPr>
                <w:rFonts w:ascii="Arial" w:cs="Arial" w:eastAsia="Arial" w:hAnsi="Arial"/>
                <w:sz w:val="18"/>
                <w:szCs w:val="18"/>
                <w:color w:val="auto"/>
              </w:rPr>
              <w:t>costs</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29"/>
        </w:trPr>
        <w:tc>
          <w:tcPr>
            <w:tcW w:w="2280" w:type="dxa"/>
            <w:vAlign w:val="bottom"/>
          </w:tcPr>
          <w:p>
            <w:pPr>
              <w:ind w:left="140"/>
              <w:spacing w:after="0"/>
              <w:rPr>
                <w:sz w:val="20"/>
                <w:szCs w:val="20"/>
                <w:color w:val="auto"/>
              </w:rPr>
            </w:pPr>
            <w:r>
              <w:rPr>
                <w:rFonts w:ascii="Arial" w:cs="Arial" w:eastAsia="Arial" w:hAnsi="Arial"/>
                <w:sz w:val="18"/>
                <w:szCs w:val="18"/>
                <w:color w:val="auto"/>
                <w:w w:val="97"/>
              </w:rPr>
              <w:t>Stock-based compensation</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28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Litigation</w:t>
      </w:r>
    </w:p>
    <w:p>
      <w:pPr>
        <w:spacing w:after="0" w:line="225"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Pursuant to the Separation and Distribution Agreement entered into with Windstream in connection with the Spin-Off, Windstream has agreed to indemnify us (including our subsidiaries, directors, officers, employees and agents and certain other related parties) for any liability arising from or relating to legal proceedings involving Windstream's telecommunications business prior to the Spin-Off, and,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to us by Windstream. If Windstream assumes the Separation and Distribution Agreement and/or the Master Lease in bankruptcy, it would be obligated to honor all indemnification claims arising under such agreement. If the Separation and Distribution Agreement and or the Master Lease are rejected in Windstream’s bankruptcy, any claims on the applicable indemnity would be treated as unsecured claims, and, if that were to occur, there can be no assurance we would receive any related indemnification payments from Windstream in connection with the applicable indemnity claims.</w:t>
      </w:r>
    </w:p>
    <w:p>
      <w:pPr>
        <w:spacing w:after="0" w:line="18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July 25, 2019, in connection with Windstream’s bankruptcy, Windstream Holdings and Windstream Services, LLC (“Windstream Services”) filed a complaint with the Bankruptcy Court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 An adverse determination in the adversary proceeding with Windstream could materially adversely affect our results of operations, liquidity and financial condition and our status as a REIT.</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March 2, 2020, Uniti and Windstream jointly announced that they agreed to the Settlement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As a result, we have recorded a $650.0 million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charge during the quarter ended June 30, 2020, which represents the estimated fair value of the litigation component of the Settlement; however, this estimate is subject to change in future periods if new facts or circumstances arise that are unknown at this time.</w:t>
      </w:r>
    </w:p>
    <w:p>
      <w:pPr>
        <w:spacing w:after="0" w:line="14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June 26, 2020, the Bankruptcy Court approved Windstream’s plan of reorganization. Consummation of the plan of reorganization is subject to certain conditions precedent, including consummation of the Settlement and receipt of certain regulatory approvals. On July 3, 2020, UMB Bank and U.S. Bank, as indenture trustees for certain of Windstream’s prepetition unsecured notes, and CQS US, LLC appealed the Bankruptcy Court’s order approving the plan of reorganization. The appeals are pending before the United States District Court for the Southern District of New York. On July 7, 2020, UMB Bank settled its appeal of the order approving the plan of reorganization. On July 9, 2020, CQS US, LLC filed a motion seeking reconsideration of UMB Bank’s settlement.</w:t>
      </w:r>
    </w:p>
    <w:p>
      <w:pPr>
        <w:spacing w:after="0" w:line="19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the Settlement is not implemented, Windstream has the option to assume or reject the Master Lease. We believe that we are likely to effectuate the Settlement. However, even if it cannot be implemented, we believe the probability of Windstream rejecting the Master Lease in bankruptcy to be remote if Windstream intends to reorganize. A rejection of the Master Lease, or even a temporary disruption in payments to us, would require us to fund certain expenses and obligations (e.g., real estate taxes, insurance and maintenance expenses) to preserve the value of our properties and avoid the imposition of liens on our properties and could impact our ability to fund other cash obligations, including dividends necessary to maintain REIT status, non-essential capital expenditures and our debt service obligations and could otherwise affect our ability to maintain REIT status.</w:t>
      </w:r>
    </w:p>
    <w:p>
      <w:pPr>
        <w:spacing w:after="0" w:line="178"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 rejection of the Master Lease by Windstream could result in an “event of default” under our Credit Agreement if we are unable to enter into a replacement lease that satisfies certain criteria set forth in the Credit Agreement within ninety (90) calendar days and we do not maintain pro forma compliance with a consolidated secured leverage ratio, as defined in the Credit Agreement, of 5.00 to 1.00. An acceleration of debt under our senior secured credit facilities due to an uncured “event of default” under our Credit Agreement would also result in an “event of default” under the terms of our outstanding notes. Such an “event of default” would give the holders of the applicable debt obligation the right to accelerate our repayment obligations relating to such debt.</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Recharacterization / Pending Master Lease Litigation</w:t>
      </w:r>
      <w:r>
        <w:rPr>
          <w:rFonts w:ascii="Arial" w:cs="Arial" w:eastAsia="Arial" w:hAnsi="Arial"/>
          <w:sz w:val="18"/>
          <w:szCs w:val="18"/>
          <w:color w:val="auto"/>
        </w:rPr>
        <w:t>. As stated above, on July 25, 2019, Windstream Holdings and Windstream Services filed a complaint</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Bankruptcy Court against Uniti and certain of its affiliates, alleging¸ among other things, that (1) the Master Lease should be recharacterized as a financing arrangement, (2) rent payments and tenant capital improvements made by Windstream under the Master Lease since at least the third quarter of 2017 constitute constructive fraudulent transfers, (3) the Master Lease is a lease of personal property and (4) Uniti has breached its non-competition obligations to Windstream under the Master Lease, each of which allegations is discussed in more detail below. As described above, the Settlement should resolve these claims.</w:t>
      </w:r>
    </w:p>
    <w:p>
      <w:pPr>
        <w:spacing w:after="0" w:line="19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u w:val="single" w:color="auto"/>
          <w:color w:val="auto"/>
        </w:rPr>
        <w:t>Recharacterization</w:t>
      </w:r>
      <w:r>
        <w:rPr>
          <w:rFonts w:ascii="Arial" w:cs="Arial" w:eastAsia="Arial" w:hAnsi="Arial"/>
          <w:sz w:val="18"/>
          <w:szCs w:val="18"/>
          <w:color w:val="auto"/>
        </w:rPr>
        <w:t>. Windstream asserted that the Master Lease should be recharacterized as a financing arrangement. If the Master Lease were recharacterized as a financing arrangement, Windstream has argued that Windstream should be deemed the true owner of the property subject to the Master Lease, and Uniti should be treated as a creditor of Windstream rather than as a landlord.</w:t>
      </w:r>
    </w:p>
    <w:p>
      <w:pPr>
        <w:spacing w:after="0" w:line="184"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Were the Bankruptcy Court to hold that the Master Lease should be recharacterized as a financing arrangement, it could significantly affect or even eliminate current payments to us under the Master Lease and could significantly affect the ultimate treatment of our claims (including potentially through changing our status to that of a creditor that would share in creditor recoveries from the estate rather than receive rent payments). The Bankruptcy Court could determine that Windstream is the true owner of the property subject to the Master Lease, and we have argued that such property would be deemed to be owned by Windstream Holdings as the counterparty to the Master Lease and that Uniti would have a claim against Windstream Holdings that is secured by such property. Windstream has argued that such property would instead be owned by the operating subsidiaries that previously held it and that our claims would be against Windstream Holdings as the counterparty to the Master Lease. In such an event, the Bankruptcy Court would also determine if our claims are secured by an interest in the leased property. If the Bankruptcy Court were to determine that our claims are not secured by an interest in the leased property, our claims could be unsecured and structurally subordinated to the claims of creditors at Windstream Holdings’ subsidiaries, including Windstream Services. Windstream Services is the issuer of substantially all of Windstream’s debt obligations and certain of its operating subsidiaries guarantee such debt obligations. Were we to be treated as an unsecured creditor of Windstream Holdings, we would not be able to recover any value from Windstream Services or such other operating subsidiaries until all of their respective debt obligations have been satisfied and, in such event, the notes and the guarantees of the notes would only be secured on a first-priority basis by certain of our assets that do not constitute the property subject to the Master Lease. In the event of such an adverse determination, our ability to meet our debt and other obligations could be materially impaired. In addition, recharacterization of the Master Lease as a financing arrangement, depending on the findings of fact and law of, and remedies applied by, the Bankruptcy Court, could affect the U.S. federal income tax treatment of the Master Lease, our status as a</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REIT (see in Part I, Item 1A "Risk Factors" of our Annual Report on Form 10-K for the year ended December 31, 2019—Risks Related to the Status of Uniti as a REIT) and could materially adversely affect our consolidated results of operations, liquidity, and financial condition.</w:t>
      </w:r>
    </w:p>
    <w:p>
      <w:pPr>
        <w:spacing w:after="0" w:line="146"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Constructive Fraudulent Transfer</w:t>
      </w:r>
      <w:r>
        <w:rPr>
          <w:rFonts w:ascii="Arial" w:cs="Arial" w:eastAsia="Arial" w:hAnsi="Arial"/>
          <w:sz w:val="16"/>
          <w:szCs w:val="16"/>
          <w:color w:val="auto"/>
        </w:rPr>
        <w:t>. Windstream also alleged that rent payments and tenant capital improvements made by Windstream under the Master Lease since at least the third quarter of 2017 constitute constructive fraudulent transfers. If the constructive fraudulent transfer claim were successful, Uniti may be required to repay Windstream the amount of rent payments made by Windstream above fair market rent as determined by the Bankruptcy Court and the aggregate amount of all tenant capital improvements made by Windstream, in each case since the date on which the Bankruptcy Court found Windstream to have been insolvent. In its complaint in the adversary proceeding, Windstream alleges that it has paid approximately $366 million for tenant capital improvements under the Master Lease from the fourth quarter of 2017 through November 2019, in addition to making substantial rent payments. As any such calculation of fair market rent and any resulting damages would be a fact-intensive inquiry, it is not possible to provide a likely range of damages at this time, but any such damages award could materially adversely affect our consolidated results of operations, liquidity, and financial condition.</w:t>
      </w:r>
    </w:p>
    <w:p>
      <w:pPr>
        <w:spacing w:after="0" w:line="165" w:lineRule="exact"/>
        <w:rPr>
          <w:sz w:val="20"/>
          <w:szCs w:val="20"/>
          <w:color w:val="auto"/>
        </w:rPr>
      </w:pPr>
    </w:p>
    <w:p>
      <w:pPr>
        <w:spacing w:after="0" w:line="291" w:lineRule="auto"/>
        <w:rPr>
          <w:sz w:val="20"/>
          <w:szCs w:val="20"/>
          <w:color w:val="auto"/>
        </w:rPr>
      </w:pPr>
      <w:r>
        <w:rPr>
          <w:rFonts w:ascii="Arial" w:cs="Arial" w:eastAsia="Arial" w:hAnsi="Arial"/>
          <w:sz w:val="16"/>
          <w:szCs w:val="16"/>
          <w:u w:val="single" w:color="auto"/>
          <w:color w:val="auto"/>
        </w:rPr>
        <w:t>Master Lease for Personal Property</w:t>
      </w:r>
      <w:r>
        <w:rPr>
          <w:rFonts w:ascii="Arial" w:cs="Arial" w:eastAsia="Arial" w:hAnsi="Arial"/>
          <w:sz w:val="16"/>
          <w:szCs w:val="16"/>
          <w:color w:val="auto"/>
        </w:rPr>
        <w:t>. Windstream alleged that the Master Lease is a lease of personal property. If the Master Lease were determined to be a lease of personal property, the deadline for Windstream Holdings to assume or reject the Master Lease would be the confirmation of its plan of reorganization by the Bankruptcy Court, which would extend the deadline that would otherwise be applicable under the bankruptcy code if the Master Lease were treated as a lease of real property, and Windstream could seek from the Bankruptcy Court relief from its current performance obligations during the bankruptcy case. In addition, if the Master Lease were determined to be a lease of personal property, this could also impact our status as a REIT if the Internal Revenue Service were to determine that our gross income is not sufficiently derived from real property. On January 21, 2020, Windstream agreed to stay, without prejudice, its action seeking a determination that the Master Lease is a lease of personal property.</w:t>
      </w:r>
    </w:p>
    <w:p>
      <w:pPr>
        <w:spacing w:after="0" w:line="166"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u w:val="single" w:color="auto"/>
          <w:color w:val="auto"/>
        </w:rPr>
        <w:t>Breach of Contract</w:t>
      </w:r>
      <w:r>
        <w:rPr>
          <w:rFonts w:ascii="Arial" w:cs="Arial" w:eastAsia="Arial" w:hAnsi="Arial"/>
          <w:sz w:val="18"/>
          <w:szCs w:val="18"/>
          <w:color w:val="auto"/>
        </w:rPr>
        <w:t>. Windstream alleges that Uniti has breached its non-competition obligations to Windstream under the Master Lease and that Windstream is entitled to damages and/or an abatement of rent as a result of such breach, although no damages amount has been asserted. We believe this claim is without merit and in any event do not believe damages would be material.</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Mediation and the Settlement</w:t>
      </w:r>
      <w:r>
        <w:rPr>
          <w:rFonts w:ascii="Arial" w:cs="Arial" w:eastAsia="Arial" w:hAnsi="Arial"/>
          <w:sz w:val="17"/>
          <w:szCs w:val="17"/>
          <w:color w:val="auto"/>
        </w:rPr>
        <w:t>. Uniti, Windstream and Windstream’s creditors engaged in mediation in the Windstream bankruptcy to resolve claims</w:t>
      </w:r>
      <w:r>
        <w:rPr>
          <w:rFonts w:ascii="Arial" w:cs="Arial" w:eastAsia="Arial" w:hAnsi="Arial"/>
          <w:sz w:val="17"/>
          <w:szCs w:val="17"/>
          <w:i w:val="1"/>
          <w:iCs w:val="1"/>
          <w:color w:val="auto"/>
        </w:rPr>
        <w:t xml:space="preserve"> </w:t>
      </w:r>
      <w:r>
        <w:rPr>
          <w:rFonts w:ascii="Arial" w:cs="Arial" w:eastAsia="Arial" w:hAnsi="Arial"/>
          <w:sz w:val="17"/>
          <w:szCs w:val="17"/>
          <w:color w:val="auto"/>
        </w:rPr>
        <w:t>brought by Windstream against Uniti, which culminated in the March 2, 2020 announcement of the Settlement. On May 12, 2020, the Bankruptcy Court entered an order approving Windstream’s assumption of the Master Lease as part of the Settlement. On May 12, 2020, Uniti and Windstream entered into the settlement agreement to implement the Settlement. On May 26, 2020, UMB Bank, National Association and U.S. Bank National Association, as indenture trustees for certain of Windstream’s prepetition unsecured notes indentures, appealed Judge Drain’s order approving the Settlement. The appeals are pending before the United States District Court for the Southern District of New York.</w:t>
      </w:r>
    </w:p>
    <w:p>
      <w:pPr>
        <w:spacing w:after="0" w:line="178"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Pursuant to the Settlement, Uniti and Windstream will agree to mutual releases with respect to any and all liability related to any claims and causes of action between them, including those relating to Windstream’s Chapter 11 proceedings and the Master Lease. Under the Settlement, Uniti will agree to make up to $490 million of cash payments to Windstream in equal installments over 20 consecutive quarters beginning the first month after Windstream’s emergence from bankruptcy at an annual interest rate of 9%, and Uniti may prepay any installments falling due on or after the first anniversary of the Settlement’s effective date (resulting in total payments ranging from $432-$490 million). Uniti will also transfer the proceeds from the sale of its common stock described below to Windstream. In exchange, Windstream will transfer to Uniti certain dark fiber indefeasible rights of use (“IRU”) contracts and will grant exclusive rights to 1.8 million fiber strand miles leased by Windstream that is either unutilized or utilized for the dark fiber IRUs being transferred. Uniti will be required to pay Windstream $350 per route mile on any fiber strand miles that are sold above and beyond the fiber strand miles currently being utilized in connection with such dark fiber IRUs. In addition, Uniti will acquire certain Windstream-owned assets, including certain fiber IRU contracts.</w:t>
      </w:r>
    </w:p>
    <w:p>
      <w:pPr>
        <w:spacing w:after="0" w:line="18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addition, Windstream and Uniti have agreed to bifurcate the Master Lease into two structurally similar agreements to govern Windstream’s incumbent local exchange carrier (“ILEC”) and competitive local exchange carrier (“CLEC”) facilities, respectively (collectively, the “New Leases”). Certain copper CLEC assets will be governed under the New Lease relating to the ILEC facilities. Each of Windstream Holdings, Windstream Services, and certain subsidiaries and/or newly formed affiliated entities will become parties to the New Leases. The New Leases will contain cross-guarantees and cross-default provisions, which will remain effective as long as Windstream or an affiliate is a tenant under one of the New Leases. In addition, the New Leases will be amended to require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that Windstream maintain certain financial covenants and to permit Uniti to transfer its rights and obligations and otherwise monetize or encumber the New Leases so long as it does not transfer interests to a Windstream competitor. The initial aggregate annual rent under the New Leases will be equal to the annual rent under the Master Lease currently in effect.</w:t>
      </w:r>
    </w:p>
    <w:p>
      <w:pPr>
        <w:spacing w:after="0" w:line="184"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Pursuant to the Settlement, Uniti will agree to invest up to an aggregate $1.75 billion in growth capital improvements in long-term fiber and related assets in certain ILEC and CLEC properties. Growth Capital Improvements will exclude maintenance or repair expenditures and expenditures toward fiber replacement in excess of $70 million per year and will be subject to Uniti’s approval based on underwriting standards to be included in the New Leases. Annual commitments by Uniti for the Growth Capital Improvements will comprise: $125 million in 2020; $225 million per year in 2021 through 2024; $175 million per year in 2025 and 2026; and $125 million per year in 2027 through 2029. Windstream will be entitled to reimbursement for any cumulative Growth Capital Improvements it incurs in excess of the foregoing annual amounts from the commitment amounts in a subsequent period. On the first anniversary of an investment for a Growth Capital Improvement, the annual base rent payable by Windstream will increase by an amount equal to 8.0% of such investment. The Rent Rate will thereafter increase to 100.5% of the prior Rent Rate in subsequent years.</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Pursuant to the Settlement, if Windstream is not in compliance with the terms and conditions of the New Leases, Uniti will not be required to invest in Growth Capital Improvements. In the event Uniti defaults or otherwise fails to timely satisfy its obligations under the New Leases and Windstream is in compliance with the terms of the New Leases, then Windstream has the right to deduct from the subsequent rent payment or payments, amounts otherwise owed to Windstream.</w:t>
      </w:r>
    </w:p>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connection with the Settlement, Uniti also entered into binding letters of intent on March 2, 2020 with certain first lien creditors of Windstream, pursuant to which Uniti will sell an aggregate of 38,633,470 shares of Uniti common stock, par value $0.0001 per share, at $6.33 per share, which represents the closing price of Uniti common stock on the date when an agreement in principle of the basic outline of the Settlement was first reached (the “Settlement Common Stock”). Uniti will transfer the proceeds from the sale of the Settlement Common Stock to Windstream as additional settlement consideration. The issuance and sale of the Settlement Common Stock will be made in reliance upon the exemption from registration requirements pursuant to Section 4(a)(2) of the Securities Act of 1933, as amended. Certain recipients of the Settlement Common Stock will be subject to a one-year lock up, and all recipients will be subject to a customary standstill agreement. No recipient will receive any governance rights in connection with the issuance.</w:t>
      </w:r>
    </w:p>
    <w:p>
      <w:pPr>
        <w:spacing w:after="0" w:line="16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Finally, on March 2, 2020, Uniti, Windstream and certain of Windstream’s creditors entered into a Plan Support Agreement. Pursuant to the Plan Support Agreement, the Parties agreed to support the Settlement and the approval of a plan of reorganization for Windstream on the terms and subject to the conditions described therein. The Plan Support Agreement is terminable by the Parties upon the occurrence of certain specified termination events, including, among other things, (i) the failure by Windstream to timely appeal any order by the bankruptcy court denying the Settlement or any order overturning an order approving the Settlement on appeal, and (ii) the issuance by a regulatory authority of an order enjoining, or the commencement of an action that could be reasonably expected to enjoin, material portions of the settlement or substantial consummation of the Settlement (subject to a 10 day cure period).</w:t>
      </w:r>
    </w:p>
    <w:p>
      <w:pPr>
        <w:spacing w:after="0" w:line="195"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Settlement is subject to finalizing and executing definitive documentation and the receipt of certain regulatory approvals. In July 2020, we received satisfactory “true lease” opinions confirming that the New Leases are “true leases” for U.S. federal income tax purposes, which satisfied conditions precedent to effectuating the Settlement. Following satisfaction of all such conditions precedent, consummation of the Settlement will occur on the earlier of Windstream’s emergence from bankruptcy and February 28, 2021. All litigation between Windstream and Uniti, including matters referenced herein, is stayed while the parties implement the Settlement.</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noted above, as of the date of this Quarterly Report on Form 10-Q, we have estimated that $650.0 million of the consideration to be paid to Windstream should be classified as settlement of litigation, and therefore, we have recorded a charge during the quarter ended June 30, 2020. This charge represents our estimated fair value of the litigation settlement component of the Settlement, and is subject to change in future periods if new facts or circumstances arise that are unknown at this time.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Litigation</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risk that the Spin-Off and entry into the Master Lease violated certain debt covenants of Windstream. On September 26, 2019, the action was transferred to United States District Court for the District of Delaware.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but no decision has been issued.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8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Ibrahim E. Safadi, Phil Queder and Michael Avery filed separate putative class actions in the U.S. District Court for the Eastern District of Arkansas against the Company and certain of our officers on October 25, 2019, December 6, 2019, and December 23, 2019, respectively, alleging violations of the federal securities laws (the “Shareholder Actions”). The Shareholder Actions seek to represent investors who acquired the Company’s securities between April 20, 2015 and February 15, 2019 (in the case of the Safadi and Queder actions) and April 20, 2015 and June 24, 2019 (in the case of the Avery action). The Shareholder Actions assert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Shareholder Actions seek class certification, unspecified monetary damages, costs and attorneys’ fees and other relief.</w:t>
      </w:r>
    </w:p>
    <w:p>
      <w:pPr>
        <w:spacing w:after="0" w:line="19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7"/>
          <w:szCs w:val="17"/>
          <w:i w:val="1"/>
          <w:iCs w:val="1"/>
          <w:color w:val="auto"/>
        </w:rPr>
        <w:t>In re Uniti Group Inc. Securities Litigation</w:t>
      </w:r>
      <w:r>
        <w:rPr>
          <w:rFonts w:ascii="Arial" w:cs="Arial" w:eastAsia="Arial" w:hAnsi="Arial"/>
          <w:sz w:val="17"/>
          <w:szCs w:val="17"/>
          <w:color w:val="auto"/>
        </w:rPr>
        <w:t>. On May 11, 2020, lead plaintiffs filed a consolidated amended complaint in the consolidated action, asserting similar claims as in the Shareholder Actions. On July 10, 2020, defendants moved to dismiss the consolidated amended complaint. Briefing on that motion is expected to be complete by October 23, 2020.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7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 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June 30, 2020.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Changes in accumulated other comprehensive (loss) income by component is as follows for the three months ended June 30, 2020 and 2019:</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Uniti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4"/>
                <w:szCs w:val="14"/>
                <w:color w:val="auto"/>
              </w:rPr>
            </w:pPr>
          </w:p>
        </w:tc>
        <w:tc>
          <w:tcPr>
            <w:tcW w:w="268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Six Months Ended June 30,</w:t>
            </w:r>
          </w:p>
        </w:tc>
      </w:tr>
      <w:tr>
        <w:trPr>
          <w:trHeight w:val="223"/>
        </w:trPr>
        <w:tc>
          <w:tcPr>
            <w:tcW w:w="51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9"/>
                <w:szCs w:val="19"/>
                <w:color w:val="auto"/>
              </w:rPr>
            </w:pPr>
          </w:p>
        </w:tc>
      </w:tr>
      <w:tr>
        <w:trPr>
          <w:trHeight w:val="223"/>
        </w:trPr>
        <w:tc>
          <w:tcPr>
            <w:tcW w:w="50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Cash flow hedge changes in fair value (loss) gain:</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(30,353)</w:t>
            </w:r>
          </w:p>
        </w:tc>
        <w:tc>
          <w:tcPr>
            <w:tcW w:w="38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8,835</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(23,442)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30,042</w:t>
            </w:r>
          </w:p>
        </w:tc>
        <w:tc>
          <w:tcPr>
            <w:tcW w:w="120" w:type="dxa"/>
            <w:vAlign w:val="bottom"/>
          </w:tcPr>
          <w:p>
            <w:pPr>
              <w:spacing w:after="0"/>
              <w:rPr>
                <w:sz w:val="19"/>
                <w:szCs w:val="19"/>
                <w:color w:val="auto"/>
              </w:rPr>
            </w:pPr>
          </w:p>
        </w:tc>
      </w:tr>
      <w:tr>
        <w:trPr>
          <w:trHeight w:val="22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comprehensive loss before reclassifications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(26,457)</w:t>
            </w:r>
          </w:p>
        </w:tc>
        <w:tc>
          <w:tcPr>
            <w:tcW w:w="30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(7,713)</w:t>
            </w:r>
          </w:p>
        </w:tc>
        <w:tc>
          <w:tcPr>
            <w:tcW w:w="3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(46,083)</w:t>
            </w: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income</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(1,906)</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677</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(3,966)</w:t>
            </w:r>
          </w:p>
        </w:tc>
      </w:tr>
      <w:tr>
        <w:trPr>
          <w:trHeight w:val="223"/>
        </w:trPr>
        <w:tc>
          <w:tcPr>
            <w:tcW w:w="51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(19,528)</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(30,478)</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(20,007)</w:t>
            </w: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Less: Other comprehensive loss attributable to noncontrolling</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30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30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(1,047)</w:t>
            </w:r>
          </w:p>
        </w:tc>
      </w:tr>
      <w:tr>
        <w:trPr>
          <w:trHeight w:val="223"/>
        </w:trPr>
        <w:tc>
          <w:tcPr>
            <w:tcW w:w="51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(30,353)</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Interest rate swap termination:</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income</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4,496</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r>
      <w:tr>
        <w:trPr>
          <w:trHeight w:val="223"/>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15"/>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Less: Other comprehensive (loss) income attributable to</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CFF0FC"/>
            </w:tcBorders>
          </w:tcPr>
          <w:p>
            <w:pPr>
              <w:spacing w:after="0"/>
              <w:rPr>
                <w:sz w:val="20"/>
                <w:szCs w:val="20"/>
                <w:color w:val="auto"/>
              </w:rPr>
            </w:pPr>
          </w:p>
        </w:tc>
        <w:tc>
          <w:tcPr>
            <w:tcW w:w="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2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r>
      <w:tr>
        <w:trPr>
          <w:trHeight w:val="223"/>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4,416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Foreign currency translation gain (loss):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2"/>
              </w:rPr>
              <w:t>Balance at beginning of period attributable to common shareholders</w:t>
            </w: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20" w:type="dxa"/>
            <w:vAlign w:val="bottom"/>
            <w:shd w:val="clear" w:color="auto" w:fill="CFF0FC"/>
          </w:tcPr>
          <w:p>
            <w:pPr>
              <w:spacing w:after="0"/>
              <w:rPr>
                <w:sz w:val="19"/>
                <w:szCs w:val="19"/>
                <w:color w:val="auto"/>
              </w:rPr>
            </w:pPr>
          </w:p>
        </w:tc>
      </w:tr>
      <w:tr>
        <w:trPr>
          <w:trHeight w:val="230"/>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Translation adjustments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 comprehensive</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(63)</w:t>
            </w:r>
          </w:p>
        </w:tc>
      </w:tr>
      <w:tr>
        <w:trPr>
          <w:trHeight w:val="223"/>
        </w:trPr>
        <w:tc>
          <w:tcPr>
            <w:tcW w:w="5160" w:type="dxa"/>
            <w:vAlign w:val="bottom"/>
            <w:gridSpan w:val="2"/>
          </w:tcPr>
          <w:p>
            <w:pPr>
              <w:ind w:left="140"/>
              <w:spacing w:after="0"/>
              <w:rPr>
                <w:sz w:val="20"/>
                <w:szCs w:val="20"/>
                <w:color w:val="auto"/>
              </w:rPr>
            </w:pPr>
            <w:r>
              <w:rPr>
                <w:rFonts w:ascii="Arial" w:cs="Arial" w:eastAsia="Arial" w:hAnsi="Arial"/>
                <w:sz w:val="18"/>
                <w:szCs w:val="18"/>
                <w:color w:val="auto"/>
              </w:rPr>
              <w:t>Balance at end of period</w:t>
            </w: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5"/>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w w:val="97"/>
              </w:rPr>
              <w:t>Less: Other comprehensive income attributable to noncontrolling</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51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r>
      <w:tr>
        <w:trPr>
          <w:trHeight w:val="223"/>
        </w:trPr>
        <w:tc>
          <w:tcPr>
            <w:tcW w:w="5160" w:type="dxa"/>
            <w:vAlign w:val="bottom"/>
            <w:tcBorders>
              <w:bottom w:val="single" w:sz="8" w:color="CFF0FC"/>
            </w:tcBorders>
            <w:gridSpan w:val="2"/>
          </w:tcPr>
          <w:p>
            <w:pPr>
              <w:ind w:left="140"/>
              <w:spacing w:after="0"/>
              <w:rPr>
                <w:sz w:val="20"/>
                <w:szCs w:val="20"/>
                <w:color w:val="auto"/>
              </w:rPr>
            </w:pPr>
            <w:r>
              <w:rPr>
                <w:rFonts w:ascii="Arial" w:cs="Arial" w:eastAsia="Arial" w:hAnsi="Arial"/>
                <w:sz w:val="18"/>
                <w:szCs w:val="18"/>
                <w:color w:val="auto"/>
              </w:rPr>
              <w:t>Balance at end of period attributable to common shareholders</w:t>
            </w: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51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Accumulated other comprehensive loss at end of period</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(25,937)</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(25,937)</w:t>
            </w:r>
          </w:p>
        </w:tc>
        <w:tc>
          <w:tcPr>
            <w:tcW w:w="2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(18,960)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Events</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On July 1, 2020, the Company completed the sale of the Propco to MIP (</w:t>
      </w:r>
      <w:hyperlink w:anchor="page22">
        <w:r>
          <w:rPr>
            <w:rFonts w:ascii="Arial" w:cs="Arial" w:eastAsia="Arial" w:hAnsi="Arial"/>
            <w:sz w:val="18"/>
            <w:szCs w:val="18"/>
            <w:u w:val="single" w:color="auto"/>
            <w:color w:val="0000EE"/>
          </w:rPr>
          <w:t>see Note 7</w:t>
        </w:r>
      </w:hyperlink>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our operations, financial condition, and changes in financial condition for the three and six months ended June 30, 2020. This discussion should be read in conjunction with the accompanying Condensed Consolidated Financial Statements, and the notes thereto set forth in Part I, Item 1 of this Quarterly Report on Form 10-Q and our Annual Report on Form 10-K for the year ended December 31, 2019, filed with the Securities and Exchange Commission (the “SEC”) on March 12,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Description</w:t>
      </w:r>
    </w:p>
    <w:p>
      <w:pPr>
        <w:spacing w:after="0" w:line="225"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Uniti Group Inc. (the “Company”, “Uniti”, “we”, “us” or “our”) is an independent, internally managed real estate investment trust (“REIT”) engaged in the acquisition and construction of mission critical infrastructure in the communications industry. We are principally focused on acquiring and constructing fiber optic broadband networks, wireless communications towers, copper and coaxial broadband networks and data centers.</w:t>
      </w:r>
    </w:p>
    <w:p>
      <w:pPr>
        <w:spacing w:after="0" w:line="165"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On April 24, 2015, we were separated and spun-off (the “Spin-Off”) from Windstream Holdings, Inc. (“Windstream Holdings” and together with its subsidiaries, “Windstream”) pursuant to which Windstream contributed certain telecommunications network assets, including fiber and copper networks and other real estate (the “Distribution Systems”) and a small consumer competitive local exchange carrier (“CLEC”) business (the “Consumer CLEC Business”) to Uniti and Uniti issued common stock and indebtedness and paid cash obtained from borrowings under Uniti’s senior credit facilities to Windstream. In connection with the Spin-Off, we entered into a long-term exclusive triple-net lease (the “Master Lease”) with Windstream, pursuant to which a substantial portion of our real property is leased to Windstream and from which a substantial portion of our leasing revenues are currently derived.</w:t>
      </w:r>
    </w:p>
    <w:p>
      <w:pPr>
        <w:spacing w:after="0" w:line="164" w:lineRule="exact"/>
        <w:rPr>
          <w:sz w:val="20"/>
          <w:szCs w:val="20"/>
          <w:color w:val="auto"/>
        </w:rPr>
      </w:pPr>
    </w:p>
    <w:p>
      <w:pPr>
        <w:ind w:right="280"/>
        <w:spacing w:after="0" w:line="275" w:lineRule="auto"/>
        <w:rPr>
          <w:sz w:val="20"/>
          <w:szCs w:val="20"/>
          <w:color w:val="auto"/>
        </w:rPr>
      </w:pPr>
      <w:r>
        <w:rPr>
          <w:rFonts w:ascii="Arial" w:cs="Arial" w:eastAsia="Arial" w:hAnsi="Arial"/>
          <w:sz w:val="17"/>
          <w:szCs w:val="17"/>
          <w:color w:val="auto"/>
        </w:rPr>
        <w:t>Uniti operates as a REIT for U.S. federal income tax purposes. As a REIT, the Company is generally not subject to U.S. federal income taxes on income generated by its REIT operations, which includes income derived from the Master Lease. We have elected to treat the subsidiaries through which we operate our fiber business, Uniti Fiber, certain aspects of our towers business, and Talk America Services, LLC, which operates the Consumer CLEC Business (“Talk America”), as taxable REIT subsidiaries (“TRSs”). TRSs enable us to engage in activities that result in income that does not constitute qualifying income for a REIT. Our TRSs are subject to U.S. federal, state and local corporate income taxes.</w:t>
      </w:r>
    </w:p>
    <w:p>
      <w:pPr>
        <w:spacing w:after="0" w:line="176"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operates through a customary up-REIT structure, pursuant to which we hold substantially all of our assets through a partnership, Uniti Group LP, a Delaware limited partnership (the “Operating Partnership”), that we control as general partner. This structure is intended to facilitate future acquisition opportunities by providing the Company with the ability to use common units of the Operating Partnership as a tax-efficient acquisition currency. As of June 30, 2020, we are the sole general partner of the Operating Partnership and own approximately 98.2% of the partnership interests in the Operating Partnership. In addition, beginning on December 31, 2019, we undertook a series of transactions, including the issuance by one of our subsidiaries of convertible preferred stock to third parties with an aggregate liquidation value of $125,000, to permit us to hold certain of our assets indirectly through one of our subsidiaries taxed as a REIT, which will also facilitate future acquisition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 aim to grow and diversify our portfolio and tenant base by pursuing a range of transaction structures with communication service providers, including</w:t>
      </w:r>
    </w:p>
    <w:p>
      <w:pPr>
        <w:spacing w:after="0" w:line="46" w:lineRule="exact"/>
        <w:rPr>
          <w:sz w:val="20"/>
          <w:szCs w:val="20"/>
          <w:color w:val="auto"/>
        </w:rPr>
      </w:pPr>
    </w:p>
    <w:p>
      <w:pPr>
        <w:ind w:firstLine="8"/>
        <w:spacing w:after="0" w:line="252" w:lineRule="auto"/>
        <w:tabs>
          <w:tab w:leader="none" w:pos="215"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 leaseback transactions, whereby we acquire existing infrastructure assets from third parties, including communication service providers, and lease them back on a long-term triple-net basis; (ii) whole company acquisitions, which may include the use of one or more TRSs that are permitted under the tax laws to acquire and operate non-REIT businesses and assets subject to certain limitations; (iii) capital investment financing, whereby we offer communication service providers a cost efficient method of raising funds for discrete capital investments to upgrade or expand their network; and (iv) mergers and acquisitions financing, whereby we facilitate mergers and acquisition transactions as a capital partner, including through operating company/property company (“OpCo-PropCo”) structures.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manage our operations as four reportable business segments in addition to our corporate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u w:val="single" w:color="auto"/>
          <w:color w:val="auto"/>
        </w:rPr>
        <w:t>Leasing Segment</w:t>
      </w:r>
      <w:r>
        <w:rPr>
          <w:rFonts w:ascii="Arial" w:cs="Arial" w:eastAsia="Arial" w:hAnsi="Arial"/>
          <w:sz w:val="16"/>
          <w:szCs w:val="16"/>
          <w:color w:val="auto"/>
        </w:rPr>
        <w:t>: Represents the results from our leasing business, Uniti Leasing, which is engaged in the acquisition of mission-critical communications</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and leasing them to anchor customers on either an exclusive or shared-tenant basis. Uniti Leasing is a component of our REIT operations.</w:t>
      </w:r>
    </w:p>
    <w:p>
      <w:pPr>
        <w:spacing w:after="0" w:line="1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u w:val="single" w:color="auto"/>
          <w:color w:val="auto"/>
        </w:rPr>
        <w:t>Fiber Infrastructure Segment</w:t>
      </w:r>
      <w:r>
        <w:rPr>
          <w:rFonts w:ascii="Arial" w:cs="Arial" w:eastAsia="Arial" w:hAnsi="Arial"/>
          <w:sz w:val="18"/>
          <w:szCs w:val="18"/>
          <w:color w:val="auto"/>
        </w:rPr>
        <w:t>: Represents the operations of our fiber business, Uniti Fiber, which is a leading provider of infrastructure solutions,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cell site backhaul and dark fiber, to the telecommunications industry.</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u w:val="single" w:color="auto"/>
          <w:color w:val="auto"/>
        </w:rPr>
        <w:t>Towers Segment</w:t>
      </w:r>
      <w:r>
        <w:rPr>
          <w:rFonts w:ascii="Arial" w:cs="Arial" w:eastAsia="Arial" w:hAnsi="Arial"/>
          <w:sz w:val="18"/>
          <w:szCs w:val="18"/>
          <w:color w:val="auto"/>
        </w:rPr>
        <w:t>: Represents the operations of our towers business, Uniti Towers, through which we acquire and construct tower and tower-related real</w:t>
      </w:r>
      <w:r>
        <w:rPr>
          <w:rFonts w:ascii="Arial" w:cs="Arial" w:eastAsia="Arial" w:hAnsi="Arial"/>
          <w:sz w:val="18"/>
          <w:szCs w:val="18"/>
          <w:i w:val="1"/>
          <w:iCs w:val="1"/>
          <w:color w:val="auto"/>
        </w:rPr>
        <w:t xml:space="preserve"> </w:t>
      </w:r>
      <w:r>
        <w:rPr>
          <w:rFonts w:ascii="Arial" w:cs="Arial" w:eastAsia="Arial" w:hAnsi="Arial"/>
          <w:sz w:val="18"/>
          <w:szCs w:val="18"/>
          <w:color w:val="auto"/>
        </w:rPr>
        <w:t>estate and lease space on communications towers to wireless service providers and other tenants in the United States. On April 2, 2019, the Company completed the sale of the Latin American business and no longer has on-going operations in Latin America. On May 23, 2019, the Company completed the sale of substantially all of its ground lease business located across the United States. Portions of our towers business are a component of our REIT operations, while the remainder is owned and operated by our TRSs. Refer to “Significant Business Developments” below regarding the completed sale of our U.S. tower business.</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u w:val="single" w:color="auto"/>
          <w:color w:val="auto"/>
        </w:rPr>
        <w:t>Consumer CLEC Segment</w:t>
      </w:r>
      <w:r>
        <w:rPr>
          <w:rFonts w:ascii="Arial" w:cs="Arial" w:eastAsia="Arial" w:hAnsi="Arial"/>
          <w:sz w:val="18"/>
          <w:szCs w:val="18"/>
          <w:color w:val="auto"/>
        </w:rPr>
        <w:t>: Represents the operations of Talk America through which we operate the Consumer CLEC Business that, prior to the Spin-Off,</w:t>
      </w:r>
      <w:r>
        <w:rPr>
          <w:rFonts w:ascii="Arial" w:cs="Arial" w:eastAsia="Arial" w:hAnsi="Arial"/>
          <w:sz w:val="18"/>
          <w:szCs w:val="18"/>
          <w:i w:val="1"/>
          <w:iCs w:val="1"/>
          <w:color w:val="auto"/>
        </w:rPr>
        <w:t xml:space="preserve"> </w:t>
      </w:r>
      <w:r>
        <w:rPr>
          <w:rFonts w:ascii="Arial" w:cs="Arial" w:eastAsia="Arial" w:hAnsi="Arial"/>
          <w:sz w:val="18"/>
          <w:szCs w:val="18"/>
          <w:color w:val="auto"/>
        </w:rPr>
        <w:t>was reported as an integrated operation within Windstream. Talk America provides local telephone, high-speed internet and long-distance services to customers in the eastern and central United States. We have commenced a wind down of our Consumer CLEC business, which we have substantially completed as of the end of the second quarter.</w:t>
      </w:r>
    </w:p>
    <w:p>
      <w:pPr>
        <w:spacing w:after="0" w:line="18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Corporate Operations</w:t>
      </w:r>
      <w:r>
        <w:rPr>
          <w:rFonts w:ascii="Arial" w:cs="Arial" w:eastAsia="Arial" w:hAnsi="Arial"/>
          <w:sz w:val="18"/>
          <w:szCs w:val="18"/>
          <w:color w:val="auto"/>
        </w:rPr>
        <w:t>: Represents our corporate office and shared service functions. Certain costs and expenses, primarily related to headcount,</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technology systems, insurance, professional fees and similar charges, that are directly attributable to operations of our business segments are allocated to the respective segments.</w:t>
      </w:r>
    </w:p>
    <w:p>
      <w:pPr>
        <w:spacing w:after="0" w:line="18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We evaluate the performance of each segment based on Adjusted EBITDA, which is a segment performance measure we define as net income determined in accordance with GAAP, before interest expense, provision for income taxes, depreciation and amortization, stock-based compensation expense, the impact, which may be recurring in nature, of transaction and integration related expenses, the write off of unamortized deferred financing costs, costs incurred as a result of the early repayment of debt, changes in the fair value of contingent consideration and financial instruments, and other similar items. For more information on Adjusted EBITDA, see “Non-GAAP Financial Measures.” Detailed information about our segments can be found in Note 14 to our accompanying Condensed Consolidated Financial Statements contained in Part I, Item 1 of this Quarterly Report on Form 10-Q.</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Business Developments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i w:val="1"/>
          <w:iCs w:val="1"/>
          <w:u w:val="single" w:color="auto"/>
          <w:color w:val="auto"/>
        </w:rPr>
        <w:t>COVID-19 Pandemic.</w:t>
      </w:r>
      <w:r>
        <w:rPr>
          <w:rFonts w:ascii="Arial" w:cs="Arial" w:eastAsia="Arial" w:hAnsi="Arial"/>
          <w:sz w:val="18"/>
          <w:szCs w:val="18"/>
          <w:i w:val="1"/>
          <w:iCs w:val="1"/>
          <w:color w:val="auto"/>
        </w:rPr>
        <w:t xml:space="preserve"> </w:t>
      </w:r>
      <w:r>
        <w:rPr>
          <w:rFonts w:ascii="Arial" w:cs="Arial" w:eastAsia="Arial" w:hAnsi="Arial"/>
          <w:sz w:val="18"/>
          <w:szCs w:val="18"/>
          <w:color w:val="auto"/>
        </w:rPr>
        <w:t>The COVID-19 pandemic has negatively impacted the global economy, disrupted global supply chains and created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volatility and disruption of financial markets. We continue to monitor developments associated with the COVID-19 pandemic and its related impact on our business and results of operations.</w:t>
      </w:r>
    </w:p>
    <w:p>
      <w:pPr>
        <w:spacing w:after="0" w:line="184"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 xml:space="preserve">On March 19, 2020, the Department of Homeland Security’s Cybersecurity and Infrastructure Security Agency (“CISA”) issued its </w:t>
      </w:r>
      <w:r>
        <w:rPr>
          <w:rFonts w:ascii="Arial" w:cs="Arial" w:eastAsia="Arial" w:hAnsi="Arial"/>
          <w:sz w:val="18"/>
          <w:szCs w:val="18"/>
          <w:i w:val="1"/>
          <w:iCs w:val="1"/>
          <w:color w:val="auto"/>
        </w:rPr>
        <w:t>Memorandum 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Identification of Essential Critical Infrastructure Workers During COVID-19 Response </w:t>
      </w:r>
      <w:r>
        <w:rPr>
          <w:rFonts w:ascii="Arial" w:cs="Arial" w:eastAsia="Arial" w:hAnsi="Arial"/>
          <w:sz w:val="18"/>
          <w:szCs w:val="18"/>
          <w:color w:val="auto"/>
        </w:rPr>
        <w:t>(the “Memorandum”). The Memorandum categorizes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and information technology sectors, sectors in which Uniti operates, as part of 16 critical infrastructure sectors that must remain operational during the COVID-19 pandemic.</w:t>
      </w:r>
    </w:p>
    <w:p>
      <w:pPr>
        <w:spacing w:after="0" w:line="18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Our first priority remains the health and safety of our employees, customers and other business partners. We have been actively monitoring and following government recommendations as we adjust business practices and standard operating procedures to ensure the protection of team members and ensure the continuity of our business. As of the date of this Quarterly Report, we have not experienced significant disruptions in our operations or network performance, nor have we received significant requests for payment relief from our customers. However, there can be no assurance that circumstances will not change in light of the COVID-19 pandemic or that the pandemic will not have a material adverse impact on our business. We may incur increases in operating costs and/or a decrease in productivity as a result of travel bans and social distancing efforts. Such efforts may also delay construction activities and/or require our vendors and contractors to incur additional costs that may be passed onto us. In addition, we may experience delays in permitting activities due to the shutdown of local permitting authorities. Furthermore, if there is a prolonged closure of businesses, we may experience an adverse impact on the timing of installations in our enterprise and wholesale customer segments at Uniti Fiber, or we may receive requests for payment relief from our customers, both of which would impact our ability to recognize revenue.</w:t>
      </w:r>
    </w:p>
    <w:p>
      <w:pPr>
        <w:spacing w:after="0" w:line="18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On March 27, 2020, the Coronavirus Aid, Relief, and Economic Security Act (the “CARES Act”) was signed into law. The CARES Act is a stimulus bill that includes lending facilities to large and small business, expands unemployment benefits and implements individual and business tax changes. We expect the CARES Act will reduce the limitation on deduction of business interest at certain</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of our taxable subsidiaries for 2019 and 2020, which will increase net operating loss. Otherwise, we do not currently expect the CARES Act to have a material impact on our tax position. In addition, certain of our customers may benefit from the relief provided by the CARES Act, and we have directed those customers to consider utilizing such relief as they weather the impact from COVID-19.</w:t>
      </w:r>
    </w:p>
    <w:p>
      <w:pPr>
        <w:spacing w:after="0" w:line="184"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Windstream Bankruptcy Filing.</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its bankruptcy filing described below, Windstream was involved in litigation with an entity who acquired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U.S. Bankruptcy Court for the Southern District of New York (the “Bankruptcy Court”) and is currently operating as a “debtor in possession” under supervision of the Bankruptcy Court.</w:t>
      </w:r>
    </w:p>
    <w:p>
      <w:pPr>
        <w:spacing w:after="0" w:line="17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Windstream Litigation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first half of 2019, Windstream’s chief executive officer stated that Windstream was evaluating all</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as part of the Chapter 11 reorganization process regarding the Master Lease, including renegotiation, recharacterization and rejection of the Master Lease. As further described below, on July 25, 2019, in connection with Windstream’s bankruptcy, Windstream Holdings and Windstream Services filed a complaint with the Bankruptcy Court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w:t>
      </w:r>
    </w:p>
    <w:p>
      <w:pPr>
        <w:spacing w:after="0" w:line="19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March 2, 2020, Uniti and Windstream jointly announced that they had reached an agreement in principle (the “Settlement”)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On May 12, 2020, Uniti and Windstream entered into the settlement agreement to implement the Settlement. As a result, we have recorded a $650.0 million charge during the quarter ended June 30, 2020, which represents the estimated fair value of the litigation component of the Settlement; however, this estimate is subject to change in future periods if new facts or circumstances arise that are unknown at this time. On June 26, 2020, the Bankruptcy Court approved Windstream’s plan of reorganization. Consummation of the plan of reorganization is subject to certain conditions precedent, including consummation of the Settlement and receipt of certain regulatory approvals.</w:t>
      </w:r>
    </w:p>
    <w:p>
      <w:pPr>
        <w:spacing w:after="0" w:line="1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The Settlement is subject to finalizing and executing definitive documentation and the receipt of certain regulatory approvals. Following satisfaction of all such conditions precedent, consummation of the Settlement will occur on the earlier of Windstream’s emergence from bankruptcy and February 28, 2021. All litigation between Windstream and Uniti is stayed while the parties implement the Settlement. We believe that we are likely to effectuate the Settlement. However, if we are unable to consummate the Settlement, Windstream could continue its litigation. If that occurs, it is difficult to predict what could occur in Windstream’s bankruptcy restructuring. However, any adverse determination or judicial decision on one or more of the claims against us could materially adversely affect our consolidated results of operations, liquidity, and financial condition or, in certain circumstances, cause us to file for voluntary Chapter 11 protection. See note 15 to our accompanying Condensed Consolidated Financial Statements contained in Part I, Item 1 of this Quarterly Report on Form 10-Q for additional information concerning the Windstream litigation and Settlement.</w:t>
      </w:r>
    </w:p>
    <w:p>
      <w:pPr>
        <w:spacing w:after="0" w:line="16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i w:val="1"/>
          <w:iCs w:val="1"/>
          <w:u w:val="single" w:color="auto"/>
          <w:color w:val="auto"/>
        </w:rPr>
        <w:t>Sale of Midwest Fiber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 June 2020, the Company entered into a definitive agreement to sell an ownership stake in the entity that controls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Midwest fiber network assets (“Propco”) to Macquarie Infrastructure Partners (“MIP”) for total cash consideration of approximately $168 million. Uniti will retain an investment in the Propco through an affiliate of MIP and is eligible to receive an additional earnout payment in 2023 of up to approximately $20.0 million upon the achievement of certain operational milestones. On July 1, 2020, the Company completed the sale of the Propco to MIP.</w:t>
      </w:r>
    </w:p>
    <w:p>
      <w:pPr>
        <w:spacing w:after="0" w:line="188"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i w:val="1"/>
          <w:iCs w:val="1"/>
          <w:u w:val="single" w:color="auto"/>
          <w:color w:val="auto"/>
        </w:rPr>
        <w:t>At-the-Market Common Stock Offering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22, 2020, we established an at-the-market common stock offering program (the “ATM</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to sell shares of our common stock, par value $0.0001 per share, having an aggregate offering price of up to $250 million. This program is intended to provide additional financial flexibility and an alternative mechanism to access the capital markets at an efficient cost as and when we need financing, including for acquisitions. This offering supersedes and replaces the $250 million program we commenced on September 2, 2016, which had approximately $117.1 million available for issuance under such program.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u w:val="single" w:color="auto"/>
          <w:color w:val="auto"/>
        </w:rPr>
        <w:t>Sale of U.S. Tower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On June 1, 2020, the Company completed the sale of its U.S. tower business to Melody Investment Advisors LP (“Melody”)</w:t>
      </w:r>
      <w:r>
        <w:rPr>
          <w:rFonts w:ascii="Arial" w:cs="Arial" w:eastAsia="Arial" w:hAnsi="Arial"/>
          <w:sz w:val="18"/>
          <w:szCs w:val="18"/>
          <w:i w:val="1"/>
          <w:iCs w:val="1"/>
          <w:color w:val="auto"/>
        </w:rPr>
        <w:t xml:space="preserve"> </w:t>
      </w:r>
      <w:r>
        <w:rPr>
          <w:rFonts w:ascii="Arial" w:cs="Arial" w:eastAsia="Arial" w:hAnsi="Arial"/>
          <w:sz w:val="18"/>
          <w:szCs w:val="18"/>
          <w:color w:val="auto"/>
        </w:rPr>
        <w:t>for total cash consideration of $225.8 million. The Company retained a 10% investment interest in the tower business, having a fair value of $26.0 million, through a newly formed limited partnership with Melody, and will receive incremental earn-out payments for each additional tower completed in 2020. During the second quarter, we recorded a gain of $63.7 million related to this transaction.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u w:val="single" w:color="auto"/>
          <w:color w:val="auto"/>
        </w:rPr>
        <w:t>Consumer CLEC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On April 23, 2019, Windstream provided notice to Uniti of its termination of (i) the Wholesale Master Services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between Windstream Communications, Inc. and Talk America, (ii) the Master Services Agreement between Windstream Services, LLC and Talk America, and (iii) the Billing and Remittance Agreement between Windstream Services, LLC and CSL National, LP, each dated April 24, 2015 (collectively the “Agreements”). Under the Agreements, Windstream provides us transport, provisioning, repair and billing and collection services necessary to operate our Consumer CLEC Business. We currently do not have the infrastructure necessary to perform these services in the absence of the Agreements. We have evaluated the costs of building out the required infrastructure and have determined that incurring such costs would not be economically feasible. Furthermore, we have evaluated potential strategic alternatives with respect to the Consumer CLEC Business, including retaining other vendors to perform the services currently provided under the Agreements, and an outright sale of all or parts of the business, but have not identified viable alternatives. As a result, we have commenced a wind down of our Consumer CLEC Business, which includes customer notifications and terminations. The termination of the Agreements is effective April 20, 2020; however, we have entered into a short-term arrangement with Windstream to provide the necessary services until the business is completely wound down. As of the end of the second quarter, we have substantially completed the wind down. The subsidiaries comprising our Consumer CLEC Business are direct subsidiaries of Uniti Group Inc. and are not subsidiaries of the Operating Partnership, which is a primary obligor and/or guarantor under our Credit Agreement and our outstanding notes, and do not guarantee such debt. Other than the assets and liabilities and results related to the Consumer CLEC Business, which are immaterial, the financial condition and results of operations of the Operating Partnership and Uniti Group Inc. are identical in all material respects.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June 30,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 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6"/>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Revenues</w:t>
            </w:r>
          </w:p>
        </w:tc>
        <w:tc>
          <w:tcPr>
            <w:tcW w:w="18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185,320</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69.4%</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177,042</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66.9%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30.8%</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3,146</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266,820</w:t>
            </w:r>
          </w:p>
        </w:tc>
        <w:tc>
          <w:tcPr>
            <w:tcW w:w="2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264,414</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107,243</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40.1%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97,729</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37.0%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84,969</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31.7%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102,578</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38.7%</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27,894</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26,428</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40,163</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243.6%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7.0%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2.7%</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(63,818)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(23.9%)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(28,790)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(10.9%)</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6,013</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2.3%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(28,119)</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(10.6%)</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871,024</w:t>
            </w:r>
          </w:p>
        </w:tc>
        <w:tc>
          <w:tcPr>
            <w:tcW w:w="2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326.4%</w:t>
            </w:r>
          </w:p>
        </w:tc>
        <w:tc>
          <w:tcPr>
            <w:tcW w:w="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217,024</w:t>
            </w:r>
          </w:p>
        </w:tc>
        <w:tc>
          <w:tcPr>
            <w:tcW w:w="30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82.1%</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(604,204)</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(226.4%)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47,390</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17.9%</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(5,875)</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(2.2%)</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7,843</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3.0%</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(224.2%)</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14.9%</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(10,585)</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(3.9%)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830</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(587,744)</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(220.3%)</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38,717</w:t>
            </w: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14.6%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(424)</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(248)</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(0.1%)</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(220.4%)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38,246</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14.5%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tables set forth, for the three months ended June 30, 2020 and 2019, revenues, Adjusted EBITDA and net (loss) income of our reportable segments:</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Three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Subtotal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Leasing</w:t>
            </w:r>
          </w:p>
        </w:tc>
        <w:tc>
          <w:tcPr>
            <w:tcW w:w="240" w:type="dxa"/>
            <w:vAlign w:val="bottom"/>
            <w:vMerge w:val="restart"/>
          </w:tcPr>
          <w:p>
            <w:pPr>
              <w:spacing w:after="0"/>
              <w:rPr>
                <w:sz w:val="12"/>
                <w:szCs w:val="12"/>
                <w:color w:val="auto"/>
              </w:rPr>
            </w:pPr>
          </w:p>
        </w:tc>
        <w:tc>
          <w:tcPr>
            <w:tcW w:w="14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Fiber Infrastructure</w:t>
            </w:r>
          </w:p>
        </w:tc>
        <w:tc>
          <w:tcPr>
            <w:tcW w:w="260" w:type="dxa"/>
            <w:vAlign w:val="bottom"/>
            <w:vMerge w:val="restart"/>
          </w:tcPr>
          <w:p>
            <w:pPr>
              <w:spacing w:after="0"/>
              <w:rPr>
                <w:sz w:val="12"/>
                <w:szCs w:val="12"/>
                <w:color w:val="auto"/>
              </w:rPr>
            </w:pPr>
          </w:p>
        </w:tc>
        <w:tc>
          <w:tcPr>
            <w:tcW w:w="116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Towers</w:t>
            </w:r>
          </w:p>
        </w:tc>
        <w:tc>
          <w:tcPr>
            <w:tcW w:w="240" w:type="dxa"/>
            <w:vAlign w:val="bottom"/>
            <w:vMerge w:val="restart"/>
          </w:tcPr>
          <w:p>
            <w:pPr>
              <w:spacing w:after="0"/>
              <w:rPr>
                <w:sz w:val="12"/>
                <w:szCs w:val="12"/>
                <w:color w:val="auto"/>
              </w:rPr>
            </w:pPr>
          </w:p>
        </w:tc>
        <w:tc>
          <w:tcPr>
            <w:tcW w:w="116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8"/>
              </w:rPr>
              <w:t>Consumer CLEC</w:t>
            </w:r>
          </w:p>
        </w:tc>
        <w:tc>
          <w:tcPr>
            <w:tcW w:w="240" w:type="dxa"/>
            <w:vAlign w:val="bottom"/>
            <w:vMerge w:val="restart"/>
          </w:tcPr>
          <w:p>
            <w:pPr>
              <w:spacing w:after="0"/>
              <w:rPr>
                <w:sz w:val="12"/>
                <w:szCs w:val="12"/>
                <w:color w:val="auto"/>
              </w:rPr>
            </w:pPr>
          </w:p>
        </w:tc>
        <w:tc>
          <w:tcPr>
            <w:tcW w:w="118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Corporate</w:t>
            </w:r>
          </w:p>
        </w:tc>
        <w:tc>
          <w:tcPr>
            <w:tcW w:w="240" w:type="dxa"/>
            <w:vAlign w:val="bottom"/>
            <w:vMerge w:val="restart"/>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2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(Thousands)</w:t>
            </w:r>
          </w:p>
        </w:tc>
        <w:tc>
          <w:tcPr>
            <w:tcW w:w="140" w:type="dxa"/>
            <w:vAlign w:val="bottom"/>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460" w:type="dxa"/>
            <w:vAlign w:val="bottom"/>
            <w:tcBorders>
              <w:bottom w:val="single" w:sz="8" w:color="auto"/>
            </w:tcBorders>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6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tabs>
          <w:tab w:leader="none" w:pos="2360" w:val="left"/>
        </w:tabs>
        <w:rPr>
          <w:sz w:val="20"/>
          <w:szCs w:val="20"/>
          <w:color w:val="auto"/>
        </w:rPr>
      </w:pPr>
      <w:r>
        <w:rPr>
          <w:rFonts w:ascii="Arial" w:cs="Arial" w:eastAsia="Arial" w:hAnsi="Arial"/>
          <w:sz w:val="17"/>
          <w:szCs w:val="17"/>
          <w:color w:val="auto"/>
        </w:rPr>
        <w:t>Revenues</w:t>
      </w:r>
      <w:r>
        <w:rPr>
          <w:sz w:val="20"/>
          <w:szCs w:val="20"/>
          <w:color w:val="auto"/>
        </w:rPr>
        <w:tab/>
      </w:r>
      <w:r>
        <w:rPr>
          <w:rFonts w:ascii="Arial" w:cs="Arial" w:eastAsia="Arial" w:hAnsi="Arial"/>
          <w:sz w:val="17"/>
          <w:szCs w:val="17"/>
          <w:color w:val="auto"/>
        </w:rPr>
        <w:t>$</w:t>
      </w:r>
    </w:p>
    <w:p>
      <w:pPr>
        <w:spacing w:after="0" w:line="263" w:lineRule="exact"/>
        <w:rPr>
          <w:sz w:val="20"/>
          <w:szCs w:val="20"/>
          <w:color w:val="auto"/>
        </w:rPr>
      </w:pPr>
    </w:p>
    <w:p>
      <w:pPr>
        <w:spacing w:after="0"/>
        <w:tabs>
          <w:tab w:leader="none" w:pos="2360" w:val="left"/>
        </w:tabs>
        <w:rPr>
          <w:sz w:val="20"/>
          <w:szCs w:val="20"/>
          <w:color w:val="auto"/>
        </w:rPr>
      </w:pPr>
      <w:r>
        <w:rPr>
          <w:rFonts w:ascii="Arial" w:cs="Arial" w:eastAsia="Arial" w:hAnsi="Arial"/>
          <w:sz w:val="18"/>
          <w:szCs w:val="18"/>
          <w:color w:val="auto"/>
        </w:rPr>
        <w:t>Adjusted EBITDA</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Less:</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Depreciation and</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amortization</w:t>
      </w:r>
    </w:p>
    <w:p>
      <w:pPr>
        <w:spacing w:after="0" w:line="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Other expense, net</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Settlement expense</w:t>
      </w:r>
    </w:p>
    <w:p>
      <w:pPr>
        <w:spacing w:after="0" w:line="35" w:lineRule="exact"/>
        <w:rPr>
          <w:sz w:val="20"/>
          <w:szCs w:val="20"/>
          <w:color w:val="auto"/>
        </w:rPr>
      </w:pPr>
    </w:p>
    <w:p>
      <w:pPr>
        <w:ind w:left="140" w:right="260"/>
        <w:spacing w:after="0" w:line="258" w:lineRule="auto"/>
        <w:rPr>
          <w:sz w:val="20"/>
          <w:szCs w:val="20"/>
          <w:color w:val="auto"/>
        </w:rPr>
      </w:pPr>
      <w:r>
        <w:rPr>
          <w:rFonts w:ascii="Arial" w:cs="Arial" w:eastAsia="Arial" w:hAnsi="Arial"/>
          <w:sz w:val="18"/>
          <w:szCs w:val="18"/>
          <w:color w:val="auto"/>
        </w:rPr>
        <w:t>Transaction related and other costs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Gain on sale of real estate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Stock-based compensation</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Income tax benefit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185,320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79,140</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2,392</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266,820</w:t>
            </w:r>
          </w:p>
        </w:tc>
        <w:tc>
          <w:tcPr>
            <w:tcW w:w="60" w:type="dxa"/>
            <w:vAlign w:val="bottom"/>
          </w:tcPr>
          <w:p>
            <w:pPr>
              <w:spacing w:after="0"/>
              <w:rPr>
                <w:sz w:val="20"/>
                <w:szCs w:val="20"/>
                <w:color w:val="auto"/>
              </w:rPr>
            </w:pPr>
          </w:p>
        </w:tc>
      </w:tr>
      <w:tr>
        <w:trPr>
          <w:trHeight w:val="458"/>
        </w:trPr>
        <w:tc>
          <w:tcPr>
            <w:tcW w:w="700" w:type="dxa"/>
            <w:vAlign w:val="bottom"/>
          </w:tcPr>
          <w:p>
            <w:pPr>
              <w:jc w:val="right"/>
              <w:ind w:right="30"/>
              <w:spacing w:after="0"/>
              <w:rPr>
                <w:sz w:val="20"/>
                <w:szCs w:val="20"/>
                <w:color w:val="auto"/>
              </w:rPr>
            </w:pPr>
            <w:r>
              <w:rPr>
                <w:rFonts w:ascii="Arial" w:cs="Arial" w:eastAsia="Arial" w:hAnsi="Arial"/>
                <w:sz w:val="18"/>
                <w:szCs w:val="18"/>
                <w:color w:val="auto"/>
                <w:w w:val="86"/>
              </w:rPr>
              <w:t>182,810</w:t>
            </w:r>
          </w:p>
        </w:tc>
        <w:tc>
          <w:tcPr>
            <w:tcW w:w="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28,493</w:t>
            </w:r>
          </w:p>
        </w:tc>
        <w:tc>
          <w:tcPr>
            <w:tcW w:w="5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58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(292)</w:t>
            </w:r>
          </w:p>
        </w:tc>
        <w:tc>
          <w:tcPr>
            <w:tcW w:w="5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90"/>
              <w:spacing w:after="0"/>
              <w:rPr>
                <w:sz w:val="20"/>
                <w:szCs w:val="20"/>
                <w:color w:val="auto"/>
              </w:rPr>
            </w:pPr>
            <w:r>
              <w:rPr>
                <w:rFonts w:ascii="Arial" w:cs="Arial" w:eastAsia="Arial" w:hAnsi="Arial"/>
                <w:sz w:val="18"/>
                <w:szCs w:val="18"/>
                <w:color w:val="auto"/>
              </w:rPr>
              <w:t>(8,227)</w:t>
            </w:r>
          </w:p>
        </w:tc>
        <w:tc>
          <w:tcPr>
            <w:tcW w:w="300" w:type="dxa"/>
            <w:vAlign w:val="bottom"/>
            <w:gridSpan w:val="2"/>
          </w:tcPr>
          <w:p>
            <w:pPr>
              <w:jc w:val="right"/>
              <w:ind w:right="1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202,869</w:t>
            </w:r>
          </w:p>
        </w:tc>
        <w:tc>
          <w:tcPr>
            <w:tcW w:w="60" w:type="dxa"/>
            <w:vAlign w:val="bottom"/>
          </w:tcPr>
          <w:p>
            <w:pPr>
              <w:spacing w:after="0"/>
              <w:rPr>
                <w:sz w:val="24"/>
                <w:szCs w:val="24"/>
                <w:color w:val="auto"/>
              </w:rPr>
            </w:pPr>
          </w:p>
        </w:tc>
      </w:tr>
      <w:tr>
        <w:trPr>
          <w:trHeight w:val="459"/>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107,243</w:t>
            </w:r>
          </w:p>
        </w:tc>
        <w:tc>
          <w:tcPr>
            <w:tcW w:w="60" w:type="dxa"/>
            <w:vAlign w:val="bottom"/>
          </w:tcPr>
          <w:p>
            <w:pPr>
              <w:spacing w:after="0"/>
              <w:rPr>
                <w:sz w:val="24"/>
                <w:szCs w:val="24"/>
                <w:color w:val="auto"/>
              </w:rPr>
            </w:pPr>
          </w:p>
        </w:tc>
      </w:tr>
      <w:tr>
        <w:trPr>
          <w:trHeight w:val="338"/>
        </w:trPr>
        <w:tc>
          <w:tcPr>
            <w:tcW w:w="700" w:type="dxa"/>
            <w:vAlign w:val="bottom"/>
          </w:tcPr>
          <w:p>
            <w:pPr>
              <w:jc w:val="right"/>
              <w:ind w:right="30"/>
              <w:spacing w:after="0"/>
              <w:rPr>
                <w:sz w:val="20"/>
                <w:szCs w:val="20"/>
                <w:color w:val="auto"/>
              </w:rPr>
            </w:pPr>
            <w:r>
              <w:rPr>
                <w:rFonts w:ascii="Arial" w:cs="Arial" w:eastAsia="Arial" w:hAnsi="Arial"/>
                <w:sz w:val="18"/>
                <w:szCs w:val="18"/>
                <w:color w:val="auto"/>
              </w:rPr>
              <w:t>52,405</w:t>
            </w:r>
          </w:p>
        </w:tc>
        <w:tc>
          <w:tcPr>
            <w:tcW w:w="660" w:type="dxa"/>
            <w:vAlign w:val="bottom"/>
          </w:tcPr>
          <w:p>
            <w:pPr>
              <w:spacing w:after="0"/>
              <w:rPr>
                <w:sz w:val="24"/>
                <w:szCs w:val="24"/>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32,279</w:t>
            </w:r>
          </w:p>
        </w:tc>
        <w:tc>
          <w:tcPr>
            <w:tcW w:w="540" w:type="dxa"/>
            <w:vAlign w:val="bottom"/>
          </w:tcPr>
          <w:p>
            <w:pPr>
              <w:spacing w:after="0"/>
              <w:rPr>
                <w:sz w:val="24"/>
                <w:szCs w:val="24"/>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w:t>
            </w:r>
          </w:p>
        </w:tc>
        <w:tc>
          <w:tcPr>
            <w:tcW w:w="580" w:type="dxa"/>
            <w:vAlign w:val="bottom"/>
          </w:tcPr>
          <w:p>
            <w:pPr>
              <w:spacing w:after="0"/>
              <w:rPr>
                <w:sz w:val="24"/>
                <w:szCs w:val="24"/>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197</w:t>
            </w:r>
          </w:p>
        </w:tc>
        <w:tc>
          <w:tcPr>
            <w:tcW w:w="500" w:type="dxa"/>
            <w:vAlign w:val="bottom"/>
          </w:tcPr>
          <w:p>
            <w:pPr>
              <w:spacing w:after="0"/>
              <w:rPr>
                <w:sz w:val="24"/>
                <w:szCs w:val="24"/>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84,969</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6,013</w:t>
            </w:r>
          </w:p>
        </w:tc>
        <w:tc>
          <w:tcPr>
            <w:tcW w:w="60" w:type="dxa"/>
            <w:vAlign w:val="bottom"/>
          </w:tcPr>
          <w:p>
            <w:pPr>
              <w:spacing w:after="0"/>
              <w:rPr>
                <w:sz w:val="24"/>
                <w:szCs w:val="24"/>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650,000</w:t>
            </w:r>
          </w:p>
        </w:tc>
        <w:tc>
          <w:tcPr>
            <w:tcW w:w="60" w:type="dxa"/>
            <w:vAlign w:val="bottom"/>
          </w:tcPr>
          <w:p>
            <w:pPr>
              <w:spacing w:after="0"/>
              <w:rPr>
                <w:sz w:val="20"/>
                <w:szCs w:val="20"/>
                <w:color w:val="auto"/>
              </w:rPr>
            </w:pPr>
          </w:p>
        </w:tc>
      </w:tr>
      <w:tr>
        <w:trPr>
          <w:trHeight w:val="351"/>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18,556</w:t>
            </w:r>
          </w:p>
        </w:tc>
        <w:tc>
          <w:tcPr>
            <w:tcW w:w="60" w:type="dxa"/>
            <w:vAlign w:val="bottom"/>
          </w:tcPr>
          <w:p>
            <w:pPr>
              <w:spacing w:after="0"/>
              <w:rPr>
                <w:sz w:val="24"/>
                <w:szCs w:val="24"/>
                <w:color w:val="auto"/>
              </w:rPr>
            </w:pPr>
          </w:p>
        </w:tc>
      </w:tr>
      <w:tr>
        <w:trPr>
          <w:trHeight w:val="337"/>
        </w:trPr>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(63,818)</w:t>
            </w:r>
          </w:p>
        </w:tc>
      </w:tr>
      <w:tr>
        <w:trPr>
          <w:trHeight w:val="230"/>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4,110</w:t>
            </w:r>
          </w:p>
        </w:tc>
        <w:tc>
          <w:tcPr>
            <w:tcW w:w="60" w:type="dxa"/>
            <w:vAlign w:val="bottom"/>
          </w:tcPr>
          <w:p>
            <w:pPr>
              <w:spacing w:after="0"/>
              <w:rPr>
                <w:sz w:val="19"/>
                <w:szCs w:val="19"/>
                <w:color w:val="auto"/>
              </w:rPr>
            </w:pPr>
          </w:p>
        </w:tc>
      </w:tr>
      <w:tr>
        <w:trPr>
          <w:trHeight w:val="230"/>
        </w:trPr>
        <w:tc>
          <w:tcPr>
            <w:tcW w:w="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(5,875)</w:t>
            </w:r>
          </w:p>
        </w:tc>
      </w:tr>
      <w:tr>
        <w:trPr>
          <w:trHeight w:val="223"/>
        </w:trPr>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(598,329)</w:t>
            </w:r>
          </w:p>
        </w:tc>
        <w:tc>
          <w:tcPr>
            <w:tcW w:w="60" w:type="dxa"/>
            <w:vAlign w:val="bottom"/>
          </w:tcPr>
          <w:p>
            <w:pPr>
              <w:spacing w:after="0"/>
              <w:rPr>
                <w:sz w:val="19"/>
                <w:szCs w:val="19"/>
                <w:color w:val="auto"/>
              </w:rPr>
            </w:pPr>
          </w:p>
        </w:tc>
      </w:tr>
      <w:tr>
        <w:trPr>
          <w:trHeight w:val="20"/>
        </w:trPr>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-1919605</wp:posOffset>
            </wp:positionV>
            <wp:extent cx="713232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-1628140</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-1199515</wp:posOffset>
            </wp:positionV>
            <wp:extent cx="7132320" cy="146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-899795</wp:posOffset>
            </wp:positionV>
            <wp:extent cx="7132320" cy="2825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-471170</wp:posOffset>
            </wp:positionV>
            <wp:extent cx="713232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-2013585</wp:posOffset>
            </wp:positionH>
            <wp:positionV relativeFrom="paragraph">
              <wp:posOffset>-179705</wp:posOffset>
            </wp:positionV>
            <wp:extent cx="7132320" cy="1625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0" w:space="700"/>
            <w:col w:w="806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Three Months Ended June 30, 2019</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center"/>
              <w:ind w:right="145"/>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2"/>
                <w:szCs w:val="12"/>
                <w:color w:val="auto"/>
              </w:rPr>
            </w:pPr>
          </w:p>
        </w:tc>
        <w:tc>
          <w:tcPr>
            <w:tcW w:w="140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97"/>
              </w:rPr>
              <w:t>Fiber Infrastructure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5"/>
            <w:vMerge w:val="restart"/>
          </w:tcPr>
          <w:p>
            <w:pPr>
              <w:jc w:val="right"/>
              <w:ind w:right="580"/>
              <w:spacing w:after="0"/>
              <w:rPr>
                <w:sz w:val="20"/>
                <w:szCs w:val="20"/>
                <w:color w:val="auto"/>
              </w:rPr>
            </w:pPr>
            <w:r>
              <w:rPr>
                <w:rFonts w:ascii="Arial" w:cs="Arial" w:eastAsia="Arial" w:hAnsi="Arial"/>
                <w:sz w:val="14"/>
                <w:szCs w:val="14"/>
                <w:b w:val="1"/>
                <w:bCs w:val="1"/>
                <w:color w:val="auto"/>
              </w:rPr>
              <w:t>Towers</w:t>
            </w:r>
          </w:p>
        </w:tc>
        <w:tc>
          <w:tcPr>
            <w:tcW w:w="40" w:type="dxa"/>
            <w:vAlign w:val="bottom"/>
          </w:tcPr>
          <w:p>
            <w:pPr>
              <w:spacing w:after="0"/>
              <w:rPr>
                <w:sz w:val="12"/>
                <w:szCs w:val="12"/>
                <w:color w:val="auto"/>
              </w:rPr>
            </w:pPr>
          </w:p>
        </w:tc>
        <w:tc>
          <w:tcPr>
            <w:tcW w:w="1200" w:type="dxa"/>
            <w:vAlign w:val="bottom"/>
            <w:gridSpan w:val="5"/>
            <w:vMerge w:val="restart"/>
          </w:tcPr>
          <w:p>
            <w:pPr>
              <w:jc w:val="right"/>
              <w:ind w:right="80"/>
              <w:spacing w:after="0"/>
              <w:rPr>
                <w:sz w:val="20"/>
                <w:szCs w:val="20"/>
                <w:color w:val="auto"/>
              </w:rPr>
            </w:pPr>
            <w:r>
              <w:rPr>
                <w:rFonts w:ascii="Arial" w:cs="Arial" w:eastAsia="Arial" w:hAnsi="Arial"/>
                <w:sz w:val="14"/>
                <w:szCs w:val="14"/>
                <w:b w:val="1"/>
                <w:bCs w:val="1"/>
                <w:color w:val="auto"/>
                <w:w w:val="98"/>
              </w:rPr>
              <w:t>Consumer CLEC</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6"/>
            <w:vMerge w:val="restart"/>
          </w:tcPr>
          <w:p>
            <w:pPr>
              <w:ind w:left="28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5"/>
            <w:vMerge w:val="continue"/>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6"/>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177,042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3,146</w:t>
            </w: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2,899</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center"/>
              <w:ind w:right="219"/>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264,414</w:t>
            </w: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175,881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37,036</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FF0FC"/>
          </w:tcPr>
          <w:p>
            <w:pPr>
              <w:spacing w:after="0"/>
              <w:rPr>
                <w:sz w:val="19"/>
                <w:szCs w:val="19"/>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565</w:t>
            </w:r>
          </w:p>
        </w:tc>
        <w:tc>
          <w:tcPr>
            <w:tcW w:w="620" w:type="dxa"/>
            <w:vAlign w:val="bottom"/>
            <w:gridSpan w:val="3"/>
            <w:shd w:val="clear" w:color="auto" w:fill="CFF0FC"/>
          </w:tcPr>
          <w:p>
            <w:pPr>
              <w:jc w:val="center"/>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(6,576)</w:t>
            </w:r>
          </w:p>
        </w:tc>
        <w:tc>
          <w:tcPr>
            <w:tcW w:w="40" w:type="dxa"/>
            <w:vAlign w:val="bottom"/>
            <w:shd w:val="clear" w:color="auto" w:fill="CFF0FC"/>
          </w:tcPr>
          <w:p>
            <w:pPr>
              <w:spacing w:after="0"/>
              <w:rPr>
                <w:sz w:val="19"/>
                <w:szCs w:val="19"/>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206,864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72,275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28,494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1,412</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102,578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2"/>
            <w:vMerge w:val="restart"/>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(22,275)</w:t>
            </w:r>
          </w:p>
        </w:tc>
        <w:tc>
          <w:tcPr>
            <w:tcW w:w="0" w:type="dxa"/>
            <w:vAlign w:val="bottom"/>
          </w:tcPr>
          <w:p>
            <w:pPr>
              <w:spacing w:after="0"/>
              <w:rPr>
                <w:sz w:val="1"/>
                <w:szCs w:val="1"/>
                <w:color w:val="auto"/>
              </w:rPr>
            </w:pPr>
          </w:p>
        </w:tc>
      </w:tr>
      <w:tr>
        <w:trPr>
          <w:trHeight w:val="215"/>
        </w:trPr>
        <w:tc>
          <w:tcPr>
            <w:tcW w:w="2380" w:type="dxa"/>
            <w:vAlign w:val="bottom"/>
            <w:gridSpan w:val="2"/>
          </w:tcPr>
          <w:p>
            <w:pPr>
              <w:ind w:left="140"/>
              <w:spacing w:after="0"/>
              <w:rPr>
                <w:sz w:val="20"/>
                <w:szCs w:val="20"/>
                <w:color w:val="auto"/>
              </w:rPr>
            </w:pPr>
            <w:r>
              <w:rPr>
                <w:rFonts w:ascii="Arial" w:cs="Arial" w:eastAsia="Arial" w:hAnsi="Arial"/>
                <w:sz w:val="18"/>
                <w:szCs w:val="18"/>
                <w:color w:val="auto"/>
                <w:w w:val="94"/>
              </w:rPr>
              <w:t>Transaction related and 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7,035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2"/>
            <w:vMerge w:val="restart"/>
          </w:tcPr>
          <w:p>
            <w:pPr>
              <w:ind w:left="14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38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39,547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w w:val="90"/>
              </w:rPr>
              <w:t>Summary of Operating Metrics</w:t>
            </w: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gridSpan w:val="8"/>
            <w:vMerge w:val="restart"/>
          </w:tcPr>
          <w:p>
            <w:pPr>
              <w:jc w:val="center"/>
              <w:ind w:right="160"/>
              <w:spacing w:after="0"/>
              <w:rPr>
                <w:sz w:val="20"/>
                <w:szCs w:val="20"/>
                <w:color w:val="auto"/>
              </w:rPr>
            </w:pPr>
            <w:r>
              <w:rPr>
                <w:rFonts w:ascii="Arial" w:cs="Arial" w:eastAsia="Arial" w:hAnsi="Arial"/>
                <w:sz w:val="18"/>
                <w:szCs w:val="18"/>
                <w:b w:val="1"/>
                <w:bCs w:val="1"/>
                <w:color w:val="auto"/>
                <w:w w:val="92"/>
              </w:rPr>
              <w:t>Operating Metrics</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238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60" w:type="dxa"/>
            <w:vAlign w:val="bottom"/>
            <w:gridSpan w:val="8"/>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60" w:type="dxa"/>
            <w:vAlign w:val="bottom"/>
            <w:gridSpan w:val="8"/>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7"/>
          </w:tcPr>
          <w:p>
            <w:pPr>
              <w:jc w:val="center"/>
              <w:ind w:right="300"/>
              <w:spacing w:after="0"/>
              <w:rPr>
                <w:sz w:val="20"/>
                <w:szCs w:val="20"/>
                <w:color w:val="auto"/>
              </w:rPr>
            </w:pPr>
            <w:r>
              <w:rPr>
                <w:rFonts w:ascii="Arial" w:cs="Arial" w:eastAsia="Arial" w:hAnsi="Arial"/>
                <w:sz w:val="18"/>
                <w:szCs w:val="18"/>
                <w:b w:val="1"/>
                <w:bCs w:val="1"/>
                <w:color w:val="auto"/>
                <w:w w:val="88"/>
              </w:rPr>
              <w:t>As of June 30,</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140"/>
              <w:spacing w:after="0" w:line="205" w:lineRule="exact"/>
              <w:rPr>
                <w:sz w:val="20"/>
                <w:szCs w:val="20"/>
                <w:color w:val="auto"/>
              </w:rPr>
            </w:pPr>
            <w:r>
              <w:rPr>
                <w:rFonts w:ascii="Arial" w:cs="Arial" w:eastAsia="Arial" w:hAnsi="Arial"/>
                <w:sz w:val="18"/>
                <w:szCs w:val="18"/>
                <w:b w:val="1"/>
                <w:bCs w:val="1"/>
                <w:color w:val="auto"/>
                <w:w w:val="92"/>
              </w:rPr>
              <w:t>% 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jc w:val="right"/>
              <w:ind w:right="373"/>
              <w:spacing w:after="0"/>
              <w:rPr>
                <w:sz w:val="20"/>
                <w:szCs w:val="20"/>
                <w:color w:val="auto"/>
              </w:rPr>
            </w:pPr>
            <w:r>
              <w:rPr>
                <w:rFonts w:ascii="Arial" w:cs="Arial" w:eastAsia="Arial" w:hAnsi="Arial"/>
                <w:sz w:val="18"/>
                <w:szCs w:val="18"/>
                <w:b w:val="1"/>
                <w:bCs w:val="1"/>
                <w:color w:val="auto"/>
                <w:w w:val="94"/>
              </w:rPr>
              <w:t>2020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gridSpan w:val="5"/>
          </w:tcPr>
          <w:p>
            <w:pPr>
              <w:jc w:val="center"/>
              <w:ind w:left="10"/>
              <w:spacing w:after="0"/>
              <w:rPr>
                <w:sz w:val="20"/>
                <w:szCs w:val="20"/>
                <w:color w:val="auto"/>
              </w:rPr>
            </w:pPr>
            <w:r>
              <w:rPr>
                <w:rFonts w:ascii="Arial" w:cs="Arial" w:eastAsia="Arial" w:hAnsi="Arial"/>
                <w:sz w:val="18"/>
                <w:szCs w:val="18"/>
                <w:b w:val="1"/>
                <w:bCs w:val="1"/>
                <w:color w:val="auto"/>
                <w:w w:val="89"/>
              </w:rPr>
              <w:t>2019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6"/>
              </w:rPr>
              <w:t>(Decrease)</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Operating metrics:</w:t>
            </w: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7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Fiber strand miles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4,400,000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38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3,700,000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65"/>
              <w:spacing w:after="0"/>
              <w:rPr>
                <w:sz w:val="20"/>
                <w:szCs w:val="20"/>
                <w:color w:val="auto"/>
              </w:rPr>
            </w:pPr>
            <w:r>
              <w:rPr>
                <w:rFonts w:ascii="Arial" w:cs="Arial" w:eastAsia="Arial" w:hAnsi="Arial"/>
                <w:sz w:val="18"/>
                <w:szCs w:val="18"/>
                <w:color w:val="auto"/>
                <w:w w:val="90"/>
              </w:rPr>
              <w:t>18.9%</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500"/>
              <w:spacing w:after="0"/>
              <w:rPr>
                <w:sz w:val="20"/>
                <w:szCs w:val="20"/>
                <w:color w:val="auto"/>
              </w:rPr>
            </w:pPr>
            <w:r>
              <w:rPr>
                <w:rFonts w:ascii="Arial" w:cs="Arial" w:eastAsia="Arial" w:hAnsi="Arial"/>
                <w:sz w:val="18"/>
                <w:szCs w:val="18"/>
                <w:color w:val="auto"/>
              </w:rPr>
              <w:t>Copper strand miles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235,000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45"/>
              <w:spacing w:after="0"/>
              <w:rPr>
                <w:sz w:val="20"/>
                <w:szCs w:val="20"/>
                <w:color w:val="auto"/>
              </w:rPr>
            </w:pPr>
            <w:r>
              <w:rPr>
                <w:rFonts w:ascii="Arial" w:cs="Arial" w:eastAsia="Arial" w:hAnsi="Arial"/>
                <w:sz w:val="18"/>
                <w:szCs w:val="18"/>
                <w:color w:val="auto"/>
                <w:w w:val="90"/>
              </w:rPr>
              <w:t>(2.1%)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500"/>
              <w:spacing w:after="0"/>
              <w:rPr>
                <w:sz w:val="20"/>
                <w:szCs w:val="20"/>
                <w:color w:val="auto"/>
              </w:rPr>
            </w:pPr>
            <w:r>
              <w:rPr>
                <w:rFonts w:ascii="Arial" w:cs="Arial" w:eastAsia="Arial" w:hAnsi="Arial"/>
                <w:sz w:val="18"/>
                <w:szCs w:val="18"/>
                <w:color w:val="auto"/>
              </w:rPr>
              <w:t>Fiber strand miles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2,130,000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80" w:type="dxa"/>
            <w:vAlign w:val="bottom"/>
            <w:gridSpan w:val="5"/>
          </w:tcPr>
          <w:p>
            <w:pPr>
              <w:jc w:val="right"/>
              <w:spacing w:after="0"/>
              <w:rPr>
                <w:sz w:val="20"/>
                <w:szCs w:val="20"/>
                <w:color w:val="auto"/>
              </w:rPr>
            </w:pPr>
            <w:r>
              <w:rPr>
                <w:rFonts w:ascii="Arial" w:cs="Arial" w:eastAsia="Arial" w:hAnsi="Arial"/>
                <w:sz w:val="18"/>
                <w:szCs w:val="18"/>
                <w:color w:val="auto"/>
              </w:rPr>
              <w:t>1,870,000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right="65"/>
              <w:spacing w:after="0"/>
              <w:rPr>
                <w:sz w:val="20"/>
                <w:szCs w:val="20"/>
                <w:color w:val="auto"/>
              </w:rPr>
            </w:pPr>
            <w:r>
              <w:rPr>
                <w:rFonts w:ascii="Arial" w:cs="Arial" w:eastAsia="Arial" w:hAnsi="Arial"/>
                <w:sz w:val="18"/>
                <w:szCs w:val="18"/>
                <w:color w:val="auto"/>
                <w:w w:val="90"/>
              </w:rPr>
              <w:t>13.9%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24,288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19,707</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65"/>
              <w:spacing w:after="0"/>
              <w:rPr>
                <w:sz w:val="20"/>
                <w:szCs w:val="20"/>
                <w:color w:val="auto"/>
              </w:rPr>
            </w:pPr>
            <w:r>
              <w:rPr>
                <w:rFonts w:ascii="Arial" w:cs="Arial" w:eastAsia="Arial" w:hAnsi="Arial"/>
                <w:sz w:val="18"/>
                <w:szCs w:val="18"/>
                <w:color w:val="auto"/>
                <w:w w:val="90"/>
              </w:rPr>
              <w:t>23.2%</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United States towers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93"/>
              </w:rPr>
              <w:t>(100.0%)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Consumer CLEC:</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Customer connections</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20,300</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right="45"/>
              <w:spacing w:after="0"/>
              <w:rPr>
                <w:sz w:val="20"/>
                <w:szCs w:val="20"/>
                <w:color w:val="auto"/>
              </w:rPr>
            </w:pPr>
            <w:r>
              <w:rPr>
                <w:rFonts w:ascii="Arial" w:cs="Arial" w:eastAsia="Arial" w:hAnsi="Arial"/>
                <w:sz w:val="18"/>
                <w:szCs w:val="18"/>
                <w:color w:val="auto"/>
                <w:w w:val="93"/>
              </w:rPr>
              <w:t>(100.0%)</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0"/>
        </w:trPr>
        <w:tc>
          <w:tcPr>
            <w:tcW w:w="23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11"/>
          </w:tcPr>
          <w:p>
            <w:pPr>
              <w:jc w:val="center"/>
              <w:ind w:right="80"/>
              <w:spacing w:after="0"/>
              <w:rPr>
                <w:sz w:val="20"/>
                <w:szCs w:val="20"/>
                <w:color w:val="auto"/>
              </w:rPr>
            </w:pPr>
            <w:r>
              <w:rPr>
                <w:rFonts w:ascii="Arial" w:cs="Arial" w:eastAsia="Arial" w:hAnsi="Arial"/>
                <w:sz w:val="18"/>
                <w:szCs w:val="18"/>
                <w:b w:val="1"/>
                <w:bCs w:val="1"/>
                <w:color w:val="auto"/>
                <w:w w:val="90"/>
              </w:rPr>
              <w:t>Three Months Ended June 30,</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gridSpan w:val="8"/>
          </w:tcPr>
          <w:p>
            <w:pPr>
              <w:jc w:val="right"/>
              <w:ind w:right="925"/>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2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center"/>
              <w:ind w:right="80"/>
              <w:spacing w:after="0" w:line="133" w:lineRule="exact"/>
              <w:rPr>
                <w:sz w:val="20"/>
                <w:szCs w:val="20"/>
                <w:color w:val="auto"/>
              </w:rPr>
            </w:pPr>
            <w:r>
              <w:rPr>
                <w:rFonts w:ascii="Arial" w:cs="Arial" w:eastAsia="Arial" w:hAnsi="Arial"/>
                <w:sz w:val="14"/>
                <w:szCs w:val="14"/>
                <w:b w:val="1"/>
                <w:bCs w:val="1"/>
                <w:color w:val="auto"/>
              </w:rPr>
              <w:t>% of</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
              <w:spacing w:after="0" w:line="133" w:lineRule="exact"/>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238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23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185,320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69.4%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177,042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0"/>
              </w:rPr>
              <w:t>66.9%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79,140</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29.7%</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0"/>
              </w:rPr>
              <w:t>30.8%</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3,146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center"/>
              <w:ind w:left="10"/>
              <w:spacing w:after="0"/>
              <w:rPr>
                <w:sz w:val="20"/>
                <w:szCs w:val="20"/>
                <w:color w:val="auto"/>
              </w:rPr>
            </w:pPr>
            <w:r>
              <w:rPr>
                <w:rFonts w:ascii="Arial" w:cs="Arial" w:eastAsia="Arial" w:hAnsi="Arial"/>
                <w:sz w:val="18"/>
                <w:szCs w:val="18"/>
                <w:color w:val="auto"/>
                <w:w w:val="92"/>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4"/>
            <w:shd w:val="clear" w:color="auto" w:fill="CFF0FC"/>
          </w:tcPr>
          <w:p>
            <w:pPr>
              <w:jc w:val="right"/>
              <w:ind w:right="4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2,899</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center"/>
              <w:ind w:left="10"/>
              <w:spacing w:after="0"/>
              <w:rPr>
                <w:sz w:val="20"/>
                <w:szCs w:val="20"/>
                <w:color w:val="auto"/>
              </w:rPr>
            </w:pPr>
            <w:r>
              <w:rPr>
                <w:rFonts w:ascii="Arial" w:cs="Arial" w:eastAsia="Arial" w:hAnsi="Arial"/>
                <w:sz w:val="18"/>
                <w:szCs w:val="18"/>
                <w:color w:val="auto"/>
                <w:w w:val="92"/>
              </w:rPr>
              <w:t>1.1%</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2"/>
          </w:tcPr>
          <w:p>
            <w:pPr>
              <w:ind w:left="500"/>
              <w:spacing w:after="0"/>
              <w:rPr>
                <w:sz w:val="20"/>
                <w:szCs w:val="20"/>
                <w:color w:val="auto"/>
              </w:rPr>
            </w:pPr>
            <w:r>
              <w:rPr>
                <w:rFonts w:ascii="Arial" w:cs="Arial" w:eastAsia="Arial" w:hAnsi="Arial"/>
                <w:sz w:val="18"/>
                <w:szCs w:val="18"/>
                <w:color w:val="auto"/>
              </w:rPr>
              <w:t>Total revenues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266,820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264,414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100.0%</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revenues are primarily attributable to rental revenue from leasing our Distribution Systems to Windstream Holdings pursuant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Master Lease. Under the Master Lease, Windstream Holdings is responsible for the costs related to operating the Distribution Systems, including property taxes, insurance, and maintenance and repair costs. As a result, we do not record an</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obligation related to the payment of property taxes, as Windstream makes direct payments to the taxing authorities. The Master Lease has an initial term of 15 years with four 5-year renewal options and encompasses properties located in 29 states. Annual cash rent under the Master Lease is currently $657 million and is subject to an annual escalation of 0.5% each May through the initial term. The rent for the first year of each renewal term will be an amount agreed to by us and Windstream. While the agreement requires that the renewal rent be “Fair Market Rent,” Windstream has publicly stated that it believes the renewal Fair Market Rent pursuant to the agreement will be much lower than our expectations; if we are unable to agree, the renewal Fair Market Rent will be determined by an independent appraisal process. Commencing with the second year of each renewal term, the renewal rent will increase at an escalation rate of 0.5%. In addition, if we fund any capital improvements requested by Windstream, the rent will be increased to account for such funding. Due to the uncertainties surrounding Windstream’s operations and liquidity and current bankruptcy proceedings, the Master Lease is currently accounted for on a cash basis in accordance with Accounting Standards Codification 842, Leases, until such time that there is more certainty regarding Windstream’s decision to assume or reject the Master Lease.</w:t>
      </w:r>
    </w:p>
    <w:p>
      <w:pPr>
        <w:spacing w:after="0" w:line="18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The Master Lease provides that tenant funded capital improvements (“TCIs”), defined as maintenance, repair, overbuild, upgrade or replacement to the Distribution Systems, including without limitation, the replacement of copper distribution systems with fiber distribution systems, automatically become property of Uniti upon their construction by Windstream. We receive non-monetary consideration related to TCIs as they automatically become our property, and we recognize the cost basis of TCIs that are capital in nature as real estate investments and deferred revenue. We depreciate the real estate investments over their estimated useful lives and amortize the deferred revenue as additional leasing revenues over the same depreciable life of the TCI assets.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June 30,</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5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040" w:type="dxa"/>
            <w:vAlign w:val="bottom"/>
            <w:tcBorders>
              <w:bottom w:val="single" w:sz="8" w:color="auto"/>
            </w:tcBorders>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rPr>
              <w:t>2019</w:t>
            </w:r>
          </w:p>
        </w:tc>
        <w:tc>
          <w:tcPr>
            <w:tcW w:w="10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Amount</w:t>
            </w:r>
          </w:p>
        </w:tc>
        <w:tc>
          <w:tcPr>
            <w:tcW w:w="10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86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7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Leasing revenues:</w:t>
            </w:r>
          </w:p>
        </w:tc>
        <w:tc>
          <w:tcPr>
            <w:tcW w:w="16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gridSpan w:val="2"/>
          </w:tcPr>
          <w:p>
            <w:pPr>
              <w:ind w:left="260"/>
              <w:spacing w:after="0"/>
              <w:rPr>
                <w:sz w:val="20"/>
                <w:szCs w:val="20"/>
                <w:color w:val="auto"/>
              </w:rPr>
            </w:pPr>
            <w:r>
              <w:rPr>
                <w:rFonts w:ascii="Arial" w:cs="Arial" w:eastAsia="Arial" w:hAnsi="Arial"/>
                <w:sz w:val="18"/>
                <w:szCs w:val="18"/>
                <w:color w:val="auto"/>
              </w:rPr>
              <w:t>Windstream Master Lease</w:t>
            </w: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TCI revenue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4.7%</w:t>
            </w:r>
          </w:p>
        </w:tc>
        <w:tc>
          <w:tcPr>
            <w:tcW w:w="6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Rent</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165.6</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89.4%</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164.7</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93.1%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gridSpan w:val="2"/>
            <w:shd w:val="clear" w:color="auto" w:fill="CFF0FC"/>
          </w:tcPr>
          <w:p>
            <w:pPr>
              <w:ind w:left="50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w:t>
            </w:r>
          </w:p>
        </w:tc>
        <w:tc>
          <w:tcPr>
            <w:tcW w:w="2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94.1%</w:t>
            </w: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171.7</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97.0%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Other triple-net leasing and IRU arrangements</w:t>
            </w: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8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5.9%</w:t>
            </w:r>
          </w:p>
        </w:tc>
        <w:tc>
          <w:tcPr>
            <w:tcW w:w="4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Leasing revenues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w:t>
            </w:r>
          </w:p>
        </w:tc>
        <w:tc>
          <w:tcPr>
            <w:tcW w:w="2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4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177.0</w:t>
            </w:r>
          </w:p>
        </w:tc>
        <w:tc>
          <w:tcPr>
            <w:tcW w:w="26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 in TCI revenue is attributable to continued investment by Windstream in TCIs. Windstream invested $50.6 million in TCIs during the three months ended June 30, 2020, bringing the total amount invested by Windstream since the inception of the Master Lease to $858.8 million as of June 30, 2020. As of June 30, 2019, Windstream had invested a total of $688.3 million in such improvements. For the three months ended June 30, 2020, we recognized $11.0 million of leasing revenues from non-Windstream triple-net leasing and dark fiber indefeasible rights of use (“IRU”) arrangements, including $5.5 million of revenue related to the Bluebird transaction that closed on August 30, 2019. For the three months ended June 30, 2019, we recognized $5.3 million from non-Windstream triple-net leasing and dark fiber IRU arrangements. The increase in non-Windstream related revenues is due to the timing of closing sale-leaseback transactions.</w:t>
      </w:r>
    </w:p>
    <w:p>
      <w:pPr>
        <w:spacing w:after="0" w:line="19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Because a substantial portion of our revenue and cash flows are derived from lease payments by Windstream pursuant to the Master Lease, there could be a material adverse impact on our consolidated results of operations, liquidity, financial condition and/or ability to maintain our status as a REIT and service debt if Windstream were to reject the Master Lease in bankruptcy, default under the Master Lease, succeed in its claims against us or otherwise experience operating or liquidity difficulties and become unable to generate sufficient cash to make payments to us. In recent years, Windstream has experienced annual declines in its total revenue, sales and cash flow, has had its credit ratings downgraded by nationally recognized credit rating agencies multiple times over the past 12 months and, on February 25, 2019, filed voluntary petitions for relief under Chapter 11 of the Bankruptcy Code in the Bankruptcy Court. On June 26, 2020, the Bankruptcy Court approved Windstream’s plan of reorganization. Consummation of the plan of reorganization is subject to certain conditions precedent, including consummation of our Settlement with Windstream and receipt of certain regulatory approvals.</w:t>
      </w:r>
    </w:p>
    <w:p>
      <w:pPr>
        <w:spacing w:after="0" w:line="165"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Windstream’s stock is quoted on the OTC Markets under the ticker symbol “WINMQ.” Windstream is subject to the periodic filing requirements of the Securities Exchange Act of 1934, as amended. Windstream filings can be found at www.sec.gov. Windstream filings are not incorporated by reference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Fiber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Fiber Infrastructure revenues for the three months ended June 30, 2020 and 2019 consisted of the following:</w:t>
      </w:r>
    </w:p>
    <w:p>
      <w:pPr>
        <w:spacing w:after="0" w:line="154"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4804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11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2019</w:t>
            </w:r>
          </w:p>
        </w:tc>
        <w:tc>
          <w:tcPr>
            <w:tcW w:w="11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6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44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4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Lit backhaul services</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27,216</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0"/>
              </w:rPr>
              <w:t>34.3%</w:t>
            </w:r>
          </w:p>
        </w:tc>
        <w:tc>
          <w:tcPr>
            <w:tcW w:w="30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33,401</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0"/>
              </w:rPr>
              <w:t>41.1%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19,628</w:t>
            </w:r>
          </w:p>
        </w:tc>
        <w:tc>
          <w:tcPr>
            <w:tcW w:w="144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0"/>
              </w:rPr>
              <w:t>24.8%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19,241</w:t>
            </w:r>
          </w:p>
        </w:tc>
        <w:tc>
          <w:tcPr>
            <w:tcW w:w="1460" w:type="dxa"/>
            <w:vAlign w:val="bottom"/>
            <w:gridSpan w:val="2"/>
            <w:shd w:val="clear" w:color="auto" w:fill="CFF0FC"/>
          </w:tcPr>
          <w:p>
            <w:pPr>
              <w:jc w:val="center"/>
              <w:ind w:left="193"/>
              <w:spacing w:after="0"/>
              <w:rPr>
                <w:sz w:val="20"/>
                <w:szCs w:val="20"/>
                <w:color w:val="auto"/>
              </w:rPr>
            </w:pPr>
            <w:r>
              <w:rPr>
                <w:rFonts w:ascii="Arial" w:cs="Arial" w:eastAsia="Arial" w:hAnsi="Arial"/>
                <w:sz w:val="18"/>
                <w:szCs w:val="18"/>
                <w:color w:val="auto"/>
                <w:w w:val="90"/>
              </w:rPr>
              <w:t>23.7%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E-Rate and government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21,821</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0"/>
              </w:rPr>
              <w:t>27.6%</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22,533</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0"/>
              </w:rPr>
              <w:t>27.7%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9,720</w:t>
            </w:r>
          </w:p>
        </w:tc>
        <w:tc>
          <w:tcPr>
            <w:tcW w:w="1440" w:type="dxa"/>
            <w:vAlign w:val="bottom"/>
            <w:gridSpan w:val="2"/>
            <w:shd w:val="clear" w:color="auto" w:fill="CFF0FC"/>
          </w:tcPr>
          <w:p>
            <w:pPr>
              <w:jc w:val="center"/>
              <w:ind w:left="173"/>
              <w:spacing w:after="0"/>
              <w:rPr>
                <w:sz w:val="20"/>
                <w:szCs w:val="20"/>
                <w:color w:val="auto"/>
              </w:rPr>
            </w:pPr>
            <w:r>
              <w:rPr>
                <w:rFonts w:ascii="Arial" w:cs="Arial" w:eastAsia="Arial" w:hAnsi="Arial"/>
                <w:sz w:val="18"/>
                <w:szCs w:val="18"/>
                <w:color w:val="auto"/>
                <w:w w:val="90"/>
              </w:rPr>
              <w:t>12.3%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5,478</w:t>
            </w:r>
          </w:p>
        </w:tc>
        <w:tc>
          <w:tcPr>
            <w:tcW w:w="1460" w:type="dxa"/>
            <w:vAlign w:val="bottom"/>
            <w:gridSpan w:val="2"/>
            <w:shd w:val="clear" w:color="auto" w:fill="CFF0FC"/>
          </w:tcPr>
          <w:p>
            <w:pPr>
              <w:jc w:val="center"/>
              <w:ind w:left="193"/>
              <w:spacing w:after="0"/>
              <w:rPr>
                <w:sz w:val="20"/>
                <w:szCs w:val="20"/>
                <w:color w:val="auto"/>
              </w:rPr>
            </w:pPr>
            <w:r>
              <w:rPr>
                <w:rFonts w:ascii="Arial" w:cs="Arial" w:eastAsia="Arial" w:hAnsi="Arial"/>
                <w:sz w:val="18"/>
                <w:szCs w:val="18"/>
                <w:color w:val="auto"/>
                <w:w w:val="92"/>
              </w:rPr>
              <w:t>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tcPr>
          <w:p>
            <w:pPr>
              <w:ind w:left="260"/>
              <w:spacing w:after="0"/>
              <w:rPr>
                <w:sz w:val="20"/>
                <w:szCs w:val="20"/>
                <w:color w:val="auto"/>
              </w:rPr>
            </w:pPr>
            <w:r>
              <w:rPr>
                <w:rFonts w:ascii="Arial" w:cs="Arial" w:eastAsia="Arial" w:hAnsi="Arial"/>
                <w:sz w:val="18"/>
                <w:szCs w:val="18"/>
                <w:color w:val="auto"/>
              </w:rPr>
              <w:t>Other services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w:t>
            </w:r>
          </w:p>
        </w:tc>
        <w:tc>
          <w:tcPr>
            <w:tcW w:w="1440" w:type="dxa"/>
            <w:vAlign w:val="bottom"/>
            <w:gridSpan w:val="2"/>
          </w:tcPr>
          <w:p>
            <w:pPr>
              <w:jc w:val="center"/>
              <w:ind w:left="173"/>
              <w:spacing w:after="0"/>
              <w:rPr>
                <w:sz w:val="20"/>
                <w:szCs w:val="20"/>
                <w:color w:val="auto"/>
              </w:rPr>
            </w:pPr>
            <w:r>
              <w:rPr>
                <w:rFonts w:ascii="Arial" w:cs="Arial" w:eastAsia="Arial" w:hAnsi="Arial"/>
                <w:sz w:val="18"/>
                <w:szCs w:val="18"/>
                <w:color w:val="auto"/>
                <w:w w:val="92"/>
              </w:rPr>
              <w:t>1.0%</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460" w:type="dxa"/>
            <w:vAlign w:val="bottom"/>
            <w:gridSpan w:val="2"/>
          </w:tcPr>
          <w:p>
            <w:pPr>
              <w:jc w:val="center"/>
              <w:ind w:left="193"/>
              <w:spacing w:after="0"/>
              <w:rPr>
                <w:sz w:val="20"/>
                <w:szCs w:val="20"/>
                <w:color w:val="auto"/>
              </w:rPr>
            </w:pPr>
            <w:r>
              <w:rPr>
                <w:rFonts w:ascii="Arial" w:cs="Arial" w:eastAsia="Arial" w:hAnsi="Arial"/>
                <w:sz w:val="18"/>
                <w:szCs w:val="18"/>
                <w:color w:val="auto"/>
                <w:w w:val="92"/>
              </w:rPr>
              <w:t>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top w:val="single" w:sz="8" w:color="CFF0FC"/>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79,140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81,327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6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8"/>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three months ended June 30, 2020, Fiber Infrastructure revenues totaled $79.1 million as compared to $81.3 million for the three months ended June 30, 2019. The decrease is primarily attributable to a $2.3 million decrease in non-recurring core and non-recurring equipment sales revenue. At June 30, 2020 we had approximately 24,288 customer connections, up from 19,707 customer connections at June 30, 2019.</w:t>
      </w:r>
    </w:p>
    <w:p>
      <w:pPr>
        <w:spacing w:after="0" w:line="16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June 30, 2020, we recognized $2.4 million of revenue from the Towers business, compared to $3.1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three months ended June 30, 2019. The decrease in revenue is due to the completed sale of our U.S. tower business on June 1, 2020.</w:t>
      </w:r>
    </w:p>
    <w:p>
      <w:pPr>
        <w:spacing w:after="0" w:line="14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three months ended June 30, 2020, we recognized revenue credits of $0.03 million from the Consumer CLEC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$2.9 million of revenue for the three months ended June 30, 2019. The decrease is attributable to the substantially completed wind down of the business during the quarter, which included credits to disconnected customers.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Pr>
          <w:p>
            <w:pPr>
              <w:spacing w:after="0"/>
              <w:rPr>
                <w:sz w:val="20"/>
                <w:szCs w:val="20"/>
                <w:color w:val="auto"/>
              </w:rPr>
            </w:pPr>
          </w:p>
        </w:tc>
        <w:tc>
          <w:tcPr>
            <w:tcW w:w="4200" w:type="dxa"/>
            <w:vAlign w:val="bottom"/>
            <w:gridSpan w:val="9"/>
            <w:vMerge w:val="restart"/>
          </w:tcPr>
          <w:p>
            <w:pPr>
              <w:jc w:val="right"/>
              <w:ind w:right="1120"/>
              <w:spacing w:after="0"/>
              <w:rPr>
                <w:sz w:val="20"/>
                <w:szCs w:val="20"/>
                <w:color w:val="auto"/>
              </w:rPr>
            </w:pPr>
            <w:r>
              <w:rPr>
                <w:rFonts w:ascii="Arial" w:cs="Arial" w:eastAsia="Arial" w:hAnsi="Arial"/>
                <w:sz w:val="18"/>
                <w:szCs w:val="18"/>
                <w:b w:val="1"/>
                <w:bCs w:val="1"/>
                <w:color w:val="auto"/>
              </w:rPr>
              <w:t>Three Months Ended June 30,</w:t>
            </w:r>
          </w:p>
        </w:tc>
        <w:tc>
          <w:tcPr>
            <w:tcW w:w="0" w:type="dxa"/>
            <w:vAlign w:val="bottom"/>
          </w:tcPr>
          <w:p>
            <w:pPr>
              <w:spacing w:after="0"/>
              <w:rPr>
                <w:sz w:val="1"/>
                <w:szCs w:val="1"/>
                <w:color w:val="auto"/>
              </w:rPr>
            </w:pPr>
          </w:p>
        </w:tc>
      </w:tr>
      <w:tr>
        <w:trPr>
          <w:trHeight w:val="229"/>
        </w:trPr>
        <w:tc>
          <w:tcPr>
            <w:tcW w:w="6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0" w:type="dxa"/>
            <w:vAlign w:val="bottom"/>
            <w:gridSpan w:val="9"/>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190"/>
              <w:spacing w:after="0" w:line="205" w:lineRule="exact"/>
              <w:rPr>
                <w:sz w:val="20"/>
                <w:szCs w:val="20"/>
                <w:color w:val="auto"/>
              </w:rPr>
            </w:pPr>
            <w:r>
              <w:rPr>
                <w:rFonts w:ascii="Arial" w:cs="Arial" w:eastAsia="Arial" w:hAnsi="Arial"/>
                <w:sz w:val="18"/>
                <w:szCs w:val="18"/>
                <w:b w:val="1"/>
                <w:bCs w:val="1"/>
                <w:color w:val="auto"/>
                <w:w w:val="96"/>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(Decrease)</w:t>
            </w:r>
          </w:p>
        </w:tc>
        <w:tc>
          <w:tcPr>
            <w:tcW w:w="0" w:type="dxa"/>
            <w:vAlign w:val="bottom"/>
          </w:tcPr>
          <w:p>
            <w:pPr>
              <w:spacing w:after="0"/>
              <w:rPr>
                <w:sz w:val="1"/>
                <w:szCs w:val="1"/>
                <w:color w:val="auto"/>
              </w:rPr>
            </w:pPr>
          </w:p>
        </w:tc>
      </w:tr>
      <w:tr>
        <w:trPr>
          <w:trHeight w:val="223"/>
        </w:trPr>
        <w:tc>
          <w:tcPr>
            <w:tcW w:w="6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37,229</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(34,399)</w:t>
            </w: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Senior secured notes - 6.00% and 7.875%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53,430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8,250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45,180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and 8.25%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37,030</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33,581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4,532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8,491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(3,959)</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1,109</w:t>
            </w:r>
          </w:p>
        </w:tc>
        <w:tc>
          <w:tcPr>
            <w:tcW w:w="3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ind w:left="500"/>
              <w:spacing w:after="0"/>
              <w:rPr>
                <w:sz w:val="20"/>
                <w:szCs w:val="20"/>
                <w:color w:val="auto"/>
              </w:rPr>
            </w:pPr>
            <w:r>
              <w:rPr>
                <w:rFonts w:ascii="Arial" w:cs="Arial" w:eastAsia="Arial" w:hAnsi="Arial"/>
                <w:sz w:val="18"/>
                <w:szCs w:val="18"/>
                <w:color w:val="auto"/>
              </w:rPr>
              <w:t>Total cash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98,931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88,171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80" w:type="dxa"/>
            <w:vAlign w:val="bottom"/>
            <w:gridSpan w:val="2"/>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8,958</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10,786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(1,828)</w:t>
            </w:r>
          </w:p>
        </w:tc>
        <w:tc>
          <w:tcPr>
            <w:tcW w:w="0" w:type="dxa"/>
            <w:vAlign w:val="bottom"/>
          </w:tcPr>
          <w:p>
            <w:pPr>
              <w:spacing w:after="0"/>
              <w:rPr>
                <w:sz w:val="1"/>
                <w:szCs w:val="1"/>
                <w:color w:val="auto"/>
              </w:rPr>
            </w:pPr>
          </w:p>
        </w:tc>
      </w:tr>
      <w:tr>
        <w:trPr>
          <w:trHeight w:val="230"/>
        </w:trPr>
        <w:tc>
          <w:tcPr>
            <w:tcW w:w="67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Capitalized Interest</w:t>
            </w:r>
          </w:p>
        </w:tc>
        <w:tc>
          <w:tcPr>
            <w:tcW w:w="26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(646)</w:t>
            </w: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(1,228)</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gridSpan w:val="2"/>
          </w:tcPr>
          <w:p>
            <w:pPr>
              <w:ind w:left="500"/>
              <w:spacing w:after="0"/>
              <w:rPr>
                <w:sz w:val="20"/>
                <w:szCs w:val="20"/>
                <w:color w:val="auto"/>
              </w:rPr>
            </w:pPr>
            <w:r>
              <w:rPr>
                <w:rFonts w:ascii="Arial" w:cs="Arial" w:eastAsia="Arial" w:hAnsi="Arial"/>
                <w:sz w:val="18"/>
                <w:szCs w:val="18"/>
                <w:color w:val="auto"/>
              </w:rPr>
              <w:t>Total non-cash interest</w:t>
            </w: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8,312</w:t>
            </w:r>
          </w:p>
        </w:tc>
        <w:tc>
          <w:tcPr>
            <w:tcW w:w="30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9,558</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FF0FC"/>
            </w:tcBorders>
            <w:gridSpan w:val="2"/>
            <w:shd w:val="clear" w:color="auto" w:fill="CFF0FC"/>
          </w:tcPr>
          <w:p>
            <w:pPr>
              <w:ind w:left="62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107,243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10</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Interest expense for the three months ended June 30, 2020 increased $9.5 million compared to the three months ended June 30, 2019. The increase is due to a cash interest expense of $44.3 million related to the 7.875% senior secured notes partially offset by a decrease of $34.4 million in cash interest expense related to the repayment of senior secured term loan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52,405</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19.6%</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72,275</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32,279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28,494</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1,412</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depreciation and amortization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84,969</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31.8%</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102,578</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38.8%</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three months ended June 30, 2020 totaled $85.0 million, which included $77.2 million of depreciation expense and $7.8 million of amortization expense. Charges for depreciation and amortization for the three months ended June 30, 2019 totaled $102.6 million, which included $96.5 million of depreciation expense and $6.1 million of amortization expense.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5"/>
            <w:vMerge w:val="restart"/>
          </w:tcPr>
          <w:p>
            <w:pPr>
              <w:ind w:left="60"/>
              <w:spacing w:after="0"/>
              <w:rPr>
                <w:sz w:val="20"/>
                <w:szCs w:val="20"/>
                <w:color w:val="auto"/>
              </w:rPr>
            </w:pPr>
            <w:r>
              <w:rPr>
                <w:rFonts w:ascii="Arial" w:cs="Arial" w:eastAsia="Arial" w:hAnsi="Arial"/>
                <w:sz w:val="18"/>
                <w:szCs w:val="18"/>
                <w:b w:val="1"/>
                <w:bCs w:val="1"/>
                <w:color w:val="auto"/>
              </w:rPr>
              <w:t>Three Months Ended June 30,</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1,774</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0.7%</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886</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13,731</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15,257</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1,656</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11,306</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4.2%</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3.3%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27,894</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10.5%</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26,428</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10.0%</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General and administrative expenses include compensation costs, including stock-based compensation awards, professional and legal services, corporate office costs and other costs associated with administrative activities. For the three months ended June 30, 2020, general and administrative costs totaled $27.9 million, which includes $4.1 million of stock-based compensation. For the three months ended June 30, 2019, general and administrative costs totaled $26.4 million, which included $3.2 million of stock-based compensation expense.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Operating expense for the three months ended June 30, 2020 remained essentially flat from the three months ended June 30, 2019, which was primarily attributable to an increase in Fiber Infrastructure operating expenses discussed below offset by a decrease in Consumer CLEC business operating expenses discussed below. Operating expense for our reportable segments for the three months ended June 30, 2020 and 2019 consisted of the following:</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ind w:left="240"/>
              <w:spacing w:after="0"/>
              <w:rPr>
                <w:sz w:val="20"/>
                <w:szCs w:val="20"/>
                <w:color w:val="auto"/>
              </w:rPr>
            </w:pPr>
            <w:r>
              <w:rPr>
                <w:rFonts w:ascii="Arial" w:cs="Arial" w:eastAsia="Arial" w:hAnsi="Arial"/>
                <w:sz w:val="18"/>
                <w:szCs w:val="18"/>
                <w:b w:val="1"/>
                <w:bCs w:val="1"/>
                <w:color w:val="auto"/>
                <w:w w:val="91"/>
              </w:rPr>
              <w:t>Three Months Ended June 30,</w:t>
            </w: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11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2"/>
          </w:tcPr>
          <w:p>
            <w:pPr>
              <w:jc w:val="right"/>
              <w:ind w:right="11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rPr>
              <w:t>% of</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 of Consolidated</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2"/>
                <w:szCs w:val="12"/>
                <w:color w:val="auto"/>
              </w:rPr>
            </w:pPr>
          </w:p>
        </w:tc>
        <w:tc>
          <w:tcPr>
            <w:tcW w:w="14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00" w:type="dxa"/>
            <w:vAlign w:val="bottom"/>
          </w:tcPr>
          <w:p>
            <w:pPr>
              <w:spacing w:after="0"/>
              <w:rPr>
                <w:sz w:val="12"/>
                <w:szCs w:val="12"/>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Fiber Infrastructure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37,697</w:t>
            </w:r>
          </w:p>
        </w:tc>
        <w:tc>
          <w:tcPr>
            <w:tcW w:w="1400" w:type="dxa"/>
            <w:vAlign w:val="bottom"/>
            <w:gridSpan w:val="2"/>
          </w:tcPr>
          <w:p>
            <w:pPr>
              <w:jc w:val="center"/>
              <w:ind w:left="214"/>
              <w:spacing w:after="0"/>
              <w:rPr>
                <w:sz w:val="20"/>
                <w:szCs w:val="20"/>
                <w:color w:val="auto"/>
              </w:rPr>
            </w:pPr>
            <w:r>
              <w:rPr>
                <w:rFonts w:ascii="Arial" w:cs="Arial" w:eastAsia="Arial" w:hAnsi="Arial"/>
                <w:sz w:val="18"/>
                <w:szCs w:val="18"/>
                <w:color w:val="auto"/>
                <w:w w:val="90"/>
              </w:rPr>
              <w:t>14.2%</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35,518</w:t>
            </w:r>
          </w:p>
        </w:tc>
        <w:tc>
          <w:tcPr>
            <w:tcW w:w="80" w:type="dxa"/>
            <w:vAlign w:val="bottom"/>
          </w:tcPr>
          <w:p>
            <w:pPr>
              <w:spacing w:after="0"/>
              <w:rPr>
                <w:sz w:val="19"/>
                <w:szCs w:val="19"/>
                <w:color w:val="auto"/>
              </w:rPr>
            </w:pPr>
          </w:p>
        </w:tc>
        <w:tc>
          <w:tcPr>
            <w:tcW w:w="1600" w:type="dxa"/>
            <w:vAlign w:val="bottom"/>
            <w:gridSpan w:val="2"/>
          </w:tcPr>
          <w:p>
            <w:pPr>
              <w:jc w:val="center"/>
              <w:ind w:left="134"/>
              <w:spacing w:after="0"/>
              <w:rPr>
                <w:sz w:val="20"/>
                <w:szCs w:val="20"/>
                <w:color w:val="auto"/>
              </w:rPr>
            </w:pPr>
            <w:r>
              <w:rPr>
                <w:rFonts w:ascii="Arial" w:cs="Arial" w:eastAsia="Arial" w:hAnsi="Arial"/>
                <w:sz w:val="18"/>
                <w:szCs w:val="18"/>
                <w:color w:val="auto"/>
                <w:w w:val="90"/>
              </w:rPr>
              <w:t>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1,430</w:t>
            </w:r>
          </w:p>
        </w:tc>
        <w:tc>
          <w:tcPr>
            <w:tcW w:w="14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0.5%</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1,887</w:t>
            </w: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ind w:left="134"/>
              <w:spacing w:after="0"/>
              <w:rPr>
                <w:sz w:val="20"/>
                <w:szCs w:val="20"/>
                <w:color w:val="auto"/>
              </w:rPr>
            </w:pPr>
            <w:r>
              <w:rPr>
                <w:rFonts w:ascii="Arial" w:cs="Arial" w:eastAsia="Arial" w:hAnsi="Arial"/>
                <w:sz w:val="18"/>
                <w:szCs w:val="18"/>
                <w:color w:val="auto"/>
                <w:w w:val="92"/>
              </w:rPr>
              <w:t>0.7%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172</w:t>
            </w:r>
          </w:p>
        </w:tc>
        <w:tc>
          <w:tcPr>
            <w:tcW w:w="1400" w:type="dxa"/>
            <w:vAlign w:val="bottom"/>
            <w:gridSpan w:val="2"/>
          </w:tcPr>
          <w:p>
            <w:pPr>
              <w:jc w:val="center"/>
              <w:ind w:left="214"/>
              <w:spacing w:after="0"/>
              <w:rPr>
                <w:sz w:val="20"/>
                <w:szCs w:val="20"/>
                <w:color w:val="auto"/>
              </w:rPr>
            </w:pPr>
            <w:r>
              <w:rPr>
                <w:rFonts w:ascii="Arial" w:cs="Arial" w:eastAsia="Arial" w:hAnsi="Arial"/>
                <w:sz w:val="18"/>
                <w:szCs w:val="18"/>
                <w:color w:val="auto"/>
                <w:w w:val="92"/>
              </w:rPr>
              <w:t>0.1%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2,334</w:t>
            </w:r>
          </w:p>
        </w:tc>
        <w:tc>
          <w:tcPr>
            <w:tcW w:w="80" w:type="dxa"/>
            <w:vAlign w:val="bottom"/>
          </w:tcPr>
          <w:p>
            <w:pPr>
              <w:spacing w:after="0"/>
              <w:rPr>
                <w:sz w:val="19"/>
                <w:szCs w:val="19"/>
                <w:color w:val="auto"/>
              </w:rPr>
            </w:pPr>
          </w:p>
        </w:tc>
        <w:tc>
          <w:tcPr>
            <w:tcW w:w="1600" w:type="dxa"/>
            <w:vAlign w:val="bottom"/>
            <w:gridSpan w:val="2"/>
          </w:tcPr>
          <w:p>
            <w:pPr>
              <w:jc w:val="center"/>
              <w:ind w:left="134"/>
              <w:spacing w:after="0"/>
              <w:rPr>
                <w:sz w:val="20"/>
                <w:szCs w:val="20"/>
                <w:color w:val="auto"/>
              </w:rPr>
            </w:pPr>
            <w:r>
              <w:rPr>
                <w:rFonts w:ascii="Arial" w:cs="Arial" w:eastAsia="Arial" w:hAnsi="Arial"/>
                <w:sz w:val="18"/>
                <w:szCs w:val="18"/>
                <w:color w:val="auto"/>
                <w:w w:val="92"/>
              </w:rPr>
              <w:t>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w:t>
            </w:r>
          </w:p>
        </w:tc>
        <w:tc>
          <w:tcPr>
            <w:tcW w:w="1400" w:type="dxa"/>
            <w:vAlign w:val="bottom"/>
            <w:gridSpan w:val="2"/>
            <w:shd w:val="clear" w:color="auto" w:fill="CFF0FC"/>
          </w:tcPr>
          <w:p>
            <w:pPr>
              <w:jc w:val="center"/>
              <w:ind w:left="214"/>
              <w:spacing w:after="0"/>
              <w:rPr>
                <w:sz w:val="20"/>
                <w:szCs w:val="20"/>
                <w:color w:val="auto"/>
              </w:rPr>
            </w:pPr>
            <w:r>
              <w:rPr>
                <w:rFonts w:ascii="Arial" w:cs="Arial" w:eastAsia="Arial" w:hAnsi="Arial"/>
                <w:sz w:val="18"/>
                <w:szCs w:val="18"/>
                <w:color w:val="auto"/>
                <w:w w:val="92"/>
              </w:rPr>
              <w:t>0.3%</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center"/>
              <w:ind w:left="134"/>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gridSpan w:val="2"/>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40,167</w:t>
            </w:r>
          </w:p>
        </w:tc>
        <w:tc>
          <w:tcPr>
            <w:tcW w:w="3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15.1%</w:t>
            </w:r>
          </w:p>
        </w:tc>
        <w:tc>
          <w:tcPr>
            <w:tcW w:w="3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40,163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three months ended June 30, 2020, Fiber Infrastructure operating expenses totaled $37.7 million as compared to $35.5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June 30, 2019. Operating expense consists of network related costs, such as dark fiber and tower rents, and lit service and maintenance expense. In addition, costs associated with our construction activities are presented within operating expenses.</w:t>
      </w:r>
    </w:p>
    <w:p>
      <w:pPr>
        <w:spacing w:after="0" w:line="165"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operating expense was $1.4 million and $1.9 million for the three months ended June 30, 2020 and 2019, respectively. The decrease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expense is primarily attributable to the April 2, 2019 sale of the Latin American business and the completed sale of our U.S. tower business on June 1, 2020.</w:t>
      </w:r>
    </w:p>
    <w:p>
      <w:pPr>
        <w:spacing w:after="0" w:line="18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Consumer CLEC business operating expense was $0.2 million and $2.3 million for the three months ended June 30, 2020 and</w:t>
      </w:r>
      <w:r>
        <w:rPr>
          <w:rFonts w:ascii="Arial" w:cs="Arial" w:eastAsia="Arial" w:hAnsi="Arial"/>
          <w:sz w:val="18"/>
          <w:szCs w:val="18"/>
          <w:i w:val="1"/>
          <w:iCs w:val="1"/>
          <w:color w:val="auto"/>
        </w:rPr>
        <w:t xml:space="preserve"> </w:t>
      </w:r>
      <w:r>
        <w:rPr>
          <w:rFonts w:ascii="Arial" w:cs="Arial" w:eastAsia="Arial" w:hAnsi="Arial"/>
          <w:sz w:val="18"/>
          <w:szCs w:val="18"/>
          <w:color w:val="auto"/>
        </w:rPr>
        <w:t>2019, respectively. The decrease is due to the substantially completed wind down of our Consumer CLEC business.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u w:val="single" w:color="auto"/>
          <w:color w:val="auto"/>
        </w:rPr>
        <w:t>Leasing</w:t>
      </w:r>
      <w:r>
        <w:rPr>
          <w:rFonts w:ascii="Arial" w:cs="Arial" w:eastAsia="Arial" w:hAnsi="Arial"/>
          <w:sz w:val="18"/>
          <w:szCs w:val="18"/>
          <w:i w:val="1"/>
          <w:iCs w:val="1"/>
          <w:color w:val="auto"/>
        </w:rPr>
        <w:t xml:space="preserve"> </w:t>
      </w:r>
      <w:r>
        <w:rPr>
          <w:rFonts w:ascii="Arial" w:cs="Arial" w:eastAsia="Arial" w:hAnsi="Arial"/>
          <w:sz w:val="18"/>
          <w:szCs w:val="18"/>
          <w:color w:val="auto"/>
        </w:rPr>
        <w:t>– Leasing operating expense was $0.9 million and $0.4 million for the three months ended June 30, 2020 and 2019, respectively. The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driven by a $0.4 million increase in rent expense related to the Bluebird acquisition, completed August 30,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three months ended June 30, 2020, we incurred $18.6 million of transaction related and other costs, compared to $7.0 million of such costs during the three months ended June 30, 2019. The increase is primarily related to (i) $10.8 million of total costs related to the Windstream bankruptcy and (ii) $3.8 million related to the sale of the U.S. towers business during the quarter.</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The recorded income tax (benefit) expense recorded for the three months ended June 30, 2020 and 2019, respectively, is related to the tax impact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80" w:type="dxa"/>
            <w:vAlign w:val="bottom"/>
            <w:gridSpan w:val="6"/>
          </w:tcPr>
          <w:p>
            <w:pPr>
              <w:jc w:val="right"/>
              <w:ind w:right="580"/>
              <w:spacing w:after="0"/>
              <w:rPr>
                <w:sz w:val="20"/>
                <w:szCs w:val="20"/>
                <w:color w:val="auto"/>
              </w:rPr>
            </w:pPr>
            <w:r>
              <w:rPr>
                <w:rFonts w:ascii="Arial" w:cs="Arial" w:eastAsia="Arial" w:hAnsi="Arial"/>
                <w:sz w:val="18"/>
                <w:szCs w:val="18"/>
                <w:b w:val="1"/>
                <w:bCs w:val="1"/>
                <w:color w:val="auto"/>
                <w:w w:val="97"/>
              </w:rPr>
              <w:t>Three Months Ended June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Pre-tax loss (Fiber Infrastructure)</w:t>
            </w:r>
          </w:p>
        </w:tc>
        <w:tc>
          <w:tcPr>
            <w:tcW w:w="50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(6,149)</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Gain from sale of Uniti Towers' Latin American business</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4,600</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Uniti Towers' Latin American business unrecognized tax benefit</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income tax (benefit) expense</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(5,875)</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7,843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six months ended June 30, 2020 and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periods indicated, our results of operations expressed as dollars and as a percentage of total revenues: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jc w:val="right"/>
              <w:ind w:right="780"/>
              <w:spacing w:after="0"/>
              <w:rPr>
                <w:sz w:val="20"/>
                <w:szCs w:val="20"/>
                <w:color w:val="auto"/>
              </w:rPr>
            </w:pPr>
            <w:r>
              <w:rPr>
                <w:rFonts w:ascii="Arial" w:cs="Arial" w:eastAsia="Arial" w:hAnsi="Arial"/>
                <w:sz w:val="14"/>
                <w:szCs w:val="14"/>
                <w:b w:val="1"/>
                <w:bCs w:val="1"/>
                <w:color w:val="auto"/>
              </w:rPr>
              <w:t>Six Months Ended June 30,</w:t>
            </w: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50"/>
        </w:trPr>
        <w:tc>
          <w:tcPr>
            <w:tcW w:w="5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112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2019</w:t>
            </w:r>
          </w:p>
        </w:tc>
        <w:tc>
          <w:tcPr>
            <w:tcW w:w="1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7"/>
        </w:trPr>
        <w:tc>
          <w:tcPr>
            <w:tcW w:w="5500" w:type="dxa"/>
            <w:vAlign w:val="bottom"/>
          </w:tcPr>
          <w:p>
            <w:pPr>
              <w:spacing w:after="0"/>
              <w:rPr>
                <w:sz w:val="20"/>
                <w:szCs w:val="20"/>
                <w:color w:val="auto"/>
              </w:rPr>
            </w:pPr>
            <w:r>
              <w:rPr>
                <w:rFonts w:ascii="Arial" w:cs="Arial" w:eastAsia="Arial" w:hAnsi="Arial"/>
                <w:sz w:val="14"/>
                <w:szCs w:val="14"/>
                <w:color w:val="auto"/>
              </w:rPr>
              <w:t>(Thousands)</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 of Revenues</w:t>
            </w:r>
          </w:p>
        </w:tc>
        <w:tc>
          <w:tcPr>
            <w:tcW w:w="180" w:type="dxa"/>
            <w:vAlign w:val="bottom"/>
          </w:tcPr>
          <w:p>
            <w:pPr>
              <w:spacing w:after="0"/>
              <w:rPr>
                <w:sz w:val="20"/>
                <w:szCs w:val="20"/>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Amount</w:t>
            </w: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 of Revenues</w:t>
            </w:r>
          </w:p>
        </w:tc>
      </w:tr>
      <w:tr>
        <w:trPr>
          <w:trHeight w:val="223"/>
        </w:trPr>
        <w:tc>
          <w:tcPr>
            <w:tcW w:w="55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Leasing</w:t>
            </w:r>
          </w:p>
        </w:tc>
        <w:tc>
          <w:tcPr>
            <w:tcW w:w="4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369,672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69.4%</w:t>
            </w:r>
          </w:p>
        </w:tc>
        <w:tc>
          <w:tcPr>
            <w:tcW w:w="30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353,125</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67.2%</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29.4%</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30.1%</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Tower</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6,112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1.1%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8,226</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80" w:type="dxa"/>
            <w:vAlign w:val="bottom"/>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300" w:type="dxa"/>
            <w:vAlign w:val="bottom"/>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1.1%</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532,982</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525,445</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Pr>
          <w:p>
            <w:pPr>
              <w:spacing w:after="0"/>
              <w:rPr>
                <w:sz w:val="19"/>
                <w:szCs w:val="19"/>
                <w:color w:val="auto"/>
              </w:rPr>
            </w:pPr>
          </w:p>
        </w:tc>
      </w:tr>
      <w:tr>
        <w:trPr>
          <w:trHeight w:val="237"/>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Costs and Expenses:</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0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1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CFF0FC"/>
            </w:tcBorders>
            <w:shd w:val="clear" w:color="auto" w:fill="CFF0FC"/>
          </w:tcPr>
          <w:p>
            <w:pPr>
              <w:spacing w:after="0"/>
              <w:rPr>
                <w:sz w:val="20"/>
                <w:szCs w:val="20"/>
                <w:color w:val="auto"/>
              </w:rPr>
            </w:pPr>
          </w:p>
        </w:tc>
        <w:tc>
          <w:tcPr>
            <w:tcW w:w="1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285,636</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53.6%</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182,187</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3"/>
              </w:rPr>
              <w:t>34.7%</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171,090</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32.1%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206,405</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39.2%</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General and administrative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55,027</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10.3%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50,654</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9.6%</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expense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80,477</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15.1%</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78,581</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15.0%</w:t>
            </w:r>
          </w:p>
        </w:tc>
        <w:tc>
          <w:tcPr>
            <w:tcW w:w="120" w:type="dxa"/>
            <w:vAlign w:val="bottom"/>
            <w:shd w:val="clear" w:color="auto" w:fill="CFF0FC"/>
          </w:tcPr>
          <w:p>
            <w:pPr>
              <w:spacing w:after="0"/>
              <w:rPr>
                <w:sz w:val="19"/>
                <w:szCs w:val="19"/>
                <w:color w:val="auto"/>
              </w:rPr>
            </w:pPr>
          </w:p>
        </w:tc>
      </w:tr>
      <w:tr>
        <w:trPr>
          <w:trHeight w:val="229"/>
        </w:trPr>
        <w:tc>
          <w:tcPr>
            <w:tcW w:w="5500" w:type="dxa"/>
            <w:vAlign w:val="bottom"/>
          </w:tcPr>
          <w:p>
            <w:pPr>
              <w:ind w:left="260"/>
              <w:spacing w:after="0"/>
              <w:rPr>
                <w:sz w:val="20"/>
                <w:szCs w:val="20"/>
                <w:color w:val="auto"/>
              </w:rPr>
            </w:pPr>
            <w:r>
              <w:rPr>
                <w:rFonts w:ascii="Arial" w:cs="Arial" w:eastAsia="Arial" w:hAnsi="Arial"/>
                <w:sz w:val="18"/>
                <w:szCs w:val="18"/>
                <w:color w:val="auto"/>
              </w:rPr>
              <w:t>Settlement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650,000</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0.0%</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Transaction related and other costs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6.5%</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2.6%</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Gain on sale of real estate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(63,818)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(12.0%)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(28,790)</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(5.4%)</w:t>
            </w:r>
          </w:p>
        </w:tc>
        <w:tc>
          <w:tcPr>
            <w:tcW w:w="120" w:type="dxa"/>
            <w:vAlign w:val="bottom"/>
          </w:tcPr>
          <w:p>
            <w:pPr>
              <w:spacing w:after="0"/>
              <w:rPr>
                <w:sz w:val="19"/>
                <w:szCs w:val="19"/>
                <w:color w:val="auto"/>
              </w:rPr>
            </w:pPr>
          </w:p>
        </w:tc>
      </w:tr>
      <w:tr>
        <w:trPr>
          <w:trHeight w:val="229"/>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expense (income)</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9,088</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1.7%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(31,232)</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(5.9%)</w:t>
            </w:r>
          </w:p>
        </w:tc>
        <w:tc>
          <w:tcPr>
            <w:tcW w:w="120" w:type="dxa"/>
            <w:vAlign w:val="bottom"/>
            <w:shd w:val="clear" w:color="auto" w:fill="CFF0FC"/>
          </w:tcPr>
          <w:p>
            <w:pPr>
              <w:spacing w:after="0"/>
              <w:rPr>
                <w:sz w:val="19"/>
                <w:szCs w:val="19"/>
                <w:color w:val="auto"/>
              </w:rPr>
            </w:pPr>
          </w:p>
        </w:tc>
      </w:tr>
      <w:tr>
        <w:trPr>
          <w:trHeight w:val="223"/>
        </w:trPr>
        <w:tc>
          <w:tcPr>
            <w:tcW w:w="550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1,222,028</w:t>
            </w:r>
          </w:p>
        </w:tc>
        <w:tc>
          <w:tcPr>
            <w:tcW w:w="280" w:type="dxa"/>
            <w:vAlign w:val="bottom"/>
            <w:tcBorders>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229.3%</w:t>
            </w:r>
          </w:p>
        </w:tc>
        <w:tc>
          <w:tcPr>
            <w:tcW w:w="30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471,509</w:t>
            </w:r>
          </w:p>
        </w:tc>
        <w:tc>
          <w:tcPr>
            <w:tcW w:w="300" w:type="dxa"/>
            <w:vAlign w:val="bottom"/>
            <w:tcBorders>
              <w:bottom w:val="single" w:sz="8" w:color="CFF0FC"/>
            </w:tcBorders>
          </w:tcPr>
          <w:p>
            <w:pPr>
              <w:spacing w:after="0"/>
              <w:rPr>
                <w:sz w:val="19"/>
                <w:szCs w:val="19"/>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89.8%</w:t>
            </w:r>
          </w:p>
        </w:tc>
        <w:tc>
          <w:tcPr>
            <w:tcW w:w="120" w:type="dxa"/>
            <w:vAlign w:val="bottom"/>
            <w:tcBorders>
              <w:bottom w:val="single" w:sz="8" w:color="CFF0FC"/>
            </w:tcBorders>
          </w:tcPr>
          <w:p>
            <w:pPr>
              <w:spacing w:after="0"/>
              <w:rPr>
                <w:sz w:val="19"/>
                <w:szCs w:val="19"/>
                <w:color w:val="auto"/>
              </w:rPr>
            </w:pPr>
          </w:p>
        </w:tc>
      </w:tr>
      <w:tr>
        <w:trPr>
          <w:trHeight w:val="223"/>
        </w:trPr>
        <w:tc>
          <w:tcPr>
            <w:tcW w:w="5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(689,046)</w:t>
            </w: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(129.3%)</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53,936</w:t>
            </w:r>
          </w:p>
        </w:tc>
        <w:tc>
          <w:tcPr>
            <w:tcW w:w="30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10.2%</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Income tax (benefit) expense</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(10,451)</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(1.9%)</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11,897</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(127.3%)</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8.0%</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50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(11,998)</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(2.3%)</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880</w:t>
            </w:r>
          </w:p>
        </w:tc>
        <w:tc>
          <w:tcPr>
            <w:tcW w:w="30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0.2%</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shareholders</w:t>
            </w:r>
          </w:p>
        </w:tc>
        <w:tc>
          <w:tcPr>
            <w:tcW w:w="2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(666,597)</w:t>
            </w:r>
          </w:p>
        </w:tc>
        <w:tc>
          <w:tcPr>
            <w:tcW w:w="280" w:type="dxa"/>
            <w:vAlign w:val="bottom"/>
            <w:tcBorders>
              <w:top w:val="single" w:sz="8" w:color="CFF0FC"/>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(125.1%)</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41,159</w:t>
            </w: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7.8%</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Participating securities' share in earnings</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(624)</w:t>
            </w:r>
          </w:p>
        </w:tc>
        <w:tc>
          <w:tcPr>
            <w:tcW w:w="1120" w:type="dxa"/>
            <w:vAlign w:val="bottom"/>
          </w:tcPr>
          <w:p>
            <w:pPr>
              <w:jc w:val="center"/>
              <w:spacing w:after="0"/>
              <w:rPr>
                <w:sz w:val="20"/>
                <w:szCs w:val="20"/>
                <w:color w:val="auto"/>
              </w:rPr>
            </w:pPr>
            <w:r>
              <w:rPr>
                <w:rFonts w:ascii="Arial" w:cs="Arial" w:eastAsia="Arial" w:hAnsi="Arial"/>
                <w:sz w:val="18"/>
                <w:szCs w:val="18"/>
                <w:color w:val="auto"/>
                <w:w w:val="94"/>
              </w:rPr>
              <w:t>(0.1%)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(251)</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(0.0%)</w:t>
            </w:r>
          </w:p>
        </w:tc>
        <w:tc>
          <w:tcPr>
            <w:tcW w:w="120" w:type="dxa"/>
            <w:vAlign w:val="bottom"/>
          </w:tcPr>
          <w:p>
            <w:pPr>
              <w:spacing w:after="0"/>
              <w:rPr>
                <w:sz w:val="19"/>
                <w:szCs w:val="19"/>
                <w:color w:val="auto"/>
              </w:rPr>
            </w:pPr>
          </w:p>
        </w:tc>
      </w:tr>
      <w:tr>
        <w:trPr>
          <w:trHeight w:val="230"/>
        </w:trPr>
        <w:tc>
          <w:tcPr>
            <w:tcW w:w="5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Dividends declared on convertible preferred stock</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w:t>
            </w:r>
          </w:p>
        </w:tc>
        <w:tc>
          <w:tcPr>
            <w:tcW w:w="11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(0.0%)</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(656)</w:t>
            </w: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w:t>
            </w:r>
          </w:p>
        </w:tc>
        <w:tc>
          <w:tcPr>
            <w:tcW w:w="120" w:type="dxa"/>
            <w:vAlign w:val="bottom"/>
            <w:shd w:val="clear" w:color="auto" w:fill="CFF0FC"/>
          </w:tcPr>
          <w:p>
            <w:pPr>
              <w:spacing w:after="0"/>
              <w:rPr>
                <w:sz w:val="19"/>
                <w:szCs w:val="19"/>
                <w:color w:val="auto"/>
              </w:rPr>
            </w:pPr>
          </w:p>
        </w:tc>
      </w:tr>
      <w:tr>
        <w:trPr>
          <w:trHeight w:val="230"/>
        </w:trPr>
        <w:tc>
          <w:tcPr>
            <w:tcW w:w="5500" w:type="dxa"/>
            <w:vAlign w:val="bottom"/>
          </w:tcPr>
          <w:p>
            <w:pPr>
              <w:ind w:left="260"/>
              <w:spacing w:after="0"/>
              <w:rPr>
                <w:sz w:val="20"/>
                <w:szCs w:val="20"/>
                <w:color w:val="auto"/>
              </w:rPr>
            </w:pPr>
            <w:r>
              <w:rPr>
                <w:rFonts w:ascii="Arial" w:cs="Arial" w:eastAsia="Arial" w:hAnsi="Arial"/>
                <w:sz w:val="18"/>
                <w:szCs w:val="18"/>
                <w:color w:val="auto"/>
              </w:rPr>
              <w:t>Amortization of discount on convertible preferred stock</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(993)</w:t>
            </w: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(0.2%)</w:t>
            </w:r>
          </w:p>
        </w:tc>
        <w:tc>
          <w:tcPr>
            <w:tcW w:w="120" w:type="dxa"/>
            <w:vAlign w:val="bottom"/>
          </w:tcPr>
          <w:p>
            <w:pPr>
              <w:spacing w:after="0"/>
              <w:rPr>
                <w:sz w:val="19"/>
                <w:szCs w:val="19"/>
                <w:color w:val="auto"/>
              </w:rPr>
            </w:pPr>
          </w:p>
        </w:tc>
      </w:tr>
      <w:tr>
        <w:trPr>
          <w:trHeight w:val="223"/>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income attributable to common shareholders</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(125.2%)</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39,259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7.5%</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set forth, for the six months ended June 30, 2020 and 2019, revenues, Adjusted EBITDA and net (loss) income of our reportable segments:</w:t>
      </w:r>
    </w:p>
    <w:p>
      <w:pPr>
        <w:spacing w:after="0" w:line="193"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Six Months Ended June 30, 2020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2"/>
              </w:rPr>
              <w:t>Subtotal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w w:val="95"/>
              </w:rPr>
              <w:t>Fiber Infrastructure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Towers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7"/>
              </w:rPr>
              <w:t>Consumer CLEC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Reportable</w:t>
            </w:r>
          </w:p>
        </w:tc>
        <w:tc>
          <w:tcPr>
            <w:tcW w:w="0" w:type="dxa"/>
            <w:vAlign w:val="bottom"/>
          </w:tcPr>
          <w:p>
            <w:pPr>
              <w:spacing w:after="0"/>
              <w:rPr>
                <w:sz w:val="1"/>
                <w:szCs w:val="1"/>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Revenues</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369,672</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156,547</w:t>
            </w: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6,112</w:t>
            </w: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532,982</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364,689</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56,034</w:t>
            </w:r>
          </w:p>
        </w:tc>
        <w:tc>
          <w:tcPr>
            <w:tcW w:w="640" w:type="dxa"/>
            <w:vAlign w:val="bottom"/>
            <w:gridSpan w:val="3"/>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4"/>
            <w:shd w:val="clear" w:color="auto" w:fill="CFF0FC"/>
          </w:tcPr>
          <w:p>
            <w:pPr>
              <w:jc w:val="right"/>
              <w:ind w:right="47"/>
              <w:spacing w:after="0"/>
              <w:rPr>
                <w:sz w:val="20"/>
                <w:szCs w:val="20"/>
                <w:color w:val="auto"/>
              </w:rPr>
            </w:pPr>
            <w:r>
              <w:rPr>
                <w:rFonts w:ascii="Arial" w:cs="Arial" w:eastAsia="Arial" w:hAnsi="Arial"/>
                <w:sz w:val="18"/>
                <w:szCs w:val="18"/>
                <w:color w:val="auto"/>
              </w:rPr>
              <w:t>(275)</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(15,942)</w:t>
            </w:r>
          </w:p>
        </w:tc>
        <w:tc>
          <w:tcPr>
            <w:tcW w:w="3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404,583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3"/>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285,636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107,027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62,340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783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791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149</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171,090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9,088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Settlement expense</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650,000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Transaction related and</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34,528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shd w:val="clear" w:color="auto" w:fill="CFF0FC"/>
          </w:tcPr>
          <w:p>
            <w:pPr>
              <w:ind w:left="140"/>
              <w:spacing w:after="0"/>
              <w:rPr>
                <w:sz w:val="20"/>
                <w:szCs w:val="20"/>
                <w:color w:val="auto"/>
              </w:rPr>
            </w:pPr>
            <w:r>
              <w:rPr>
                <w:rFonts w:ascii="Arial" w:cs="Arial" w:eastAsia="Arial" w:hAnsi="Arial"/>
                <w:sz w:val="18"/>
                <w:szCs w:val="18"/>
                <w:color w:val="auto"/>
              </w:rPr>
              <w:t>other costs</w:t>
            </w:r>
          </w:p>
        </w:tc>
        <w:tc>
          <w:tcPr>
            <w:tcW w:w="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3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66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92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Gain on sale of real estate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(63,818)</w:t>
            </w: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7,105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Income tax benefit</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(10,451)</w:t>
            </w:r>
          </w:p>
        </w:tc>
        <w:tc>
          <w:tcPr>
            <w:tcW w:w="0" w:type="dxa"/>
            <w:vAlign w:val="bottom"/>
          </w:tcPr>
          <w:p>
            <w:pPr>
              <w:spacing w:after="0"/>
              <w:rPr>
                <w:sz w:val="1"/>
                <w:szCs w:val="1"/>
                <w:color w:val="auto"/>
              </w:rPr>
            </w:pPr>
          </w:p>
        </w:tc>
      </w:tr>
      <w:tr>
        <w:trPr>
          <w:trHeight w:val="223"/>
        </w:trPr>
        <w:tc>
          <w:tcPr>
            <w:tcW w:w="2380" w:type="dxa"/>
            <w:vAlign w:val="bottom"/>
            <w:tcBorders>
              <w:top w:val="single" w:sz="8" w:color="CFF0FC"/>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loss</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6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60" w:type="dxa"/>
            <w:vAlign w:val="bottom"/>
            <w:gridSpan w:val="10"/>
            <w:vMerge w:val="restart"/>
          </w:tcPr>
          <w:p>
            <w:pPr>
              <w:jc w:val="right"/>
              <w:ind w:right="420"/>
              <w:spacing w:after="0"/>
              <w:rPr>
                <w:sz w:val="20"/>
                <w:szCs w:val="20"/>
                <w:color w:val="auto"/>
              </w:rPr>
            </w:pPr>
            <w:r>
              <w:rPr>
                <w:rFonts w:ascii="Arial" w:cs="Arial" w:eastAsia="Arial" w:hAnsi="Arial"/>
                <w:sz w:val="18"/>
                <w:szCs w:val="18"/>
                <w:b w:val="1"/>
                <w:bCs w:val="1"/>
                <w:color w:val="auto"/>
                <w:w w:val="90"/>
              </w:rPr>
              <w:t>Six Months Ended June 30, 2019</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3"/>
        </w:trPr>
        <w:tc>
          <w:tcPr>
            <w:tcW w:w="2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10"/>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tcPr>
          <w:p>
            <w:pPr>
              <w:jc w:val="center"/>
              <w:ind w:right="113"/>
              <w:spacing w:after="0" w:line="133" w:lineRule="exact"/>
              <w:rPr>
                <w:sz w:val="20"/>
                <w:szCs w:val="20"/>
                <w:color w:val="auto"/>
              </w:rPr>
            </w:pPr>
            <w:r>
              <w:rPr>
                <w:rFonts w:ascii="Arial" w:cs="Arial" w:eastAsia="Arial" w:hAnsi="Arial"/>
                <w:sz w:val="14"/>
                <w:szCs w:val="14"/>
                <w:b w:val="1"/>
                <w:bCs w:val="1"/>
                <w:color w:val="auto"/>
                <w:w w:val="92"/>
              </w:rPr>
              <w:t>Subtotal of</w:t>
            </w:r>
          </w:p>
        </w:tc>
        <w:tc>
          <w:tcPr>
            <w:tcW w:w="1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7"/>
              </w:rPr>
              <w:t>Fiber Infrastructure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gridSpan w:val="2"/>
            <w:vMerge w:val="restart"/>
          </w:tcPr>
          <w:p>
            <w:pPr>
              <w:jc w:val="right"/>
              <w:ind w:right="294"/>
              <w:spacing w:after="0"/>
              <w:rPr>
                <w:sz w:val="20"/>
                <w:szCs w:val="20"/>
                <w:color w:val="auto"/>
              </w:rPr>
            </w:pPr>
            <w:r>
              <w:rPr>
                <w:rFonts w:ascii="Arial" w:cs="Arial" w:eastAsia="Arial" w:hAnsi="Arial"/>
                <w:sz w:val="14"/>
                <w:szCs w:val="14"/>
                <w:b w:val="1"/>
                <w:bCs w:val="1"/>
                <w:color w:val="auto"/>
                <w:w w:val="97"/>
              </w:rPr>
              <w:t>Towers</w:t>
            </w: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4"/>
            <w:vMerge w:val="restart"/>
          </w:tcPr>
          <w:p>
            <w:pPr>
              <w:jc w:val="right"/>
              <w:ind w:right="300"/>
              <w:spacing w:after="0"/>
              <w:rPr>
                <w:sz w:val="20"/>
                <w:szCs w:val="20"/>
                <w:color w:val="auto"/>
              </w:rPr>
            </w:pPr>
            <w:r>
              <w:rPr>
                <w:rFonts w:ascii="Arial" w:cs="Arial" w:eastAsia="Arial" w:hAnsi="Arial"/>
                <w:sz w:val="14"/>
                <w:szCs w:val="14"/>
                <w:b w:val="1"/>
                <w:bCs w:val="1"/>
                <w:color w:val="auto"/>
                <w:w w:val="95"/>
              </w:rPr>
              <w:t>Consumer CLEC</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gridSpan w:val="4"/>
            <w:vMerge w:val="restart"/>
          </w:tcPr>
          <w:p>
            <w:pPr>
              <w:jc w:val="right"/>
              <w:ind w:right="520"/>
              <w:spacing w:after="0"/>
              <w:rPr>
                <w:sz w:val="20"/>
                <w:szCs w:val="20"/>
                <w:color w:val="auto"/>
              </w:rPr>
            </w:pPr>
            <w:r>
              <w:rPr>
                <w:rFonts w:ascii="Arial" w:cs="Arial" w:eastAsia="Arial" w:hAnsi="Arial"/>
                <w:sz w:val="14"/>
                <w:szCs w:val="14"/>
                <w:b w:val="1"/>
                <w:bCs w:val="1"/>
                <w:color w:val="auto"/>
              </w:rPr>
              <w:t>Corporate</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Reportable</w:t>
            </w:r>
          </w:p>
        </w:tc>
        <w:tc>
          <w:tcPr>
            <w:tcW w:w="0" w:type="dxa"/>
            <w:vAlign w:val="bottom"/>
          </w:tcPr>
          <w:p>
            <w:pPr>
              <w:spacing w:after="0"/>
              <w:rPr>
                <w:sz w:val="1"/>
                <w:szCs w:val="1"/>
                <w:color w:val="auto"/>
              </w:rPr>
            </w:pPr>
          </w:p>
        </w:tc>
      </w:tr>
      <w:tr>
        <w:trPr>
          <w:trHeight w:val="171"/>
        </w:trPr>
        <w:tc>
          <w:tcPr>
            <w:tcW w:w="2380" w:type="dxa"/>
            <w:vAlign w:val="bottom"/>
            <w:gridSpan w:val="3"/>
          </w:tcPr>
          <w:p>
            <w:pPr>
              <w:spacing w:after="0"/>
              <w:rPr>
                <w:sz w:val="20"/>
                <w:szCs w:val="20"/>
                <w:color w:val="auto"/>
              </w:rPr>
            </w:pPr>
            <w:r>
              <w:rPr>
                <w:rFonts w:ascii="Arial" w:cs="Arial" w:eastAsia="Arial" w:hAnsi="Arial"/>
                <w:sz w:val="14"/>
                <w:szCs w:val="14"/>
                <w:color w:val="auto"/>
              </w:rPr>
              <w:t>(Thousands)</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6"/>
              </w:rPr>
              <w:t>Segments</w:t>
            </w:r>
          </w:p>
        </w:tc>
        <w:tc>
          <w:tcPr>
            <w:tcW w:w="0" w:type="dxa"/>
            <w:vAlign w:val="bottom"/>
          </w:tcPr>
          <w:p>
            <w:pPr>
              <w:spacing w:after="0"/>
              <w:rPr>
                <w:sz w:val="1"/>
                <w:szCs w:val="1"/>
                <w:color w:val="auto"/>
              </w:rPr>
            </w:pPr>
          </w:p>
        </w:tc>
      </w:tr>
      <w:tr>
        <w:trPr>
          <w:trHeight w:val="223"/>
        </w:trPr>
        <w:tc>
          <w:tcPr>
            <w:tcW w:w="228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Revenues</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353,125</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8,226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gridSpan w:val="2"/>
            <w:shd w:val="clear" w:color="auto" w:fill="CFF0FC"/>
          </w:tcPr>
          <w:p>
            <w:pPr>
              <w:jc w:val="right"/>
              <w:ind w:right="12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525,445</w:t>
            </w: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280" w:type="dxa"/>
            <w:vAlign w:val="bottom"/>
            <w:gridSpan w:val="2"/>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2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350,632</w:t>
            </w:r>
          </w:p>
        </w:tc>
        <w:tc>
          <w:tcPr>
            <w:tcW w:w="18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67,036</w:t>
            </w:r>
          </w:p>
        </w:tc>
        <w:tc>
          <w:tcPr>
            <w:tcW w:w="1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283</w:t>
            </w:r>
          </w:p>
        </w:tc>
        <w:tc>
          <w:tcPr>
            <w:tcW w:w="520" w:type="dxa"/>
            <w:vAlign w:val="bottom"/>
            <w:gridSpan w:val="3"/>
            <w:shd w:val="clear" w:color="auto" w:fill="CFF0FC"/>
          </w:tcPr>
          <w:p>
            <w:pPr>
              <w:jc w:val="right"/>
              <w:ind w:right="128"/>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2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(12,023)</w:t>
            </w:r>
          </w:p>
        </w:tc>
        <w:tc>
          <w:tcPr>
            <w:tcW w:w="60" w:type="dxa"/>
            <w:vAlign w:val="bottom"/>
            <w:shd w:val="clear" w:color="auto" w:fill="CFF0FC"/>
          </w:tcPr>
          <w:p>
            <w:pPr>
              <w:spacing w:after="0"/>
              <w:rPr>
                <w:sz w:val="19"/>
                <w:szCs w:val="19"/>
                <w:color w:val="auto"/>
              </w:rPr>
            </w:pPr>
          </w:p>
        </w:tc>
        <w:tc>
          <w:tcPr>
            <w:tcW w:w="18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407,139</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tcPr>
          <w:p>
            <w:pPr>
              <w:spacing w:after="0"/>
              <w:rPr>
                <w:sz w:val="20"/>
                <w:szCs w:val="20"/>
                <w:color w:val="auto"/>
              </w:rPr>
            </w:pPr>
            <w:r>
              <w:rPr>
                <w:rFonts w:ascii="Arial" w:cs="Arial" w:eastAsia="Arial" w:hAnsi="Arial"/>
                <w:sz w:val="18"/>
                <w:szCs w:val="18"/>
                <w:color w:val="auto"/>
              </w:rPr>
              <w:t>Less:</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Interest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Depreciation and</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146,028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56,752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692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206,405</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amortization</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Other income, net</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(25,388)</w:t>
            </w:r>
          </w:p>
        </w:tc>
        <w:tc>
          <w:tcPr>
            <w:tcW w:w="0" w:type="dxa"/>
            <w:vAlign w:val="bottom"/>
          </w:tcPr>
          <w:p>
            <w:pPr>
              <w:spacing w:after="0"/>
              <w:rPr>
                <w:sz w:val="1"/>
                <w:szCs w:val="1"/>
                <w:color w:val="auto"/>
              </w:rPr>
            </w:pPr>
          </w:p>
        </w:tc>
      </w:tr>
      <w:tr>
        <w:trPr>
          <w:trHeight w:val="215"/>
        </w:trPr>
        <w:tc>
          <w:tcPr>
            <w:tcW w:w="2380" w:type="dxa"/>
            <w:vAlign w:val="bottom"/>
            <w:gridSpan w:val="3"/>
          </w:tcPr>
          <w:p>
            <w:pPr>
              <w:ind w:left="140"/>
              <w:spacing w:after="0"/>
              <w:rPr>
                <w:sz w:val="20"/>
                <w:szCs w:val="20"/>
                <w:color w:val="auto"/>
              </w:rPr>
            </w:pPr>
            <w:r>
              <w:rPr>
                <w:rFonts w:ascii="Arial" w:cs="Arial" w:eastAsia="Arial" w:hAnsi="Arial"/>
                <w:sz w:val="18"/>
                <w:szCs w:val="18"/>
                <w:color w:val="auto"/>
                <w:w w:val="94"/>
              </w:rPr>
              <w:t>Transaction related and other</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13,704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380" w:type="dxa"/>
            <w:vAlign w:val="bottom"/>
            <w:gridSpan w:val="3"/>
            <w:vMerge w:val="restart"/>
          </w:tcPr>
          <w:p>
            <w:pPr>
              <w:ind w:left="140"/>
              <w:spacing w:after="0"/>
              <w:rPr>
                <w:sz w:val="20"/>
                <w:szCs w:val="20"/>
                <w:color w:val="auto"/>
              </w:rPr>
            </w:pPr>
            <w:r>
              <w:rPr>
                <w:rFonts w:ascii="Arial" w:cs="Arial" w:eastAsia="Arial" w:hAnsi="Arial"/>
                <w:sz w:val="18"/>
                <w:szCs w:val="18"/>
                <w:color w:val="auto"/>
              </w:rPr>
              <w:t>costs</w:t>
            </w: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3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Gain on sale of real estate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(28,790)</w:t>
            </w:r>
          </w:p>
        </w:tc>
        <w:tc>
          <w:tcPr>
            <w:tcW w:w="0" w:type="dxa"/>
            <w:vAlign w:val="bottom"/>
          </w:tcPr>
          <w:p>
            <w:pPr>
              <w:spacing w:after="0"/>
              <w:rPr>
                <w:sz w:val="1"/>
                <w:szCs w:val="1"/>
                <w:color w:val="auto"/>
              </w:rPr>
            </w:pPr>
          </w:p>
        </w:tc>
      </w:tr>
      <w:tr>
        <w:trPr>
          <w:trHeight w:val="230"/>
        </w:trPr>
        <w:tc>
          <w:tcPr>
            <w:tcW w:w="2380" w:type="dxa"/>
            <w:vAlign w:val="bottom"/>
            <w:gridSpan w:val="3"/>
          </w:tcPr>
          <w:p>
            <w:pPr>
              <w:ind w:left="14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5,085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80" w:type="dxa"/>
            <w:vAlign w:val="bottom"/>
            <w:gridSpan w:val="3"/>
            <w:shd w:val="clear" w:color="auto" w:fill="CFF0FC"/>
          </w:tcPr>
          <w:p>
            <w:pPr>
              <w:ind w:left="140"/>
              <w:spacing w:after="0"/>
              <w:rPr>
                <w:sz w:val="20"/>
                <w:szCs w:val="20"/>
                <w:color w:val="auto"/>
              </w:rPr>
            </w:pPr>
            <w:r>
              <w:rPr>
                <w:rFonts w:ascii="Arial" w:cs="Arial" w:eastAsia="Arial" w:hAnsi="Arial"/>
                <w:sz w:val="18"/>
                <w:szCs w:val="18"/>
                <w:color w:val="auto"/>
              </w:rPr>
              <w:t>Income tax expense</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11,897</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8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6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Revenues</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080" w:type="dxa"/>
            <w:vAlign w:val="bottom"/>
            <w:tcBorders>
              <w:bottom w:val="single" w:sz="8" w:color="auto"/>
            </w:tcBorders>
            <w:gridSpan w:val="5"/>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30"/>
              <w:spacing w:after="0"/>
              <w:rPr>
                <w:sz w:val="20"/>
                <w:szCs w:val="20"/>
                <w:color w:val="auto"/>
              </w:rPr>
            </w:pPr>
            <w:r>
              <w:rPr>
                <w:rFonts w:ascii="Arial" w:cs="Arial" w:eastAsia="Arial" w:hAnsi="Arial"/>
                <w:sz w:val="18"/>
                <w:szCs w:val="18"/>
                <w:b w:val="1"/>
                <w:bCs w:val="1"/>
                <w:color w:val="auto"/>
              </w:rPr>
              <w:t>2020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Consolidated</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74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Revenues</w:t>
            </w:r>
          </w:p>
        </w:tc>
        <w:tc>
          <w:tcPr>
            <w:tcW w:w="0" w:type="dxa"/>
            <w:vAlign w:val="bottom"/>
          </w:tcPr>
          <w:p>
            <w:pPr>
              <w:spacing w:after="0"/>
              <w:rPr>
                <w:sz w:val="1"/>
                <w:szCs w:val="1"/>
                <w:color w:val="auto"/>
              </w:rPr>
            </w:pPr>
          </w:p>
        </w:tc>
      </w:tr>
      <w:tr>
        <w:trPr>
          <w:trHeight w:val="223"/>
        </w:trPr>
        <w:tc>
          <w:tcPr>
            <w:tcW w:w="54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369,672</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69.4%</w:t>
            </w:r>
          </w:p>
        </w:tc>
        <w:tc>
          <w:tcPr>
            <w:tcW w:w="6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353,125</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67.2%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29.4%</w:t>
            </w:r>
          </w:p>
        </w:tc>
        <w:tc>
          <w:tcPr>
            <w:tcW w:w="6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6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6,112</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8,226</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6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6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5,934</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660" w:type="dxa"/>
            <w:vAlign w:val="bottom"/>
            <w:gridSpan w:val="2"/>
          </w:tcPr>
          <w:p>
            <w:pPr>
              <w:ind w:left="38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532,982</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525,445</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i w:val="1"/>
          <w:iCs w:val="1"/>
          <w:u w:val="single" w:color="auto"/>
          <w:color w:val="212529"/>
        </w:rPr>
        <w:t>Leasing</w:t>
      </w:r>
      <w:r>
        <w:rPr>
          <w:rFonts w:ascii="Arial" w:cs="Arial" w:eastAsia="Arial" w:hAnsi="Arial"/>
          <w:sz w:val="17"/>
          <w:szCs w:val="17"/>
          <w:i w:val="1"/>
          <w:iCs w:val="1"/>
          <w:color w:val="212529"/>
        </w:rPr>
        <w:t xml:space="preserve"> </w:t>
      </w:r>
      <w:r>
        <w:rPr>
          <w:rFonts w:ascii="Arial" w:cs="Arial" w:eastAsia="Arial" w:hAnsi="Arial"/>
          <w:sz w:val="17"/>
          <w:szCs w:val="17"/>
          <w:color w:val="212529"/>
        </w:rPr>
        <w:t>– For the six months ended June 30, 2020, we recognized $347.5 million of revenue from rents under the Master Lease, which included $16.9</w:t>
      </w:r>
      <w:r>
        <w:rPr>
          <w:rFonts w:ascii="Arial" w:cs="Arial" w:eastAsia="Arial" w:hAnsi="Arial"/>
          <w:sz w:val="17"/>
          <w:szCs w:val="17"/>
          <w:i w:val="1"/>
          <w:iCs w:val="1"/>
          <w:color w:val="212529"/>
        </w:rPr>
        <w:t xml:space="preserve"> </w:t>
      </w:r>
      <w:r>
        <w:rPr>
          <w:rFonts w:ascii="Arial" w:cs="Arial" w:eastAsia="Arial" w:hAnsi="Arial"/>
          <w:sz w:val="17"/>
          <w:szCs w:val="17"/>
          <w:color w:val="212529"/>
        </w:rPr>
        <w:t>million of TCI revenue. For the six months ended June 30, 2019, we recognized $342.5 million of revenue from rents under the Master Lease, which included $13.6 million of TCI revenue. For the six months ended June 30, 2020, we recognized $22.2 million of leasing revenues from non-Windstream triple-net leasing and dark fiber IRU arrangements, compared to $10.6 million for the six months ended June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-567690</wp:posOffset>
            </wp:positionV>
            <wp:extent cx="6515100"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15100" cy="12890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212529"/>
        </w:rPr>
        <w:t>Fiber Infrastructure</w:t>
      </w:r>
      <w:r>
        <w:rPr>
          <w:rFonts w:ascii="Arial" w:cs="Arial" w:eastAsia="Arial" w:hAnsi="Arial"/>
          <w:sz w:val="18"/>
          <w:szCs w:val="18"/>
          <w:i w:val="1"/>
          <w:iCs w:val="1"/>
          <w:color w:val="212529"/>
        </w:rPr>
        <w:t xml:space="preserve"> </w:t>
      </w:r>
      <w:r>
        <w:rPr>
          <w:rFonts w:ascii="Arial" w:cs="Arial" w:eastAsia="Arial" w:hAnsi="Arial"/>
          <w:sz w:val="18"/>
          <w:szCs w:val="18"/>
          <w:color w:val="212529"/>
        </w:rPr>
        <w:t>– Fiber Infrastructure revenues for the six months ended June 30, 2020 and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-121920</wp:posOffset>
            </wp:positionV>
            <wp:extent cx="496316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63160" cy="128905"/>
                    </a:xfrm>
                    <a:prstGeom prst="rect">
                      <a:avLst/>
                    </a:prstGeom>
                    <a:noFill/>
                  </pic:spPr>
                </pic:pic>
              </a:graphicData>
            </a:graphic>
          </wp:anchor>
        </w:drawing>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5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2020</w:t>
            </w:r>
          </w:p>
        </w:tc>
        <w:tc>
          <w:tcPr>
            <w:tcW w:w="110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118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3"/>
        </w:trPr>
        <w:tc>
          <w:tcPr>
            <w:tcW w:w="5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1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1"/>
                <w:szCs w:val="11"/>
                <w:color w:val="auto"/>
              </w:rPr>
            </w:pPr>
          </w:p>
        </w:tc>
        <w:tc>
          <w:tcPr>
            <w:tcW w:w="13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 of Segment</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5520" w:type="dxa"/>
            <w:vAlign w:val="bottom"/>
            <w:gridSpan w:val="2"/>
          </w:tcPr>
          <w:p>
            <w:pPr>
              <w:spacing w:after="0"/>
              <w:rPr>
                <w:sz w:val="20"/>
                <w:szCs w:val="20"/>
                <w:color w:val="auto"/>
              </w:rPr>
            </w:pPr>
            <w:r>
              <w:rPr>
                <w:rFonts w:ascii="Arial" w:cs="Arial" w:eastAsia="Arial" w:hAnsi="Arial"/>
                <w:sz w:val="14"/>
                <w:szCs w:val="14"/>
                <w:color w:val="auto"/>
              </w:rPr>
              <w:t>(Thousands)</w:t>
            </w:r>
          </w:p>
        </w:tc>
        <w:tc>
          <w:tcPr>
            <w:tcW w:w="18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Revenues</w:t>
            </w:r>
          </w:p>
        </w:tc>
        <w:tc>
          <w:tcPr>
            <w:tcW w:w="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223"/>
        </w:trPr>
        <w:tc>
          <w:tcPr>
            <w:tcW w:w="5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Fiber Infrastructure revenues:</w:t>
            </w:r>
          </w:p>
        </w:tc>
        <w:tc>
          <w:tcPr>
            <w:tcW w:w="2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Lit backhaul services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55,408</w:t>
            </w:r>
          </w:p>
        </w:tc>
        <w:tc>
          <w:tcPr>
            <w:tcW w:w="140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35.5%</w:t>
            </w:r>
          </w:p>
        </w:tc>
        <w:tc>
          <w:tcPr>
            <w:tcW w:w="3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65,606</w:t>
            </w:r>
          </w:p>
        </w:tc>
        <w:tc>
          <w:tcPr>
            <w:tcW w:w="16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41.4%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Enterprise and wholesale</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38,886</w:t>
            </w:r>
          </w:p>
        </w:tc>
        <w:tc>
          <w:tcPr>
            <w:tcW w:w="140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24.8%</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35,970</w:t>
            </w:r>
          </w:p>
        </w:tc>
        <w:tc>
          <w:tcPr>
            <w:tcW w:w="16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22.7%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E-Rate and government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42,758</w:t>
            </w:r>
          </w:p>
        </w:tc>
        <w:tc>
          <w:tcPr>
            <w:tcW w:w="140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27.3%</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44,528</w:t>
            </w:r>
          </w:p>
        </w:tc>
        <w:tc>
          <w:tcPr>
            <w:tcW w:w="1680" w:type="dxa"/>
            <w:vAlign w:val="bottom"/>
            <w:gridSpan w:val="2"/>
          </w:tcPr>
          <w:p>
            <w:pPr>
              <w:jc w:val="center"/>
              <w:ind w:left="213"/>
              <w:spacing w:after="0"/>
              <w:rPr>
                <w:sz w:val="20"/>
                <w:szCs w:val="20"/>
                <w:color w:val="auto"/>
              </w:rPr>
            </w:pPr>
            <w:r>
              <w:rPr>
                <w:rFonts w:ascii="Arial" w:cs="Arial" w:eastAsia="Arial" w:hAnsi="Arial"/>
                <w:sz w:val="18"/>
                <w:szCs w:val="18"/>
                <w:color w:val="auto"/>
                <w:w w:val="90"/>
              </w:rPr>
              <w:t>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Dark fiber and small cells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140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0"/>
              </w:rPr>
              <w:t>11.6%</w:t>
            </w: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10,373</w:t>
            </w:r>
          </w:p>
        </w:tc>
        <w:tc>
          <w:tcPr>
            <w:tcW w:w="1680" w:type="dxa"/>
            <w:vAlign w:val="bottom"/>
            <w:gridSpan w:val="2"/>
            <w:shd w:val="clear" w:color="auto" w:fill="CFF0FC"/>
          </w:tcPr>
          <w:p>
            <w:pPr>
              <w:jc w:val="center"/>
              <w:ind w:left="213"/>
              <w:spacing w:after="0"/>
              <w:rPr>
                <w:sz w:val="20"/>
                <w:szCs w:val="20"/>
                <w:color w:val="auto"/>
              </w:rPr>
            </w:pPr>
            <w:r>
              <w:rPr>
                <w:rFonts w:ascii="Arial" w:cs="Arial" w:eastAsia="Arial" w:hAnsi="Arial"/>
                <w:sz w:val="18"/>
                <w:szCs w:val="18"/>
                <w:color w:val="auto"/>
                <w:w w:val="92"/>
              </w:rPr>
              <w:t>6.6%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2"/>
          </w:tcPr>
          <w:p>
            <w:pPr>
              <w:ind w:left="260"/>
              <w:spacing w:after="0"/>
              <w:rPr>
                <w:sz w:val="20"/>
                <w:szCs w:val="20"/>
                <w:color w:val="auto"/>
              </w:rPr>
            </w:pPr>
            <w:r>
              <w:rPr>
                <w:rFonts w:ascii="Arial" w:cs="Arial" w:eastAsia="Arial" w:hAnsi="Arial"/>
                <w:sz w:val="18"/>
                <w:szCs w:val="18"/>
                <w:color w:val="auto"/>
              </w:rPr>
              <w:t>Other services</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1,303</w:t>
            </w:r>
          </w:p>
        </w:tc>
        <w:tc>
          <w:tcPr>
            <w:tcW w:w="140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0.8%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1,683</w:t>
            </w:r>
          </w:p>
        </w:tc>
        <w:tc>
          <w:tcPr>
            <w:tcW w:w="1680" w:type="dxa"/>
            <w:vAlign w:val="bottom"/>
            <w:gridSpan w:val="2"/>
          </w:tcPr>
          <w:p>
            <w:pPr>
              <w:jc w:val="center"/>
              <w:ind w:left="213"/>
              <w:spacing w:after="0"/>
              <w:rPr>
                <w:sz w:val="20"/>
                <w:szCs w:val="20"/>
                <w:color w:val="auto"/>
              </w:rPr>
            </w:pPr>
            <w:r>
              <w:rPr>
                <w:rFonts w:ascii="Arial" w:cs="Arial" w:eastAsia="Arial" w:hAnsi="Arial"/>
                <w:sz w:val="18"/>
                <w:szCs w:val="18"/>
                <w:color w:val="auto"/>
                <w:w w:val="92"/>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20" w:type="dxa"/>
            <w:vAlign w:val="bottom"/>
            <w:tcBorders>
              <w:top w:val="single" w:sz="8" w:color="CFF0FC"/>
              <w:bottom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Fiber Infrastructure revenues</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156,547</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158,160</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100.0%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For the six months ended June 30, 2020, Fiber Infrastructure revenues totaled $156.5 million as compared to $158.2 million for the six months ended June 30, 2019. The decrease is primarily attributable to a $1.2 million decrease in non-recurring construction revenues. At June 30, 2020, we had approximately 24,288 customer connections, up from 19,707 customer connections at June 30, 2019.</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u w:val="single" w:color="auto"/>
          <w:color w:val="auto"/>
        </w:rPr>
        <w:t>Towers</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six months ended June 30, 2020, we recognized $6.1 million of revenue from the Towers business, compared to $8.2 million for the six</w:t>
      </w:r>
      <w:r>
        <w:rPr>
          <w:rFonts w:ascii="Arial" w:cs="Arial" w:eastAsia="Arial" w:hAnsi="Arial"/>
          <w:sz w:val="17"/>
          <w:szCs w:val="17"/>
          <w:i w:val="1"/>
          <w:iCs w:val="1"/>
          <w:color w:val="auto"/>
        </w:rPr>
        <w:t xml:space="preserve"> </w:t>
      </w:r>
      <w:r>
        <w:rPr>
          <w:rFonts w:ascii="Arial" w:cs="Arial" w:eastAsia="Arial" w:hAnsi="Arial"/>
          <w:sz w:val="17"/>
          <w:szCs w:val="17"/>
          <w:color w:val="auto"/>
        </w:rPr>
        <w:t>months ended June 30, 2019. The decrease in revenues is driven by the April 2, 2019 sale of the Latin America operations which contributed $2.5 million of revenue for the six months ended June 30, 2019 and the completed sale of the U.S. tower business on June 1, 2020.</w:t>
      </w:r>
    </w:p>
    <w:p>
      <w:pPr>
        <w:spacing w:after="0" w:line="16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For the six months ended June 30, 2020, we recognized revenue of $0.7 million from the Consumer CLEC business, compared to $5.9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of revenue for the six months ended June 30, 2019. The decrease is attributable to the substantially completed wind down of the business during the second quarter, which included credits to disconnected customers.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6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60" w:type="dxa"/>
            <w:vAlign w:val="bottom"/>
          </w:tcPr>
          <w:p>
            <w:pPr>
              <w:spacing w:after="0"/>
              <w:rPr>
                <w:sz w:val="24"/>
                <w:szCs w:val="24"/>
                <w:color w:val="auto"/>
              </w:rPr>
            </w:pPr>
          </w:p>
        </w:tc>
        <w:tc>
          <w:tcPr>
            <w:tcW w:w="2980" w:type="dxa"/>
            <w:vAlign w:val="bottom"/>
            <w:gridSpan w:val="8"/>
            <w:vMerge w:val="restart"/>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8"/>
            <w:vMerge w:val="continue"/>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190"/>
              <w:spacing w:after="0" w:line="205" w:lineRule="exact"/>
              <w:rPr>
                <w:sz w:val="20"/>
                <w:szCs w:val="20"/>
                <w:color w:val="auto"/>
              </w:rPr>
            </w:pPr>
            <w:r>
              <w:rPr>
                <w:rFonts w:ascii="Arial" w:cs="Arial" w:eastAsia="Arial" w:hAnsi="Arial"/>
                <w:sz w:val="18"/>
                <w:szCs w:val="18"/>
                <w:b w:val="1"/>
                <w:bCs w:val="1"/>
                <w:color w:val="auto"/>
                <w:w w:val="93"/>
              </w:rPr>
              <w:t>Increase /</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26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89"/>
              </w:rPr>
              <w:t>(Decrease)</w:t>
            </w:r>
          </w:p>
        </w:tc>
        <w:tc>
          <w:tcPr>
            <w:tcW w:w="0" w:type="dxa"/>
            <w:vAlign w:val="bottom"/>
          </w:tcPr>
          <w:p>
            <w:pPr>
              <w:spacing w:after="0"/>
              <w:rPr>
                <w:sz w:val="1"/>
                <w:szCs w:val="1"/>
                <w:color w:val="auto"/>
              </w:rPr>
            </w:pPr>
          </w:p>
        </w:tc>
      </w:tr>
      <w:tr>
        <w:trPr>
          <w:trHeight w:val="223"/>
        </w:trPr>
        <w:tc>
          <w:tcPr>
            <w:tcW w:w="66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Interest expense, net:</w:t>
            </w:r>
          </w:p>
        </w:tc>
        <w:tc>
          <w:tcPr>
            <w:tcW w:w="1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260"/>
              <w:spacing w:after="0"/>
              <w:rPr>
                <w:sz w:val="20"/>
                <w:szCs w:val="20"/>
                <w:color w:val="auto"/>
              </w:rPr>
            </w:pPr>
            <w:r>
              <w:rPr>
                <w:rFonts w:ascii="Arial" w:cs="Arial" w:eastAsia="Arial" w:hAnsi="Arial"/>
                <w:sz w:val="18"/>
                <w:szCs w:val="18"/>
                <w:b w:val="1"/>
                <w:bCs w:val="1"/>
                <w:color w:val="auto"/>
              </w:rPr>
              <w:t>Cash:</w:t>
            </w: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 xml:space="preserve">Senior secured term loan B - variable rate </w:t>
            </w:r>
            <w:r>
              <w:rPr>
                <w:rFonts w:ascii="Arial" w:cs="Arial" w:eastAsia="Arial" w:hAnsi="Arial"/>
                <w:sz w:val="15"/>
                <w:szCs w:val="15"/>
                <w:color w:val="auto"/>
              </w:rPr>
              <w:t>(1)</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20,205</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64,999</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(44,794)</w:t>
            </w:r>
          </w:p>
        </w:tc>
        <w:tc>
          <w:tcPr>
            <w:tcW w:w="0" w:type="dxa"/>
            <w:vAlign w:val="bottom"/>
          </w:tcPr>
          <w:p>
            <w:pPr>
              <w:spacing w:after="0"/>
              <w:rPr>
                <w:sz w:val="1"/>
                <w:szCs w:val="1"/>
                <w:color w:val="auto"/>
              </w:rPr>
            </w:pPr>
          </w:p>
        </w:tc>
      </w:tr>
      <w:tr>
        <w:trPr>
          <w:trHeight w:val="229"/>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Senior secured notes - 6.00% and 7.875%</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85,797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Senior unsecured notes - 4.00%, 7.125%, and 8.25%</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74,061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Senior secured revolving credit facility - variable rate</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12,232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16,753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(4,521)</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500"/>
              <w:spacing w:after="0"/>
              <w:rPr>
                <w:sz w:val="20"/>
                <w:szCs w:val="20"/>
                <w:color w:val="auto"/>
              </w:rPr>
            </w:pPr>
            <w:r>
              <w:rPr>
                <w:rFonts w:ascii="Arial" w:cs="Arial" w:eastAsia="Arial" w:hAnsi="Arial"/>
                <w:sz w:val="18"/>
                <w:szCs w:val="18"/>
                <w:color w:val="auto"/>
              </w:rPr>
              <w:t>Total cash interest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194,370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167,098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ind w:left="260"/>
              <w:spacing w:after="0"/>
              <w:rPr>
                <w:sz w:val="20"/>
                <w:szCs w:val="20"/>
                <w:color w:val="auto"/>
              </w:rPr>
            </w:pPr>
            <w:r>
              <w:rPr>
                <w:rFonts w:ascii="Arial" w:cs="Arial" w:eastAsia="Arial" w:hAnsi="Arial"/>
                <w:sz w:val="18"/>
                <w:szCs w:val="18"/>
                <w:b w:val="1"/>
                <w:bCs w:val="1"/>
                <w:color w:val="auto"/>
              </w:rPr>
              <w:t>Non-cash:</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Amortization of deferred financing costs and debt discount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18,666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17,659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Write off of deferred financing costs and debt discount</w:t>
            </w: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ind w:left="380"/>
              <w:spacing w:after="0"/>
              <w:rPr>
                <w:sz w:val="20"/>
                <w:szCs w:val="20"/>
                <w:color w:val="auto"/>
              </w:rPr>
            </w:pPr>
            <w:r>
              <w:rPr>
                <w:rFonts w:ascii="Arial" w:cs="Arial" w:eastAsia="Arial" w:hAnsi="Arial"/>
                <w:sz w:val="18"/>
                <w:szCs w:val="18"/>
                <w:color w:val="auto"/>
              </w:rPr>
              <w:t>Capitalized Interest</w:t>
            </w:r>
          </w:p>
        </w:tc>
        <w:tc>
          <w:tcPr>
            <w:tcW w:w="26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top w:val="single" w:sz="8" w:color="CFF0FC"/>
            </w:tcBorders>
            <w:gridSpan w:val="2"/>
            <w:shd w:val="clear" w:color="auto" w:fill="CFF0FC"/>
          </w:tcPr>
          <w:p>
            <w:pPr>
              <w:ind w:left="500"/>
              <w:spacing w:after="0"/>
              <w:rPr>
                <w:sz w:val="20"/>
                <w:szCs w:val="20"/>
                <w:color w:val="auto"/>
              </w:rPr>
            </w:pPr>
            <w:r>
              <w:rPr>
                <w:rFonts w:ascii="Arial" w:cs="Arial" w:eastAsia="Arial" w:hAnsi="Arial"/>
                <w:sz w:val="18"/>
                <w:szCs w:val="18"/>
                <w:color w:val="auto"/>
              </w:rPr>
              <w:t>Total non-cash interest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91,266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15,089</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76,177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gridSpan w:val="2"/>
          </w:tcPr>
          <w:p>
            <w:pPr>
              <w:ind w:left="620"/>
              <w:spacing w:after="0"/>
              <w:rPr>
                <w:sz w:val="20"/>
                <w:szCs w:val="20"/>
                <w:color w:val="auto"/>
              </w:rPr>
            </w:pPr>
            <w:r>
              <w:rPr>
                <w:rFonts w:ascii="Arial" w:cs="Arial" w:eastAsia="Arial" w:hAnsi="Arial"/>
                <w:sz w:val="18"/>
                <w:szCs w:val="18"/>
                <w:color w:val="auto"/>
              </w:rPr>
              <w:t>Total interest expense, net</w:t>
            </w: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285,636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182,187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gridSpan w:val="2"/>
            <w:vMerge w:val="restart"/>
          </w:tcPr>
          <w:p>
            <w:pPr>
              <w:spacing w:after="0"/>
              <w:rPr>
                <w:sz w:val="20"/>
                <w:szCs w:val="20"/>
                <w:color w:val="auto"/>
              </w:rPr>
            </w:pPr>
            <w:r>
              <w:rPr>
                <w:rFonts w:ascii="Arial" w:cs="Arial" w:eastAsia="Arial" w:hAnsi="Arial"/>
                <w:sz w:val="15"/>
                <w:szCs w:val="15"/>
                <w:color w:val="auto"/>
              </w:rPr>
              <w:t xml:space="preserve">(1) </w:t>
            </w:r>
            <w:r>
              <w:rPr>
                <w:rFonts w:ascii="Arial" w:cs="Arial" w:eastAsia="Arial" w:hAnsi="Arial"/>
                <w:sz w:val="17"/>
                <w:szCs w:val="17"/>
                <w:color w:val="auto"/>
              </w:rPr>
              <w:t>Swapped to fixed rate. See Note 10</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for the six months ended June 30, 2020 increased $103.4 million compared to the six months ended June 30, 2019. The increase is due to</w:t>
      </w:r>
    </w:p>
    <w:p>
      <w:pPr>
        <w:spacing w:after="0" w:line="46" w:lineRule="exact"/>
        <w:rPr>
          <w:sz w:val="20"/>
          <w:szCs w:val="20"/>
          <w:color w:val="auto"/>
        </w:rPr>
      </w:pPr>
    </w:p>
    <w:p>
      <w:pPr>
        <w:ind w:right="280" w:firstLine="8"/>
        <w:spacing w:after="0" w:line="302"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write-off of unamortized deferred financing costs and debt discount related to the repayment of the senior secured term loan B and terminated commitments of the revolving loans of $72.5 million and $1.4 million, respectively, and (ii) cash interest expense of $69.3 million related to the 7.875% senior secured notes, partially offset by a decrease of $44.8 million in cash interest expense related to the repayment of senior secured term loan B.</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Depreciation and Amortization Expense</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Depreciation and amortization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107,027</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20.2%</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146,028</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0"/>
              </w:rPr>
              <w:t>27.9%</w:t>
            </w:r>
          </w:p>
        </w:tc>
        <w:tc>
          <w:tcPr>
            <w:tcW w:w="120" w:type="dxa"/>
            <w:vAlign w:val="bottom"/>
          </w:tcPr>
          <w:p>
            <w:pPr>
              <w:spacing w:after="0"/>
              <w:rPr>
                <w:sz w:val="19"/>
                <w:szCs w:val="19"/>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62,340</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11.7%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56,752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10.8%</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2,827</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0.5%</w:t>
            </w:r>
          </w:p>
        </w:tc>
        <w:tc>
          <w:tcPr>
            <w:tcW w:w="120" w:type="dxa"/>
            <w:vAlign w:val="bottom"/>
          </w:tcPr>
          <w:p>
            <w:pPr>
              <w:spacing w:after="0"/>
              <w:rPr>
                <w:sz w:val="19"/>
                <w:szCs w:val="19"/>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0.1%</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shd w:val="clear" w:color="auto" w:fill="CFF0FC"/>
          </w:tcPr>
          <w:p>
            <w:pPr>
              <w:spacing w:after="0"/>
              <w:rPr>
                <w:sz w:val="19"/>
                <w:szCs w:val="19"/>
                <w:color w:val="auto"/>
              </w:rPr>
            </w:pP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FF0FC"/>
            </w:tcBorders>
          </w:tcPr>
          <w:p>
            <w:pPr>
              <w:spacing w:after="0"/>
              <w:rPr>
                <w:sz w:val="19"/>
                <w:szCs w:val="19"/>
                <w:color w:val="auto"/>
              </w:rPr>
            </w:pPr>
          </w:p>
        </w:tc>
      </w:tr>
      <w:tr>
        <w:trPr>
          <w:trHeight w:val="223"/>
        </w:trPr>
        <w:tc>
          <w:tcPr>
            <w:tcW w:w="59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depreciation and amortization expense</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171,090</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32.1%</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206,405</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0"/>
              </w:rPr>
              <w:t>39.3%</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incur depreciation and amortization expense related to our property, plant and equipment, corporate assets and intangible assets. Charges for depreciation and amortization for the six months ended June 30, 2020 totaled $171.1 million, which included $155.0 million of depreciation expense and $16.1 million of amortization expense. Charges for depreciation and amortization for the six months ended June 30, 2019 totaled $206.4 million, which included $194.0 million of depreciation expense and $12.4 million of amortization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0"/>
        </w:trPr>
        <w:tc>
          <w:tcPr>
            <w:tcW w:w="5980" w:type="dxa"/>
            <w:vAlign w:val="bottom"/>
            <w:gridSpan w:val="2"/>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59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General and Administrative Expense</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00" w:type="dxa"/>
            <w:vAlign w:val="bottom"/>
            <w:gridSpan w:val="5"/>
            <w:vMerge w:val="restart"/>
          </w:tcPr>
          <w:p>
            <w:pPr>
              <w:ind w:left="160"/>
              <w:spacing w:after="0"/>
              <w:rPr>
                <w:sz w:val="20"/>
                <w:szCs w:val="20"/>
                <w:color w:val="auto"/>
              </w:rPr>
            </w:pPr>
            <w:r>
              <w:rPr>
                <w:rFonts w:ascii="Arial" w:cs="Arial" w:eastAsia="Arial" w:hAnsi="Arial"/>
                <w:sz w:val="18"/>
                <w:szCs w:val="18"/>
                <w:b w:val="1"/>
                <w:bCs w:val="1"/>
                <w:color w:val="auto"/>
              </w:rPr>
              <w:t>Six Months Ended June 30,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vMerge w:val="continue"/>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Consolidated</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7"/>
              </w:rPr>
              <w:t>Consolidated</w:t>
            </w:r>
          </w:p>
        </w:tc>
        <w:tc>
          <w:tcPr>
            <w:tcW w:w="0" w:type="dxa"/>
            <w:vAlign w:val="bottom"/>
          </w:tcPr>
          <w:p>
            <w:pPr>
              <w:spacing w:after="0"/>
              <w:rPr>
                <w:sz w:val="1"/>
                <w:szCs w:val="1"/>
                <w:color w:val="auto"/>
              </w:rPr>
            </w:pPr>
          </w:p>
        </w:tc>
      </w:tr>
      <w:tr>
        <w:trPr>
          <w:trHeight w:val="234"/>
        </w:trPr>
        <w:tc>
          <w:tcPr>
            <w:tcW w:w="598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Revenues</w:t>
            </w:r>
          </w:p>
        </w:tc>
        <w:tc>
          <w:tcPr>
            <w:tcW w:w="160" w:type="dxa"/>
            <w:vAlign w:val="bottom"/>
          </w:tcPr>
          <w:p>
            <w:pPr>
              <w:spacing w:after="0"/>
              <w:rPr>
                <w:sz w:val="20"/>
                <w:szCs w:val="20"/>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4"/>
              </w:rPr>
              <w:t>Revenues</w:t>
            </w:r>
          </w:p>
        </w:tc>
        <w:tc>
          <w:tcPr>
            <w:tcW w:w="0" w:type="dxa"/>
            <w:vAlign w:val="bottom"/>
          </w:tcPr>
          <w:p>
            <w:pPr>
              <w:spacing w:after="0"/>
              <w:rPr>
                <w:sz w:val="1"/>
                <w:szCs w:val="1"/>
                <w:color w:val="auto"/>
              </w:rPr>
            </w:pPr>
          </w:p>
        </w:tc>
      </w:tr>
      <w:tr>
        <w:trPr>
          <w:trHeight w:val="223"/>
        </w:trPr>
        <w:tc>
          <w:tcPr>
            <w:tcW w:w="58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General and administrative expense by segment:</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Leasing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3,507</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0.6%</w:t>
            </w:r>
          </w:p>
        </w:tc>
        <w:tc>
          <w:tcPr>
            <w:tcW w:w="28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1,932</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27,586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5.2%</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29,556</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5.6%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2,607</w:t>
            </w:r>
          </w:p>
        </w:tc>
        <w:tc>
          <w:tcPr>
            <w:tcW w:w="26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3,848</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Consumer CLEC</w:t>
            </w: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0.0%</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Corporate</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21,188</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4.0%</w:t>
            </w:r>
          </w:p>
        </w:tc>
        <w:tc>
          <w:tcPr>
            <w:tcW w:w="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15,318</w:t>
            </w:r>
          </w:p>
        </w:tc>
        <w:tc>
          <w:tcPr>
            <w:tcW w:w="26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bottom w:val="single" w:sz="8" w:color="CFF0FC"/>
            </w:tcBorders>
            <w:gridSpan w:val="2"/>
            <w:shd w:val="clear" w:color="auto" w:fill="CFF0FC"/>
          </w:tcPr>
          <w:p>
            <w:pPr>
              <w:ind w:left="38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55,027</w:t>
            </w:r>
          </w:p>
        </w:tc>
        <w:tc>
          <w:tcPr>
            <w:tcW w:w="260" w:type="dxa"/>
            <w:vAlign w:val="bottom"/>
            <w:tcBorders>
              <w:bottom w:val="single" w:sz="8" w:color="CFF0FC"/>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10.3%</w:t>
            </w:r>
          </w:p>
        </w:tc>
        <w:tc>
          <w:tcPr>
            <w:tcW w:w="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50,654</w:t>
            </w:r>
          </w:p>
        </w:tc>
        <w:tc>
          <w:tcPr>
            <w:tcW w:w="26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2"/>
              </w:rPr>
              <w:t>9.6%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General and administrative expenses include compensation costs, including stock-based compensation awards, professional and legal services, corporate office costs and other costs associated with administrative activities. For the six months ended June 30, 2020, general and administrative costs totaled $55.0 million, which includes $7.1 million of stock-based compensation. For the six months ended June 30, 2019, general and administrative costs totaled $50.7 million, which included $5.1 million of stock-based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2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Operating expense for the six months ended June 30, 2020, totaled $80.5 million compared to $78.6 million for the six months ended June 30, 2019, which was attributable to the increase in Fiber Infrastructure operating expenses discussed below. Operating expense for our reportable segments for the six months ended June 30, 2020 and 2019 consisted of the following:</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2"/>
          </w:tcPr>
          <w:p>
            <w:pPr>
              <w:jc w:val="right"/>
              <w:ind w:right="11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5"/>
        </w:trPr>
        <w:tc>
          <w:tcPr>
            <w:tcW w:w="5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4"/>
              </w:rPr>
              <w:t>% of</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jc w:val="center"/>
              <w:spacing w:after="0" w:line="205" w:lineRule="exact"/>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7"/>
                <w:szCs w:val="17"/>
                <w:color w:val="auto"/>
              </w:rPr>
            </w:pPr>
          </w:p>
        </w:tc>
      </w:tr>
      <w:tr>
        <w:trPr>
          <w:trHeight w:val="216"/>
        </w:trPr>
        <w:tc>
          <w:tcPr>
            <w:tcW w:w="5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7"/>
              </w:rPr>
              <w:t>Consolidated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Consolidated</w:t>
            </w:r>
          </w:p>
        </w:tc>
      </w:tr>
      <w:tr>
        <w:trPr>
          <w:trHeight w:val="234"/>
        </w:trPr>
        <w:tc>
          <w:tcPr>
            <w:tcW w:w="5340" w:type="dxa"/>
            <w:vAlign w:val="bottom"/>
          </w:tcPr>
          <w:p>
            <w:pPr>
              <w:spacing w:after="0"/>
              <w:rPr>
                <w:sz w:val="20"/>
                <w:szCs w:val="20"/>
                <w:color w:val="auto"/>
              </w:rPr>
            </w:pPr>
            <w:r>
              <w:rPr>
                <w:rFonts w:ascii="Arial" w:cs="Arial" w:eastAsia="Arial" w:hAnsi="Arial"/>
                <w:sz w:val="18"/>
                <w:szCs w:val="18"/>
                <w:color w:val="auto"/>
              </w:rPr>
              <w:t>(Thousands)</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84"/>
              </w:rPr>
              <w:t>Revenues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20"/>
                <w:szCs w:val="20"/>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Revenues</w:t>
            </w:r>
          </w:p>
        </w:tc>
      </w:tr>
      <w:tr>
        <w:trPr>
          <w:trHeight w:val="223"/>
        </w:trPr>
        <w:tc>
          <w:tcPr>
            <w:tcW w:w="53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Operating expenses by segment:</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340" w:type="dxa"/>
            <w:vAlign w:val="bottom"/>
          </w:tcPr>
          <w:p>
            <w:pPr>
              <w:ind w:left="260"/>
              <w:spacing w:after="0"/>
              <w:rPr>
                <w:sz w:val="20"/>
                <w:szCs w:val="20"/>
                <w:color w:val="auto"/>
              </w:rPr>
            </w:pPr>
            <w:r>
              <w:rPr>
                <w:rFonts w:ascii="Arial" w:cs="Arial" w:eastAsia="Arial" w:hAnsi="Arial"/>
                <w:sz w:val="18"/>
                <w:szCs w:val="18"/>
                <w:color w:val="auto"/>
              </w:rPr>
              <w:t>Fiber Infrastructure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74,283</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3"/>
              </w:rPr>
              <w:t>14.0%</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68,491</w:t>
            </w:r>
          </w:p>
        </w:tc>
        <w:tc>
          <w:tcPr>
            <w:tcW w:w="1680" w:type="dxa"/>
            <w:vAlign w:val="bottom"/>
            <w:gridSpan w:val="2"/>
          </w:tcPr>
          <w:p>
            <w:pPr>
              <w:jc w:val="center"/>
              <w:ind w:left="170"/>
              <w:spacing w:after="0"/>
              <w:rPr>
                <w:sz w:val="20"/>
                <w:szCs w:val="20"/>
                <w:color w:val="auto"/>
              </w:rPr>
            </w:pPr>
            <w:r>
              <w:rPr>
                <w:rFonts w:ascii="Arial" w:cs="Arial" w:eastAsia="Arial" w:hAnsi="Arial"/>
                <w:sz w:val="18"/>
                <w:szCs w:val="18"/>
                <w:color w:val="auto"/>
                <w:w w:val="90"/>
              </w:rPr>
              <w:t>13.0%</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Towers</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3,692</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4,566</w:t>
            </w:r>
          </w:p>
        </w:tc>
        <w:tc>
          <w:tcPr>
            <w:tcW w:w="168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0.9%</w:t>
            </w:r>
          </w:p>
        </w:tc>
        <w:tc>
          <w:tcPr>
            <w:tcW w:w="100" w:type="dxa"/>
            <w:vAlign w:val="bottom"/>
            <w:shd w:val="clear" w:color="auto" w:fill="CFF0FC"/>
          </w:tcPr>
          <w:p>
            <w:pPr>
              <w:spacing w:after="0"/>
              <w:rPr>
                <w:sz w:val="19"/>
                <w:szCs w:val="19"/>
                <w:color w:val="auto"/>
              </w:rPr>
            </w:pPr>
          </w:p>
        </w:tc>
      </w:tr>
      <w:tr>
        <w:trPr>
          <w:trHeight w:val="229"/>
        </w:trPr>
        <w:tc>
          <w:tcPr>
            <w:tcW w:w="5340" w:type="dxa"/>
            <w:vAlign w:val="bottom"/>
          </w:tcPr>
          <w:p>
            <w:pPr>
              <w:ind w:left="260"/>
              <w:spacing w:after="0"/>
              <w:rPr>
                <w:sz w:val="20"/>
                <w:szCs w:val="20"/>
                <w:color w:val="auto"/>
              </w:rPr>
            </w:pPr>
            <w:r>
              <w:rPr>
                <w:rFonts w:ascii="Arial" w:cs="Arial" w:eastAsia="Arial" w:hAnsi="Arial"/>
                <w:sz w:val="18"/>
                <w:szCs w:val="18"/>
                <w:color w:val="auto"/>
              </w:rPr>
              <w:t>CLEC</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787</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0.1%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4,723</w:t>
            </w:r>
          </w:p>
        </w:tc>
        <w:tc>
          <w:tcPr>
            <w:tcW w:w="1680" w:type="dxa"/>
            <w:vAlign w:val="bottom"/>
            <w:gridSpan w:val="2"/>
          </w:tcPr>
          <w:p>
            <w:pPr>
              <w:jc w:val="center"/>
              <w:ind w:left="170"/>
              <w:spacing w:after="0"/>
              <w:rPr>
                <w:sz w:val="20"/>
                <w:szCs w:val="20"/>
                <w:color w:val="auto"/>
              </w:rPr>
            </w:pPr>
            <w:r>
              <w:rPr>
                <w:rFonts w:ascii="Arial" w:cs="Arial" w:eastAsia="Arial" w:hAnsi="Arial"/>
                <w:sz w:val="18"/>
                <w:szCs w:val="18"/>
                <w:color w:val="auto"/>
                <w:w w:val="92"/>
              </w:rPr>
              <w:t>0.9%</w:t>
            </w:r>
          </w:p>
        </w:tc>
        <w:tc>
          <w:tcPr>
            <w:tcW w:w="100" w:type="dxa"/>
            <w:vAlign w:val="bottom"/>
          </w:tcPr>
          <w:p>
            <w:pPr>
              <w:spacing w:after="0"/>
              <w:rPr>
                <w:sz w:val="19"/>
                <w:szCs w:val="19"/>
                <w:color w:val="auto"/>
              </w:rPr>
            </w:pPr>
          </w:p>
        </w:tc>
      </w:tr>
      <w:tr>
        <w:trPr>
          <w:trHeight w:val="230"/>
        </w:trPr>
        <w:tc>
          <w:tcPr>
            <w:tcW w:w="5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Leasing</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1,715</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0.3%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w:t>
            </w:r>
          </w:p>
        </w:tc>
        <w:tc>
          <w:tcPr>
            <w:tcW w:w="1680" w:type="dxa"/>
            <w:vAlign w:val="bottom"/>
            <w:gridSpan w:val="2"/>
            <w:shd w:val="clear" w:color="auto" w:fill="CFF0FC"/>
          </w:tcPr>
          <w:p>
            <w:pPr>
              <w:jc w:val="center"/>
              <w:ind w:left="170"/>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FF0FC"/>
          </w:tcPr>
          <w:p>
            <w:pPr>
              <w:spacing w:after="0"/>
              <w:rPr>
                <w:sz w:val="19"/>
                <w:szCs w:val="19"/>
                <w:color w:val="auto"/>
              </w:rPr>
            </w:pPr>
          </w:p>
        </w:tc>
      </w:tr>
      <w:tr>
        <w:trPr>
          <w:trHeight w:val="223"/>
        </w:trPr>
        <w:tc>
          <w:tcPr>
            <w:tcW w:w="534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80,477</w:t>
            </w:r>
          </w:p>
        </w:tc>
        <w:tc>
          <w:tcPr>
            <w:tcW w:w="3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3"/>
              </w:rPr>
              <w:t>15.1%</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78,581</w:t>
            </w:r>
          </w:p>
        </w:tc>
        <w:tc>
          <w:tcPr>
            <w:tcW w:w="3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19"/>
                <w:szCs w:val="19"/>
                <w:color w:val="auto"/>
              </w:rPr>
            </w:pPr>
          </w:p>
        </w:tc>
      </w:tr>
      <w:tr>
        <w:trPr>
          <w:trHeight w:val="20"/>
        </w:trPr>
        <w:tc>
          <w:tcPr>
            <w:tcW w:w="5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i w:val="1"/>
          <w:iCs w:val="1"/>
          <w:u w:val="single" w:color="auto"/>
          <w:color w:val="auto"/>
        </w:rPr>
        <w:t>Fiber Infrastructure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 For the six months ended June 30, 2020, Fiber Infrastructure operating expenses totaled $74.3 million as compared to $68.5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six months ended June 30, 2019. Operating expense consists of network related costs, such as dark fiber and tower rents, and lit service and maintenance expense. In addition, costs associated with our construction activities are presented within operating expenses.</w:t>
      </w:r>
    </w:p>
    <w:p>
      <w:pPr>
        <w:spacing w:after="0" w:line="16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i w:val="1"/>
          <w:iCs w:val="1"/>
          <w:u w:val="single" w:color="auto"/>
          <w:color w:val="auto"/>
        </w:rPr>
        <w:t>Towers</w:t>
      </w:r>
      <w:r>
        <w:rPr>
          <w:rFonts w:ascii="Arial" w:cs="Arial" w:eastAsia="Arial" w:hAnsi="Arial"/>
          <w:sz w:val="18"/>
          <w:szCs w:val="18"/>
          <w:i w:val="1"/>
          <w:iCs w:val="1"/>
          <w:color w:val="auto"/>
        </w:rPr>
        <w:t xml:space="preserve"> </w:t>
      </w:r>
      <w:r>
        <w:rPr>
          <w:rFonts w:ascii="Arial" w:cs="Arial" w:eastAsia="Arial" w:hAnsi="Arial"/>
          <w:sz w:val="18"/>
          <w:szCs w:val="18"/>
          <w:color w:val="auto"/>
        </w:rPr>
        <w:t>– Towers operating expense was $3.7 million and $4.6 million for the six months ended June 30, 2020 and 2019, respectively.</w:t>
      </w:r>
      <w:r>
        <w:rPr>
          <w:rFonts w:ascii="Arial" w:cs="Arial" w:eastAsia="Arial" w:hAnsi="Arial"/>
          <w:sz w:val="18"/>
          <w:szCs w:val="18"/>
          <w:i w:val="1"/>
          <w:iCs w:val="1"/>
          <w:color w:val="auto"/>
        </w:rPr>
        <w:t xml:space="preserve"> </w:t>
      </w:r>
      <w:r>
        <w:rPr>
          <w:rFonts w:ascii="Arial" w:cs="Arial" w:eastAsia="Arial" w:hAnsi="Arial"/>
          <w:sz w:val="18"/>
          <w:szCs w:val="18"/>
          <w:color w:val="212529"/>
        </w:rPr>
        <w:t>The decrease in</w:t>
      </w:r>
      <w:r>
        <w:rPr>
          <w:rFonts w:ascii="Arial" w:cs="Arial" w:eastAsia="Arial" w:hAnsi="Arial"/>
          <w:sz w:val="18"/>
          <w:szCs w:val="18"/>
          <w:i w:val="1"/>
          <w:iCs w:val="1"/>
          <w:color w:val="auto"/>
        </w:rPr>
        <w:t xml:space="preserve"> </w:t>
      </w:r>
      <w:r>
        <w:rPr>
          <w:rFonts w:ascii="Arial" w:cs="Arial" w:eastAsia="Arial" w:hAnsi="Arial"/>
          <w:sz w:val="18"/>
          <w:szCs w:val="18"/>
          <w:color w:val="212529"/>
        </w:rPr>
        <w:t>operating expense is primarily attributable to the April 2, 2019 sale of the Latin American business and the completed sale of our U.S. towers business of June 1, 2020.</w:t>
      </w:r>
    </w:p>
    <w:p>
      <w:pPr>
        <w:spacing w:after="0" w:line="18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u w:val="single" w:color="auto"/>
          <w:color w:val="auto"/>
        </w:rPr>
        <w:t>Consumer CLEC</w:t>
      </w:r>
      <w:r>
        <w:rPr>
          <w:rFonts w:ascii="Arial" w:cs="Arial" w:eastAsia="Arial" w:hAnsi="Arial"/>
          <w:sz w:val="18"/>
          <w:szCs w:val="18"/>
          <w:i w:val="1"/>
          <w:iCs w:val="1"/>
          <w:color w:val="auto"/>
        </w:rPr>
        <w:t xml:space="preserve"> </w:t>
      </w:r>
      <w:r>
        <w:rPr>
          <w:rFonts w:ascii="Arial" w:cs="Arial" w:eastAsia="Arial" w:hAnsi="Arial"/>
          <w:sz w:val="18"/>
          <w:szCs w:val="18"/>
          <w:color w:val="auto"/>
        </w:rPr>
        <w:t>– The Consumer CLEC business operating expense was $0.8 million and $4.7 million for the six months ended June 30, 2020 and 2019,</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decrease is due to the substantially completed the wind down of our Consumer CLEC business.</w:t>
      </w:r>
    </w:p>
    <w:p>
      <w:pPr>
        <w:spacing w:after="0" w:line="170"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u w:val="single" w:color="auto"/>
          <w:color w:val="auto"/>
        </w:rPr>
        <w:t>Leasing</w:t>
      </w:r>
      <w:r>
        <w:rPr>
          <w:rFonts w:ascii="Arial" w:cs="Arial" w:eastAsia="Arial" w:hAnsi="Arial"/>
          <w:sz w:val="17"/>
          <w:szCs w:val="17"/>
          <w:i w:val="1"/>
          <w:iCs w:val="1"/>
          <w:color w:val="auto"/>
        </w:rPr>
        <w:t xml:space="preserve"> </w:t>
      </w:r>
      <w:r>
        <w:rPr>
          <w:rFonts w:ascii="Arial" w:cs="Arial" w:eastAsia="Arial" w:hAnsi="Arial"/>
          <w:sz w:val="17"/>
          <w:szCs w:val="17"/>
          <w:color w:val="auto"/>
        </w:rPr>
        <w:t>– Leasing operating expense was $1.7 million and $0.8 million for the six months ended June 30, 2020 and 2019, respectively. The increase 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driven by a $0.8 million increase in rent expense related to the Bluebird acquisition, completed August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Related and Other Costs</w:t>
      </w:r>
    </w:p>
    <w:p>
      <w:pPr>
        <w:spacing w:after="0" w:line="22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Transaction related and other costs included incremental acquisition, pursuit, transaction and integration costs (including unsuccessful acquisition pursuit costs), costs incurred as a result of Windstream’s bankruptcy filing, costs associated with Windstream’s claims against us and costs associated with the implementation of our new enterprise resource planning system. For the six months ended June 30, 2020, we incurred $34.5 million of transaction related and other costs, compared to $13.7 million of such costs during the six months ended June 30, 2019. The increase is primarily related to $23.8 million of total costs related to the Windstream Bankruptcy.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 Expense</w:t>
      </w:r>
    </w:p>
    <w:p>
      <w:pPr>
        <w:spacing w:after="0" w:line="225" w:lineRule="exact"/>
        <w:rPr>
          <w:sz w:val="20"/>
          <w:szCs w:val="20"/>
          <w:color w:val="auto"/>
        </w:rPr>
      </w:pPr>
    </w:p>
    <w:p>
      <w:pPr>
        <w:ind w:right="500"/>
        <w:spacing w:after="0" w:line="258" w:lineRule="auto"/>
        <w:rPr>
          <w:sz w:val="20"/>
          <w:szCs w:val="20"/>
          <w:color w:val="auto"/>
        </w:rPr>
      </w:pPr>
      <w:r>
        <w:rPr>
          <w:rFonts w:ascii="Arial" w:cs="Arial" w:eastAsia="Arial" w:hAnsi="Arial"/>
          <w:sz w:val="18"/>
          <w:szCs w:val="18"/>
          <w:color w:val="auto"/>
        </w:rPr>
        <w:t>The recorded income tax (benefit) expense recorded for the six months ended June 30, 2020 and 2019, respectively, is related to the tax impact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900" w:type="dxa"/>
            <w:vAlign w:val="bottom"/>
            <w:gridSpan w:val="2"/>
          </w:tcPr>
          <w:p>
            <w:pPr>
              <w:spacing w:after="0"/>
              <w:rPr>
                <w:sz w:val="20"/>
                <w:szCs w:val="20"/>
                <w:color w:val="auto"/>
              </w:rPr>
            </w:pPr>
            <w:r>
              <w:rPr>
                <w:rFonts w:ascii="Arial" w:cs="Arial" w:eastAsia="Arial" w:hAnsi="Arial"/>
                <w:sz w:val="18"/>
                <w:szCs w:val="18"/>
                <w:color w:val="auto"/>
              </w:rPr>
              <w:t>(Thousands)</w:t>
            </w:r>
          </w:p>
        </w:tc>
        <w:tc>
          <w:tcPr>
            <w:tcW w:w="3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23"/>
        </w:trPr>
        <w:tc>
          <w:tcPr>
            <w:tcW w:w="76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Income tax (benefit) expense</w:t>
            </w:r>
          </w:p>
        </w:tc>
        <w:tc>
          <w:tcPr>
            <w:tcW w:w="2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Pre-tax loss (Fiber Infrastructure)</w:t>
            </w: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(10,733)</w:t>
            </w:r>
          </w:p>
        </w:tc>
        <w:tc>
          <w:tcPr>
            <w:tcW w:w="320" w:type="dxa"/>
            <w:vAlign w:val="bottom"/>
            <w:gridSpan w:val="2"/>
          </w:tcPr>
          <w:p>
            <w:pPr>
              <w:jc w:val="right"/>
              <w:ind w:right="147"/>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(2,600)</w:t>
            </w:r>
          </w:p>
        </w:tc>
      </w:tr>
      <w:tr>
        <w:trPr>
          <w:trHeight w:val="230"/>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Cancellation of debt income (REIT)</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19"/>
                <w:szCs w:val="19"/>
                <w:color w:val="auto"/>
              </w:rPr>
            </w:pPr>
          </w:p>
        </w:tc>
      </w:tr>
      <w:tr>
        <w:trPr>
          <w:trHeight w:val="229"/>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Other undistributed REIT taxable income</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9"/>
                <w:szCs w:val="19"/>
                <w:color w:val="auto"/>
              </w:rPr>
            </w:pPr>
          </w:p>
        </w:tc>
      </w:tr>
      <w:tr>
        <w:trPr>
          <w:trHeight w:val="229"/>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Gain from sale of Uniti Towers' Latin American business</w:t>
            </w:r>
          </w:p>
        </w:tc>
        <w:tc>
          <w:tcPr>
            <w:tcW w:w="3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4,600</w:t>
            </w:r>
          </w:p>
        </w:tc>
        <w:tc>
          <w:tcPr>
            <w:tcW w:w="100" w:type="dxa"/>
            <w:vAlign w:val="bottom"/>
            <w:shd w:val="clear" w:color="auto" w:fill="CFF0FC"/>
          </w:tcPr>
          <w:p>
            <w:pPr>
              <w:spacing w:after="0"/>
              <w:rPr>
                <w:sz w:val="19"/>
                <w:szCs w:val="19"/>
                <w:color w:val="auto"/>
              </w:rPr>
            </w:pPr>
          </w:p>
        </w:tc>
      </w:tr>
      <w:tr>
        <w:trPr>
          <w:trHeight w:val="230"/>
        </w:trPr>
        <w:tc>
          <w:tcPr>
            <w:tcW w:w="7900" w:type="dxa"/>
            <w:vAlign w:val="bottom"/>
            <w:gridSpan w:val="2"/>
          </w:tcPr>
          <w:p>
            <w:pPr>
              <w:ind w:left="260"/>
              <w:spacing w:after="0"/>
              <w:rPr>
                <w:sz w:val="20"/>
                <w:szCs w:val="20"/>
                <w:color w:val="auto"/>
              </w:rPr>
            </w:pPr>
            <w:r>
              <w:rPr>
                <w:rFonts w:ascii="Arial" w:cs="Arial" w:eastAsia="Arial" w:hAnsi="Arial"/>
                <w:sz w:val="18"/>
                <w:szCs w:val="18"/>
                <w:color w:val="auto"/>
              </w:rPr>
              <w:t>Uniti Towers' Latin American business unrecognized tax benefit</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2,400</w:t>
            </w:r>
          </w:p>
        </w:tc>
        <w:tc>
          <w:tcPr>
            <w:tcW w:w="100" w:type="dxa"/>
            <w:vAlign w:val="bottom"/>
          </w:tcPr>
          <w:p>
            <w:pPr>
              <w:spacing w:after="0"/>
              <w:rPr>
                <w:sz w:val="19"/>
                <w:szCs w:val="19"/>
                <w:color w:val="auto"/>
              </w:rPr>
            </w:pPr>
          </w:p>
        </w:tc>
      </w:tr>
      <w:tr>
        <w:trPr>
          <w:trHeight w:val="229"/>
        </w:trPr>
        <w:tc>
          <w:tcPr>
            <w:tcW w:w="79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3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FF0FC"/>
          </w:tcPr>
          <w:p>
            <w:pPr>
              <w:spacing w:after="0"/>
              <w:rPr>
                <w:sz w:val="19"/>
                <w:szCs w:val="19"/>
                <w:color w:val="auto"/>
              </w:rPr>
            </w:pPr>
          </w:p>
        </w:tc>
      </w:tr>
      <w:tr>
        <w:trPr>
          <w:trHeight w:val="223"/>
        </w:trPr>
        <w:tc>
          <w:tcPr>
            <w:tcW w:w="7900" w:type="dxa"/>
            <w:vAlign w:val="bottom"/>
            <w:gridSpan w:val="2"/>
          </w:tcPr>
          <w:p>
            <w:pPr>
              <w:ind w:left="380"/>
              <w:spacing w:after="0"/>
              <w:rPr>
                <w:sz w:val="20"/>
                <w:szCs w:val="20"/>
                <w:color w:val="auto"/>
              </w:rPr>
            </w:pPr>
            <w:r>
              <w:rPr>
                <w:rFonts w:ascii="Arial" w:cs="Arial" w:eastAsia="Arial" w:hAnsi="Arial"/>
                <w:sz w:val="18"/>
                <w:szCs w:val="18"/>
                <w:color w:val="auto"/>
              </w:rPr>
              <w:t>Total income tax (benefit) expense</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(10,451)</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9"/>
                <w:szCs w:val="19"/>
                <w:color w:val="auto"/>
              </w:rPr>
            </w:pPr>
          </w:p>
        </w:tc>
      </w:tr>
      <w:tr>
        <w:trPr>
          <w:trHeight w:val="20"/>
        </w:trPr>
        <w:tc>
          <w:tcPr>
            <w:tcW w:w="7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refer to EBITDA, Adjusted EBITDA, Funds From Operations (“FFO”) (as defined by the National Association of Real Estate Investment Trusts (“NAREIT”)) and Adjusted Funds From Operations (“AFFO”) in our analysis of our results of operations, which are not required by, or presented in accordance with, accounting principles generally accepted in the United States (“GAAP”). While we believe that net income, as defined by GAAP, is the most appropriate earnings measure, we also believe that EBITDA, Adjusted EBITDA, FFO and AFFO are important non-GAAP supplemental measures of operating performance for a REIT.</w:t>
      </w:r>
    </w:p>
    <w:p>
      <w:pPr>
        <w:spacing w:after="0" w:line="18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We define “EBITDA” as net income, as defined by GAAP, before interest expense, provision for income taxes and depreciation and amortization. We define “Adjusted EBITDA” as EBITDA before stock-based compensation expense and the impact, which may be recurring in nature, of transaction and integration related costs, costs associated with Windstream’s bankruptcy, costs associated with litigation claims made against us, and costs associated with the implementation of our new enterprise resource planning system (collectively, “Transaction Related and Other Costs”), the write-off of unamortized deferred financing costs, costs incurred as a result of the early repayment of debt, gains or losses on dispositions, changes in the fair value of contingent consideration and financial instruments, and other similar or infrequent items (although we may not have had such charges in the periods presented). We believe EBITDA and Adjusted EBITDA are important supplemental measures to net income because they provide additional information to evaluate our operating performance on an unleveraged basis. In addition, Adjusted EBITDA is calculated similar to defined terms in our material debt agreements used to determine compliance with specific financial covenants. Since EBITDA and Adjusted EBITDA are not measures calculated in accordance with GAAP, they should not be considered as alternatives to net income determined in accordance with GAAP.</w:t>
      </w:r>
    </w:p>
    <w:p>
      <w:pPr>
        <w:spacing w:after="0" w:line="1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Because the historical cost accounting convention used for real estate assets requires the recognition of depreciation expense except on land, such accounting presentation implies that the value of real estate assets diminishes predictably over time. However, since real estate values have historically risen or fallen with market and other conditions, presentations of operating results for a REIT that uses historical cost accounting for depreciation could be less informative. Thus, NAREIT created FFO as a supplemental measure of operating performance for REITs that excludes historical cost depreciation and amortization, among other items, from net income, as defined by GAAP. FFO is defined by NAREIT as net income attributable to common shareholders computed in accordance with GAAP, excluding gains or losses from real estate dispositions, plus real estate depreciation and amortization and impairment charges. We compute FFO in accordance with NAREIT’s definition.</w:t>
      </w:r>
    </w:p>
    <w:p>
      <w:pPr>
        <w:spacing w:after="0" w:line="17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The Company defines AFFO as FFO excluding (i) Transaction Related and Other Costs; (ii) Windstream bankruptcy and litigation related expenses, including litigation settlement expenses; (iii) certain non-cash revenues and expenses such as stock-based compensation expense, amortization of debt and equity discounts, amortization of deferred financing costs, depreciation and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amortization of non-real estate assets, straight-line revenues, non-cash income taxes, and the amortization of other non-cash revenues to the extent that cash has not been received, such as revenue associated with the amortization of TCIs; and (iv) the impact, which may be recurring in nature, of the write-off of unamortized deferred financing fees, additional costs incurred as a result of early repayment of debt, including costs associated with the termination of related hedging activities, taxes associated with tax basis cancellation of debt, gains or losses on dispositions, changes in the fair value of contingent consideration and financial instruments and similar or infrequent items less maintenance capital expenditures. We believe that the use of FFO and AFFO, and their respective per share amounts, combined with the required GAAP presentations, improves the understanding of operating results of REITs among investors and analysts, and makes comparisons of operating results among such companies more meaningful. We consider FFO and AFFO to be useful measures for reviewing comparative operating performance. In particular, we believe AFFO, by excluding certain revenue and expense items, can help investors compare our operating performance between periods and to other REITs on a consistent basis without having to account for differences caused by unanticipated items and events, such as transaction and integration related costs. The Company uses FFO and AFFO, and their respective per share amounts, only as performance measures, and FFO and AFFO do not purport to be indicative of cash available to fund our future cash requirements. While FFO and AFFO are relevant and widely used measures of operating performance of REITs, they do not represent cash flows from operations or net income as defined by GAAP and should not be considered an alternative to those measures in evaluating our liquidity or operating performance.</w:t>
      </w:r>
    </w:p>
    <w:p>
      <w:pPr>
        <w:spacing w:after="0" w:line="174"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Further, our computations of EBITDA, Adjusted EBITDA, FFO and AFFO may not be comparable to that reported by other REITs or companies that do not define FFO in accordance with the current NAREIT definition or that interpret the current NAREIT definition or define EBITDA, Adjusted EBITDA and AFFO differently than we do.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reconciliation of our net (loss) income to EBITDA and Adjusted EBITDA and of our net (loss) income attributable to common shareholders to FFO and AFFO for the three and six months ended June 30, 2020 and 2019 is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6"/>
              </w:rPr>
              <w:t>Three Months Ended June 30,</w:t>
            </w:r>
          </w:p>
        </w:tc>
        <w:tc>
          <w:tcPr>
            <w:tcW w:w="320" w:type="dxa"/>
            <w:vAlign w:val="bottom"/>
          </w:tcPr>
          <w:p>
            <w:pPr>
              <w:spacing w:after="0"/>
              <w:rPr>
                <w:sz w:val="20"/>
                <w:szCs w:val="20"/>
                <w:color w:val="auto"/>
              </w:rPr>
            </w:pPr>
          </w:p>
        </w:tc>
        <w:tc>
          <w:tcPr>
            <w:tcW w:w="30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income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(598,329)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39,547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(678,595)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42,039</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84,969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102,578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171,090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206,405</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 net</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107,243</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97,729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285,636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182,187</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2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(5,875)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7,843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(10,451)</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11,897</w:t>
            </w:r>
          </w:p>
        </w:tc>
        <w:tc>
          <w:tcPr>
            <w:tcW w:w="100" w:type="dxa"/>
            <w:vAlign w:val="bottom"/>
          </w:tcPr>
          <w:p>
            <w:pPr>
              <w:spacing w:after="0"/>
              <w:rPr>
                <w:sz w:val="19"/>
                <w:szCs w:val="19"/>
                <w:color w:val="auto"/>
              </w:rPr>
            </w:pP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EBITDA</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(411,992)</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247,697</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(232,320)</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442,528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18,556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34,528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shd w:val="clear" w:color="auto" w:fill="CFF0FC"/>
          </w:tcPr>
          <w:p>
            <w:pPr>
              <w:spacing w:after="0"/>
              <w:rPr>
                <w:sz w:val="19"/>
                <w:szCs w:val="19"/>
                <w:color w:val="auto"/>
              </w:rPr>
            </w:pP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Settlement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spacing w:after="0"/>
              <w:rPr>
                <w:sz w:val="20"/>
                <w:szCs w:val="20"/>
                <w:color w:val="auto"/>
              </w:rPr>
            </w:pPr>
            <w:r>
              <w:rPr>
                <w:rFonts w:ascii="Arial" w:cs="Arial" w:eastAsia="Arial" w:hAnsi="Arial"/>
                <w:sz w:val="18"/>
                <w:szCs w:val="18"/>
                <w:color w:val="auto"/>
              </w:rPr>
              <w:t>Gain on sale of real estate</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(63,818)</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(28,790)</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(63,818)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(28,790)</w:t>
            </w:r>
          </w:p>
        </w:tc>
      </w:tr>
      <w:tr>
        <w:trPr>
          <w:trHeight w:val="229"/>
        </w:trPr>
        <w:tc>
          <w:tcPr>
            <w:tcW w:w="4400" w:type="dxa"/>
            <w:vAlign w:val="bottom"/>
          </w:tcPr>
          <w:p>
            <w:pPr>
              <w:spacing w:after="0"/>
              <w:rPr>
                <w:sz w:val="20"/>
                <w:szCs w:val="20"/>
                <w:color w:val="auto"/>
              </w:rPr>
            </w:pPr>
            <w:r>
              <w:rPr>
                <w:rFonts w:ascii="Arial" w:cs="Arial" w:eastAsia="Arial" w:hAnsi="Arial"/>
                <w:sz w:val="18"/>
                <w:szCs w:val="18"/>
                <w:color w:val="auto"/>
              </w:rPr>
              <w:t>Other expense (income)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6,013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(22,275)</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9,088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(25,388)</w:t>
            </w: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202,869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206,864</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404,583</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407,139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w w:val="96"/>
              </w:rPr>
              <w:t>Three Months Ended June 30,</w:t>
            </w:r>
          </w:p>
        </w:tc>
        <w:tc>
          <w:tcPr>
            <w:tcW w:w="320" w:type="dxa"/>
            <w:vAlign w:val="bottom"/>
          </w:tcPr>
          <w:p>
            <w:pPr>
              <w:spacing w:after="0"/>
              <w:rPr>
                <w:sz w:val="20"/>
                <w:szCs w:val="20"/>
                <w:color w:val="auto"/>
              </w:rPr>
            </w:pPr>
          </w:p>
        </w:tc>
        <w:tc>
          <w:tcPr>
            <w:tcW w:w="300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w w:val="99"/>
              </w:rPr>
              <w:t>Six Months Ended June 30,</w:t>
            </w:r>
          </w:p>
        </w:tc>
      </w:tr>
      <w:tr>
        <w:trPr>
          <w:trHeight w:val="223"/>
        </w:trPr>
        <w:tc>
          <w:tcPr>
            <w:tcW w:w="440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(Thousands)</w:t>
            </w:r>
          </w:p>
        </w:tc>
        <w:tc>
          <w:tcPr>
            <w:tcW w:w="2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44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2"/>
              </w:rPr>
              <w:t>Net (loss) income attributable to common shareholders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(588,169)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38,246</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(667,225)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39,259</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Real estate depreciation and amortization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62,107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82,436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126,059</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166,162</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Gain on sale of real estate assets, net of tax</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(63,818)</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(24,215)</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(63,818)</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(24,215)</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Participating securities share in earnings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624</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Participating securities share in FFO</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(406)</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(541)</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(606)</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(569)</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(1,181)</w:t>
            </w: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(1,102)</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(3,034)</w:t>
            </w:r>
          </w:p>
        </w:tc>
      </w:tr>
      <w:tr>
        <w:trPr>
          <w:trHeight w:val="223"/>
        </w:trPr>
        <w:tc>
          <w:tcPr>
            <w:tcW w:w="4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FFO attributable to common shareholders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(589,832)</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94,968</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(606,068)</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177,854</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Transaction related and other costs</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18,556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7,035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13,704</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Change in fair value of contingent consideration</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(22,275)</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6,140</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(25,531)</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w w:val="91"/>
              </w:rPr>
              <w:t>Amortization of deferred financing costs and debt discount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8,958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10,786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18,666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17,659</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8"/>
              </w:rPr>
              <w:t>Write off of deferred financing costs and debt discount</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73,952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Stock based compensation</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4,110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3,197</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5,085</w:t>
            </w:r>
          </w:p>
        </w:tc>
        <w:tc>
          <w:tcPr>
            <w:tcW w:w="100" w:type="dxa"/>
            <w:vAlign w:val="bottom"/>
          </w:tcPr>
          <w:p>
            <w:pPr>
              <w:spacing w:after="0"/>
              <w:rPr>
                <w:sz w:val="19"/>
                <w:szCs w:val="19"/>
                <w:color w:val="auto"/>
              </w:rPr>
            </w:pP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Non-real estate depreciation and amortization</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20,142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45,031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40,243</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Settlement expense</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650,000</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Straight-line revenues</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(693)</w:t>
            </w: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(1,416)</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Maintenance capital expenditures</w:t>
            </w:r>
          </w:p>
        </w:tc>
        <w:tc>
          <w:tcPr>
            <w:tcW w:w="2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(2,253)</w:t>
            </w: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(1,923)</w:t>
            </w: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(3,361)</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(4,726)</w:t>
            </w:r>
          </w:p>
        </w:tc>
      </w:tr>
      <w:tr>
        <w:trPr>
          <w:trHeight w:val="229"/>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w w:val="97"/>
              </w:rPr>
              <w:t>Amortization of discount on convertible preferred stock</w:t>
            </w: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w:t>
            </w:r>
          </w:p>
        </w:tc>
        <w:tc>
          <w:tcPr>
            <w:tcW w:w="100" w:type="dxa"/>
            <w:vAlign w:val="bottom"/>
            <w:shd w:val="clear" w:color="auto" w:fill="CFF0FC"/>
          </w:tcPr>
          <w:p>
            <w:pPr>
              <w:spacing w:after="0"/>
              <w:rPr>
                <w:sz w:val="19"/>
                <w:szCs w:val="19"/>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Cash taxes on tax basis cancellation of debt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4,590</w:t>
            </w:r>
          </w:p>
        </w:tc>
        <w:tc>
          <w:tcPr>
            <w:tcW w:w="100" w:type="dxa"/>
            <w:vAlign w:val="bottom"/>
          </w:tcPr>
          <w:p>
            <w:pPr>
              <w:spacing w:after="0"/>
              <w:rPr>
                <w:sz w:val="19"/>
                <w:szCs w:val="19"/>
                <w:color w:val="auto"/>
              </w:rPr>
            </w:pPr>
          </w:p>
        </w:tc>
      </w:tr>
      <w:tr>
        <w:trPr>
          <w:trHeight w:val="230"/>
        </w:trPr>
        <w:tc>
          <w:tcPr>
            <w:tcW w:w="44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(11,356)</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(5,967)</w:t>
            </w:r>
          </w:p>
        </w:tc>
        <w:tc>
          <w:tcPr>
            <w:tcW w:w="3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(21,810)</w:t>
            </w:r>
          </w:p>
        </w:tc>
        <w:tc>
          <w:tcPr>
            <w:tcW w:w="3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(15,649)</w:t>
            </w: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Adjustments for noncontrolling interests</w:t>
            </w:r>
          </w:p>
        </w:tc>
        <w:tc>
          <w:tcPr>
            <w:tcW w:w="28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(12,317)</w:t>
            </w: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(219)</w:t>
            </w:r>
          </w:p>
        </w:tc>
        <w:tc>
          <w:tcPr>
            <w:tcW w:w="3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(14,339)</w:t>
            </w: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(735)</w:t>
            </w:r>
          </w:p>
        </w:tc>
      </w:tr>
      <w:tr>
        <w:trPr>
          <w:trHeight w:val="223"/>
        </w:trPr>
        <w:tc>
          <w:tcPr>
            <w:tcW w:w="44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AFFO attributable to common shareholders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93,975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105,299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190,555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212,071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Our principal liquidity needs are to fund operating expenses, meet debt service requirements, fund investment activities, including capital expenditures, and make dividend distributions. Our primary sources of liquidity and capital resources are cash on hand, cash provided by operating activities (primarily arising under the Master Lease with Windstream), available borrowings under our credit agreement by and among the Operating Partnership, CSL Capital, LLC and Uniti Group Finance Inc., the guarantors and lenders party thereto and Bank of America, N.A., as administrative agent and collateral agent (the “Credit Agreement”), and proceeds from the issuance of debt and equity securities.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As of June 30, 2020, we had cash and cash equivalents of $88.3 million and approximately $290.0 million of borrowing availability under our Revolving Credit Facility. Subsequent to June 30, 2020, there have been no material outlays of funds outside of our scheduled interest and dividend</w:t>
      </w:r>
    </w:p>
    <w:p>
      <w:pPr>
        <w:ind w:right="400"/>
        <w:spacing w:after="0" w:line="255" w:lineRule="auto"/>
        <w:rPr>
          <w:sz w:val="20"/>
          <w:szCs w:val="20"/>
          <w:color w:val="auto"/>
        </w:rPr>
      </w:pPr>
      <w:r>
        <w:rPr>
          <w:rFonts w:ascii="Arial" w:cs="Arial" w:eastAsia="Arial" w:hAnsi="Arial"/>
          <w:sz w:val="18"/>
          <w:szCs w:val="18"/>
          <w:color w:val="auto"/>
        </w:rPr>
        <w:t>payments. Availability under our Revolving Credit Facility is subject to various conditions, including a maximum secured leverage ratio of 5.0:1. In addition, if we incur debt under our Revolving Credit Facility or otherwise such that our total leverage ratio exceeds 6.5:1, our debt instruments would impose significant restrictions on our ability to pay dividends.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40" w:type="dxa"/>
            <w:vAlign w:val="bottom"/>
            <w:gridSpan w:val="5"/>
          </w:tcPr>
          <w:p>
            <w:pPr>
              <w:ind w:left="24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cash provided by operating activities</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226,281</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250,364</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jc w:val="both"/>
        <w:ind w:right="680"/>
        <w:spacing w:after="0" w:line="258" w:lineRule="auto"/>
        <w:rPr>
          <w:sz w:val="20"/>
          <w:szCs w:val="20"/>
          <w:color w:val="auto"/>
        </w:rPr>
      </w:pPr>
      <w:r>
        <w:rPr>
          <w:rFonts w:ascii="Arial" w:cs="Arial" w:eastAsia="Arial" w:hAnsi="Arial"/>
          <w:sz w:val="18"/>
          <w:szCs w:val="18"/>
          <w:color w:val="auto"/>
        </w:rPr>
        <w:t>Cash provided by operating activities was $226.3 million and $250.4 million for the six months ended June 30, 2020 and 2019, respectively. Cash provided by operating activities is primarily attributable to our leasing activities.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Acquisition of businesses, net of cash acquired</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(4,210)</w:t>
            </w:r>
          </w:p>
        </w:tc>
      </w:tr>
      <w:tr>
        <w:trPr>
          <w:trHeight w:val="229"/>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capital expenditures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(134,035)</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(180,478)</w:t>
            </w:r>
          </w:p>
        </w:tc>
      </w:tr>
      <w:tr>
        <w:trPr>
          <w:trHeight w:val="230"/>
        </w:trPr>
        <w:tc>
          <w:tcPr>
            <w:tcW w:w="76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Proceeds from sale of real estate, net of cash</w:t>
            </w:r>
          </w:p>
        </w:tc>
        <w:tc>
          <w:tcPr>
            <w:tcW w:w="22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225,149</w:t>
            </w:r>
          </w:p>
        </w:tc>
        <w:tc>
          <w:tcPr>
            <w:tcW w:w="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127,524</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provided by (used in) investing activities</w:t>
            </w:r>
          </w:p>
        </w:tc>
        <w:tc>
          <w:tcPr>
            <w:tcW w:w="22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91,114</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(57,164)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Cash provided by investing activities for the six months ended June 30, 2020 was $91.1 million, which was driven by proceeds from the sale of our U.S. tower business ($225.0 million), partially offset by capital expenditures ($134.0 million), primarily related to our Uniti Fiber and Uniti Leasing businesses for the deployment of network assets. C</w:t>
      </w:r>
      <w:r>
        <w:rPr>
          <w:rFonts w:ascii="Arial" w:cs="Arial" w:eastAsia="Arial" w:hAnsi="Arial"/>
          <w:sz w:val="18"/>
          <w:szCs w:val="18"/>
          <w:color w:val="212529"/>
        </w:rPr>
        <w:t>ash used in investing activities was $57.2 million for the six months ended June 30, 2019, which was driven by</w:t>
      </w:r>
      <w:r>
        <w:rPr>
          <w:rFonts w:ascii="Arial" w:cs="Arial" w:eastAsia="Arial" w:hAnsi="Arial"/>
          <w:sz w:val="18"/>
          <w:szCs w:val="18"/>
          <w:color w:val="auto"/>
        </w:rPr>
        <w:t xml:space="preserve"> </w:t>
      </w:r>
      <w:r>
        <w:rPr>
          <w:rFonts w:ascii="Arial" w:cs="Arial" w:eastAsia="Arial" w:hAnsi="Arial"/>
          <w:sz w:val="18"/>
          <w:szCs w:val="18"/>
          <w:color w:val="212529"/>
        </w:rPr>
        <w:t>capital expenditures ($180.5 million), primarily related to our Uniti Fiber and Uniti Towers businesses partially offset by proceeds related to the sale of Uniti Towers’ Latin American and ground lease businesses ($127.5 million).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Six Months Ended June 30,</w:t>
            </w:r>
          </w:p>
        </w:tc>
      </w:tr>
      <w:tr>
        <w:trPr>
          <w:trHeight w:val="223"/>
        </w:trPr>
        <w:tc>
          <w:tcPr>
            <w:tcW w:w="7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(Thousands)</w:t>
            </w:r>
          </w:p>
        </w:tc>
        <w:tc>
          <w:tcPr>
            <w:tcW w:w="220" w:type="dxa"/>
            <w:vAlign w:val="bottom"/>
            <w:tcBorders>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CFF0FC"/>
            </w:tcBorders>
          </w:tcPr>
          <w:p>
            <w:pPr>
              <w:spacing w:after="0"/>
              <w:rPr>
                <w:sz w:val="19"/>
                <w:szCs w:val="19"/>
                <w:color w:val="auto"/>
              </w:rPr>
            </w:pPr>
          </w:p>
        </w:tc>
        <w:tc>
          <w:tcPr>
            <w:tcW w:w="140" w:type="dxa"/>
            <w:vAlign w:val="bottom"/>
            <w:tcBorders>
              <w:top w:val="single" w:sz="8" w:color="auto"/>
              <w:bottom w:val="single" w:sz="8" w:color="CFF0FC"/>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r>
      <w:tr>
        <w:trPr>
          <w:trHeight w:val="223"/>
        </w:trPr>
        <w:tc>
          <w:tcPr>
            <w:tcW w:w="76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Repayment of senior secured term loan B</w:t>
            </w:r>
          </w:p>
        </w:tc>
        <w:tc>
          <w:tcPr>
            <w:tcW w:w="54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(2,044,728)</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Principal payments on debt</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(10,540)</w:t>
            </w: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Dividends paid</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(71,645)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(120,161)</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of contingent consideration</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(7,086)</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(28,170)</w:t>
            </w: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Distributions paid to noncontrolling interests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(1,282)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(2,686)</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Borrowings under revolving credit facility</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139,000</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Payments under revolving credit facility</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(456,700)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(203,981)</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Capital lease payments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(1,979)</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(1,896)</w:t>
            </w: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Payments for financing costs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(47,775)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(49,462)</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issuance, net of costs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21,641</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Proceeds from issuance of notes</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2,250,000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345,000</w:t>
            </w:r>
          </w:p>
        </w:tc>
        <w:tc>
          <w:tcPr>
            <w:tcW w:w="100" w:type="dxa"/>
            <w:vAlign w:val="bottom"/>
          </w:tcPr>
          <w:p>
            <w:pPr>
              <w:spacing w:after="0"/>
              <w:rPr>
                <w:sz w:val="19"/>
                <w:szCs w:val="19"/>
                <w:color w:val="auto"/>
              </w:rPr>
            </w:pP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warrants</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50,819</w:t>
            </w:r>
          </w:p>
        </w:tc>
        <w:tc>
          <w:tcPr>
            <w:tcW w:w="100" w:type="dxa"/>
            <w:vAlign w:val="bottom"/>
            <w:shd w:val="clear" w:color="auto" w:fill="CFF0FC"/>
          </w:tcPr>
          <w:p>
            <w:pPr>
              <w:spacing w:after="0"/>
              <w:rPr>
                <w:sz w:val="19"/>
                <w:szCs w:val="19"/>
                <w:color w:val="auto"/>
              </w:rPr>
            </w:pPr>
          </w:p>
        </w:tc>
      </w:tr>
      <w:tr>
        <w:trPr>
          <w:trHeight w:val="229"/>
        </w:trPr>
        <w:tc>
          <w:tcPr>
            <w:tcW w:w="7660" w:type="dxa"/>
            <w:vAlign w:val="bottom"/>
          </w:tcPr>
          <w:p>
            <w:pPr>
              <w:ind w:left="260"/>
              <w:spacing w:after="0"/>
              <w:rPr>
                <w:sz w:val="20"/>
                <w:szCs w:val="20"/>
                <w:color w:val="auto"/>
              </w:rPr>
            </w:pPr>
            <w:r>
              <w:rPr>
                <w:rFonts w:ascii="Arial" w:cs="Arial" w:eastAsia="Arial" w:hAnsi="Arial"/>
                <w:sz w:val="18"/>
                <w:szCs w:val="18"/>
                <w:color w:val="auto"/>
              </w:rPr>
              <w:t>Payment for bond hedge option</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(70,035)</w:t>
            </w:r>
          </w:p>
        </w:tc>
      </w:tr>
      <w:tr>
        <w:trPr>
          <w:trHeight w:val="230"/>
        </w:trPr>
        <w:tc>
          <w:tcPr>
            <w:tcW w:w="76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Employee stock purchase program</w:t>
            </w:r>
          </w:p>
        </w:tc>
        <w:tc>
          <w:tcPr>
            <w:tcW w:w="2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447</w:t>
            </w:r>
          </w:p>
        </w:tc>
        <w:tc>
          <w:tcPr>
            <w:tcW w:w="100" w:type="dxa"/>
            <w:vAlign w:val="bottom"/>
            <w:shd w:val="clear" w:color="auto" w:fill="CFF0FC"/>
          </w:tcPr>
          <w:p>
            <w:pPr>
              <w:spacing w:after="0"/>
              <w:rPr>
                <w:sz w:val="19"/>
                <w:szCs w:val="19"/>
                <w:color w:val="auto"/>
              </w:rPr>
            </w:pPr>
          </w:p>
        </w:tc>
      </w:tr>
      <w:tr>
        <w:trPr>
          <w:trHeight w:val="230"/>
        </w:trPr>
        <w:tc>
          <w:tcPr>
            <w:tcW w:w="7660" w:type="dxa"/>
            <w:vAlign w:val="bottom"/>
          </w:tcPr>
          <w:p>
            <w:pPr>
              <w:ind w:left="260"/>
              <w:spacing w:after="0"/>
              <w:rPr>
                <w:sz w:val="20"/>
                <w:szCs w:val="20"/>
                <w:color w:val="auto"/>
              </w:rPr>
            </w:pPr>
            <w:r>
              <w:rPr>
                <w:rFonts w:ascii="Arial" w:cs="Arial" w:eastAsia="Arial" w:hAnsi="Arial"/>
                <w:sz w:val="18"/>
                <w:szCs w:val="18"/>
                <w:color w:val="auto"/>
              </w:rPr>
              <w:t>Net share settlement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(1,050)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(1,765)</w:t>
            </w:r>
          </w:p>
        </w:tc>
      </w:tr>
      <w:tr>
        <w:trPr>
          <w:trHeight w:val="223"/>
        </w:trPr>
        <w:tc>
          <w:tcPr>
            <w:tcW w:w="7660" w:type="dxa"/>
            <w:vAlign w:val="bottom"/>
            <w:tcBorders>
              <w:top w:val="single" w:sz="8" w:color="CFF0FC"/>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(371,939)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68,211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 xml:space="preserve">Cash used in financing activities was $371.9 million for the six months ended June 30, 2020, which was </w:t>
      </w:r>
      <w:r>
        <w:rPr>
          <w:rFonts w:ascii="Arial" w:cs="Arial" w:eastAsia="Arial" w:hAnsi="Arial"/>
          <w:sz w:val="18"/>
          <w:szCs w:val="18"/>
          <w:color w:val="212529"/>
        </w:rPr>
        <w:t>primarily driven by the repayment of senior</w:t>
      </w:r>
      <w:r>
        <w:rPr>
          <w:rFonts w:ascii="Arial" w:cs="Arial" w:eastAsia="Arial" w:hAnsi="Arial"/>
          <w:sz w:val="18"/>
          <w:szCs w:val="18"/>
          <w:color w:val="auto"/>
        </w:rPr>
        <w:t xml:space="preserve"> </w:t>
      </w:r>
      <w:r>
        <w:rPr>
          <w:rFonts w:ascii="Arial" w:cs="Arial" w:eastAsia="Arial" w:hAnsi="Arial"/>
          <w:sz w:val="18"/>
          <w:szCs w:val="18"/>
          <w:color w:val="212529"/>
        </w:rPr>
        <w:t>secured term loan B ($2.04 billion), net payments under the Revolving Credit Facility ($446.7 million), dividend payments ($71.6 million) and payments for financing costs ($47.8 million)</w:t>
      </w:r>
      <w:r>
        <w:rPr>
          <w:rFonts w:ascii="Arial" w:cs="Arial" w:eastAsia="Arial" w:hAnsi="Arial"/>
          <w:sz w:val="18"/>
          <w:szCs w:val="18"/>
          <w:color w:val="000000"/>
        </w:rPr>
        <w:t>, partially offset by</w:t>
      </w:r>
      <w:r>
        <w:rPr>
          <w:rFonts w:ascii="Arial" w:cs="Arial" w:eastAsia="Arial" w:hAnsi="Arial"/>
          <w:sz w:val="18"/>
          <w:szCs w:val="18"/>
          <w:color w:val="212529"/>
        </w:rPr>
        <w:t xml:space="preserve"> the proceeds from the issuance of the 2025 Secured Notes ($2.25 billion). Cash provided by financing activities was $68.2 million for the six months ended June 30, 2019, which primarily represents the proceeds from issuance of exchangeable notes ($345.0 million), proceeds from sale of warrants ($50.8 million) and net proceeds under our ATM Program ($21.6 million). This was partially offset by dividend payments ($120.2 million), payment for bond hedge option ($70.0 million), net repayments under the Revolving Credit Facility ($65.0 million), payments for</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212529"/>
        </w:rPr>
        <w:t>financing costs ($49.5 million), contingent consideration payments ($28.2 million), principal payments related to the Term Loan Facility ($10.5 million) and distributions paid to noncontrolling interests ($2.7 million)</w:t>
      </w:r>
      <w:r>
        <w:rPr>
          <w:rFonts w:ascii="Arial" w:cs="Arial" w:eastAsia="Arial" w:hAnsi="Arial"/>
          <w:sz w:val="18"/>
          <w:szCs w:val="18"/>
          <w:color w:val="000000"/>
        </w:rPr>
        <w:t>.</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February 10, 2020, we received a limited waiver from our lenders under our Credit Agreement, waiving an event of default related solely to the receipt of a going concern opinion from our auditors for our 2019 audited financial statements. The limited waiver was issued in connection with the Sixth Amendment to our Credit Agreement. In addition to the restrictions imposed by the Fourth Amendment, which remain effective, the Sixth Amendment also limits the ability of our non-guarantor subsidiaries to incur indebtedness. The Sixth Amendment increased the interest rate on our revolving facility by 100 bps for each applicable rate. As amended, borrowings under the Revolving Credit Facility bear interest at a rate equal to either a base rate plus an applicable margin ranging from 3.75% to 4.25% or a Eurodollar rate plus an applicable margin ranging from 4.75% to 5.25%, in each case, calculated in a customary manner and determined based on our consolidated secured leverage ratio. See note 10 to our accompanying Condensed Consolidated Financial Statements contained in Part I, Item 1 of this Quarterly Report on Form 10-Q.</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have established the ATM Program to sell shares of common stock having an aggregate offering price of up to $250 million. The ATM Program supersedes and replaces the $250 million program we commenced on September 2, 2016, which had approximately $117.1 million available for issuance under such program. This program is intended to provide additional financial flexibility and an alternative mechanism to access the capital markets at an efficient cost as and when we need financing, including for acquisitions. In addition, our UPREIT structure enables us to acquire properties by issuing to sellers, as a form of consideration, limited partnership interests in our operating partnership, (commonly called “OP Units”). We believe that this structure will facilitate our ability to acquire individual properties and portfolios of properties by enabling us to structure transactions which will defer taxes payable by a seller while preserving our available cash for other purposes, including the possible payment of dividends.</w:t>
      </w:r>
    </w:p>
    <w:p>
      <w:pPr>
        <w:spacing w:after="0" w:line="16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anticipate continuing to invest in our network infrastructure across our Uniti Leasing and Uniti Fiber portfolios. We anticipate that we will partially finance these needs, as well as operating expenses (including our debt service obligations), from our cash on hand and cash flows provided by operating activities. As of June 30, 2020, we had $290 million in borrowing availability under our Revolving Credit Facility, however, we may need to access the capital markets to generate additional funds in an amount sufficient to fund our business operations, announced investment activities, capital expenditures, debt service and distributions to our shareholders. In light of the COVID-19 pandemic and its effects on the global economy and capital markets, we are closely monitoring the equity and debt markets and will seek to access them promptly if and when we determine market conditions are appropriate. Our debt covenants currently do not permit us to incur material additional debt. We will need to raise additional capital if the Settlement, which includes growth capital investments, with Windstream is effectuated.</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amount, nature and timing of any capital markets transactions will depend on: the impact the COVID-19 pandemic has on the global economy and capital markets, our operating performance and other circumstances, including uncertainty surrounding Windstream; our then-current commitments and obligations; the amount, nature and timing of our capital requirements; and any limitations imposed by our current credit arrangements. These expectations are forward-looking and subject to a number of uncertainties and assumptions. If our expectations about our liquidity prove to be incorrect or we are unable to access the capital markets as we anticipate, we would be subject to a shortfall in liquidity in the future which could lead to a reduction in our capital expenditures and/or dividends and, in an extreme case, our ability to pay our debt service obligations. If this shortfall occurs rapidly and with little or no notice, it could limit our ability to address the shortfall on a timely basis.</w:t>
      </w:r>
    </w:p>
    <w:p>
      <w:pPr>
        <w:spacing w:after="0" w:line="177"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exploring potential capital markets transactions, the Company regularly evaluates market conditions, its liquidity profile, and various financing alternatives for opportunities to enhance its capital structure. If opportunities are favorable, the Company may refinance or repurchase existing debt. However, there can be no assurances that any debt refinancing would be on similar or more favorable terms than our existing arrangements. This would include the risk that interest rates could increase and/or there may be changes to our existing covenants.</w:t>
      </w:r>
    </w:p>
    <w:p>
      <w:pPr>
        <w:spacing w:after="0" w:line="17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light of the COVID-19 pandemic, recent developments and uncertainty surrounding Windstream, as discussed in Note 2 to our accompanying Condensed Consolidated Financial Statements contained in Part I, Item 1 of this Quarterly Report on Form 10-Q and in Part I, Item 1A "Risk Factors" in our Annual Report on Form 10-K for the year ended December 31, 2019, until such time as the Settlement is approved and Windstream emerges from bankruptcy, we have taken measures, and may take further measures, to conserve cash as we anticipate that it will be more difficult for us to access the capital markets at attractive rates until such uncertainty is clarified.</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530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gridSpan w:val="8"/>
            <w:vMerge w:val="restart"/>
          </w:tcPr>
          <w:p>
            <w:pPr>
              <w:ind w:left="120"/>
              <w:spacing w:after="0"/>
              <w:rPr>
                <w:sz w:val="20"/>
                <w:szCs w:val="20"/>
                <w:color w:val="auto"/>
              </w:rPr>
            </w:pPr>
            <w:r>
              <w:rPr>
                <w:rFonts w:ascii="Arial" w:cs="Arial" w:eastAsia="Arial" w:hAnsi="Arial"/>
                <w:sz w:val="18"/>
                <w:szCs w:val="18"/>
                <w:b w:val="1"/>
                <w:bCs w:val="1"/>
                <w:color w:val="auto"/>
              </w:rPr>
              <w:t>Six Months Ended June 30, 2020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gridSpan w:val="8"/>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400"/>
              <w:spacing w:after="0" w:line="205" w:lineRule="exact"/>
              <w:rPr>
                <w:sz w:val="20"/>
                <w:szCs w:val="20"/>
                <w:color w:val="auto"/>
              </w:rPr>
            </w:pPr>
            <w:r>
              <w:rPr>
                <w:rFonts w:ascii="Arial" w:cs="Arial" w:eastAsia="Arial" w:hAnsi="Arial"/>
                <w:sz w:val="18"/>
                <w:szCs w:val="18"/>
                <w:b w:val="1"/>
                <w:bCs w:val="1"/>
                <w:color w:val="auto"/>
                <w:w w:val="79"/>
              </w:rPr>
              <w:t>Success</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360"/>
              <w:spacing w:after="0" w:line="205" w:lineRule="exact"/>
              <w:rPr>
                <w:sz w:val="20"/>
                <w:szCs w:val="20"/>
                <w:color w:val="auto"/>
              </w:rPr>
            </w:pPr>
            <w:r>
              <w:rPr>
                <w:rFonts w:ascii="Arial" w:cs="Arial" w:eastAsia="Arial" w:hAnsi="Arial"/>
                <w:sz w:val="18"/>
                <w:szCs w:val="18"/>
                <w:b w:val="1"/>
                <w:bCs w:val="1"/>
                <w:color w:val="auto"/>
                <w:w w:val="92"/>
              </w:rPr>
              <w:t>Non-</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Arial" w:cs="Arial" w:eastAsia="Arial" w:hAnsi="Arial"/>
                <w:sz w:val="18"/>
                <w:szCs w:val="18"/>
                <w:color w:val="auto"/>
              </w:rPr>
              <w:t>(Thousands)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5"/>
              </w:rPr>
              <w:t>Based</w:t>
            </w:r>
          </w:p>
        </w:tc>
        <w:tc>
          <w:tcPr>
            <w:tcW w:w="1260" w:type="dxa"/>
            <w:vAlign w:val="bottom"/>
            <w:gridSpan w:val="3"/>
          </w:tcPr>
          <w:p>
            <w:pPr>
              <w:spacing w:after="0"/>
              <w:rPr>
                <w:sz w:val="20"/>
                <w:szCs w:val="20"/>
                <w:color w:val="auto"/>
              </w:rPr>
            </w:pPr>
            <w:r>
              <w:rPr>
                <w:rFonts w:ascii="Arial" w:cs="Arial" w:eastAsia="Arial" w:hAnsi="Arial"/>
                <w:sz w:val="18"/>
                <w:szCs w:val="18"/>
                <w:b w:val="1"/>
                <w:bCs w:val="1"/>
                <w:color w:val="auto"/>
              </w:rPr>
              <w:t>Maintenance</w:t>
            </w:r>
          </w:p>
        </w:tc>
        <w:tc>
          <w:tcPr>
            <w:tcW w:w="1220" w:type="dxa"/>
            <w:vAlign w:val="bottom"/>
            <w:gridSpan w:val="3"/>
          </w:tcPr>
          <w:p>
            <w:pPr>
              <w:ind w:left="60"/>
              <w:spacing w:after="0"/>
              <w:rPr>
                <w:sz w:val="20"/>
                <w:szCs w:val="20"/>
                <w:color w:val="auto"/>
              </w:rPr>
            </w:pPr>
            <w:r>
              <w:rPr>
                <w:rFonts w:ascii="Arial" w:cs="Arial" w:eastAsia="Arial" w:hAnsi="Arial"/>
                <w:sz w:val="18"/>
                <w:szCs w:val="18"/>
                <w:b w:val="1"/>
                <w:bCs w:val="1"/>
                <w:color w:val="auto"/>
              </w:rPr>
              <w:t>Integration</w:t>
            </w:r>
          </w:p>
        </w:tc>
        <w:tc>
          <w:tcPr>
            <w:tcW w:w="12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Network</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Capital expenditures: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Leasing</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9,063</w:t>
            </w:r>
          </w:p>
        </w:tc>
        <w:tc>
          <w:tcPr>
            <w:tcW w:w="26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9,063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Fiber Infrastructure</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94,296</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3,355</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100,810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ind w:left="260"/>
              <w:spacing w:after="0"/>
              <w:rPr>
                <w:sz w:val="20"/>
                <w:szCs w:val="20"/>
                <w:color w:val="auto"/>
              </w:rPr>
            </w:pPr>
            <w:r>
              <w:rPr>
                <w:rFonts w:ascii="Arial" w:cs="Arial" w:eastAsia="Arial" w:hAnsi="Arial"/>
                <w:sz w:val="18"/>
                <w:szCs w:val="18"/>
                <w:color w:val="auto"/>
              </w:rPr>
              <w:t>Towers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24,156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and non-network</w:t>
            </w:r>
          </w:p>
        </w:tc>
        <w:tc>
          <w:tcPr>
            <w:tcW w:w="1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ind w:left="380"/>
              <w:spacing w:after="0"/>
              <w:rPr>
                <w:sz w:val="20"/>
                <w:szCs w:val="20"/>
                <w:color w:val="auto"/>
              </w:rPr>
            </w:pPr>
            <w:r>
              <w:rPr>
                <w:rFonts w:ascii="Arial" w:cs="Arial" w:eastAsia="Arial" w:hAnsi="Arial"/>
                <w:sz w:val="18"/>
                <w:szCs w:val="18"/>
                <w:color w:val="auto"/>
              </w:rPr>
              <w:t>Total capital expenditures</w:t>
            </w:r>
          </w:p>
        </w:tc>
        <w:tc>
          <w:tcPr>
            <w:tcW w:w="14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127,515</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1,861</w:t>
            </w:r>
          </w:p>
        </w:tc>
        <w:tc>
          <w:tcPr>
            <w:tcW w:w="2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134,035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categorize our capital expenditures as either (i) success-based, (ii) maintenance, (iii) integration or (iv) corporate and non-network. We define success-based capital expenditures as those related to installing existing or anticipated contractual customer service orders. Maintenance capital expenditures are those necessary to keep existing network elements fully operational. Integration capital expenditures are those made specifically with respect to recent acquisitions that are essential to integrating acquired companies in our business. We anticipate continuing to invest in our network infrastructure across our Uniti Leasing and Uniti Fiber businesses, and expect that cash on hand and cash flows provided by operating activities will be sufficient to support these investments. We have the right, but not the obligation, to fund growth capital expenditures in certain of our lease arrangements where we are the lessor.</w:t>
      </w:r>
    </w:p>
    <w:p>
      <w:pPr>
        <w:spacing w:after="0" w:line="164"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 light of recent developments with Windstream and the COVID-19 pandemic, we may need to take measures to conserve cash, which may include a suspension, delay or reduction in success-based capital expenditures. We continually assess our capital expenditure plans in light of developments regarding the Windstream bankruptcy and the impact COVID-19 has on our business and that our tenants and customers.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elected to be taxed as a REIT for U.S. federal income tax purposes. U.S. federal income tax law generally requires that a REIT distribute annually at least 90% of its REIT taxable income, without regard to the deduction for dividends paid and excluding net capital gains, and that it pay tax at regular corporate rates to the extent that it annually distributes less than 100% of its taxable income. In order to maintain our REIT status, we intend to make dividend payments of all or substantially all of our taxable income to holders of our common stock out of assets legally available for this purpose, if and to the extent authorized by our board of directors. Before we make any dividend payments, whether for U.S. federal income tax purposes or otherwise, we must first meet both our operating requirements and debt service obligations. If our cash available for distribution is less than our taxable income, we could be required to sell assets or borrow funds to make cash dividends or we may make a portion of the required dividend in the form of a taxable distribution of stock or debt securities.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below sets out details regarding our cash dividends on our common stock:</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Period</w:t>
            </w:r>
          </w:p>
        </w:tc>
        <w:tc>
          <w:tcPr>
            <w:tcW w:w="2260" w:type="dxa"/>
            <w:vAlign w:val="bottom"/>
          </w:tcPr>
          <w:p>
            <w:pPr>
              <w:jc w:val="center"/>
              <w:spacing w:after="0"/>
              <w:rPr>
                <w:sz w:val="20"/>
                <w:szCs w:val="20"/>
                <w:color w:val="auto"/>
              </w:rPr>
            </w:pPr>
            <w:r>
              <w:rPr>
                <w:rFonts w:ascii="Arial" w:cs="Arial" w:eastAsia="Arial" w:hAnsi="Arial"/>
                <w:sz w:val="18"/>
                <w:szCs w:val="18"/>
                <w:color w:val="auto"/>
                <w:w w:val="87"/>
              </w:rPr>
              <w:t>Payment Date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2"/>
          </w:tcPr>
          <w:p>
            <w:pPr>
              <w:ind w:left="40"/>
              <w:spacing w:after="0"/>
              <w:rPr>
                <w:sz w:val="20"/>
                <w:szCs w:val="20"/>
                <w:color w:val="auto"/>
              </w:rPr>
            </w:pPr>
            <w:r>
              <w:rPr>
                <w:rFonts w:ascii="Arial" w:cs="Arial" w:eastAsia="Arial" w:hAnsi="Arial"/>
                <w:sz w:val="18"/>
                <w:szCs w:val="18"/>
                <w:color w:val="auto"/>
              </w:rPr>
              <w:t>Cash Dividend Per Share</w:t>
            </w: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Record Date</w:t>
            </w:r>
          </w:p>
        </w:tc>
      </w:tr>
      <w:tr>
        <w:trPr>
          <w:trHeight w:val="223"/>
        </w:trPr>
        <w:tc>
          <w:tcPr>
            <w:tcW w:w="40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October 1, 2019 - December 31, 2019</w:t>
            </w:r>
          </w:p>
        </w:tc>
        <w:tc>
          <w:tcPr>
            <w:tcW w:w="120" w:type="dxa"/>
            <w:vAlign w:val="bottom"/>
            <w:tcBorders>
              <w:top w:val="single" w:sz="8" w:color="CFF0FC"/>
            </w:tcBorders>
            <w:shd w:val="clear" w:color="auto" w:fill="CFF0FC"/>
          </w:tcPr>
          <w:p>
            <w:pPr>
              <w:spacing w:after="0"/>
              <w:rPr>
                <w:sz w:val="19"/>
                <w:szCs w:val="19"/>
                <w:color w:val="auto"/>
              </w:rPr>
            </w:pPr>
          </w:p>
        </w:tc>
        <w:tc>
          <w:tcPr>
            <w:tcW w:w="22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January 15, 2020</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2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Borders>
              <w:top w:val="single" w:sz="8" w:color="CFF0FC"/>
            </w:tcBorders>
            <w:shd w:val="clear" w:color="auto" w:fill="CFF0FC"/>
          </w:tcPr>
          <w:p>
            <w:pPr>
              <w:spacing w:after="0"/>
              <w:rPr>
                <w:sz w:val="19"/>
                <w:szCs w:val="19"/>
                <w:color w:val="auto"/>
              </w:rPr>
            </w:pPr>
          </w:p>
        </w:tc>
        <w:tc>
          <w:tcPr>
            <w:tcW w:w="22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December 31, 2019</w:t>
            </w: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January 1, 2020 - March 31, 2020</w:t>
            </w:r>
          </w:p>
        </w:tc>
        <w:tc>
          <w:tcPr>
            <w:tcW w:w="2260" w:type="dxa"/>
            <w:vAlign w:val="bottom"/>
          </w:tcPr>
          <w:p>
            <w:pPr>
              <w:jc w:val="center"/>
              <w:spacing w:after="0"/>
              <w:rPr>
                <w:sz w:val="20"/>
                <w:szCs w:val="20"/>
                <w:color w:val="auto"/>
              </w:rPr>
            </w:pPr>
            <w:r>
              <w:rPr>
                <w:rFonts w:ascii="Arial" w:cs="Arial" w:eastAsia="Arial" w:hAnsi="Arial"/>
                <w:sz w:val="18"/>
                <w:szCs w:val="18"/>
                <w:color w:val="auto"/>
                <w:w w:val="93"/>
              </w:rPr>
              <w:t>April 15, 2020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20" w:type="dxa"/>
            <w:vAlign w:val="bottom"/>
          </w:tcPr>
          <w:p>
            <w:pPr>
              <w:jc w:val="right"/>
              <w:spacing w:after="0"/>
              <w:rPr>
                <w:sz w:val="20"/>
                <w:szCs w:val="20"/>
                <w:color w:val="auto"/>
              </w:rPr>
            </w:pPr>
            <w:r>
              <w:rPr>
                <w:rFonts w:ascii="Arial" w:cs="Arial" w:eastAsia="Arial" w:hAnsi="Arial"/>
                <w:sz w:val="18"/>
                <w:szCs w:val="18"/>
                <w:color w:val="auto"/>
              </w:rPr>
              <w:t>0.15</w:t>
            </w:r>
          </w:p>
        </w:tc>
        <w:tc>
          <w:tcPr>
            <w:tcW w:w="240" w:type="dxa"/>
            <w:vAlign w:val="bottom"/>
          </w:tcPr>
          <w:p>
            <w:pPr>
              <w:spacing w:after="0"/>
              <w:rPr>
                <w:sz w:val="19"/>
                <w:szCs w:val="19"/>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91"/>
              </w:rPr>
              <w:t>March 31, 2020</w:t>
            </w:r>
          </w:p>
        </w:tc>
      </w:tr>
      <w:tr>
        <w:trPr>
          <w:trHeight w:val="230"/>
        </w:trPr>
        <w:tc>
          <w:tcPr>
            <w:tcW w:w="42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April 1, 2020 - June 30, 2020</w:t>
            </w:r>
          </w:p>
        </w:tc>
        <w:tc>
          <w:tcPr>
            <w:tcW w:w="22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July 10, 2020</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0.15</w:t>
            </w:r>
          </w:p>
        </w:tc>
        <w:tc>
          <w:tcPr>
            <w:tcW w:w="240" w:type="dxa"/>
            <w:vAlign w:val="bottom"/>
            <w:shd w:val="clear" w:color="auto" w:fill="CFF0FC"/>
          </w:tcPr>
          <w:p>
            <w:pPr>
              <w:spacing w:after="0"/>
              <w:rPr>
                <w:sz w:val="19"/>
                <w:szCs w:val="19"/>
                <w:color w:val="auto"/>
              </w:rPr>
            </w:pPr>
          </w:p>
        </w:tc>
        <w:tc>
          <w:tcPr>
            <w:tcW w:w="2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June 26, 2020</w:t>
            </w:r>
          </w:p>
        </w:tc>
      </w:tr>
    </w:tbl>
    <w:p>
      <w:pPr>
        <w:spacing w:after="0" w:line="31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Any dividends must be declared by our Board of Directors, which will take into account various factors including our current and anticipated operating results, our financial position, REIT requirements, conditions prevailing in the market, restrictions in our debt documents and additional factors they deem appropriate. Dividend payments are not guaranteed and our Board of Directors may decide, in its absolute discretion, at any time and for any reason, not to pay dividends or to change the amount paid as dividends. In light of recent developments with Windstream and the COVID-19 pandemic, we may take further measures to conserve cash, which may include a suspension, delay or reduction in our dividend. In addition, during the pendency of Windstream’s bankruptcy, the Fourth Amendment to our Credit Agreement and our 2025 Secured Notes generally limit our ability to pay cash dividends in excess of 90% of our REIT taxable income, determined without regard to the dividends paid deduction and excluding any net capital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make certain judgments and use certain estimates and assumptions when applying accounting principles in the preparation of our Condensed Consolidated Financial Statements. The nature of the estimates and assumptions are material due to the levels of subjectivity and judgment necessary to account for highly uncertain factors or the susceptibility of such factors to change. We have identified the accounting for income taxes, revenue recognition, useful lives of assets, the impairment of property, plant and equipment, goodwill impairment and business combinations as critical accounting estimates, as they are the most important to our financial statement presentation and require difficult, subjective and complex judgments.</w:t>
      </w:r>
    </w:p>
    <w:p>
      <w:pPr>
        <w:spacing w:after="0" w:line="16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believe the current assumptions and other considerations used to estimate amounts reflected in our accompanying Condensed Consolidated Financial Statements are appropriate. However, if actual experience differs from the assumptions and other considerations used in estimating amounts reflected in our Condensed Consolidated Financial Statements, the resulting changes could have a material adverse effect on our consolidated results of operations and, in certain situations, could have a material adverse effect on our financial condition.</w:t>
      </w:r>
    </w:p>
    <w:p>
      <w:pPr>
        <w:spacing w:after="0" w:line="171"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u w:val="single" w:color="auto"/>
          <w:color w:val="auto"/>
        </w:rPr>
        <w:t>Goodwill</w:t>
      </w:r>
      <w:r>
        <w:rPr>
          <w:rFonts w:ascii="Arial" w:cs="Arial" w:eastAsia="Arial" w:hAnsi="Arial"/>
          <w:sz w:val="17"/>
          <w:szCs w:val="17"/>
          <w:color w:val="auto"/>
          <w:highlight w:val="white"/>
        </w:rPr>
        <w:t>–The COVID-19 pandemic has negatively impacted the global economy, disrupted global supply chains and created significant volatility and</w:t>
      </w:r>
      <w:r>
        <w:rPr>
          <w:rFonts w:ascii="Arial" w:cs="Arial" w:eastAsia="Arial" w:hAnsi="Arial"/>
          <w:sz w:val="17"/>
          <w:szCs w:val="17"/>
          <w:color w:val="auto"/>
        </w:rPr>
        <w:t xml:space="preserve"> disruption of financial markets.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we have considered events or circumstances resulting from the COVID-19 pandemic that may indicate whether it is more likely than not that the fair value of reporting unit is less than its carrying value. After consideration of such events or circumstances, including evaluating potential impacts on our judgements and estimates regarding our projected cash flows used in the determination of the estimated fair value of our Fiber reporting unit, we have determined that it is not more likely than not that the fair value of reporting unit is less than its carrying value; therefore, we have not performed an interim impairment analysis during the quarter. We will continue to monitor the impacts that the COVID-19 pandemic has on our business and may conclude that an interim impairment analysis is required in a future period, if we determine that the COVID-19 pandemic is negatively impacting our business.</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the date of this Quarterly Report on Form 10-Q, we have not experienced significant disruptions in our operations or network performance, incurred significant delays in our permitting process that would impact our timing of service installations, had disruptions or cost increases in our supply chain, nor have we received significant requests for payment relief from our customers as a result of the COVID-19 pandemic. Furthermore, as of the date of this Quarterly Report on Form 10-Q, we have not observed declines in acquisition multiples, which would impact estimated fair value of our Fiber reporting unit under the market approach, as it uses market data of comparable business and acquisition multiples paid in recent transactions to estimate fair value. As a result, we concluded that no triggering events were present and have not performed an interim impairment analysis during the quarter.</w:t>
      </w:r>
    </w:p>
    <w:p>
      <w:pPr>
        <w:spacing w:after="0" w:line="164"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For further information on our critical accounting estimates, see “Management’s Discussion and Analysis of Financial Condition and Results of Operations” and the notes to our audited financial statements included in our Annual Report on Form 10-K for the year ended December 31, 2019, filed with the SEC on March 12, 2020. As of June 30, 2020, there has been no material change to these estimates.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Guidance</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New accounting rules and disclosures can impact our reported results and comparability of our financial statements. These matters are described in our Annual Report on Form 10-K for the year ended December 31, 2019, filed with the SEC on March 12, 2020.</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of this Quarterly Report on Form 10-Q, we do not have any off-balance sheet arrangements.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have been no material changes from the information reported under Item 7A of our Annual Report on Form 10-K for the year ended December 31, 2019, filed with the SEC on March 12,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Controls and Procedures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have established disclosure controls and procedures, as such term is defined in Rule 13a-15(e) under the Securities Exchange Act of 1934 (the “Exchange Act”), that are designed to ensure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management, including our principal executive and principal financial officers as appropriate, to allow timely decisions regarding required disclosure.</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Our management, with the participation of our principal executive officer and principal financial officer, evaluated the effectiveness of our disclosure controls and procedures as of June 30, 2020, and based on this evaluation, our principal executive officer and principal financial officer concluded that our disclosure controls and procedures were effective as of June 30,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Remediation of Previously Disclosed Material Weakness in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disclosed in “</w:t>
      </w:r>
      <w:r>
        <w:rPr>
          <w:rFonts w:ascii="Arial" w:cs="Arial" w:eastAsia="Arial" w:hAnsi="Arial"/>
          <w:sz w:val="16"/>
          <w:szCs w:val="16"/>
          <w:i w:val="1"/>
          <w:iCs w:val="1"/>
          <w:color w:val="auto"/>
        </w:rPr>
        <w:t>Part II. Item 9A. Controls and Procedures</w:t>
      </w:r>
      <w:r>
        <w:rPr>
          <w:rFonts w:ascii="Arial" w:cs="Arial" w:eastAsia="Arial" w:hAnsi="Arial"/>
          <w:sz w:val="16"/>
          <w:szCs w:val="16"/>
          <w:color w:val="auto"/>
        </w:rPr>
        <w:t>” in our Annual Report on Form 10-K for the year ended December 31, 2019, during the fourth quarter of 2019, we identified a material weakness in our internal control over financial reporting due to the following material weakness. We did not design or maintain effective controls over the identification and valuation of certain assets in the application of the acquisition method of accounting for asset acquisitions, including the determination of appropriate useful lives for certain assets. Specifically, our controls over the development and application of inputs, assumptions and calculations used in fair value measurements were not designed and operating effectively at an appropriate level of precision. Management initiated a plan to remediate the material weakness, and implemented improvements to the design and operation of control activities and procedures associated with the timeliness of the identification and valuation of assets acquired in asset acquisitions.</w:t>
      </w:r>
    </w:p>
    <w:p>
      <w:pPr>
        <w:spacing w:after="0" w:line="166"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During the quarter ended June 30, 2020, we completed our testing of the design of the actions discussed above. We have concluded that the enhanced control processes have now been designed so as to provide reasonable assurance as to their operating effectiveness, and, as a result, we believe that the material weakness described above was remediated as of June 30, 2020.</w:t>
      </w:r>
    </w:p>
    <w:p>
      <w:pPr>
        <w:spacing w:after="0" w:line="184"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Management believes that our condensed consolidated financial statements included in this Quarterly Report on Form 10-Q have been prepared in accordance with US GAAP. Our principal executive officer and principal financial officer have certified that, based on such officer’s knowledge, the condensed consolidated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Other than the changes made in response to the material weakness as described above, there were no changes in our internal control over financial reporting, as such term is defined in Rule 13a-15(f) under the Exchange Act, that occurred during the quarter ended June 30, 2020 that have materially affected, or are reasonably likely to materially affect, our internal control over financial reporting.</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620"/>
        <w:spacing w:after="0" w:line="342" w:lineRule="auto"/>
        <w:rPr>
          <w:sz w:val="20"/>
          <w:szCs w:val="20"/>
          <w:color w:val="auto"/>
        </w:rPr>
      </w:pPr>
      <w:r>
        <w:rPr>
          <w:rFonts w:ascii="Arial" w:cs="Arial" w:eastAsia="Arial" w:hAnsi="Arial"/>
          <w:sz w:val="16"/>
          <w:szCs w:val="16"/>
          <w:color w:val="auto"/>
        </w:rPr>
        <w:t>In the ordinary course of our business, we are subject to claims and administrative proceedings, none of which we believe are material or would be expected to have, individually or in the aggregate, a material adverse effect on our business, financial condition, cash flows or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Bankruptcy Filing</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Prior to its bankruptcy filing described below, Windstream was involved in litigation with an entity who acquired certain Windstream debt securities and thereafter issued a notice of default as to such securities relating to the Spin-Off. Windstream challenged the matter in federal court and a trial was held in July 2018. On February 15, 2019, the federal court judge issued a ruling against Windstream, finding that its attempts to waive such default were not valid; that an “event of default” occurred with respect to such debt securities; and that the holder’s acceleration of such debt in December 2017 was effective. In response to the adverse outcome, on February 25, 2019, Windstream filed a voluntary petition for relief under Chapter 11 of the Bankruptcy Code in the Bankruptcy Court and is currently operating as a “debtor in possession” under supervision of the Bankruptcy Court. See in Part I, Item 1A "Risk Factors" of our Annual Report on Form 10-K for the year ended December 31, 2019 for additional information concerning the impact Windstream’s bankruptcy may have on our operations and financial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Windstream Litigation and Settlement</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July 25, 2019, in connection with Windstream’s bankruptcy commenced on February 25, 2019, Windstream Holdings and Windstream Services, LLC (“Windstream Services”) filed a complaint with the Bankruptcy Court in an adversary proceeding against Uniti and certain of its affiliates, alleging, among other things, that the Master Lease should be recharacterized as a financing arrangement, that certain rent payments and tenant capital improvements made by Windstream under the Master Lease constitute constructive fraudulent transfers, that the Master Lease is a lease of personal property and that Uniti breached certain of its obligations under the Master Lease. An adverse determination in the adversary proceedings with Windstream could materially adversely affect our results of operations, liquidity and financial condition and our status as a REIT.</w:t>
      </w:r>
    </w:p>
    <w:p>
      <w:pPr>
        <w:spacing w:after="0" w:line="17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2, 2020, Uniti and Windstream jointly announced that they agreed to the Settlement to resolve any and all claims and causes of action that have been or may be asserted against Uniti by Windstream, including all litigation brought by Windstream and certain of its creditors in the context of Windstream’s bankruptcy, and on May 12, 2020, the Bankruptcy Court entered an order approving Windstream’s assumption of the Master Lease as part of the Settlement. On May 12, 2020, Uniti and Windstream entered into a settlement agreement to implement the Settlement. As a result, we have recorded a $650.0 million charge during the quarter ended June 30, 2020, which represents the estimated fair value of the litigation component of the Settlement; however, this estimate is subject to change in future periods if new facts or circumstances arise that are unknown at this time.</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June 26, 2020, the Bankruptcy Court approved Windstream’s plan of reorganization. Consummation of the plan of reorganization is subject to certain conditions precedent, including consummation of the Settlement and receipt of certain regulatory approvals. On July 3, 2020, UMB Bank and U.S. Bank, as indenture trustees for certain of Windstream’s prepetition unsecured notes, and CQS US, LLC appealed the Bankruptcy Court’s order approving the plan of reorganization. The appeals are pending before the United States District Court for the Southern District of New York. On July 7, 2020, UMB Bank settled its appeal of the order approving the plan of reorganization. On July 9, 2020, CQS US, LLC filed a motion seeking reconsideration of UMB Bank’s settlement.</w:t>
      </w:r>
    </w:p>
    <w:p>
      <w:pPr>
        <w:spacing w:after="0" w:line="19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The Settlement is subject to finalizing and executing definitive documentation and the receipt of certain regulatory approvals. In July 2020, we received satisfactory “true lease” opinions confirming that the New Leases are “true leases” for U.S. federal income tax purposes, which satisfied conditions precedent to effectuating the Settlement. Following satisfaction of all such conditions precedent, consummation of the Settlement will occur on the earlier of Windstream’s emergence from bankruptcy and February 28, 2021. All litigation between Windstream and Uniti, including matters referenced herein, is stayed while the parties implement the Settlement.</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noted above, as of the date of this Quarterly Report on Form 10-Q, we have estimated that $650.0 million of the consideration to be paid to Windstream should be classified as settlement of litigation, and therefore, we have recorded a charge during the quarter ended June 30, 2020. This charge represents the estimated fair value of the litigation settlement component of the Settlement, and is subject to change in future periods if new facts or circumstances arise that are unknown at this time. See Note 15 to our accompanying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Condensed Consolidated Financial Statements contained in Part I, Item 1 of this Quarterly Report on Form 10-Q for additional information concerning the Windstream litigation and Settlement.</w:t>
      </w:r>
    </w:p>
    <w:p>
      <w:pPr>
        <w:spacing w:after="0" w:line="170"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In addition, pursuant to the Master Lease, Windstream has agreed to indemnify us for, among other things, any use, misuse, maintenance or repair by Windstream with respect to the Distribution Systems. Windstream is currently a party to various legal actions and administrative proceedings, including various claims arising in the ordinary course of its telecommunications business, which are subject to the indemnities provided by Windstream to us. If Windstream assumes the Master Lease, it would be obligated to honor all indemnification claims. If Windstream were to reject the Master Lease, any indemnification claims would be treated as unsecured claims, and, if that were to occur, there can be no assurance we would receive any indemnification payments from Windstream. While these actions and proceedings are not believed to be material, individually or in the aggregate, the ultimate outcome of these matters cannot be predicted. The resolution of any such legal proceedings, either individually or in the aggregate, could have a material adverse effect on Windstream’s business, financial position or results of operations, which, in turn, could have a material adverse effect on our business, financial position or results of operations if Windstream is unable to meet its indemnification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Litigation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3, 2019, SLF Holdings, LLC (“SLF”) filed a complaint against the Company, Uniti Fiber, and certain current and former officers of the Company (collectively, the “Defendants”) in the United States District Court for the Southern District of Alabama, in connection with Uniti Fiber’s purchase of Southern Light, LLC from SLF in July 2017. The complaint asserted claims for fraud and conspiracy, as well as claims under federal and Alabama securities laws, alleging that Defendants improperly failed to disclose to SLF the risk that the Spin-Off and entry into the Master Lease violated certain debt covenants of Windstream. On September 26, 2019, the action was transferred to United States District Court for the District of Delaware</w:t>
      </w:r>
      <w:r>
        <w:rPr>
          <w:rFonts w:ascii="Arial" w:cs="Arial" w:eastAsia="Arial" w:hAnsi="Arial"/>
          <w:sz w:val="19"/>
          <w:szCs w:val="19"/>
          <w:color w:val="auto"/>
        </w:rPr>
        <w:t>.</w:t>
      </w:r>
      <w:r>
        <w:rPr>
          <w:rFonts w:ascii="Arial" w:cs="Arial" w:eastAsia="Arial" w:hAnsi="Arial"/>
          <w:sz w:val="16"/>
          <w:szCs w:val="16"/>
          <w:color w:val="auto"/>
        </w:rPr>
        <w:t xml:space="preserve"> On November 18, 2019, SLF filed an amended complaint, adding allegations that Defendants also failed to fully disclose the risk that the Master Lease purportedly could be recharacterized as a financing instead of “true lease.” The amended complaint seeks compensatory and punitive damages, as well as reformation of the purchase agreement for the sale. On December 18, 2019, Defendants moved to dismiss the amended complaint in its entirety. That motion was fully briefed as of February 7, 2020, and a hearing on the motion was heard on May 12, 2020, but no decision has been issued.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Ibrahim E. Safadi, Phil Queder and Michael Avery filed separate putative class actions in the U.S. District Court for the Eastern District of Arkansas against the Company and certain of our officers on October 25, 2019, December 6, 2019, and December 23, 2019, respectively, alleging violations of the federal securities laws (the “Shareholder Actions”). The Shareholder Actions seek to represent investors who acquired the Company’s securities between April 20, 2015 and February 15, 2019 (in the case of the Safadi and Queder actions) and April 20, 2015 and June 24, 2019 (in the case of the Avery action). The Shareholder Actions assert violations under Sections 10(b) and 20(a) of the Exchange Act and Rule 10b-5 promulgated thereunder, alleging that the Company made materially false and misleading statements by allegedly failing to disclose that the Spin-Off and entry into the Master Lease violated certain debt covenants of Windstream. The Shareholder Actions seek class certification, unspecified monetary damages, costs and attorneys’ fees and other relief.</w:t>
      </w:r>
    </w:p>
    <w:p>
      <w:pPr>
        <w:spacing w:after="0" w:line="19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On March 12, 2020, the U.S. District Court for the Eastern District of Arkansas consolidated the Shareholder Actions and appointed lead plaintiffs and lead counsel in the consolidated cases under the caption </w:t>
      </w:r>
      <w:r>
        <w:rPr>
          <w:rFonts w:ascii="Arial" w:cs="Arial" w:eastAsia="Arial" w:hAnsi="Arial"/>
          <w:sz w:val="17"/>
          <w:szCs w:val="17"/>
          <w:i w:val="1"/>
          <w:iCs w:val="1"/>
          <w:color w:val="auto"/>
        </w:rPr>
        <w:t>In re Uniti Group Inc. Securities Litigation</w:t>
      </w:r>
      <w:r>
        <w:rPr>
          <w:rFonts w:ascii="Arial" w:cs="Arial" w:eastAsia="Arial" w:hAnsi="Arial"/>
          <w:sz w:val="17"/>
          <w:szCs w:val="17"/>
          <w:color w:val="auto"/>
        </w:rPr>
        <w:t>. On May 11, 2020, lead plaintiffs filed a consolidated amended complaint in the consolidated action, asserting similar claims as in the Shareholder Actions. On July 10, 2020, defendents moved to dismiss the consolidated amended complaint. Briefing on that motion is expected to be complete by October 23, 2020. We intend to defend this matter vigorously, and, because it is still in its preliminary stages, we have not yet determined what effect this lawsuit will have, if any, on our financial position or results of operations. As of the date of this Quarterly Report on Form 10-Q, we are unable to estimate a reasonably possible range of loss and therefore have not recorded any liabilities associated with these claims in our Condensed Consolidated Balance Sheet.</w:t>
      </w:r>
    </w:p>
    <w:p>
      <w:pPr>
        <w:spacing w:after="0" w:line="17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terms of the tax matters agreement entered into on April 24, 2015 by the Company, Windstream Services, LLC and Windstream (the “Tax Matters Agreement”), in connection with the Spin-Off, we are generally responsible for any taxes imposed on Windstream that arise from the failure of the Spin-Off and the debt exchanges to qualify as tax-free for U.S. federal income tax purposes, within the meaning of Section 355 and Section 368(a)(1)(D) of the Code, as applicable, to the extent such failure to qualify is attributable to certain actions, events or transactions relating to our stock, indebtedness, assets or business, or a breach of the relevant representations or any covenants made by us in the Tax Matters Agreement, the materials submitted to the IRS in connection</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with the request for the private letter ruling or the representations provided in connection with the tax opinion. We believe that the probability of us incurring obligations under the Tax Matters Agreement are remote; and therefore, we have recorded no such liabilities in our Condensed Consolidated Balance Sheet as of June 30, 2020.</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There have been no material changes to the risk factors affecting our business that were discussed in Part I, “Item 1A. Risk Factors” in our Annual Report on Form 10-K for the year ended December 31, 2019 filed with the SEC on March 12, 2020, as supplemented by the supplemental risk factors related to the COVID-19 pandemic, included in Part II, “Item 1A Risk Factors” of our Quarterly Report on Form 10-Q for the quarter ended March 31, 2020, as further supplemented by the following revised risk factors related to the COVID-19 pandemic.</w:t>
      </w:r>
    </w:p>
    <w:p>
      <w:pPr>
        <w:spacing w:after="0" w:line="17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The COVID-19 pandemic, and the future outbreak of other highly infectious or contagious diseases, could disrupt the operation of our business resulting in adverse impacts to our financial condition, results of operations, and cash flow.</w:t>
      </w:r>
    </w:p>
    <w:p>
      <w:pPr>
        <w:spacing w:after="0" w:line="170"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The COVID-19 pandemic has, and another pandemic in the future could, negatively impacted the global economy, disrupted global supply chains and created significant volatility and disruption of financial markets. Given the ongoing and dynamic nature of the circumstances, it is difficult to predict the impact of COVID-19 on us, and there is no guarantee that efforts by us, designed to address adverse impacts of COVID-19, will be effective.</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local governments in some of the markets in which we operate mandated residents to stay at home and temporarily closed businesses that are not considered essential. While some of these measures have been loosened, the ongoing pandemic and COVID-19 outbreaks has resulted in, and may continue to result in, reinstating these measures or implementing new or additional measures. Although our businesses are considered essential, the current COVID-19 pandemic, or a future pandemic, could have material and adverse effects on our ability to successfully operate and on our financial condition, results of operations and cash flows due to, among other factors:</w:t>
      </w:r>
    </w:p>
    <w:p>
      <w:pPr>
        <w:spacing w:after="0" w:line="188" w:lineRule="exact"/>
        <w:rPr>
          <w:sz w:val="20"/>
          <w:szCs w:val="20"/>
          <w:color w:val="auto"/>
        </w:rPr>
      </w:pPr>
    </w:p>
    <w:p>
      <w:pPr>
        <w:ind w:left="1120" w:right="54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significant disruptions or delays in our operations or network performance, as well as network maintenance and construction, testing, supervisory and customer support activities, and inventory and supply procurement;</w:t>
      </w:r>
    </w:p>
    <w:p>
      <w:pPr>
        <w:spacing w:after="0" w:line="170" w:lineRule="exact"/>
        <w:rPr>
          <w:rFonts w:ascii="Arial" w:cs="Arial" w:eastAsia="Arial" w:hAnsi="Arial"/>
          <w:sz w:val="18"/>
          <w:szCs w:val="18"/>
          <w:color w:val="auto"/>
        </w:rPr>
      </w:pPr>
    </w:p>
    <w:p>
      <w:pPr>
        <w:ind w:left="1120" w:right="320" w:hanging="370"/>
        <w:spacing w:after="0" w:line="34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increases in operating costs, inventory shortages and/or a decrease in productivity related to travel bans and social distancing efforts that may delay construction activities or require our vendor and contractors to incur additional costs that may be passed onto us;</w:t>
      </w:r>
    </w:p>
    <w:p>
      <w:pPr>
        <w:spacing w:after="0" w:line="123" w:lineRule="exact"/>
        <w:rPr>
          <w:rFonts w:ascii="Arial" w:cs="Arial" w:eastAsia="Arial" w:hAnsi="Arial"/>
          <w:sz w:val="16"/>
          <w:szCs w:val="16"/>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delays in permitting activities due to the shutdown of local permitting authorities;</w:t>
      </w:r>
    </w:p>
    <w:p>
      <w:pPr>
        <w:spacing w:after="0" w:line="225" w:lineRule="exact"/>
        <w:rPr>
          <w:rFonts w:ascii="Arial" w:cs="Arial" w:eastAsia="Arial" w:hAnsi="Arial"/>
          <w:sz w:val="18"/>
          <w:szCs w:val="18"/>
          <w:color w:val="auto"/>
        </w:rPr>
      </w:pPr>
    </w:p>
    <w:p>
      <w:pPr>
        <w:ind w:left="1120" w:right="24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deterioration in our ability to operate in affected areas or delays in the supply of products or services to us from vendors that are needed for our efficient operations could adversely affect our operations;</w:t>
      </w:r>
    </w:p>
    <w:p>
      <w:pPr>
        <w:spacing w:after="0" w:line="170" w:lineRule="exact"/>
        <w:rPr>
          <w:rFonts w:ascii="Arial" w:cs="Arial" w:eastAsia="Arial" w:hAnsi="Arial"/>
          <w:sz w:val="18"/>
          <w:szCs w:val="18"/>
          <w:color w:val="auto"/>
        </w:rPr>
      </w:pPr>
    </w:p>
    <w:p>
      <w:pPr>
        <w:ind w:left="1120" w:right="1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impact on our contracts with customers and suppliers, including potential disputes over whether COVID-19 constitutes a force majeure event;</w:t>
      </w:r>
    </w:p>
    <w:p>
      <w:pPr>
        <w:spacing w:after="0" w:line="170" w:lineRule="exact"/>
        <w:rPr>
          <w:rFonts w:ascii="Arial" w:cs="Arial" w:eastAsia="Arial" w:hAnsi="Arial"/>
          <w:sz w:val="18"/>
          <w:szCs w:val="18"/>
          <w:color w:val="auto"/>
        </w:rPr>
      </w:pPr>
    </w:p>
    <w:p>
      <w:pPr>
        <w:ind w:left="1120" w:hanging="370"/>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adverse impact on the timing of installs in our enterprise and wholesale customer segments at Uniti Fiber;</w:t>
      </w:r>
    </w:p>
    <w:p>
      <w:pPr>
        <w:spacing w:after="0" w:line="225" w:lineRule="exact"/>
        <w:rPr>
          <w:rFonts w:ascii="Arial" w:cs="Arial" w:eastAsia="Arial" w:hAnsi="Arial"/>
          <w:sz w:val="18"/>
          <w:szCs w:val="18"/>
          <w:color w:val="auto"/>
        </w:rPr>
      </w:pPr>
    </w:p>
    <w:p>
      <w:pPr>
        <w:ind w:left="1120" w:right="2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general reduction in business and economic activity may severely impact our clients’ financial condition and liquidity and may cause them to be unable to meet their obligations to us in full, or at all, or to otherwise seek modifications of such obligations;</w:t>
      </w:r>
    </w:p>
    <w:p>
      <w:pPr>
        <w:spacing w:after="0" w:line="170" w:lineRule="exact"/>
        <w:rPr>
          <w:rFonts w:ascii="Arial" w:cs="Arial" w:eastAsia="Arial" w:hAnsi="Arial"/>
          <w:sz w:val="18"/>
          <w:szCs w:val="18"/>
          <w:color w:val="auto"/>
        </w:rPr>
      </w:pPr>
    </w:p>
    <w:p>
      <w:pPr>
        <w:ind w:left="1120" w:right="20" w:hanging="370"/>
        <w:spacing w:after="0" w:line="263"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accessing debt and equity capital on attractive terms, or at all, and a severe disruption and instability in the global financial markets or deteriorations in credit and financing conditions may affect our access to capital necessary to fund business operations or address existing and anticipated liabilities on a timely basis; and</w:t>
      </w:r>
    </w:p>
    <w:p>
      <w:pPr>
        <w:spacing w:after="0" w:line="183" w:lineRule="exact"/>
        <w:rPr>
          <w:rFonts w:ascii="Arial" w:cs="Arial" w:eastAsia="Arial" w:hAnsi="Arial"/>
          <w:sz w:val="18"/>
          <w:szCs w:val="18"/>
          <w:color w:val="auto"/>
        </w:rPr>
      </w:pPr>
    </w:p>
    <w:p>
      <w:pPr>
        <w:ind w:left="1120" w:right="440" w:hanging="370"/>
        <w:spacing w:after="0" w:line="277"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have implemented policies and procedures designed to mitigate the risk of adverse impacts of the COVID-19 pandemic, or a future pandemic, on our operations, but we may incur additional costs to ensure continuity of business operations caused by COVID-</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19, or other future pandemics, which could adversely affect our financial condition and results of operations. However, the extent of such impacts will depend on future developments, which are highly uncertain and cannot be predicted, including new information which may emerge concerning the severity of COVID-19 and actions taken to contain COVID-19 or its impact, among others.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information technology in our operations, and any material failure, inadequacy, interruption or security failure of that technology could harm our business.</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rely on information technology networks and systems, including the Internet, to process, transmit and store electronic information and to manage or support a variety of our business processes, including financial transactions and maintenance of records. We rely on commercially available systems, software, tools and monitoring to provide security for processing, transmitting and storing confidential information. Although we have taken steps to protect the security of the data maintained in our information systems, it is possible that our security measures will not be able to prevent the systems’ improper functioning, or the improper disclosure of information in the event of cyber-attacks. Physical or electronic break-ins, computer viruses, attacks by hackers and similar security breaches, can create system disruptions, shutdowns or unauthorized disclosure of confidential information. Any failure to maintain proper function, security and availability of our information systems could interrupt our operations, damage our reputation, subject us to liability claims or regulatory penalties and could materially and adversely affect us.</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due to the ongoing COVID-19 pandemic, large numbers of our employees are working remotely from their homes, which could have the effect of exacerbating any of the foregoing risks. While we have taken steps to ensure the security of our data and to prevent security breaches, many of these measures are being deployed for the first time on a widespread and sustained basis, and there is no guarantee the data security and privacy safeguards we have put in place will be completely effective or that we will not encounter some of the common risks associated with employees accessing Company data and systems remotely. As a result, we may be required to expend significant capital and other resources to protect against security breaches or to alleviate problems caused by security breaches.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5" w:lineRule="exact"/>
        <w:rPr>
          <w:sz w:val="20"/>
          <w:szCs w:val="20"/>
          <w:color w:val="auto"/>
        </w:rPr>
      </w:pPr>
    </w:p>
    <w:p>
      <w:pPr>
        <w:ind w:right="400"/>
        <w:spacing w:after="0" w:line="287" w:lineRule="auto"/>
        <w:rPr>
          <w:sz w:val="20"/>
          <w:szCs w:val="20"/>
          <w:color w:val="auto"/>
        </w:rPr>
      </w:pPr>
      <w:r>
        <w:rPr>
          <w:rFonts w:ascii="Arial" w:cs="Arial" w:eastAsia="Arial" w:hAnsi="Arial"/>
          <w:sz w:val="16"/>
          <w:szCs w:val="16"/>
          <w:color w:val="auto"/>
        </w:rPr>
        <w:t>The table below provides information regarding shares of common stock withheld from Uniti employees to satisfy minimum statutory tax withholding obligations arising from the vesting of restricted stock granted under the Uniti Group Inc. 2015 Equity Incentive Plan. The shares of common stock withheld to satisfy tax withholding obligations may be deemed purchases of such shares required to be disclosed pursuant to this Item 2.</w:t>
      </w:r>
    </w:p>
    <w:tbl>
      <w:tblPr>
        <w:tblLayout w:type="fixed"/>
        <w:tblInd w:w="0" w:type="dxa"/>
        <w:tblCellMar>
          <w:top w:w="0" w:type="dxa"/>
          <w:left w:w="0" w:type="dxa"/>
          <w:bottom w:w="0" w:type="dxa"/>
          <w:right w:w="0" w:type="dxa"/>
        </w:tblCellMar>
      </w:tblPr>
      <w:tr>
        <w:trPr>
          <w:trHeight w:val="142"/>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Total Number of Shares</w:t>
            </w:r>
          </w:p>
        </w:tc>
        <w:tc>
          <w:tcPr>
            <w:tcW w:w="120" w:type="dxa"/>
            <w:vAlign w:val="bottom"/>
          </w:tcPr>
          <w:p>
            <w:pPr>
              <w:spacing w:after="0"/>
              <w:rPr>
                <w:sz w:val="12"/>
                <w:szCs w:val="12"/>
                <w:color w:val="auto"/>
              </w:rPr>
            </w:pPr>
          </w:p>
        </w:tc>
        <w:tc>
          <w:tcPr>
            <w:tcW w:w="184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Average Price Paid per</w:t>
            </w: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as Part of</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100" w:type="dxa"/>
            <w:vAlign w:val="bottom"/>
          </w:tcPr>
          <w:p>
            <w:pPr>
              <w:spacing w:after="0"/>
              <w:rPr>
                <w:sz w:val="12"/>
                <w:szCs w:val="12"/>
                <w:color w:val="auto"/>
              </w:rPr>
            </w:pPr>
          </w:p>
        </w:tc>
        <w:tc>
          <w:tcPr>
            <w:tcW w:w="1560" w:type="dxa"/>
            <w:vAlign w:val="bottom"/>
            <w:gridSpan w:val="3"/>
            <w:vMerge w:val="continue"/>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120" w:type="dxa"/>
            <w:vAlign w:val="bottom"/>
          </w:tcPr>
          <w:p>
            <w:pPr>
              <w:spacing w:after="0"/>
              <w:rPr>
                <w:sz w:val="12"/>
                <w:szCs w:val="12"/>
                <w:color w:val="auto"/>
              </w:rPr>
            </w:pPr>
          </w:p>
        </w:tc>
        <w:tc>
          <w:tcPr>
            <w:tcW w:w="18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Purchased Under the Plans</w:t>
            </w:r>
          </w:p>
        </w:tc>
        <w:tc>
          <w:tcPr>
            <w:tcW w:w="0" w:type="dxa"/>
            <w:vAlign w:val="bottom"/>
          </w:tcPr>
          <w:p>
            <w:pPr>
              <w:spacing w:after="0"/>
              <w:rPr>
                <w:sz w:val="1"/>
                <w:szCs w:val="1"/>
                <w:color w:val="auto"/>
              </w:rPr>
            </w:pPr>
          </w:p>
        </w:tc>
      </w:tr>
      <w:tr>
        <w:trPr>
          <w:trHeight w:val="171"/>
        </w:trPr>
        <w:tc>
          <w:tcPr>
            <w:tcW w:w="5020" w:type="dxa"/>
            <w:vAlign w:val="bottom"/>
            <w:gridSpan w:val="2"/>
          </w:tcPr>
          <w:p>
            <w:pPr>
              <w:spacing w:after="0"/>
              <w:rPr>
                <w:sz w:val="20"/>
                <w:szCs w:val="20"/>
                <w:color w:val="auto"/>
              </w:rPr>
            </w:pPr>
            <w:r>
              <w:rPr>
                <w:rFonts w:ascii="Arial" w:cs="Arial" w:eastAsia="Arial" w:hAnsi="Arial"/>
                <w:sz w:val="14"/>
                <w:szCs w:val="14"/>
                <w:color w:val="auto"/>
              </w:rPr>
              <w:t>Period</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w:t>
            </w:r>
            <w:r>
              <w:rPr>
                <w:rFonts w:ascii="Arial" w:cs="Arial" w:eastAsia="Arial" w:hAnsi="Arial"/>
                <w:sz w:val="12"/>
                <w:szCs w:val="12"/>
                <w:b w:val="1"/>
                <w:bCs w:val="1"/>
                <w:color w:val="auto"/>
              </w:rPr>
              <w:t>(1)</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23"/>
        </w:trPr>
        <w:tc>
          <w:tcPr>
            <w:tcW w:w="48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April 1, 2020 to April 30, 2020</w:t>
            </w:r>
          </w:p>
        </w:tc>
        <w:tc>
          <w:tcPr>
            <w:tcW w:w="14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57,035</w:t>
            </w:r>
          </w:p>
        </w:tc>
        <w:tc>
          <w:tcPr>
            <w:tcW w:w="1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12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c>
          <w:tcPr>
            <w:tcW w:w="1740" w:type="dxa"/>
            <w:vAlign w:val="bottom"/>
            <w:tcBorders>
              <w:top w:val="single" w:sz="8" w:color="auto"/>
            </w:tcBorders>
            <w:shd w:val="clear" w:color="auto" w:fill="CFF0FC"/>
          </w:tcPr>
          <w:p>
            <w:pPr>
              <w:ind w:left="15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May 1, 2020 to May 31, 2020</w:t>
            </w:r>
          </w:p>
        </w:tc>
        <w:tc>
          <w:tcPr>
            <w:tcW w:w="960" w:type="dxa"/>
            <w:vAlign w:val="bottom"/>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7.18</w:t>
            </w:r>
          </w:p>
        </w:tc>
        <w:tc>
          <w:tcPr>
            <w:tcW w:w="120" w:type="dxa"/>
            <w:vAlign w:val="bottom"/>
          </w:tcPr>
          <w:p>
            <w:pPr>
              <w:spacing w:after="0"/>
              <w:rPr>
                <w:sz w:val="19"/>
                <w:szCs w:val="19"/>
                <w:color w:val="auto"/>
              </w:rPr>
            </w:pPr>
          </w:p>
        </w:tc>
        <w:tc>
          <w:tcPr>
            <w:tcW w:w="1640" w:type="dxa"/>
            <w:vAlign w:val="bottom"/>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June 1, 2020 to June 30, 2020</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81,149</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164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840" w:type="dxa"/>
            <w:vAlign w:val="bottom"/>
            <w:gridSpan w:val="2"/>
          </w:tcPr>
          <w:p>
            <w:pPr>
              <w:ind w:left="1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360" w:firstLine="8"/>
        <w:spacing w:after="0" w:line="252" w:lineRule="auto"/>
        <w:tabs>
          <w:tab w:leader="none" w:pos="193"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The average price paid per share is the weighted-average of the fair market prices at which we calculated the number of shares withheld to cover tax withholdings for the employees.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00" w:type="dxa"/>
            <w:vAlign w:val="bottom"/>
          </w:tcPr>
          <w:p>
            <w:pPr>
              <w:ind w:left="260"/>
              <w:spacing w:after="0"/>
              <w:rPr>
                <w:sz w:val="20"/>
                <w:szCs w:val="20"/>
                <w:color w:val="auto"/>
              </w:rPr>
            </w:pPr>
            <w:r>
              <w:rPr>
                <w:rFonts w:ascii="Arial" w:cs="Arial" w:eastAsia="Arial" w:hAnsi="Arial"/>
                <w:sz w:val="14"/>
                <w:szCs w:val="14"/>
                <w:b w:val="1"/>
                <w:bCs w:val="1"/>
                <w:color w:val="auto"/>
              </w:rPr>
              <w:t>Exhibit</w:t>
            </w:r>
          </w:p>
        </w:tc>
        <w:tc>
          <w:tcPr>
            <w:tcW w:w="1400" w:type="dxa"/>
            <w:vAlign w:val="bottom"/>
          </w:tcPr>
          <w:p>
            <w:pPr>
              <w:spacing w:after="0"/>
              <w:rPr>
                <w:sz w:val="14"/>
                <w:szCs w:val="14"/>
                <w:color w:val="auto"/>
              </w:rPr>
            </w:pPr>
          </w:p>
        </w:tc>
        <w:tc>
          <w:tcPr>
            <w:tcW w:w="8260" w:type="dxa"/>
            <w:vAlign w:val="bottom"/>
            <w:gridSpan w:val="8"/>
          </w:tcPr>
          <w:p>
            <w:pPr>
              <w:ind w:left="3100"/>
              <w:spacing w:after="0"/>
              <w:rPr>
                <w:sz w:val="20"/>
                <w:szCs w:val="20"/>
                <w:color w:val="auto"/>
              </w:rPr>
            </w:pPr>
            <w:r>
              <w:rPr>
                <w:rFonts w:ascii="Arial" w:cs="Arial" w:eastAsia="Arial" w:hAnsi="Arial"/>
                <w:sz w:val="14"/>
                <w:szCs w:val="14"/>
                <w:b w:val="1"/>
                <w:bCs w:val="1"/>
                <w:color w:val="auto"/>
              </w:rPr>
              <w:t>Description</w:t>
            </w:r>
          </w:p>
        </w:tc>
      </w:tr>
      <w:tr>
        <w:trPr>
          <w:trHeight w:val="186"/>
        </w:trPr>
        <w:tc>
          <w:tcPr>
            <w:tcW w:w="1200" w:type="dxa"/>
            <w:vAlign w:val="bottom"/>
          </w:tcPr>
          <w:p>
            <w:pPr>
              <w:ind w:left="240"/>
              <w:spacing w:after="0"/>
              <w:rPr>
                <w:sz w:val="20"/>
                <w:szCs w:val="20"/>
                <w:color w:val="auto"/>
              </w:rPr>
            </w:pPr>
            <w:r>
              <w:rPr>
                <w:rFonts w:ascii="Arial" w:cs="Arial" w:eastAsia="Arial" w:hAnsi="Arial"/>
                <w:sz w:val="14"/>
                <w:szCs w:val="14"/>
                <w:b w:val="1"/>
                <w:bCs w:val="1"/>
                <w:color w:val="auto"/>
              </w:rPr>
              <w:t>Number</w:t>
            </w:r>
          </w:p>
        </w:tc>
        <w:tc>
          <w:tcPr>
            <w:tcW w:w="140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55"/>
        </w:trPr>
        <w:tc>
          <w:tcPr>
            <w:tcW w:w="1200" w:type="dxa"/>
            <w:vAlign w:val="bottom"/>
          </w:tcPr>
          <w:p>
            <w:pPr>
              <w:spacing w:after="0"/>
              <w:rPr>
                <w:sz w:val="20"/>
                <w:szCs w:val="20"/>
                <w:color w:val="auto"/>
              </w:rPr>
            </w:pPr>
            <w:r>
              <w:rPr>
                <w:rFonts w:ascii="Arial" w:cs="Arial" w:eastAsia="Arial" w:hAnsi="Arial"/>
                <w:sz w:val="18"/>
                <w:szCs w:val="18"/>
                <w:color w:val="auto"/>
              </w:rPr>
              <w:t>10.1</w:t>
            </w:r>
          </w:p>
        </w:tc>
        <w:tc>
          <w:tcPr>
            <w:tcW w:w="9660" w:type="dxa"/>
            <w:vAlign w:val="bottom"/>
            <w:tcBorders>
              <w:bottom w:val="single" w:sz="8" w:color="0000EE"/>
            </w:tcBorders>
            <w:gridSpan w:val="9"/>
          </w:tcPr>
          <w:p>
            <w:pPr>
              <w:spacing w:after="0"/>
              <w:rPr>
                <w:rFonts w:ascii="Arial" w:cs="Arial" w:eastAsia="Arial" w:hAnsi="Arial"/>
                <w:sz w:val="18"/>
                <w:szCs w:val="18"/>
                <w:color w:val="0000EE"/>
                <w:w w:val="90"/>
              </w:rPr>
            </w:pPr>
            <w:hyperlink r:id="rId129">
              <w:r>
                <w:rPr>
                  <w:rFonts w:ascii="Arial" w:cs="Arial" w:eastAsia="Arial" w:hAnsi="Arial"/>
                  <w:sz w:val="18"/>
                  <w:szCs w:val="18"/>
                  <w:color w:val="0000EE"/>
                  <w:w w:val="90"/>
                </w:rPr>
                <w:t>Settlement Agreement, dated as of May 12, 2020 by and among Windstream Holdings, Inc., Windstream Services, LLC and certain of</w:t>
              </w:r>
            </w:hyperlink>
          </w:p>
        </w:tc>
      </w:tr>
      <w:tr>
        <w:trPr>
          <w:trHeight w:val="196"/>
        </w:trPr>
        <w:tc>
          <w:tcPr>
            <w:tcW w:w="1200" w:type="dxa"/>
            <w:vAlign w:val="bottom"/>
          </w:tcPr>
          <w:p>
            <w:pPr>
              <w:spacing w:after="0"/>
              <w:rPr>
                <w:sz w:val="17"/>
                <w:szCs w:val="17"/>
                <w:color w:val="auto"/>
              </w:rPr>
            </w:pPr>
          </w:p>
        </w:tc>
        <w:tc>
          <w:tcPr>
            <w:tcW w:w="9660" w:type="dxa"/>
            <w:vAlign w:val="bottom"/>
            <w:gridSpan w:val="9"/>
          </w:tcPr>
          <w:p>
            <w:pPr>
              <w:spacing w:after="0" w:line="196" w:lineRule="exact"/>
              <w:rPr>
                <w:rFonts w:ascii="Arial" w:cs="Arial" w:eastAsia="Arial" w:hAnsi="Arial"/>
                <w:sz w:val="18"/>
                <w:szCs w:val="18"/>
                <w:color w:val="0000EE"/>
                <w:w w:val="94"/>
              </w:rPr>
            </w:pPr>
            <w:hyperlink r:id="rId129">
              <w:r>
                <w:rPr>
                  <w:rFonts w:ascii="Arial" w:cs="Arial" w:eastAsia="Arial" w:hAnsi="Arial"/>
                  <w:sz w:val="18"/>
                  <w:szCs w:val="18"/>
                  <w:color w:val="0000EE"/>
                  <w:w w:val="94"/>
                </w:rPr>
                <w:t>their subsidiaries, and Uniti Group Inc. and certain of its subsidiaries (incorporated by reference to Exhibit 10.1 to the Company’s</w:t>
              </w:r>
            </w:hyperlink>
          </w:p>
        </w:tc>
      </w:tr>
      <w:tr>
        <w:trPr>
          <w:trHeight w:val="196"/>
        </w:trPr>
        <w:tc>
          <w:tcPr>
            <w:tcW w:w="1200" w:type="dxa"/>
            <w:vAlign w:val="bottom"/>
          </w:tcPr>
          <w:p>
            <w:pPr>
              <w:spacing w:after="0"/>
              <w:rPr>
                <w:sz w:val="17"/>
                <w:szCs w:val="17"/>
                <w:color w:val="auto"/>
              </w:rPr>
            </w:pPr>
          </w:p>
        </w:tc>
        <w:tc>
          <w:tcPr>
            <w:tcW w:w="93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29">
              <w:r>
                <w:rPr>
                  <w:rFonts w:ascii="Arial" w:cs="Arial" w:eastAsia="Arial" w:hAnsi="Arial"/>
                  <w:sz w:val="18"/>
                  <w:szCs w:val="18"/>
                  <w:color w:val="0000EE"/>
                </w:rPr>
                <w:t>Current Report on Form 8-K filed with the SEC on May 15, 2020 (File No. 001-36708))</w:t>
              </w:r>
              <w:r>
                <w:rPr>
                  <w:rFonts w:ascii="Arial" w:cs="Arial" w:eastAsia="Arial" w:hAnsi="Arial"/>
                  <w:sz w:val="18"/>
                  <w:szCs w:val="18"/>
                  <w:color w:val="000000"/>
                </w:rPr>
                <w:t>.</w:t>
              </w:r>
            </w:hyperlink>
          </w:p>
        </w:tc>
        <w:tc>
          <w:tcPr>
            <w:tcW w:w="320" w:type="dxa"/>
            <w:vAlign w:val="bottom"/>
            <w:gridSpan w:val="5"/>
          </w:tcPr>
          <w:p>
            <w:pPr>
              <w:spacing w:after="0"/>
              <w:rPr>
                <w:sz w:val="17"/>
                <w:szCs w:val="17"/>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15.1*</w:t>
            </w:r>
          </w:p>
        </w:tc>
        <w:tc>
          <w:tcPr>
            <w:tcW w:w="6360" w:type="dxa"/>
            <w:vAlign w:val="bottom"/>
            <w:tcBorders>
              <w:top w:val="single" w:sz="8" w:color="0000EE"/>
            </w:tcBorders>
            <w:gridSpan w:val="3"/>
          </w:tcPr>
          <w:p>
            <w:pPr>
              <w:spacing w:after="0"/>
              <w:rPr>
                <w:rFonts w:ascii="Arial" w:cs="Arial" w:eastAsia="Arial" w:hAnsi="Arial"/>
                <w:sz w:val="18"/>
                <w:szCs w:val="18"/>
                <w:color w:val="0000EE"/>
              </w:rPr>
            </w:pPr>
            <w:hyperlink w:anchor="page69">
              <w:r>
                <w:rPr>
                  <w:rFonts w:ascii="Arial" w:cs="Arial" w:eastAsia="Arial" w:hAnsi="Arial"/>
                  <w:sz w:val="18"/>
                  <w:szCs w:val="18"/>
                  <w:u w:val="single" w:color="auto"/>
                  <w:color w:val="0000EE"/>
                </w:rPr>
                <w:t>Acknowledgement of Independent Registered Public Accounting Firm</w:t>
              </w:r>
              <w:r>
                <w:rPr>
                  <w:rFonts w:ascii="Arial" w:cs="Arial" w:eastAsia="Arial" w:hAnsi="Arial"/>
                  <w:sz w:val="18"/>
                  <w:szCs w:val="18"/>
                  <w:color w:val="0000EE"/>
                </w:rPr>
                <w:t>.</w:t>
              </w:r>
            </w:hyperlink>
          </w:p>
        </w:tc>
        <w:tc>
          <w:tcPr>
            <w:tcW w:w="3300" w:type="dxa"/>
            <w:vAlign w:val="bottom"/>
            <w:gridSpan w:val="6"/>
          </w:tcPr>
          <w:p>
            <w:pPr>
              <w:spacing w:after="0"/>
              <w:rPr>
                <w:sz w:val="24"/>
                <w:szCs w:val="24"/>
                <w:color w:val="auto"/>
              </w:rPr>
            </w:pPr>
          </w:p>
        </w:tc>
      </w:tr>
      <w:tr>
        <w:trPr>
          <w:trHeight w:val="297"/>
        </w:trPr>
        <w:tc>
          <w:tcPr>
            <w:tcW w:w="1200" w:type="dxa"/>
            <w:vAlign w:val="bottom"/>
          </w:tcPr>
          <w:p>
            <w:pPr>
              <w:spacing w:after="0"/>
              <w:rPr>
                <w:sz w:val="20"/>
                <w:szCs w:val="20"/>
                <w:color w:val="auto"/>
              </w:rPr>
            </w:pPr>
            <w:r>
              <w:rPr>
                <w:rFonts w:ascii="Arial" w:cs="Arial" w:eastAsia="Arial" w:hAnsi="Arial"/>
                <w:sz w:val="18"/>
                <w:szCs w:val="18"/>
                <w:color w:val="auto"/>
              </w:rPr>
              <w:t>31.1*</w:t>
            </w:r>
          </w:p>
        </w:tc>
        <w:tc>
          <w:tcPr>
            <w:tcW w:w="962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Certification of Principal Executive Officer Pursuant to Rules 13a-14(a) and 15d-14(a) under the Securities Exchange Act of 1934, as</w:t>
              </w:r>
            </w:hyperlink>
          </w:p>
        </w:tc>
        <w:tc>
          <w:tcPr>
            <w:tcW w:w="40" w:type="dxa"/>
            <w:vAlign w:val="bottom"/>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660" w:type="dxa"/>
            <w:vAlign w:val="bottom"/>
            <w:gridSpan w:val="9"/>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31.2*</w:t>
            </w:r>
          </w:p>
        </w:tc>
        <w:tc>
          <w:tcPr>
            <w:tcW w:w="95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71">
              <w:r>
                <w:rPr>
                  <w:rFonts w:ascii="Arial" w:cs="Arial" w:eastAsia="Arial" w:hAnsi="Arial"/>
                  <w:sz w:val="18"/>
                  <w:szCs w:val="18"/>
                  <w:color w:val="0000EE"/>
                  <w:w w:val="91"/>
                </w:rPr>
                <w:t>Certification of Principal Financial Officer Pursuant to Rules 13a-14(a) and 15d-14(a) under the Securities Exchange Act of 1934, as</w:t>
              </w:r>
            </w:hyperlink>
          </w:p>
        </w:tc>
        <w:tc>
          <w:tcPr>
            <w:tcW w:w="80" w:type="dxa"/>
            <w:vAlign w:val="bottom"/>
            <w:gridSpan w:val="3"/>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9660" w:type="dxa"/>
            <w:vAlign w:val="bottom"/>
            <w:gridSpan w:val="9"/>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Adopted Pursuant to Section 302 of the Sarbanes-Oxley Act of 2002.</w:t>
              </w:r>
            </w:hyperlink>
          </w:p>
        </w:tc>
      </w:tr>
      <w:tr>
        <w:trPr>
          <w:trHeight w:val="20"/>
        </w:trPr>
        <w:tc>
          <w:tcPr>
            <w:tcW w:w="120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3580" w:type="dxa"/>
            <w:vAlign w:val="bottom"/>
            <w:shd w:val="clear" w:color="auto" w:fill="0000EE"/>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32.1*</w:t>
            </w:r>
          </w:p>
        </w:tc>
        <w:tc>
          <w:tcPr>
            <w:tcW w:w="9660" w:type="dxa"/>
            <w:vAlign w:val="bottom"/>
            <w:gridSpan w:val="9"/>
          </w:tcPr>
          <w:p>
            <w:pPr>
              <w:spacing w:after="0"/>
              <w:rPr>
                <w:rFonts w:ascii="Arial" w:cs="Arial" w:eastAsia="Arial" w:hAnsi="Arial"/>
                <w:sz w:val="18"/>
                <w:szCs w:val="18"/>
                <w:color w:val="0000EE"/>
                <w:w w:val="91"/>
              </w:rPr>
            </w:pPr>
            <w:hyperlink w:anchor="page72">
              <w:r>
                <w:rPr>
                  <w:rFonts w:ascii="Arial" w:cs="Arial" w:eastAsia="Arial" w:hAnsi="Arial"/>
                  <w:sz w:val="18"/>
                  <w:szCs w:val="18"/>
                  <w:color w:val="0000EE"/>
                  <w:w w:val="91"/>
                </w:rPr>
                <w:t>Certification of Principal Executive Officer Pursuant to 18 U.S.C. Section 1350, as Adopted Pursuant to Section 906 of the Sarbanes-</w:t>
              </w:r>
            </w:hyperlink>
          </w:p>
        </w:tc>
      </w:tr>
      <w:tr>
        <w:trPr>
          <w:trHeight w:val="196"/>
        </w:trPr>
        <w:tc>
          <w:tcPr>
            <w:tcW w:w="120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72">
              <w:r>
                <w:rPr>
                  <w:rFonts w:ascii="Arial" w:cs="Arial" w:eastAsia="Arial" w:hAnsi="Arial"/>
                  <w:sz w:val="18"/>
                  <w:szCs w:val="18"/>
                  <w:color w:val="0000EE"/>
                  <w:w w:val="93"/>
                </w:rPr>
                <w:t>Oxley Act of 2002.</w:t>
              </w:r>
            </w:hyperlink>
          </w:p>
        </w:tc>
        <w:tc>
          <w:tcPr>
            <w:tcW w:w="8200" w:type="dxa"/>
            <w:vAlign w:val="bottom"/>
            <w:tcBorders>
              <w:top w:val="single" w:sz="8" w:color="0000EE"/>
            </w:tcBorders>
            <w:gridSpan w:val="6"/>
          </w:tcPr>
          <w:p>
            <w:pPr>
              <w:spacing w:after="0"/>
              <w:rPr>
                <w:sz w:val="17"/>
                <w:szCs w:val="17"/>
                <w:color w:val="auto"/>
              </w:rPr>
            </w:pPr>
          </w:p>
        </w:tc>
        <w:tc>
          <w:tcPr>
            <w:tcW w:w="60" w:type="dxa"/>
            <w:vAlign w:val="bottom"/>
            <w:gridSpan w:val="2"/>
          </w:tcPr>
          <w:p>
            <w:pPr>
              <w:spacing w:after="0"/>
              <w:rPr>
                <w:sz w:val="17"/>
                <w:szCs w:val="17"/>
                <w:color w:val="auto"/>
              </w:rPr>
            </w:pPr>
          </w:p>
        </w:tc>
      </w:tr>
      <w:tr>
        <w:trPr>
          <w:trHeight w:val="318"/>
        </w:trPr>
        <w:tc>
          <w:tcPr>
            <w:tcW w:w="1200" w:type="dxa"/>
            <w:vAlign w:val="bottom"/>
          </w:tcPr>
          <w:p>
            <w:pPr>
              <w:spacing w:after="0"/>
              <w:rPr>
                <w:sz w:val="20"/>
                <w:szCs w:val="20"/>
                <w:color w:val="auto"/>
              </w:rPr>
            </w:pPr>
            <w:r>
              <w:rPr>
                <w:rFonts w:ascii="Arial" w:cs="Arial" w:eastAsia="Arial" w:hAnsi="Arial"/>
                <w:sz w:val="18"/>
                <w:szCs w:val="18"/>
                <w:color w:val="auto"/>
              </w:rPr>
              <w:t>32.2*</w:t>
            </w:r>
          </w:p>
        </w:tc>
        <w:tc>
          <w:tcPr>
            <w:tcW w:w="956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Certification of Principal Financial Officer Pursuant to 18 U.S.C. Section 1350, as Adopted Pursuant to Section 906 of the Sarbanes-</w:t>
              </w:r>
            </w:hyperlink>
          </w:p>
        </w:tc>
        <w:tc>
          <w:tcPr>
            <w:tcW w:w="100" w:type="dxa"/>
            <w:vAlign w:val="bottom"/>
            <w:gridSpan w:val="4"/>
          </w:tcPr>
          <w:p>
            <w:pPr>
              <w:spacing w:after="0"/>
              <w:rPr>
                <w:sz w:val="24"/>
                <w:szCs w:val="24"/>
                <w:color w:val="auto"/>
              </w:rPr>
            </w:pPr>
          </w:p>
        </w:tc>
      </w:tr>
      <w:tr>
        <w:trPr>
          <w:trHeight w:val="196"/>
        </w:trPr>
        <w:tc>
          <w:tcPr>
            <w:tcW w:w="1200" w:type="dxa"/>
            <w:vAlign w:val="bottom"/>
          </w:tcPr>
          <w:p>
            <w:pPr>
              <w:spacing w:after="0"/>
              <w:rPr>
                <w:sz w:val="17"/>
                <w:szCs w:val="17"/>
                <w:color w:val="auto"/>
              </w:rPr>
            </w:pPr>
          </w:p>
        </w:tc>
        <w:tc>
          <w:tcPr>
            <w:tcW w:w="140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73">
              <w:r>
                <w:rPr>
                  <w:rFonts w:ascii="Arial" w:cs="Arial" w:eastAsia="Arial" w:hAnsi="Arial"/>
                  <w:sz w:val="18"/>
                  <w:szCs w:val="18"/>
                  <w:color w:val="0000EE"/>
                  <w:w w:val="93"/>
                </w:rPr>
                <w:t>Oxley Act of 2002.</w:t>
              </w:r>
            </w:hyperlink>
          </w:p>
        </w:tc>
        <w:tc>
          <w:tcPr>
            <w:tcW w:w="8260" w:type="dxa"/>
            <w:vAlign w:val="bottom"/>
            <w:gridSpan w:val="8"/>
          </w:tcPr>
          <w:p>
            <w:pPr>
              <w:spacing w:after="0"/>
              <w:rPr>
                <w:sz w:val="17"/>
                <w:szCs w:val="17"/>
                <w:color w:val="auto"/>
              </w:rPr>
            </w:pPr>
          </w:p>
        </w:tc>
      </w:tr>
      <w:tr>
        <w:trPr>
          <w:trHeight w:val="358"/>
        </w:trPr>
        <w:tc>
          <w:tcPr>
            <w:tcW w:w="1200" w:type="dxa"/>
            <w:vAlign w:val="bottom"/>
          </w:tcPr>
          <w:p>
            <w:pPr>
              <w:spacing w:after="0"/>
              <w:rPr>
                <w:sz w:val="20"/>
                <w:szCs w:val="20"/>
                <w:color w:val="auto"/>
              </w:rPr>
            </w:pPr>
            <w:r>
              <w:rPr>
                <w:rFonts w:ascii="Arial" w:cs="Arial" w:eastAsia="Arial" w:hAnsi="Arial"/>
                <w:sz w:val="18"/>
                <w:szCs w:val="18"/>
                <w:color w:val="auto"/>
              </w:rPr>
              <w:t>99.1*</w:t>
            </w:r>
          </w:p>
        </w:tc>
        <w:tc>
          <w:tcPr>
            <w:tcW w:w="9660" w:type="dxa"/>
            <w:vAlign w:val="bottom"/>
            <w:gridSpan w:val="9"/>
          </w:tcPr>
          <w:p>
            <w:pPr>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Report of Independent Registered Public Accounting Firm.</w:t>
              </w:r>
            </w:hyperlink>
          </w:p>
        </w:tc>
      </w:tr>
      <w:tr>
        <w:trPr>
          <w:trHeight w:val="323"/>
        </w:trPr>
        <w:tc>
          <w:tcPr>
            <w:tcW w:w="1200" w:type="dxa"/>
            <w:vAlign w:val="bottom"/>
          </w:tcPr>
          <w:p>
            <w:pPr>
              <w:spacing w:after="0"/>
              <w:rPr>
                <w:sz w:val="20"/>
                <w:szCs w:val="20"/>
                <w:color w:val="auto"/>
              </w:rPr>
            </w:pPr>
            <w:r>
              <w:rPr>
                <w:rFonts w:ascii="Arial" w:cs="Arial" w:eastAsia="Arial" w:hAnsi="Arial"/>
                <w:sz w:val="18"/>
                <w:szCs w:val="18"/>
                <w:color w:val="auto"/>
              </w:rPr>
              <w:t>101.INS</w:t>
            </w:r>
          </w:p>
        </w:tc>
        <w:tc>
          <w:tcPr>
            <w:tcW w:w="9660" w:type="dxa"/>
            <w:vAlign w:val="bottom"/>
            <w:gridSpan w:val="9"/>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 Interactive Data File because XBRL tags are</w:t>
            </w:r>
          </w:p>
        </w:tc>
      </w:tr>
      <w:tr>
        <w:trPr>
          <w:trHeight w:val="230"/>
        </w:trPr>
        <w:tc>
          <w:tcPr>
            <w:tcW w:w="1200" w:type="dxa"/>
            <w:vAlign w:val="bottom"/>
          </w:tcPr>
          <w:p>
            <w:pPr>
              <w:spacing w:after="0"/>
              <w:rPr>
                <w:sz w:val="20"/>
                <w:szCs w:val="20"/>
                <w:color w:val="auto"/>
              </w:rPr>
            </w:pPr>
          </w:p>
        </w:tc>
        <w:tc>
          <w:tcPr>
            <w:tcW w:w="966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7"/>
        </w:trPr>
        <w:tc>
          <w:tcPr>
            <w:tcW w:w="120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20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320" w:hanging="1200"/>
        <w:spacing w:after="0"/>
        <w:tabs>
          <w:tab w:leader="none" w:pos="13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95123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UNITI GROUP INC.</w:t>
      </w:r>
    </w:p>
    <w:p>
      <w:pPr>
        <w:spacing w:after="0" w:line="256" w:lineRule="exact"/>
        <w:rPr>
          <w:sz w:val="20"/>
          <w:szCs w:val="20"/>
          <w:color w:val="auto"/>
        </w:rPr>
      </w:pPr>
    </w:p>
    <w:p>
      <w:pPr>
        <w:spacing w:after="0"/>
        <w:tabs>
          <w:tab w:leader="none" w:pos="940" w:val="left"/>
          <w:tab w:leader="none" w:pos="5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2585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3625850" cy="8255"/>
                    </a:xfrm>
                    <a:prstGeom prst="rect">
                      <a:avLst/>
                    </a:prstGeom>
                    <a:noFill/>
                  </pic:spPr>
                </pic:pic>
              </a:graphicData>
            </a:graphic>
          </wp:anchor>
        </w:drawing>
      </w:r>
    </w:p>
    <w:p>
      <w:pPr>
        <w:spacing w:after="0" w:line="2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Mark A. Wallace</w:t>
      </w:r>
    </w:p>
    <w:p>
      <w:pPr>
        <w:spacing w:after="0" w:line="2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Executive Vice President – Chief Financial Officer and Treasurer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(Principal Financial Officer)</w:t>
      </w:r>
    </w:p>
    <w:p>
      <w:pPr>
        <w:spacing w:after="0" w:line="224" w:lineRule="exact"/>
        <w:rPr>
          <w:sz w:val="20"/>
          <w:szCs w:val="20"/>
          <w:color w:val="auto"/>
        </w:rPr>
      </w:pPr>
    </w:p>
    <w:p>
      <w:pPr>
        <w:spacing w:after="0"/>
        <w:tabs>
          <w:tab w:leader="none" w:pos="940" w:val="left"/>
          <w:tab w:leader="none" w:pos="54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10, 2020</w:t>
      </w:r>
      <w:r>
        <w:rPr>
          <w:sz w:val="20"/>
          <w:szCs w:val="20"/>
          <w:color w:val="auto"/>
        </w:rPr>
        <w:tab/>
      </w:r>
      <w:r>
        <w:rPr>
          <w:rFonts w:ascii="Arial" w:cs="Arial" w:eastAsia="Arial" w:hAnsi="Arial"/>
          <w:sz w:val="16"/>
          <w:szCs w:val="16"/>
          <w:color w:val="auto"/>
        </w:rPr>
        <w:t>/s/ Blake Schuhmacher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23495</wp:posOffset>
            </wp:positionV>
            <wp:extent cx="362585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17"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Blake Schuhmacher</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Senior Vice President – Chief Accounting Officer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125" w:right="379" w:bottom="1440" w:gutter="0" w:footer="0" w:header="0"/>
        </w:sectPr>
      </w:pPr>
    </w:p>
    <w:bookmarkStart w:id="68" w:name="page69"/>
    <w:bookmarkEnd w:id="68"/>
    <w:p>
      <w:pPr>
        <w:ind w:left="10320"/>
        <w:spacing w:after="0"/>
        <w:rPr>
          <w:sz w:val="20"/>
          <w:szCs w:val="20"/>
          <w:color w:val="auto"/>
        </w:rPr>
      </w:pPr>
      <w:r>
        <w:rPr>
          <w:rFonts w:ascii="Arial" w:cs="Arial" w:eastAsia="Arial" w:hAnsi="Arial"/>
          <w:sz w:val="16"/>
          <w:szCs w:val="16"/>
          <w:b w:val="1"/>
          <w:bCs w:val="1"/>
          <w:color w:val="auto"/>
        </w:rPr>
        <w:t>Exhibit 15.1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ACKNOWLEDGEMENT OF INDEPENDENT REGISTERED PUBLIC ACCOUNTING FIRM</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August 10,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211" w:lineRule="exact"/>
        <w:rPr>
          <w:sz w:val="20"/>
          <w:szCs w:val="20"/>
          <w:color w:val="auto"/>
        </w:rPr>
      </w:pPr>
    </w:p>
    <w:p>
      <w:pPr>
        <w:ind w:right="3000"/>
        <w:spacing w:after="0" w:line="279" w:lineRule="auto"/>
        <w:rPr>
          <w:sz w:val="20"/>
          <w:szCs w:val="20"/>
          <w:color w:val="auto"/>
        </w:rPr>
      </w:pPr>
      <w:r>
        <w:rPr>
          <w:rFonts w:ascii="Arial" w:cs="Arial" w:eastAsia="Arial" w:hAnsi="Arial"/>
          <w:sz w:val="17"/>
          <w:szCs w:val="17"/>
          <w:color w:val="auto"/>
        </w:rPr>
        <w:t>We acknowledge our awareness of the use of our report dated August 10, 2020 related to our review of interim financial information, included within the Quarterly Report on Form 10-Q of Uniti Group Inc. for the three-month and six-month periods ended June 30, 2020, and incorporated by reference in the Registration Statements on Form S-8 (No. 333-203591 and No. 333-225501) and Form S-3 (No. 333-237139).</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Kenneth A. Gunderman, certify that:</w:t>
      </w:r>
    </w:p>
    <w:p>
      <w:pPr>
        <w:spacing w:after="0" w:line="117" w:lineRule="exact"/>
        <w:rPr>
          <w:sz w:val="20"/>
          <w:szCs w:val="20"/>
          <w:color w:val="auto"/>
        </w:rPr>
      </w:pPr>
    </w:p>
    <w:p>
      <w:pPr>
        <w:ind w:left="800" w:hanging="792"/>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500" w:right="540" w:hanging="750"/>
        <w:spacing w:after="0" w:line="277" w:lineRule="auto"/>
        <w:tabs>
          <w:tab w:leader="none" w:pos="15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spacing w:after="0"/>
        <w:tabs>
          <w:tab w:leader="none" w:pos="4800" w:val="left"/>
          <w:tab w:leader="none" w:pos="720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Mark A. Wallace, certify that:</w:t>
      </w:r>
    </w:p>
    <w:p>
      <w:pPr>
        <w:spacing w:after="0" w:line="225" w:lineRule="exact"/>
        <w:rPr>
          <w:sz w:val="20"/>
          <w:szCs w:val="20"/>
          <w:color w:val="auto"/>
        </w:rPr>
      </w:pPr>
    </w:p>
    <w:p>
      <w:pPr>
        <w:ind w:left="760" w:hanging="752"/>
        <w:spacing w:after="0"/>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Uniti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752"/>
        <w:spacing w:after="0" w:line="308" w:lineRule="auto"/>
        <w:tabs>
          <w:tab w:leader="none" w:pos="7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63" w:lineRule="auto"/>
        <w:tabs>
          <w:tab w:leader="none" w:pos="7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500" w:right="160" w:hanging="750"/>
        <w:spacing w:after="0" w:line="286" w:lineRule="auto"/>
        <w:tabs>
          <w:tab w:leader="none" w:pos="15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500" w:right="220" w:hanging="750"/>
        <w:spacing w:after="0" w:line="263"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500" w:right="20" w:hanging="750"/>
        <w:spacing w:after="0" w:line="342" w:lineRule="auto"/>
        <w:tabs>
          <w:tab w:leader="none" w:pos="1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500" w:right="20" w:hanging="750"/>
        <w:spacing w:after="0" w:line="263" w:lineRule="auto"/>
        <w:tabs>
          <w:tab w:leader="none" w:pos="15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752"/>
        <w:spacing w:after="0" w:line="342" w:lineRule="auto"/>
        <w:tabs>
          <w:tab w:leader="none" w:pos="7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500" w:right="260" w:hanging="750"/>
        <w:spacing w:after="0" w:line="342" w:lineRule="auto"/>
        <w:tabs>
          <w:tab w:leader="none" w:pos="15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32" w:lineRule="exact"/>
        <w:rPr>
          <w:sz w:val="20"/>
          <w:szCs w:val="20"/>
          <w:color w:val="auto"/>
        </w:rPr>
      </w:pPr>
    </w:p>
    <w:p>
      <w:pPr>
        <w:ind w:left="1000" w:right="440" w:hanging="493"/>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Mark A. Wallace</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9"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18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Kenneth A. Gunderman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14605</wp:posOffset>
            </wp:positionV>
            <wp:extent cx="39090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3909060" cy="8890"/>
                    </a:xfrm>
                    <a:prstGeom prst="rect">
                      <a:avLst/>
                    </a:prstGeom>
                    <a:noFill/>
                  </pic:spPr>
                </pic:pic>
              </a:graphicData>
            </a:graphic>
          </wp:anchor>
        </w:drawing>
      </w:r>
    </w:p>
    <w:p>
      <w:pPr>
        <w:spacing w:after="0" w:line="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Kenneth A. Gunderman</w:t>
      </w:r>
    </w:p>
    <w:p>
      <w:pPr>
        <w:spacing w:after="0" w:line="23" w:lineRule="exact"/>
        <w:rPr>
          <w:sz w:val="20"/>
          <w:szCs w:val="20"/>
          <w:color w:val="auto"/>
        </w:rPr>
      </w:pPr>
    </w:p>
    <w:p>
      <w:pPr>
        <w:jc w:val="center"/>
        <w:ind w:left="5060"/>
        <w:spacing w:after="0"/>
        <w:rPr>
          <w:sz w:val="20"/>
          <w:szCs w:val="20"/>
          <w:color w:val="auto"/>
        </w:rPr>
      </w:pPr>
      <w:r>
        <w:rPr>
          <w:rFonts w:ascii="Arial" w:cs="Arial" w:eastAsia="Arial" w:hAnsi="Arial"/>
          <w:sz w:val="18"/>
          <w:szCs w:val="18"/>
          <w:b w:val="1"/>
          <w:bCs w:val="1"/>
          <w:color w:val="auto"/>
        </w:rPr>
        <w:t>President and Chief Executive Officer</w:t>
      </w:r>
    </w:p>
    <w:p>
      <w:pPr>
        <w:sectPr>
          <w:pgSz w:w="11900" w:h="16838" w:orient="portrait"/>
          <w:cols w:equalWidth="0" w:num="1">
            <w:col w:w="11240"/>
          </w:cols>
          <w:pgMar w:left="320" w:top="35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ind w:left="33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In connection with the Quarterly Report on Form 10-Q of Uniti Group Inc. (the “Company”) for the period ending June 30, 2020 as filed with the Securities and Exchange Commission on the date hereof (the “Report”), I certify, pursuant to 18 U.S.C. § 1350, as adopted pursuant to § 906 of the Sarbanes-Oxley Act of 2002, to my knowledge, that:</w:t>
      </w:r>
    </w:p>
    <w:p>
      <w:pPr>
        <w:spacing w:after="0" w:line="76" w:lineRule="exact"/>
        <w:rPr>
          <w:sz w:val="20"/>
          <w:szCs w:val="20"/>
          <w:color w:val="auto"/>
        </w:rPr>
      </w:pPr>
    </w:p>
    <w:p>
      <w:pPr>
        <w:ind w:left="1000" w:hanging="493"/>
        <w:spacing w:after="0"/>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00" w:right="560" w:hanging="493"/>
        <w:spacing w:after="0" w:line="277" w:lineRule="auto"/>
        <w:tabs>
          <w:tab w:leader="none" w:pos="10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4800" w:val="left"/>
          <w:tab w:leader="none" w:pos="7420" w:val="left"/>
        </w:tabs>
        <w:rPr>
          <w:sz w:val="20"/>
          <w:szCs w:val="20"/>
          <w:color w:val="auto"/>
        </w:rPr>
      </w:pPr>
      <w:r>
        <w:rPr>
          <w:rFonts w:ascii="Arial" w:cs="Arial" w:eastAsia="Arial" w:hAnsi="Arial"/>
          <w:sz w:val="18"/>
          <w:szCs w:val="18"/>
          <w:color w:val="auto"/>
        </w:rPr>
        <w:t>Date: August 10, 2020</w:t>
      </w:r>
      <w:r>
        <w:rPr>
          <w:sz w:val="20"/>
          <w:szCs w:val="20"/>
          <w:color w:val="auto"/>
        </w:rPr>
        <w:tab/>
      </w:r>
      <w:r>
        <w:rPr>
          <w:rFonts w:ascii="Arial" w:cs="Arial" w:eastAsia="Arial" w:hAnsi="Arial"/>
          <w:sz w:val="18"/>
          <w:szCs w:val="18"/>
          <w:color w:val="auto"/>
        </w:rPr>
        <w:t>By</w:t>
      </w:r>
      <w:r>
        <w:rPr>
          <w:rFonts w:ascii="Arial" w:cs="Arial" w:eastAsia="Arial" w:hAnsi="Arial"/>
          <w:sz w:val="18"/>
          <w:szCs w:val="18"/>
          <w:color w:val="222222"/>
        </w:rPr>
        <w:t>:</w:t>
      </w:r>
      <w:r>
        <w:rPr>
          <w:sz w:val="20"/>
          <w:szCs w:val="20"/>
          <w:color w:val="auto"/>
        </w:rPr>
        <w:tab/>
      </w:r>
      <w:r>
        <w:rPr>
          <w:rFonts w:ascii="Arial" w:cs="Arial" w:eastAsia="Arial" w:hAnsi="Arial"/>
          <w:sz w:val="16"/>
          <w:szCs w:val="16"/>
          <w:color w:val="auto"/>
        </w:rPr>
        <w:t>/s/ Mark A. Wallace</w:t>
      </w:r>
    </w:p>
    <w:p>
      <w:pPr>
        <w:spacing w:after="0" w:line="32"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Mark A. Wallace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-127635</wp:posOffset>
            </wp:positionV>
            <wp:extent cx="39090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b w:val="1"/>
          <w:bCs w:val="1"/>
          <w:color w:val="auto"/>
        </w:rPr>
        <w:t>Executive Vice President – Chief Financial Officer</w:t>
      </w:r>
    </w:p>
    <w:p>
      <w:pPr>
        <w:spacing w:after="0" w:line="23" w:lineRule="exact"/>
        <w:rPr>
          <w:sz w:val="20"/>
          <w:szCs w:val="20"/>
          <w:color w:val="auto"/>
        </w:rPr>
      </w:pPr>
    </w:p>
    <w:p>
      <w:pPr>
        <w:ind w:left="7620"/>
        <w:spacing w:after="0"/>
        <w:rPr>
          <w:sz w:val="20"/>
          <w:szCs w:val="20"/>
          <w:color w:val="auto"/>
        </w:rPr>
      </w:pPr>
      <w:r>
        <w:rPr>
          <w:rFonts w:ascii="Arial" w:cs="Arial" w:eastAsia="Arial" w:hAnsi="Arial"/>
          <w:sz w:val="18"/>
          <w:szCs w:val="18"/>
          <w:b w:val="1"/>
          <w:bCs w:val="1"/>
          <w:color w:val="auto"/>
        </w:rPr>
        <w:t>and Treasurer</w:t>
      </w:r>
    </w:p>
    <w:p>
      <w:pPr>
        <w:sectPr>
          <w:pgSz w:w="11900" w:h="16838" w:orient="portrait"/>
          <w:cols w:equalWidth="0" w:num="1">
            <w:col w:w="11240"/>
          </w:cols>
          <w:pgMar w:left="320" w:top="351"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Uniti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Review of Interim Financial Information</w:t>
      </w:r>
    </w:p>
    <w:p>
      <w:pPr>
        <w:spacing w:after="0" w:line="10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have reviewed the condensed consolidated balance sheet of Uniti Group Inc. and subsidiaries (the Company) as of June 30, 2020, and the related condensed consolidated statements of income (loss), comprehensive income (loss) and shareholders’ deficit for the three-month and six-month periods ended June 30, 2020, the related condensed consolidated statement of cash flows for the six-month period ended June 30, 2020, and the related notes (collectively, the consolidated interim financial information). Based on our reviews, we are not aware of any material modifications that should be made to the consolidated interim financial information for it to be in conformity with U.S. generally accepted accounting principles.</w:t>
      </w:r>
    </w:p>
    <w:p>
      <w:pPr>
        <w:spacing w:after="0" w:line="12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consolidated financial statements of the Company as of and for the year ended December 31, 2019 were audited by other auditors, whose report dated March 12, 2020 expressed an unqualified opinion on those consolidated financial statements. Such consolidated financial statements were not audited by us and, accordingly, we do not express an opinion or any other form of assurance on the information set forth in the accompanying condensed consolidated balance sheet as of December 31, 2019. Additionally, the condensed consolidated statements of income, comprehensive income and shareholders’ deficit for the three-month and six-month periods ended June 30, 2019, and the related condensed consolidated statement of cash flows for the six-month period ended June 30, 2019, were not audited or reviewed by us and, accordingly, we do not express an opinion or any other form of assurance on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Basis for Review Results</w:t>
      </w:r>
    </w:p>
    <w:p>
      <w:pPr>
        <w:spacing w:after="0" w:line="90"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This consolidated interim financial information is the responsibility of the Company’s management.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conducted our review in accordance with the standards of the PCAOB. A review of consolidated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10, 2020</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
      <w:numFmt w:val="bullet"/>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1."/>
      <w:numFmt w:val="lowerRoman"/>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lowerRoman"/>
      <w:start w:val="1"/>
    </w:lvl>
  </w:abstractNum>
  <w:abstractNum w:abstractNumId="9">
    <w:nsid w:val="DED7263"/>
    <w:multiLevelType w:val="hybridMultilevel"/>
    <w:lvl w:ilvl="0">
      <w:lvlJc w:val="left"/>
      <w:lvlText w:val="(%1)"/>
      <w:numFmt w:val="lowerRoman"/>
      <w:start w:val="1"/>
    </w:lvl>
  </w:abstractNum>
  <w:abstractNum w:abstractNumId="10">
    <w:nsid w:val="7FDCC233"/>
    <w:multiLevelType w:val="hybridMultilevel"/>
    <w:lvl w:ilvl="0">
      <w:lvlJc w:val="left"/>
      <w:lvlText w:val="•"/>
      <w:numFmt w:val="bullet"/>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lvl w:ilvl="1">
      <w:lvlJc w:val="left"/>
      <w:lvlText w:val="%2"/>
      <w:numFmt w:val="decimal"/>
      <w:start w:val="104"/>
    </w:lvl>
  </w:abstractNum>
  <w:abstractNum w:abstractNumId="13">
    <w:nsid w:val="6B68079A"/>
    <w:multiLevelType w:val="hybridMultilevel"/>
    <w:lvl w:ilvl="0">
      <w:lvlJc w:val="left"/>
      <w:lvlText w:val="%1."/>
      <w:numFmt w:val="decimal"/>
      <w:start w:val="1"/>
    </w:lvl>
    <w:lvl w:ilvl="1">
      <w:lvlJc w:val="left"/>
      <w:lvlText w:val="(%2)"/>
      <w:numFmt w:val="lowerLetter"/>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lowerLetter"/>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29" Type="http://schemas.openxmlformats.org/officeDocument/2006/relationships/hyperlink" Target="http://www.sec.gov/Archives/edgar/data/1620280/000156459020025840/unit-ex101_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2020-08-10T16:34:22Z</dcterms:created>
  <dcterms:modified xsi:type="dcterms:W3CDTF">2020-08-10T16:34:22Z</dcterms:modified>
</cp:coreProperties>
</file>