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180" w:hanging="572"/>
        <w:spacing w:after="0" w:line="23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001-36708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2" w:lineRule="exact"/>
        <w:rPr>
          <w:sz w:val="24"/>
          <w:szCs w:val="24"/>
          <w:color w:val="auto"/>
        </w:rPr>
      </w:pPr>
    </w:p>
    <w:tbl>
      <w:tblPr>
        <w:tblLayout w:type="fixed"/>
        <w:tblInd w:w="1480" w:type="dxa"/>
        <w:tblCellMar>
          <w:top w:w="0" w:type="dxa"/>
          <w:left w:w="0" w:type="dxa"/>
          <w:bottom w:w="0" w:type="dxa"/>
          <w:right w:w="0" w:type="dxa"/>
        </w:tblCellMar>
      </w:tblPr>
      <w:tr>
        <w:trPr>
          <w:trHeight w:val="207"/>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6"/>
              </w:rPr>
              <w:t>Maryland</w:t>
            </w: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3960" w:type="dxa"/>
            <w:vAlign w:val="bottom"/>
          </w:tcPr>
          <w:p>
            <w:pPr>
              <w:jc w:val="right"/>
              <w:ind w:right="1758"/>
              <w:spacing w:after="0"/>
              <w:rPr>
                <w:sz w:val="20"/>
                <w:szCs w:val="20"/>
                <w:color w:val="auto"/>
              </w:rPr>
            </w:pPr>
            <w:r>
              <w:rPr>
                <w:rFonts w:ascii="Arial" w:cs="Arial" w:eastAsia="Arial" w:hAnsi="Arial"/>
                <w:sz w:val="18"/>
                <w:szCs w:val="18"/>
                <w:b w:val="1"/>
                <w:bCs w:val="1"/>
                <w:color w:val="auto"/>
              </w:rPr>
              <w:t>46-5230630</w:t>
            </w:r>
          </w:p>
        </w:tc>
      </w:tr>
      <w:tr>
        <w:trPr>
          <w:trHeight w:val="148"/>
        </w:trPr>
        <w:tc>
          <w:tcPr>
            <w:tcW w:w="302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960" w:type="dxa"/>
            <w:vAlign w:val="bottom"/>
          </w:tcPr>
          <w:p>
            <w:pPr>
              <w:jc w:val="center"/>
              <w:ind w:right="47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20" w:type="dxa"/>
            <w:vAlign w:val="bottom"/>
          </w:tcPr>
          <w:p>
            <w:pPr>
              <w:jc w:val="center"/>
              <w:ind w:right="257"/>
              <w:spacing w:after="0"/>
              <w:rPr>
                <w:sz w:val="20"/>
                <w:szCs w:val="20"/>
                <w:color w:val="auto"/>
              </w:rPr>
            </w:pPr>
            <w:r>
              <w:rPr>
                <w:rFonts w:ascii="Arial" w:cs="Arial" w:eastAsia="Arial" w:hAnsi="Arial"/>
                <w:sz w:val="14"/>
                <w:szCs w:val="14"/>
                <w:b w:val="1"/>
                <w:bCs w:val="1"/>
                <w:color w:val="auto"/>
                <w:w w:val="94"/>
              </w:rPr>
              <w:t>incorporation or organization)</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jc w:val="center"/>
              <w:ind w:right="498"/>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3020" w:type="dxa"/>
            <w:vAlign w:val="bottom"/>
          </w:tcPr>
          <w:p>
            <w:pPr>
              <w:jc w:val="center"/>
              <w:ind w:right="277"/>
              <w:spacing w:after="0"/>
              <w:rPr>
                <w:sz w:val="20"/>
                <w:szCs w:val="20"/>
                <w:color w:val="auto"/>
              </w:rPr>
            </w:pPr>
            <w:r>
              <w:rPr>
                <w:rFonts w:ascii="Arial" w:cs="Arial" w:eastAsia="Arial" w:hAnsi="Arial"/>
                <w:sz w:val="18"/>
                <w:szCs w:val="18"/>
                <w:b w:val="1"/>
                <w:bCs w:val="1"/>
                <w:color w:val="auto"/>
                <w:w w:val="91"/>
              </w:rPr>
              <w:t>10802 Executive Center Drive</w:t>
            </w:r>
          </w:p>
        </w:tc>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960" w:type="dxa"/>
            <w:vAlign w:val="bottom"/>
          </w:tcPr>
          <w:p>
            <w:pPr>
              <w:spacing w:after="0"/>
              <w:rPr>
                <w:sz w:val="22"/>
                <w:szCs w:val="22"/>
                <w:color w:val="auto"/>
              </w:rPr>
            </w:pPr>
          </w:p>
        </w:tc>
      </w:tr>
      <w:tr>
        <w:trPr>
          <w:trHeight w:val="216"/>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89"/>
              </w:rPr>
              <w:t>Benton Building Suite 300</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2"/>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1"/>
              </w:rPr>
              <w:t>Little Rock, Arkansas</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60" w:type="dxa"/>
            <w:vAlign w:val="bottom"/>
          </w:tcPr>
          <w:p>
            <w:pPr>
              <w:jc w:val="right"/>
              <w:ind w:right="1958"/>
              <w:spacing w:after="0"/>
              <w:rPr>
                <w:sz w:val="20"/>
                <w:szCs w:val="20"/>
                <w:color w:val="auto"/>
              </w:rPr>
            </w:pPr>
            <w:r>
              <w:rPr>
                <w:rFonts w:ascii="Arial" w:cs="Arial" w:eastAsia="Arial" w:hAnsi="Arial"/>
                <w:sz w:val="18"/>
                <w:szCs w:val="18"/>
                <w:b w:val="1"/>
                <w:bCs w:val="1"/>
                <w:color w:val="auto"/>
              </w:rPr>
              <w:t>72211</w:t>
            </w:r>
          </w:p>
        </w:tc>
      </w:tr>
      <w:tr>
        <w:trPr>
          <w:trHeight w:val="186"/>
        </w:trPr>
        <w:tc>
          <w:tcPr>
            <w:tcW w:w="302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jc w:val="center"/>
              <w:ind w:right="498"/>
              <w:spacing w:after="0"/>
              <w:rPr>
                <w:sz w:val="20"/>
                <w:szCs w:val="20"/>
                <w:color w:val="auto"/>
              </w:rPr>
            </w:pPr>
            <w:r>
              <w:rPr>
                <w:rFonts w:ascii="Arial" w:cs="Arial" w:eastAsia="Arial" w:hAnsi="Arial"/>
                <w:sz w:val="14"/>
                <w:szCs w:val="14"/>
                <w:b w:val="1"/>
                <w:bCs w:val="1"/>
                <w:color w:val="auto"/>
                <w:w w:val="95"/>
              </w:rPr>
              <w:t>(Zip Code)</w:t>
            </w:r>
          </w:p>
        </w:tc>
      </w:tr>
      <w:tr>
        <w:trPr>
          <w:trHeight w:val="230"/>
        </w:trPr>
        <w:tc>
          <w:tcPr>
            <w:tcW w:w="9220" w:type="dxa"/>
            <w:vAlign w:val="bottom"/>
            <w:gridSpan w:val="4"/>
          </w:tcPr>
          <w:p>
            <w:pPr>
              <w:jc w:val="center"/>
              <w:ind w:right="838"/>
              <w:spacing w:after="0"/>
              <w:rPr>
                <w:sz w:val="20"/>
                <w:szCs w:val="20"/>
                <w:color w:val="auto"/>
              </w:rPr>
            </w:pPr>
            <w:r>
              <w:rPr>
                <w:rFonts w:ascii="Arial" w:cs="Arial" w:eastAsia="Arial" w:hAnsi="Arial"/>
                <w:sz w:val="14"/>
                <w:szCs w:val="14"/>
                <w:b w:val="1"/>
                <w:bCs w:val="1"/>
                <w:color w:val="auto"/>
                <w:w w:val="92"/>
              </w:rPr>
              <w:t>Registrant’s telephone number, including area code: (501) 850-0820</w:t>
            </w:r>
          </w:p>
        </w:tc>
      </w:tr>
      <w:tr>
        <w:trPr>
          <w:trHeight w:val="80"/>
        </w:trPr>
        <w:tc>
          <w:tcPr>
            <w:tcW w:w="3040" w:type="dxa"/>
            <w:vAlign w:val="bottom"/>
            <w:gridSpan w:val="2"/>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960" w:type="dxa"/>
            <w:vAlign w:val="bottom"/>
          </w:tcPr>
          <w:p>
            <w:pPr>
              <w:spacing w:after="0"/>
              <w:rPr>
                <w:sz w:val="6"/>
                <w:szCs w:val="6"/>
                <w:color w:val="auto"/>
              </w:rPr>
            </w:pPr>
          </w:p>
        </w:tc>
      </w:tr>
      <w:tr>
        <w:trPr>
          <w:trHeight w:val="263"/>
        </w:trPr>
        <w:tc>
          <w:tcPr>
            <w:tcW w:w="9220" w:type="dxa"/>
            <w:vAlign w:val="bottom"/>
            <w:gridSpan w:val="4"/>
          </w:tcPr>
          <w:p>
            <w:pPr>
              <w:ind w:left="232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30"/>
        </w:trPr>
        <w:tc>
          <w:tcPr>
            <w:tcW w:w="3020" w:type="dxa"/>
            <w:vAlign w:val="bottom"/>
          </w:tcPr>
          <w:p>
            <w:pPr>
              <w:jc w:val="center"/>
              <w:ind w:right="1657"/>
              <w:spacing w:after="0"/>
              <w:rPr>
                <w:sz w:val="20"/>
                <w:szCs w:val="20"/>
                <w:color w:val="auto"/>
              </w:rPr>
            </w:pPr>
            <w:r>
              <w:rPr>
                <w:rFonts w:ascii="Arial" w:cs="Arial" w:eastAsia="Arial" w:hAnsi="Arial"/>
                <w:sz w:val="18"/>
                <w:szCs w:val="18"/>
                <w:color w:val="auto"/>
                <w:w w:val="88"/>
              </w:rPr>
              <w:t>Title of each class</w:t>
            </w:r>
          </w:p>
        </w:tc>
        <w:tc>
          <w:tcPr>
            <w:tcW w:w="2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Trading Symbol(s)</w:t>
            </w:r>
          </w:p>
        </w:tc>
        <w:tc>
          <w:tcPr>
            <w:tcW w:w="3960" w:type="dxa"/>
            <w:vAlign w:val="bottom"/>
          </w:tcPr>
          <w:p>
            <w:pPr>
              <w:jc w:val="center"/>
              <w:ind w:left="698"/>
              <w:spacing w:after="0"/>
              <w:rPr>
                <w:sz w:val="20"/>
                <w:szCs w:val="20"/>
                <w:color w:val="auto"/>
              </w:rPr>
            </w:pPr>
            <w:r>
              <w:rPr>
                <w:rFonts w:ascii="Arial" w:cs="Arial" w:eastAsia="Arial" w:hAnsi="Arial"/>
                <w:sz w:val="18"/>
                <w:szCs w:val="18"/>
                <w:color w:val="auto"/>
                <w:w w:val="89"/>
              </w:rPr>
              <w:t>Name of each exchange on which registered</w:t>
            </w:r>
          </w:p>
        </w:tc>
      </w:tr>
      <w:tr>
        <w:trPr>
          <w:trHeight w:val="257"/>
        </w:trPr>
        <w:tc>
          <w:tcPr>
            <w:tcW w:w="3020" w:type="dxa"/>
            <w:vAlign w:val="bottom"/>
          </w:tcPr>
          <w:p>
            <w:pPr>
              <w:jc w:val="center"/>
              <w:ind w:right="1657"/>
              <w:spacing w:after="0"/>
              <w:rPr>
                <w:sz w:val="20"/>
                <w:szCs w:val="20"/>
                <w:color w:val="auto"/>
              </w:rPr>
            </w:pPr>
            <w:r>
              <w:rPr>
                <w:rFonts w:ascii="Arial" w:cs="Arial" w:eastAsia="Arial" w:hAnsi="Arial"/>
                <w:sz w:val="18"/>
                <w:szCs w:val="18"/>
                <w:color w:val="auto"/>
                <w:w w:val="90"/>
              </w:rPr>
              <w:t>Common Stock</w:t>
            </w:r>
          </w:p>
        </w:tc>
        <w:tc>
          <w:tcPr>
            <w:tcW w:w="2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UNIT</w:t>
            </w:r>
          </w:p>
        </w:tc>
        <w:tc>
          <w:tcPr>
            <w:tcW w:w="3960" w:type="dxa"/>
            <w:vAlign w:val="bottom"/>
          </w:tcPr>
          <w:p>
            <w:pPr>
              <w:jc w:val="center"/>
              <w:ind w:left="698"/>
              <w:spacing w:after="0"/>
              <w:rPr>
                <w:sz w:val="20"/>
                <w:szCs w:val="20"/>
                <w:color w:val="auto"/>
              </w:rPr>
            </w:pPr>
            <w:r>
              <w:rPr>
                <w:rFonts w:ascii="Arial" w:cs="Arial" w:eastAsia="Arial" w:hAnsi="Arial"/>
                <w:sz w:val="18"/>
                <w:szCs w:val="18"/>
                <w:color w:val="auto"/>
                <w:w w:val="93"/>
              </w:rPr>
              <w:t>The NASDAQ Global Select Market</w:t>
            </w:r>
          </w:p>
        </w:tc>
      </w:tr>
    </w:tbl>
    <w:p>
      <w:pPr>
        <w:spacing w:after="0" w:line="107"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6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20" w:type="dxa"/>
            <w:vAlign w:val="bottom"/>
          </w:tcPr>
          <w:p>
            <w:pPr>
              <w:ind w:left="298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160" w:firstLine="51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30, 2021, the registrant had 233,407,367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442595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subsidiaries, “Windstream”); the future prospects and financial health of Windstream; our expectations about our ability to maintain our status as a real estate investment trust (a “REIT”); our expectations regarding the effect of the COVID-19 pandemic on our results of operations and financial condition, including the potential need to perform an interim goodwill analysis and report an impairment charge related thereto; our expectations regarding the effect of the Coronavirus Aid, Relief and Economic Security Act (the “CARES Act”), the Consolidated Appropriations Act of 2021 (the “2021 Appropriations Act”) and other tax related legislation on our tax position; our expectations regarding the future growth and demand of the telecommunication industry, future financing plans, business strategies, growth prospects, operating and financial performance, and our future liquidity needs and access to capital; our expectations regarding levels of capital expenditures; expectations regarding the deductibility of goodwill for tax purposes; our expectations regarding reclassification of accumulated other comprehensive income (loss) related to derivatives to interest expense; our expectations regarding the amortization of intangible assets; our expectations regarding remediation of the material weakness in our internal control over financial reporting as discussed in Part II, Item 9A of our Annual Report on Form 10-K filed with the U.S. Securities and Exchange Commission (“SEC”) on March 5, 2021, as amended by Amendment No. 1 thereto filed on Form 10-K/A with the SEC on March 30, 2021 (the “Annual Report”); and our expectations regarding the payment of dividends.</w:t>
      </w:r>
    </w:p>
    <w:p>
      <w:pPr>
        <w:spacing w:after="0" w:line="22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83"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prospects of our largest customer, Windstream, following its emergence from bankruptcy;</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COVID-19 pandemic on our employees, our business, the business of our customers and other business partners and the global financial markets;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62"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 and fund our capital funding commitments;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120" w:hanging="493"/>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U.S. tax law and other federal, state or local laws, whether or not specific to REITs, including the impact of the 2017 U.S. tax reform legislation, the CARES Act, the Families First Coronavirus Response Act and the 2021 Appropriations Act;</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62" w:lineRule="exact"/>
        <w:rPr>
          <w:rFonts w:ascii="Arial" w:cs="Arial" w:eastAsia="Arial" w:hAnsi="Arial"/>
          <w:sz w:val="18"/>
          <w:szCs w:val="18"/>
          <w:color w:val="auto"/>
        </w:rPr>
      </w:pPr>
    </w:p>
    <w:p>
      <w:pPr>
        <w:jc w:val="both"/>
        <w:ind w:left="1000" w:right="6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as well as those described from time to time in our future reports filed with the SEC.</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4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w w:val="94"/>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40" w:type="dxa"/>
            <w:vAlign w:val="bottom"/>
            <w:gridSpan w:val="7"/>
          </w:tcPr>
          <w:p>
            <w:pPr>
              <w:jc w:val="center"/>
              <w:ind w:right="438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760" w:type="dxa"/>
            <w:vAlign w:val="bottom"/>
            <w:gridSpan w:val="35"/>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20" w:type="dxa"/>
            <w:vAlign w:val="bottom"/>
            <w:gridSpan w:val="2"/>
            <w:vMerge w:val="continue"/>
          </w:tcPr>
          <w:p>
            <w:pPr>
              <w:spacing w:after="0"/>
              <w:rPr>
                <w:sz w:val="15"/>
                <w:szCs w:val="15"/>
                <w:color w:val="auto"/>
              </w:rPr>
            </w:pPr>
          </w:p>
        </w:tc>
        <w:tc>
          <w:tcPr>
            <w:tcW w:w="9760" w:type="dxa"/>
            <w:vAlign w:val="bottom"/>
            <w:gridSpan w:val="35"/>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7340" w:type="dxa"/>
            <w:vAlign w:val="bottom"/>
            <w:gridSpan w:val="1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9"/>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760" w:type="dxa"/>
            <w:vAlign w:val="bottom"/>
            <w:gridSpan w:val="35"/>
          </w:tcPr>
          <w:p>
            <w:pPr>
              <w:spacing w:after="0"/>
              <w:rPr>
                <w:sz w:val="20"/>
                <w:szCs w:val="20"/>
                <w:color w:val="auto"/>
              </w:rPr>
            </w:pPr>
            <w:r>
              <w:rPr>
                <w:rFonts w:ascii="Arial" w:cs="Arial" w:eastAsia="Arial" w:hAnsi="Arial"/>
                <w:sz w:val="18"/>
                <w:szCs w:val="18"/>
                <w:b w:val="1"/>
                <w:bCs w:val="1"/>
                <w:color w:val="auto"/>
              </w:rPr>
              <w:t>Uniti Group Inc.</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60" w:type="dxa"/>
            <w:vAlign w:val="bottom"/>
            <w:gridSpan w:val="35"/>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Income (Loss)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Borders>
              <w:bottom w:val="single" w:sz="8" w:color="0000EE"/>
            </w:tcBorders>
            <w:gridSpan w:val="3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 (Loss)</w:t>
              </w:r>
            </w:hyperlink>
          </w:p>
        </w:tc>
        <w:tc>
          <w:tcPr>
            <w:tcW w:w="468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Shareholders’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tcBorders>
              <w:top w:val="single" w:sz="8" w:color="0000EE"/>
            </w:tcBorders>
            <w:gridSpan w:val="3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w:t>
              </w:r>
            </w:hyperlink>
          </w:p>
        </w:tc>
        <w:tc>
          <w:tcPr>
            <w:tcW w:w="53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tcBorders>
              <w:top w:val="single" w:sz="8" w:color="0000EE"/>
            </w:tcBorders>
            <w:gridSpan w:val="27"/>
          </w:tcPr>
          <w:p>
            <w:pPr>
              <w:ind w:left="120"/>
              <w:spacing w:after="0"/>
              <w:rPr>
                <w:rFonts w:ascii="Arial" w:cs="Arial" w:eastAsia="Arial" w:hAnsi="Arial"/>
                <w:sz w:val="18"/>
                <w:szCs w:val="18"/>
                <w:color w:val="auto"/>
              </w:rPr>
            </w:pPr>
            <w:r>
              <w:rPr>
                <w:rFonts w:ascii="Arial" w:cs="Arial" w:eastAsia="Arial" w:hAnsi="Arial"/>
                <w:sz w:val="18"/>
                <w:szCs w:val="18"/>
                <w:color w:val="auto"/>
              </w:rPr>
              <w:t>1.</w:t>
            </w:r>
            <w:hyperlink w:anchor="page11">
              <w:r>
                <w:rPr>
                  <w:rFonts w:ascii="Arial" w:cs="Arial" w:eastAsia="Arial" w:hAnsi="Arial"/>
                  <w:sz w:val="18"/>
                  <w:szCs w:val="18"/>
                  <w:color w:val="auto"/>
                </w:rPr>
                <w:t>Organization and Description of Business</w:t>
              </w:r>
            </w:hyperlink>
          </w:p>
        </w:tc>
        <w:tc>
          <w:tcPr>
            <w:tcW w:w="578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2.</w:t>
            </w:r>
            <w:hyperlink w:anchor="page11">
              <w:r>
                <w:rPr>
                  <w:rFonts w:ascii="Arial" w:cs="Arial" w:eastAsia="Arial" w:hAnsi="Arial"/>
                  <w:sz w:val="18"/>
                  <w:szCs w:val="18"/>
                  <w:color w:val="auto"/>
                </w:rPr>
                <w:t>Basis of Presentation and Summary of Significant Accounting Policies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3.</w:t>
            </w:r>
            <w:hyperlink w:anchor="page13">
              <w:r>
                <w:rPr>
                  <w:rFonts w:ascii="Arial" w:cs="Arial" w:eastAsia="Arial" w:hAnsi="Arial"/>
                  <w:sz w:val="18"/>
                  <w:szCs w:val="18"/>
                  <w:color w:val="auto"/>
                </w:rPr>
                <w:t>Revenues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4.</w:t>
            </w:r>
            <w:hyperlink w:anchor="page15">
              <w:r>
                <w:rPr>
                  <w:rFonts w:ascii="Arial" w:cs="Arial" w:eastAsia="Arial" w:hAnsi="Arial"/>
                  <w:sz w:val="18"/>
                  <w:szCs w:val="18"/>
                  <w:color w:val="auto"/>
                </w:rPr>
                <w:t>Leases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5.</w:t>
            </w:r>
            <w:hyperlink w:anchor="page19">
              <w:r>
                <w:rPr>
                  <w:rFonts w:ascii="Arial" w:cs="Arial" w:eastAsia="Arial" w:hAnsi="Arial"/>
                  <w:sz w:val="18"/>
                  <w:szCs w:val="18"/>
                  <w:color w:val="auto"/>
                </w:rPr>
                <w:t>Assets Dispositions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6.</w:t>
            </w:r>
            <w:hyperlink w:anchor="page19">
              <w:r>
                <w:rPr>
                  <w:rFonts w:ascii="Arial" w:cs="Arial" w:eastAsia="Arial" w:hAnsi="Arial"/>
                  <w:sz w:val="18"/>
                  <w:szCs w:val="18"/>
                  <w:color w:val="auto"/>
                </w:rPr>
                <w:t>Investments in Unconsolidated Entities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left w:val="single" w:sz="8" w:color="auto"/>
            </w:tcBorders>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7.</w:t>
            </w:r>
            <w:hyperlink w:anchor="page20">
              <w:r>
                <w:rPr>
                  <w:rFonts w:ascii="Arial" w:cs="Arial" w:eastAsia="Arial" w:hAnsi="Arial"/>
                  <w:sz w:val="18"/>
                  <w:szCs w:val="18"/>
                  <w:color w:val="auto"/>
                </w:rPr>
                <w:t>Fair Value of Financial Instruments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sz w:val="20"/>
                <w:szCs w:val="20"/>
                <w:color w:val="auto"/>
              </w:rPr>
            </w:pPr>
            <w:r>
              <w:rPr>
                <w:rFonts w:ascii="Arial" w:cs="Arial" w:eastAsia="Arial" w:hAnsi="Arial"/>
                <w:sz w:val="18"/>
                <w:szCs w:val="18"/>
                <w:color w:val="auto"/>
              </w:rPr>
              <w:t>8.Property Plant and Equipment</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9.</w:t>
            </w:r>
            <w:hyperlink w:anchor="page23">
              <w:r>
                <w:rPr>
                  <w:rFonts w:ascii="Arial" w:cs="Arial" w:eastAsia="Arial" w:hAnsi="Arial"/>
                  <w:sz w:val="18"/>
                  <w:szCs w:val="18"/>
                  <w:color w:val="auto"/>
                </w:rPr>
                <w:t>Derivative Instruments and Hedging Activities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80" w:type="dxa"/>
            <w:vAlign w:val="bottom"/>
            <w:tcBorders>
              <w:left w:val="single" w:sz="8" w:color="auto"/>
            </w:tcBorders>
            <w:gridSpan w:val="4"/>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sz w:val="20"/>
                <w:szCs w:val="20"/>
                <w:color w:val="auto"/>
              </w:rPr>
            </w:pPr>
            <w:r>
              <w:rPr>
                <w:rFonts w:ascii="Arial" w:cs="Arial" w:eastAsia="Arial" w:hAnsi="Arial"/>
                <w:sz w:val="18"/>
                <w:szCs w:val="18"/>
                <w:color w:val="auto"/>
              </w:rPr>
              <w:t>10.Goodwill and Intangible Assets</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11.</w:t>
            </w:r>
            <w:hyperlink w:anchor="page25">
              <w:r>
                <w:rPr>
                  <w:rFonts w:ascii="Arial" w:cs="Arial" w:eastAsia="Arial" w:hAnsi="Arial"/>
                  <w:sz w:val="18"/>
                  <w:szCs w:val="18"/>
                  <w:color w:val="auto"/>
                </w:rPr>
                <w:t>Notes and Other Debt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12.</w:t>
            </w:r>
            <w:hyperlink w:anchor="page29">
              <w:r>
                <w:rPr>
                  <w:rFonts w:ascii="Arial" w:cs="Arial" w:eastAsia="Arial" w:hAnsi="Arial"/>
                  <w:sz w:val="18"/>
                  <w:szCs w:val="18"/>
                  <w:color w:val="auto"/>
                </w:rPr>
                <w:t>Earnings Per Share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13.</w:t>
            </w:r>
            <w:hyperlink w:anchor="page30">
              <w:r>
                <w:rPr>
                  <w:rFonts w:ascii="Arial" w:cs="Arial" w:eastAsia="Arial" w:hAnsi="Arial"/>
                  <w:sz w:val="18"/>
                  <w:szCs w:val="18"/>
                  <w:color w:val="auto"/>
                </w:rPr>
                <w:t>Segment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14.</w:t>
            </w:r>
            <w:hyperlink w:anchor="page34">
              <w:r>
                <w:rPr>
                  <w:rFonts w:ascii="Arial" w:cs="Arial" w:eastAsia="Arial" w:hAnsi="Arial"/>
                  <w:sz w:val="18"/>
                  <w:szCs w:val="18"/>
                  <w:color w:val="auto"/>
                </w:rPr>
                <w:t>Commitments and Contingencies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15.</w:t>
            </w:r>
            <w:hyperlink w:anchor="page36">
              <w:r>
                <w:rPr>
                  <w:rFonts w:ascii="Arial" w:cs="Arial" w:eastAsia="Arial" w:hAnsi="Arial"/>
                  <w:sz w:val="18"/>
                  <w:szCs w:val="18"/>
                  <w:color w:val="auto"/>
                </w:rPr>
                <w:t>Accumulated Other Comprehensive (Loss)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40" w:type="dxa"/>
            <w:vAlign w:val="bottom"/>
            <w:tcBorders>
              <w:left w:val="single" w:sz="8" w:color="auto"/>
            </w:tcBorders>
            <w:gridSpan w:val="9"/>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60" w:type="dxa"/>
            <w:vAlign w:val="bottom"/>
            <w:gridSpan w:val="3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tcBorders>
              <w:top w:val="single" w:sz="8" w:color="0000EE"/>
            </w:tcBorders>
            <w:gridSpan w:val="34"/>
          </w:tcPr>
          <w:p>
            <w:pPr>
              <w:ind w:left="120"/>
              <w:spacing w:after="0"/>
              <w:rPr>
                <w:rFonts w:ascii="Arial" w:cs="Arial" w:eastAsia="Arial" w:hAnsi="Arial"/>
                <w:sz w:val="18"/>
                <w:szCs w:val="18"/>
                <w:color w:val="auto"/>
              </w:rPr>
            </w:pPr>
            <w:r>
              <w:rPr>
                <w:rFonts w:ascii="Arial" w:cs="Arial" w:eastAsia="Arial" w:hAnsi="Arial"/>
                <w:sz w:val="18"/>
                <w:szCs w:val="18"/>
                <w:color w:val="auto"/>
              </w:rPr>
              <w:t>1.</w:t>
            </w:r>
            <w:hyperlink w:anchor="page37">
              <w:r>
                <w:rPr>
                  <w:rFonts w:ascii="Arial" w:cs="Arial" w:eastAsia="Arial" w:hAnsi="Arial"/>
                  <w:sz w:val="18"/>
                  <w:szCs w:val="18"/>
                  <w:color w:val="auto"/>
                </w:rPr>
                <w:t>Overview</w:t>
              </w:r>
            </w:hyperlink>
          </w:p>
        </w:tc>
        <w:tc>
          <w:tcPr>
            <w:tcW w:w="3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2.</w:t>
            </w:r>
            <w:hyperlink w:anchor="page39">
              <w:r>
                <w:rPr>
                  <w:rFonts w:ascii="Arial" w:cs="Arial" w:eastAsia="Arial" w:hAnsi="Arial"/>
                  <w:sz w:val="18"/>
                  <w:szCs w:val="18"/>
                  <w:color w:val="auto"/>
                </w:rPr>
                <w:t>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3.</w:t>
            </w:r>
            <w:hyperlink w:anchor="page52">
              <w:r>
                <w:rPr>
                  <w:rFonts w:ascii="Arial" w:cs="Arial" w:eastAsia="Arial" w:hAnsi="Arial"/>
                  <w:sz w:val="18"/>
                  <w:szCs w:val="18"/>
                  <w:color w:val="auto"/>
                </w:rPr>
                <w:t>Non-GAAP Financial Measures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760" w:type="dxa"/>
            <w:vAlign w:val="bottom"/>
            <w:gridSpan w:val="35"/>
          </w:tcPr>
          <w:p>
            <w:pPr>
              <w:ind w:left="120"/>
              <w:spacing w:after="0"/>
              <w:rPr>
                <w:rFonts w:ascii="Arial" w:cs="Arial" w:eastAsia="Arial" w:hAnsi="Arial"/>
                <w:sz w:val="18"/>
                <w:szCs w:val="18"/>
                <w:color w:val="auto"/>
              </w:rPr>
            </w:pPr>
            <w:r>
              <w:rPr>
                <w:rFonts w:ascii="Arial" w:cs="Arial" w:eastAsia="Arial" w:hAnsi="Arial"/>
                <w:sz w:val="18"/>
                <w:szCs w:val="18"/>
                <w:color w:val="auto"/>
              </w:rPr>
              <w:t>4.</w:t>
            </w:r>
            <w:hyperlink w:anchor="page55">
              <w:r>
                <w:rPr>
                  <w:rFonts w:ascii="Arial" w:cs="Arial" w:eastAsia="Arial" w:hAnsi="Arial"/>
                  <w:sz w:val="18"/>
                  <w:szCs w:val="18"/>
                  <w:color w:val="auto"/>
                </w:rPr>
                <w:t>Liquidity and Capital Resources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4"/>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4"/>
            <w:shd w:val="clear" w:color="auto" w:fill="000000"/>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30"/>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Quantitative and Qualitative Disclosures About Market Risk</w:t>
              </w:r>
            </w:hyperlink>
          </w:p>
        </w:tc>
        <w:tc>
          <w:tcPr>
            <w:tcW w:w="540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3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14"/>
          </w:tcPr>
          <w:p>
            <w:pPr>
              <w:spacing w:after="0" w:line="20" w:lineRule="exact"/>
              <w:rPr>
                <w:sz w:val="1"/>
                <w:szCs w:val="1"/>
                <w:color w:val="auto"/>
              </w:rPr>
            </w:pPr>
          </w:p>
        </w:tc>
        <w:tc>
          <w:tcPr>
            <w:tcW w:w="542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OTHER INFORMATION</w:t>
              </w:r>
            </w:hyperlink>
          </w:p>
        </w:tc>
        <w:tc>
          <w:tcPr>
            <w:tcW w:w="7740" w:type="dxa"/>
            <w:vAlign w:val="bottom"/>
            <w:gridSpan w:val="21"/>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60" w:type="dxa"/>
            <w:vAlign w:val="bottom"/>
            <w:gridSpan w:val="3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Risk Factors</w:t>
              </w:r>
            </w:hyperlink>
          </w:p>
        </w:tc>
        <w:tc>
          <w:tcPr>
            <w:tcW w:w="360" w:type="dxa"/>
            <w:vAlign w:val="bottom"/>
            <w:tcBorders>
              <w:top w:val="single" w:sz="8" w:color="0000EE"/>
            </w:tcBorders>
            <w:gridSpan w:val="2"/>
          </w:tcPr>
          <w:p>
            <w:pPr>
              <w:spacing w:after="0"/>
              <w:rPr>
                <w:sz w:val="18"/>
                <w:szCs w:val="18"/>
                <w:color w:val="auto"/>
              </w:rPr>
            </w:pPr>
          </w:p>
        </w:tc>
        <w:tc>
          <w:tcPr>
            <w:tcW w:w="8440" w:type="dxa"/>
            <w:vAlign w:val="bottom"/>
            <w:gridSpan w:val="2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29"/>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Unregistered Sales of Equity Securities and Use of Proceeds</w:t>
              </w:r>
            </w:hyperlink>
          </w:p>
        </w:tc>
        <w:tc>
          <w:tcPr>
            <w:tcW w:w="542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8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Defaults Upon Senior Securities</w:t>
              </w:r>
            </w:hyperlink>
          </w:p>
        </w:tc>
        <w:tc>
          <w:tcPr>
            <w:tcW w:w="7380" w:type="dxa"/>
            <w:vAlign w:val="bottom"/>
            <w:gridSpan w:val="20"/>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60" w:type="dxa"/>
            <w:vAlign w:val="bottom"/>
            <w:gridSpan w:val="3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1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8000" w:type="dxa"/>
            <w:vAlign w:val="bottom"/>
            <w:gridSpan w:val="2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w:t>
              </w:r>
            </w:hyperlink>
          </w:p>
        </w:tc>
        <w:tc>
          <w:tcPr>
            <w:tcW w:w="8460" w:type="dxa"/>
            <w:vAlign w:val="bottom"/>
            <w:gridSpan w:val="2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439"/>
        </w:trPr>
        <w:tc>
          <w:tcPr>
            <w:tcW w:w="920" w:type="dxa"/>
            <w:vAlign w:val="bottom"/>
            <w:gridSpan w:val="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280" w:type="dxa"/>
            <w:vAlign w:val="bottom"/>
            <w:tcBorders>
              <w:top w:val="single" w:sz="8" w:color="0000EE"/>
            </w:tcBorders>
          </w:tcPr>
          <w:p>
            <w:pPr>
              <w:spacing w:after="0"/>
              <w:rPr>
                <w:sz w:val="24"/>
                <w:szCs w:val="24"/>
                <w:color w:val="auto"/>
              </w:rPr>
            </w:pPr>
          </w:p>
        </w:tc>
        <w:tc>
          <w:tcPr>
            <w:tcW w:w="5940" w:type="dxa"/>
            <w:vAlign w:val="bottom"/>
            <w:gridSpan w:val="3"/>
          </w:tcPr>
          <w:p>
            <w:pPr>
              <w:jc w:val="center"/>
              <w:ind w:left="2650"/>
              <w:spacing w:after="0"/>
              <w:rPr>
                <w:sz w:val="20"/>
                <w:szCs w:val="20"/>
                <w:color w:val="auto"/>
              </w:rPr>
            </w:pPr>
            <w:r>
              <w:rPr>
                <w:rFonts w:ascii="Arial" w:cs="Arial" w:eastAsia="Arial" w:hAnsi="Arial"/>
                <w:sz w:val="18"/>
                <w:szCs w:val="18"/>
                <w:b w:val="1"/>
                <w:bCs w:val="1"/>
                <w:color w:val="auto"/>
              </w:rPr>
              <w:t>PART I—FINANCIAL INFORMATION</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4"/>
                <w:szCs w:val="24"/>
                <w:color w:val="auto"/>
              </w:rPr>
            </w:pPr>
          </w:p>
        </w:tc>
        <w:tc>
          <w:tcPr>
            <w:tcW w:w="5320" w:type="dxa"/>
            <w:vAlign w:val="bottom"/>
          </w:tcPr>
          <w:p>
            <w:pPr>
              <w:jc w:val="center"/>
              <w:ind w:left="3270"/>
              <w:spacing w:after="0"/>
              <w:rPr>
                <w:sz w:val="20"/>
                <w:szCs w:val="20"/>
                <w:color w:val="auto"/>
              </w:rPr>
            </w:pPr>
            <w:r>
              <w:rPr>
                <w:rFonts w:ascii="Arial" w:cs="Arial" w:eastAsia="Arial" w:hAnsi="Arial"/>
                <w:sz w:val="18"/>
                <w:szCs w:val="18"/>
                <w:b w:val="1"/>
                <w:bCs w:val="1"/>
                <w:color w:val="auto"/>
                <w:w w:val="94"/>
              </w:rPr>
              <w:t>Uniti Group Inc.</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5940" w:type="dxa"/>
            <w:vAlign w:val="bottom"/>
            <w:gridSpan w:val="3"/>
          </w:tcPr>
          <w:p>
            <w:pPr>
              <w:jc w:val="center"/>
              <w:ind w:left="26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40" w:type="dxa"/>
            <w:vAlign w:val="bottom"/>
            <w:gridSpan w:val="2"/>
            <w:vMerge w:val="restart"/>
          </w:tcPr>
          <w:p>
            <w:pPr>
              <w:jc w:val="right"/>
              <w:ind w:right="840"/>
              <w:spacing w:after="0"/>
              <w:rPr>
                <w:sz w:val="20"/>
                <w:szCs w:val="20"/>
                <w:color w:val="auto"/>
              </w:rPr>
            </w:pPr>
            <w:r>
              <w:rPr>
                <w:rFonts w:ascii="Arial" w:cs="Arial" w:eastAsia="Arial" w:hAnsi="Arial"/>
                <w:sz w:val="18"/>
                <w:szCs w:val="18"/>
                <w:b w:val="1"/>
                <w:bCs w:val="1"/>
                <w:color w:val="auto"/>
                <w:w w:val="97"/>
              </w:rPr>
              <w:t>(Unaudited)</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Arial" w:cs="Arial" w:eastAsia="Arial" w:hAnsi="Arial"/>
                <w:sz w:val="18"/>
                <w:szCs w:val="18"/>
                <w:color w:val="auto"/>
              </w:rPr>
              <w:t>(Thousands, except par value)</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88"/>
              </w:rPr>
              <w:t>June 30, 2021</w:t>
            </w:r>
          </w:p>
        </w:tc>
        <w:tc>
          <w:tcPr>
            <w:tcW w:w="180" w:type="dxa"/>
            <w:vAlign w:val="bottom"/>
          </w:tcPr>
          <w:p>
            <w:pPr>
              <w:spacing w:after="0"/>
              <w:rPr>
                <w:sz w:val="20"/>
                <w:szCs w:val="20"/>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4"/>
              </w:rPr>
              <w:t>December 31, 2020</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3,400,755</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3,273,353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108,536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42,986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62,952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379,524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390,725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Straight-line revenue receivable</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Other assets, net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115,730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152,883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Investment in unconsolidated entities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Deferred income tax assets, net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93,343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4,745,374</w:t>
            </w:r>
          </w:p>
        </w:tc>
        <w:tc>
          <w:tcPr>
            <w:tcW w:w="2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4,731,818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 accrued expenses and other liabilities, net</w:t>
            </w:r>
          </w:p>
        </w:tc>
        <w:tc>
          <w:tcPr>
            <w:tcW w:w="620" w:type="dxa"/>
            <w:vAlign w:val="bottom"/>
            <w:gridSpan w:val="2"/>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136,577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Settlement payable (Note 14)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378,718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418,840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Intangible liabilities, net</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183,133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105,922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95,338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1,122,445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Derivative liability, net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16,786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36,326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Deferred income tax liabilities, net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10,540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Notes and other debt, net</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4,884,410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Liabilities held for sale</w:t>
            </w:r>
          </w:p>
        </w:tc>
        <w:tc>
          <w:tcPr>
            <w:tcW w:w="1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6,878,814</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6,804,194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14)</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Shareholders' Deficit:</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gridSpan w:val="2"/>
          </w:tcPr>
          <w:p>
            <w:pPr>
              <w:ind w:left="260"/>
              <w:spacing w:after="0"/>
              <w:rPr>
                <w:sz w:val="20"/>
                <w:szCs w:val="20"/>
                <w:color w:val="auto"/>
              </w:rPr>
            </w:pPr>
            <w:r>
              <w:rPr>
                <w:rFonts w:ascii="Arial" w:cs="Arial" w:eastAsia="Arial" w:hAnsi="Arial"/>
                <w:sz w:val="18"/>
                <w:szCs w:val="18"/>
                <w:color w:val="auto"/>
                <w:w w:val="94"/>
              </w:rPr>
              <w:t>Preferred stock, $0.0001 par value, 50,000 shares authorized, no shares issued and</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0"/>
              </w:rPr>
              <w:t>Common stock, $0.0001 par value, 500,000 shares authorized, issued and outstanding:</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231,805 shares at June 30, 2021 and 231,262 at December 31, 2020</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1,153,707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1,209,141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(14,792)</w:t>
            </w:r>
          </w:p>
        </w:tc>
        <w:tc>
          <w:tcPr>
            <w:tcW w:w="180" w:type="dxa"/>
            <w:vAlign w:val="bottom"/>
            <w:shd w:val="clear" w:color="auto" w:fill="CFF0FC"/>
          </w:tcPr>
          <w:p>
            <w:pPr>
              <w:spacing w:after="0"/>
              <w:rPr>
                <w:sz w:val="19"/>
                <w:szCs w:val="19"/>
                <w:color w:val="auto"/>
              </w:rPr>
            </w:pPr>
          </w:p>
        </w:tc>
        <w:tc>
          <w:tcPr>
            <w:tcW w:w="2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(20,367)</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Distributions in excess of accumulated earnings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(3,341,371)</w:t>
            </w:r>
          </w:p>
        </w:tc>
        <w:tc>
          <w:tcPr>
            <w:tcW w:w="180" w:type="dxa"/>
            <w:vAlign w:val="bottom"/>
          </w:tcPr>
          <w:p>
            <w:pPr>
              <w:spacing w:after="0"/>
              <w:rPr>
                <w:sz w:val="19"/>
                <w:szCs w:val="19"/>
                <w:color w:val="auto"/>
              </w:rPr>
            </w:pPr>
          </w:p>
        </w:tc>
        <w:tc>
          <w:tcPr>
            <w:tcW w:w="2000" w:type="dxa"/>
            <w:vAlign w:val="bottom"/>
            <w:gridSpan w:val="2"/>
          </w:tcPr>
          <w:p>
            <w:pPr>
              <w:jc w:val="right"/>
              <w:ind w:right="60"/>
              <w:spacing w:after="0"/>
              <w:rPr>
                <w:sz w:val="20"/>
                <w:szCs w:val="20"/>
                <w:color w:val="auto"/>
              </w:rPr>
            </w:pPr>
            <w:r>
              <w:rPr>
                <w:rFonts w:ascii="Arial" w:cs="Arial" w:eastAsia="Arial" w:hAnsi="Arial"/>
                <w:sz w:val="18"/>
                <w:szCs w:val="18"/>
                <w:color w:val="auto"/>
              </w:rPr>
              <w:t>(3,330,455)</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Uniti shareholders' deficit</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(2,202,433)</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(2,141,658)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Operating partnership units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68,868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gridSpan w:val="2"/>
          </w:tcPr>
          <w:p>
            <w:pPr>
              <w:ind w:left="380"/>
              <w:spacing w:after="0"/>
              <w:rPr>
                <w:sz w:val="20"/>
                <w:szCs w:val="20"/>
                <w:color w:val="auto"/>
              </w:rPr>
            </w:pPr>
            <w:r>
              <w:rPr>
                <w:rFonts w:ascii="Arial" w:cs="Arial" w:eastAsia="Arial" w:hAnsi="Arial"/>
                <w:sz w:val="18"/>
                <w:szCs w:val="18"/>
                <w:color w:val="auto"/>
              </w:rPr>
              <w:t>Cumulative non-voting convertible preferred stock, $0.01 par value, 3 shares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authorized, 1 issued and outstanding</w:t>
            </w:r>
          </w:p>
        </w:tc>
        <w:tc>
          <w:tcPr>
            <w:tcW w:w="14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Total shareholders' deficit</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(2,133,440)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4,745,374</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4,731,818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0</wp:posOffset>
            </wp:positionV>
            <wp:extent cx="27774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-130175</wp:posOffset>
            </wp:positionV>
            <wp:extent cx="27774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20" w:type="dxa"/>
            <w:vAlign w:val="bottom"/>
            <w:tcBorders>
              <w:bottom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0"/>
                <w:szCs w:val="20"/>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Leasing</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196,057</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185,320</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390,993</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369,672</w:t>
            </w: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72,123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79,140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149,773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156,547</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Tower</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6,112</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268,180</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266,820</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540,766</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532,982</w:t>
            </w:r>
          </w:p>
        </w:tc>
        <w:tc>
          <w:tcPr>
            <w:tcW w:w="100" w:type="dxa"/>
            <w:vAlign w:val="bottom"/>
          </w:tcPr>
          <w:p>
            <w:pPr>
              <w:spacing w:after="0"/>
              <w:rPr>
                <w:sz w:val="19"/>
                <w:szCs w:val="19"/>
                <w:color w:val="auto"/>
              </w:rPr>
            </w:pPr>
          </w:p>
        </w:tc>
      </w:tr>
      <w:tr>
        <w:trPr>
          <w:trHeight w:val="237"/>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106,388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107,243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246,969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285,636</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69,671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84,969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140,635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171,090</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27,894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50,723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55,027</w:t>
            </w:r>
          </w:p>
        </w:tc>
        <w:tc>
          <w:tcPr>
            <w:tcW w:w="100" w:type="dxa"/>
            <w:vAlign w:val="bottom"/>
          </w:tcPr>
          <w:p>
            <w:pPr>
              <w:spacing w:after="0"/>
              <w:rPr>
                <w:sz w:val="19"/>
                <w:szCs w:val="19"/>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 (exclusive of depreciation and</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33,185</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71,269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80,477</w:t>
            </w:r>
          </w:p>
        </w:tc>
        <w:tc>
          <w:tcPr>
            <w:tcW w:w="100" w:type="dxa"/>
            <w:vAlign w:val="bottom"/>
            <w:shd w:val="clear" w:color="auto" w:fill="CFF0FC"/>
          </w:tcPr>
          <w:p>
            <w:pPr>
              <w:spacing w:after="0"/>
              <w:rPr>
                <w:sz w:val="20"/>
                <w:szCs w:val="20"/>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Settlement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related and other costs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34,528</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(63,818)</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(63,818)</w:t>
            </w: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operations (Note 5)</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(28,143)</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(28,143)</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expense, net</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9,088</w:t>
            </w:r>
          </w:p>
        </w:tc>
        <w:tc>
          <w:tcPr>
            <w:tcW w:w="100" w:type="dxa"/>
            <w:vAlign w:val="bottom"/>
            <w:tcBorders>
              <w:bottom w:val="single" w:sz="8" w:color="CFF0FC"/>
            </w:tcBorders>
          </w:tcPr>
          <w:p>
            <w:pPr>
              <w:spacing w:after="0"/>
              <w:rPr>
                <w:sz w:val="19"/>
                <w:szCs w:val="19"/>
                <w:color w:val="auto"/>
              </w:rPr>
            </w:pPr>
          </w:p>
        </w:tc>
      </w:tr>
      <w:tr>
        <w:trPr>
          <w:trHeight w:val="223"/>
        </w:trPr>
        <w:tc>
          <w:tcPr>
            <w:tcW w:w="4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214,004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871,024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494,047</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1,222,028</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6"/>
              </w:rPr>
              <w:t>Income (loss) before income taxes and equity in earnings</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from unconsolidated entities</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54,176</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(604,204)</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46,719</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(689,046)</w:t>
            </w: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5,084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(5,875)</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(10,451)</w:t>
            </w: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(547)</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(945)</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49,639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(598,329)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45,137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(678,595)</w:t>
            </w: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(10,585)</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(11,998)</w:t>
            </w: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48,907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(587,744)</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44,469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(666,597)</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(424)</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(581)</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(624)</w:t>
            </w: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(588,169)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(667,225)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per common share: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4780" w:type="dxa"/>
            <w:vAlign w:val="bottom"/>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23"/>
                <w:szCs w:val="23"/>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(3.06)</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23"/>
                <w:szCs w:val="23"/>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r>
      <w:tr>
        <w:trPr>
          <w:trHeight w:val="210"/>
        </w:trPr>
        <w:tc>
          <w:tcPr>
            <w:tcW w:w="47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4"/>
              </w:rPr>
              <w:t>Weighted-average number of common shares outstanding:</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70"/>
        </w:trPr>
        <w:tc>
          <w:tcPr>
            <w:tcW w:w="4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FF0FC"/>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231,801</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192,479</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231,636</w:t>
            </w:r>
          </w:p>
        </w:tc>
        <w:tc>
          <w:tcPr>
            <w:tcW w:w="24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192,358</w:t>
            </w:r>
          </w:p>
        </w:tc>
        <w:tc>
          <w:tcPr>
            <w:tcW w:w="100" w:type="dxa"/>
            <w:vAlign w:val="bottom"/>
            <w:tcBorders>
              <w:bottom w:val="single" w:sz="8" w:color="CFF0FC"/>
            </w:tcBorders>
          </w:tcPr>
          <w:p>
            <w:pPr>
              <w:spacing w:after="0"/>
              <w:rPr>
                <w:sz w:val="23"/>
                <w:szCs w:val="23"/>
                <w:color w:val="auto"/>
              </w:rPr>
            </w:pPr>
          </w:p>
        </w:tc>
      </w:tr>
      <w:tr>
        <w:trPr>
          <w:trHeight w:val="21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262,268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192,479</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231,862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(678,595)</w:t>
            </w:r>
          </w:p>
        </w:tc>
        <w:tc>
          <w:tcPr>
            <w:tcW w:w="120" w:type="dxa"/>
            <w:vAlign w:val="bottom"/>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derivative contracts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(7,036)</w:t>
            </w:r>
          </w:p>
        </w:tc>
      </w:tr>
      <w:tr>
        <w:trPr>
          <w:trHeight w:val="229"/>
        </w:trPr>
        <w:tc>
          <w:tcPr>
            <w:tcW w:w="4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rate swap termination</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w:t>
            </w:r>
          </w:p>
        </w:tc>
        <w:tc>
          <w:tcPr>
            <w:tcW w:w="120" w:type="dxa"/>
            <w:vAlign w:val="bottom"/>
            <w:tcBorders>
              <w:bottom w:val="single" w:sz="8" w:color="CFF0FC"/>
            </w:tcBorders>
          </w:tcPr>
          <w:p>
            <w:pPr>
              <w:spacing w:after="0"/>
              <w:rPr>
                <w:sz w:val="19"/>
                <w:szCs w:val="19"/>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2,829</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5,658</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(2,540)</w:t>
            </w:r>
          </w:p>
        </w:tc>
        <w:tc>
          <w:tcPr>
            <w:tcW w:w="120" w:type="dxa"/>
            <w:vAlign w:val="bottom"/>
            <w:shd w:val="clear" w:color="auto" w:fill="CFF0FC"/>
          </w:tcPr>
          <w:p>
            <w:pPr>
              <w:spacing w:after="0"/>
              <w:rPr>
                <w:sz w:val="19"/>
                <w:szCs w:val="19"/>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52,468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(595,499)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50,795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(681,135)</w:t>
            </w:r>
          </w:p>
        </w:tc>
        <w:tc>
          <w:tcPr>
            <w:tcW w:w="120" w:type="dxa"/>
            <w:vAlign w:val="bottom"/>
          </w:tcPr>
          <w:p>
            <w:pPr>
              <w:spacing w:after="0"/>
              <w:rPr>
                <w:sz w:val="19"/>
                <w:szCs w:val="19"/>
                <w:color w:val="auto"/>
              </w:rPr>
            </w:pP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9"/>
              </w:rPr>
              <w:t>Comprehensive income (loss) attributable to noncontrolling</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(10,535)</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(12,043)</w:t>
            </w:r>
          </w:p>
        </w:tc>
      </w:tr>
      <w:tr>
        <w:trPr>
          <w:trHeight w:val="205"/>
        </w:trPr>
        <w:tc>
          <w:tcPr>
            <w:tcW w:w="4700" w:type="dxa"/>
            <w:vAlign w:val="bottom"/>
          </w:tcPr>
          <w:p>
            <w:pPr>
              <w:spacing w:after="0" w:line="205" w:lineRule="exact"/>
              <w:rPr>
                <w:sz w:val="20"/>
                <w:szCs w:val="20"/>
                <w:color w:val="auto"/>
              </w:rPr>
            </w:pPr>
            <w:r>
              <w:rPr>
                <w:rFonts w:ascii="Arial" w:cs="Arial" w:eastAsia="Arial" w:hAnsi="Arial"/>
                <w:sz w:val="18"/>
                <w:szCs w:val="18"/>
                <w:b w:val="1"/>
                <w:bCs w:val="1"/>
                <w:color w:val="auto"/>
              </w:rPr>
              <w:t>Comprehensive income (loss) attributable to common</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51,695</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(584,964)</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50,044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(669,092)</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For the Three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60"/>
              <w:spacing w:after="0" w:line="143" w:lineRule="exact"/>
              <w:rPr>
                <w:sz w:val="20"/>
                <w:szCs w:val="20"/>
                <w:color w:val="auto"/>
              </w:rPr>
            </w:pPr>
            <w:r>
              <w:rPr>
                <w:rFonts w:ascii="Arial" w:cs="Arial" w:eastAsia="Arial" w:hAnsi="Arial"/>
                <w:sz w:val="14"/>
                <w:szCs w:val="14"/>
                <w:color w:val="auto"/>
              </w:rPr>
              <w:t>Noncontrolling</w:t>
            </w: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3"/>
              </w:rPr>
              <w:t>Accumulated</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Distributions</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Interest - Non-</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Other</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in Excess of</w:t>
            </w: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voting</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Paid-in</w:t>
            </w: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Accumulated</w:t>
            </w: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Interest - OP</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Preferred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67"/>
        </w:trPr>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(Thousands, except share data)</w:t>
            </w: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w w:val="96"/>
              </w:rPr>
              <w:t>Preferred Stock</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rPr>
              <w:t>Common Stock</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Capital</w:t>
            </w:r>
          </w:p>
        </w:tc>
        <w:tc>
          <w:tcPr>
            <w:tcW w:w="1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Income (Loss)</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Earnings</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90"/>
              </w:rPr>
              <w:t>Shares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Deficit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3"/>
          </w:tcPr>
          <w:p>
            <w:pPr>
              <w:jc w:val="right"/>
              <w:ind w:right="60"/>
              <w:spacing w:after="0" w:line="183" w:lineRule="exact"/>
              <w:rPr>
                <w:sz w:val="20"/>
                <w:szCs w:val="20"/>
                <w:color w:val="auto"/>
              </w:rPr>
            </w:pPr>
            <w:r>
              <w:rPr>
                <w:rFonts w:ascii="Arial" w:cs="Arial" w:eastAsia="Arial" w:hAnsi="Arial"/>
                <w:sz w:val="16"/>
                <w:szCs w:val="16"/>
                <w:color w:val="auto"/>
                <w:w w:val="86"/>
              </w:rPr>
              <w:t>Shares</w:t>
            </w:r>
          </w:p>
        </w:tc>
        <w:tc>
          <w:tcPr>
            <w:tcW w:w="160" w:type="dxa"/>
            <w:vAlign w:val="bottom"/>
          </w:tcPr>
          <w:p>
            <w:pPr>
              <w:spacing w:after="0"/>
              <w:rPr>
                <w:sz w:val="15"/>
                <w:szCs w:val="15"/>
                <w:color w:val="auto"/>
              </w:rPr>
            </w:pPr>
          </w:p>
        </w:tc>
        <w:tc>
          <w:tcPr>
            <w:tcW w:w="740" w:type="dxa"/>
            <w:vAlign w:val="bottom"/>
            <w:gridSpan w:val="5"/>
          </w:tcPr>
          <w:p>
            <w:pPr>
              <w:ind w:left="20"/>
              <w:spacing w:after="0" w:line="183" w:lineRule="exact"/>
              <w:rPr>
                <w:sz w:val="20"/>
                <w:szCs w:val="20"/>
                <w:color w:val="auto"/>
              </w:rPr>
            </w:pPr>
            <w:r>
              <w:rPr>
                <w:rFonts w:ascii="Arial" w:cs="Arial" w:eastAsia="Arial" w:hAnsi="Arial"/>
                <w:sz w:val="16"/>
                <w:szCs w:val="16"/>
                <w:color w:val="auto"/>
              </w:rPr>
              <w:t>Amount</w:t>
            </w:r>
          </w:p>
        </w:tc>
        <w:tc>
          <w:tcPr>
            <w:tcW w:w="900" w:type="dxa"/>
            <w:vAlign w:val="bottom"/>
            <w:gridSpan w:val="3"/>
          </w:tcPr>
          <w:p>
            <w:pPr>
              <w:jc w:val="right"/>
              <w:ind w:right="240"/>
              <w:spacing w:after="0" w:line="183" w:lineRule="exact"/>
              <w:rPr>
                <w:sz w:val="20"/>
                <w:szCs w:val="20"/>
                <w:color w:val="auto"/>
              </w:rPr>
            </w:pPr>
            <w:r>
              <w:rPr>
                <w:rFonts w:ascii="Arial" w:cs="Arial" w:eastAsia="Arial" w:hAnsi="Arial"/>
                <w:sz w:val="16"/>
                <w:szCs w:val="16"/>
                <w:color w:val="auto"/>
              </w:rPr>
              <w:t>Shares</w:t>
            </w:r>
          </w:p>
        </w:tc>
        <w:tc>
          <w:tcPr>
            <w:tcW w:w="160" w:type="dxa"/>
            <w:vAlign w:val="bottom"/>
          </w:tcPr>
          <w:p>
            <w:pPr>
              <w:spacing w:after="0"/>
              <w:rPr>
                <w:sz w:val="15"/>
                <w:szCs w:val="15"/>
                <w:color w:val="auto"/>
              </w:rPr>
            </w:pPr>
          </w:p>
        </w:tc>
        <w:tc>
          <w:tcPr>
            <w:tcW w:w="760" w:type="dxa"/>
            <w:vAlign w:val="bottom"/>
            <w:gridSpan w:val="5"/>
          </w:tcPr>
          <w:p>
            <w:pPr>
              <w:ind w:left="20"/>
              <w:spacing w:after="0" w:line="183" w:lineRule="exact"/>
              <w:rPr>
                <w:sz w:val="20"/>
                <w:szCs w:val="20"/>
                <w:color w:val="auto"/>
              </w:rPr>
            </w:pPr>
            <w:r>
              <w:rPr>
                <w:rFonts w:ascii="Arial" w:cs="Arial" w:eastAsia="Arial" w:hAnsi="Arial"/>
                <w:sz w:val="16"/>
                <w:szCs w:val="16"/>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9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Balance at March 31, 2020</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8"/>
              </w:rPr>
              <w:t>192,281,092</w:t>
            </w:r>
          </w:p>
        </w:tc>
        <w:tc>
          <w:tcPr>
            <w:tcW w:w="4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954,223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(28,717)</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0"/>
              </w:rPr>
              <w:t>$ (2,602,777)</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81,676</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0"/>
              </w:rPr>
              <w:t>$ (1,595,451)</w:t>
            </w: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(587,744)</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(10,585)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(598,329)</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 comprehensive income</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2,780</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60" w:type="dxa"/>
            <w:vAlign w:val="bottom"/>
            <w:gridSpan w:val="2"/>
          </w:tcPr>
          <w:p>
            <w:pPr>
              <w:spacing w:after="0" w:line="143" w:lineRule="exact"/>
              <w:rPr>
                <w:sz w:val="20"/>
                <w:szCs w:val="20"/>
                <w:color w:val="auto"/>
              </w:rPr>
            </w:pPr>
            <w:r>
              <w:rPr>
                <w:rFonts w:ascii="Arial" w:cs="Arial" w:eastAsia="Arial" w:hAnsi="Arial"/>
                <w:sz w:val="14"/>
                <w:szCs w:val="14"/>
                <w:color w:val="auto"/>
              </w:rPr>
              <w:t>Common stock dividends</w:t>
            </w: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(29,102)</w:t>
            </w: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(29,102)</w:t>
            </w:r>
          </w:p>
        </w:tc>
        <w:tc>
          <w:tcPr>
            <w:tcW w:w="0" w:type="dxa"/>
            <w:vAlign w:val="bottom"/>
          </w:tcPr>
          <w:p>
            <w:pPr>
              <w:spacing w:after="0"/>
              <w:rPr>
                <w:sz w:val="1"/>
                <w:szCs w:val="1"/>
                <w:color w:val="auto"/>
              </w:rPr>
            </w:pPr>
          </w:p>
        </w:tc>
      </w:tr>
      <w:tr>
        <w:trPr>
          <w:trHeight w:val="167"/>
        </w:trPr>
        <w:tc>
          <w:tcPr>
            <w:tcW w:w="1960" w:type="dxa"/>
            <w:vAlign w:val="bottom"/>
            <w:gridSpan w:val="2"/>
          </w:tcPr>
          <w:p>
            <w:pPr>
              <w:spacing w:after="0"/>
              <w:rPr>
                <w:sz w:val="20"/>
                <w:szCs w:val="20"/>
                <w:color w:val="auto"/>
              </w:rPr>
            </w:pPr>
            <w:r>
              <w:rPr>
                <w:rFonts w:ascii="Arial" w:cs="Arial" w:eastAsia="Arial" w:hAnsi="Arial"/>
                <w:sz w:val="14"/>
                <w:szCs w:val="14"/>
                <w:color w:val="auto"/>
              </w:rPr>
              <w:t>declared ($0.15 per share)</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6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5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(519)</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67"/>
        </w:trPr>
        <w:tc>
          <w:tcPr>
            <w:tcW w:w="19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interest</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60" w:type="dxa"/>
            <w:vAlign w:val="bottom"/>
            <w:gridSpan w:val="2"/>
          </w:tcPr>
          <w:p>
            <w:pPr>
              <w:spacing w:after="0" w:line="143" w:lineRule="exact"/>
              <w:rPr>
                <w:sz w:val="20"/>
                <w:szCs w:val="20"/>
                <w:color w:val="auto"/>
              </w:rPr>
            </w:pPr>
            <w:r>
              <w:rPr>
                <w:rFonts w:ascii="Arial" w:cs="Arial" w:eastAsia="Arial" w:hAnsi="Arial"/>
                <w:sz w:val="14"/>
                <w:szCs w:val="14"/>
                <w:color w:val="auto"/>
              </w:rPr>
              <w:t>Payments related to tax</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tcPr>
          <w:p>
            <w:pPr>
              <w:spacing w:after="0" w:line="149" w:lineRule="exact"/>
              <w:rPr>
                <w:sz w:val="20"/>
                <w:szCs w:val="20"/>
                <w:color w:val="auto"/>
              </w:rPr>
            </w:pPr>
            <w:r>
              <w:rPr>
                <w:rFonts w:ascii="Arial" w:cs="Arial" w:eastAsia="Arial" w:hAnsi="Arial"/>
                <w:sz w:val="14"/>
                <w:szCs w:val="14"/>
                <w:color w:val="auto"/>
              </w:rPr>
              <w:t>withholding for stock-based</w:t>
            </w: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(677)</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167"/>
        </w:trPr>
        <w:tc>
          <w:tcPr>
            <w:tcW w:w="1960" w:type="dxa"/>
            <w:vAlign w:val="bottom"/>
            <w:gridSpan w:val="2"/>
          </w:tcPr>
          <w:p>
            <w:pPr>
              <w:spacing w:after="0"/>
              <w:rPr>
                <w:sz w:val="20"/>
                <w:szCs w:val="20"/>
                <w:color w:val="auto"/>
              </w:rPr>
            </w:pPr>
            <w:r>
              <w:rPr>
                <w:rFonts w:ascii="Arial" w:cs="Arial" w:eastAsia="Arial" w:hAnsi="Arial"/>
                <w:sz w:val="14"/>
                <w:szCs w:val="14"/>
                <w:color w:val="auto"/>
              </w:rPr>
              <w:t>compensation</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241,991</w:t>
            </w: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4,110</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960" w:type="dxa"/>
            <w:vAlign w:val="bottom"/>
            <w:gridSpan w:val="2"/>
          </w:tcPr>
          <w:p>
            <w:pPr>
              <w:spacing w:after="0"/>
              <w:rPr>
                <w:sz w:val="20"/>
                <w:szCs w:val="20"/>
                <w:color w:val="auto"/>
              </w:rPr>
            </w:pPr>
            <w:r>
              <w:rPr>
                <w:rFonts w:ascii="Arial" w:cs="Arial" w:eastAsia="Arial" w:hAnsi="Arial"/>
                <w:sz w:val="14"/>
                <w:szCs w:val="14"/>
                <w:color w:val="auto"/>
              </w:rPr>
              <w:t>Balance at June 30, 2020</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192,523,083</w:t>
            </w: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957,656</w:t>
            </w:r>
          </w:p>
        </w:tc>
        <w:tc>
          <w:tcPr>
            <w:tcW w:w="18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(25,937)</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 (3,219,623)</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70,622</w:t>
            </w:r>
          </w:p>
        </w:tc>
        <w:tc>
          <w:tcPr>
            <w:tcW w:w="120" w:type="dxa"/>
            <w:vAlign w:val="bottom"/>
          </w:tcPr>
          <w:p>
            <w:pPr>
              <w:spacing w:after="0"/>
              <w:rPr>
                <w:sz w:val="22"/>
                <w:szCs w:val="22"/>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 (2,217,138)</w:t>
            </w:r>
          </w:p>
        </w:tc>
        <w:tc>
          <w:tcPr>
            <w:tcW w:w="0" w:type="dxa"/>
            <w:vAlign w:val="bottom"/>
          </w:tcPr>
          <w:p>
            <w:pPr>
              <w:spacing w:after="0"/>
              <w:rPr>
                <w:sz w:val="1"/>
                <w:szCs w:val="1"/>
                <w:color w:val="auto"/>
              </w:rPr>
            </w:pPr>
          </w:p>
        </w:tc>
      </w:tr>
      <w:tr>
        <w:trPr>
          <w:trHeight w:val="197"/>
        </w:trPr>
        <w:tc>
          <w:tcPr>
            <w:tcW w:w="18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60" w:type="dxa"/>
            <w:vAlign w:val="bottom"/>
            <w:gridSpan w:val="2"/>
          </w:tcPr>
          <w:p>
            <w:pPr>
              <w:spacing w:after="0"/>
              <w:rPr>
                <w:sz w:val="20"/>
                <w:szCs w:val="20"/>
                <w:color w:val="auto"/>
              </w:rPr>
            </w:pPr>
            <w:r>
              <w:rPr>
                <w:rFonts w:ascii="Arial" w:cs="Arial" w:eastAsia="Arial" w:hAnsi="Arial"/>
                <w:sz w:val="14"/>
                <w:szCs w:val="14"/>
                <w:color w:val="auto"/>
              </w:rPr>
              <w:t>Balance at March 31, 2021</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231,694,203</w:t>
            </w:r>
          </w:p>
        </w:tc>
        <w:tc>
          <w:tcPr>
            <w:tcW w:w="4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1,150,550</w:t>
            </w:r>
          </w:p>
        </w:tc>
        <w:tc>
          <w:tcPr>
            <w:tcW w:w="1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(17,580)</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 (3,355,423)</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68,615</w:t>
            </w:r>
          </w:p>
        </w:tc>
        <w:tc>
          <w:tcPr>
            <w:tcW w:w="12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w w:val="90"/>
              </w:rPr>
              <w:t>$ (2,153,690)</w:t>
            </w:r>
          </w:p>
        </w:tc>
        <w:tc>
          <w:tcPr>
            <w:tcW w:w="0" w:type="dxa"/>
            <w:vAlign w:val="bottom"/>
          </w:tcPr>
          <w:p>
            <w:pPr>
              <w:spacing w:after="0"/>
              <w:rPr>
                <w:sz w:val="1"/>
                <w:szCs w:val="1"/>
                <w:color w:val="auto"/>
              </w:rPr>
            </w:pPr>
          </w:p>
        </w:tc>
      </w:tr>
      <w:tr>
        <w:trPr>
          <w:trHeight w:val="229"/>
        </w:trPr>
        <w:tc>
          <w:tcPr>
            <w:tcW w:w="19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Net income</w:t>
            </w:r>
          </w:p>
        </w:tc>
        <w:tc>
          <w:tcPr>
            <w:tcW w:w="5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48,907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49,639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4"/>
                <w:szCs w:val="14"/>
                <w:color w:val="auto"/>
              </w:rPr>
              <w:t>Other comprehensive income</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2,788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6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Common stock dividends</w:t>
            </w:r>
          </w:p>
        </w:tc>
        <w:tc>
          <w:tcPr>
            <w:tcW w:w="5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(34,855)</w:t>
            </w: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(34,855)</w:t>
            </w:r>
          </w:p>
        </w:tc>
        <w:tc>
          <w:tcPr>
            <w:tcW w:w="0" w:type="dxa"/>
            <w:vAlign w:val="bottom"/>
          </w:tcPr>
          <w:p>
            <w:pPr>
              <w:spacing w:after="0"/>
              <w:rPr>
                <w:sz w:val="1"/>
                <w:szCs w:val="1"/>
                <w:color w:val="auto"/>
              </w:rPr>
            </w:pPr>
          </w:p>
        </w:tc>
      </w:tr>
      <w:tr>
        <w:trPr>
          <w:trHeight w:val="167"/>
        </w:trPr>
        <w:tc>
          <w:tcPr>
            <w:tcW w:w="19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declared ($0.15 per share)</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60" w:type="dxa"/>
            <w:vAlign w:val="bottom"/>
            <w:gridSpan w:val="2"/>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5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67"/>
        </w:trPr>
        <w:tc>
          <w:tcPr>
            <w:tcW w:w="196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96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Payments related to tax</w:t>
            </w:r>
          </w:p>
        </w:tc>
        <w:tc>
          <w:tcPr>
            <w:tcW w:w="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gridSpan w:val="2"/>
            <w:shd w:val="clear" w:color="auto" w:fill="CFF0FC"/>
          </w:tcPr>
          <w:p>
            <w:pPr>
              <w:spacing w:after="0" w:line="149" w:lineRule="exact"/>
              <w:rPr>
                <w:sz w:val="20"/>
                <w:szCs w:val="20"/>
                <w:color w:val="auto"/>
              </w:rPr>
            </w:pPr>
            <w:r>
              <w:rPr>
                <w:rFonts w:ascii="Arial" w:cs="Arial" w:eastAsia="Arial" w:hAnsi="Arial"/>
                <w:sz w:val="14"/>
                <w:szCs w:val="14"/>
                <w:color w:val="auto"/>
              </w:rPr>
              <w:t>withholding for stock-based</w:t>
            </w:r>
          </w:p>
        </w:tc>
        <w:tc>
          <w:tcPr>
            <w:tcW w:w="5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(336)</w:t>
            </w: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9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67"/>
        </w:trPr>
        <w:tc>
          <w:tcPr>
            <w:tcW w:w="19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compensation</w:t>
            </w:r>
          </w:p>
        </w:tc>
        <w:tc>
          <w:tcPr>
            <w:tcW w:w="52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110,718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1960" w:type="dxa"/>
            <w:vAlign w:val="bottom"/>
            <w:gridSpan w:val="2"/>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w:t>
            </w:r>
          </w:p>
        </w:tc>
        <w:tc>
          <w:tcPr>
            <w:tcW w:w="5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9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employee stock purchase plan</w:t>
            </w:r>
          </w:p>
        </w:tc>
        <w:tc>
          <w:tcPr>
            <w:tcW w:w="52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00" w:type="dxa"/>
            <w:vAlign w:val="bottom"/>
            <w:tcBorders>
              <w:bottom w:val="single" w:sz="8" w:color="auto"/>
            </w:tcBorders>
            <w:gridSpan w:val="3"/>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60" w:type="dxa"/>
            <w:vAlign w:val="bottom"/>
            <w:gridSpan w:val="2"/>
          </w:tcPr>
          <w:p>
            <w:pPr>
              <w:spacing w:after="0"/>
              <w:rPr>
                <w:sz w:val="20"/>
                <w:szCs w:val="20"/>
                <w:color w:val="auto"/>
              </w:rPr>
            </w:pPr>
            <w:r>
              <w:rPr>
                <w:rFonts w:ascii="Arial" w:cs="Arial" w:eastAsia="Arial" w:hAnsi="Arial"/>
                <w:sz w:val="14"/>
                <w:szCs w:val="14"/>
                <w:color w:val="auto"/>
              </w:rPr>
              <w:t>Balance at June 30, 2021</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w w:val="98"/>
              </w:rPr>
              <w:t>231,804,921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1,153,707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(14,792)</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(3,341,371)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68,868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w:t>
            </w: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(2,133,440)</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60"/>
        <w:spacing w:after="0" w:line="290" w:lineRule="auto"/>
        <w:rPr>
          <w:sz w:val="20"/>
          <w:szCs w:val="20"/>
          <w:color w:val="auto"/>
        </w:rPr>
      </w:pPr>
      <w:r>
        <w:rPr>
          <w:rFonts w:ascii="Arial" w:cs="Arial" w:eastAsia="Arial" w:hAnsi="Arial"/>
          <w:sz w:val="13"/>
          <w:szCs w:val="13"/>
          <w:color w:val="auto"/>
        </w:rPr>
        <w:t>(Thousands,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9169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72"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auto"/>
        </w:rPr>
        <w:t>Balance at December 31, 2019</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13"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Other comprehensive loss</w:t>
      </w:r>
    </w:p>
    <w:p>
      <w:pPr>
        <w:spacing w:after="0" w:line="1" w:lineRule="exact"/>
        <w:rPr>
          <w:sz w:val="20"/>
          <w:szCs w:val="20"/>
          <w:color w:val="auto"/>
        </w:rPr>
      </w:pPr>
    </w:p>
    <w:p>
      <w:pPr>
        <w:ind w:right="280"/>
        <w:spacing w:after="0" w:line="245" w:lineRule="auto"/>
        <w:rPr>
          <w:sz w:val="20"/>
          <w:szCs w:val="20"/>
          <w:color w:val="auto"/>
        </w:rPr>
      </w:pPr>
      <w:r>
        <w:rPr>
          <w:rFonts w:ascii="Arial" w:cs="Arial" w:eastAsia="Arial" w:hAnsi="Arial"/>
          <w:sz w:val="13"/>
          <w:szCs w:val="13"/>
          <w:color w:val="auto"/>
        </w:rPr>
        <w:t>Common stock dividends declared ($0.15 per share)</w:t>
      </w:r>
    </w:p>
    <w:p>
      <w:pPr>
        <w:spacing w:after="0" w:line="1"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Distributions to noncontrolling interest</w:t>
      </w:r>
    </w:p>
    <w:p>
      <w:pPr>
        <w:ind w:right="40"/>
        <w:spacing w:after="0" w:line="228" w:lineRule="auto"/>
        <w:rPr>
          <w:sz w:val="20"/>
          <w:szCs w:val="20"/>
          <w:color w:val="auto"/>
        </w:rPr>
      </w:pPr>
      <w:r>
        <w:rPr>
          <w:rFonts w:ascii="Arial" w:cs="Arial" w:eastAsia="Arial" w:hAnsi="Arial"/>
          <w:sz w:val="14"/>
          <w:szCs w:val="14"/>
          <w:color w:val="auto"/>
        </w:rPr>
        <w:t>Cumulative non-voting convertible preferred stock</w:t>
      </w:r>
    </w:p>
    <w:p>
      <w:pPr>
        <w:jc w:val="both"/>
        <w:ind w:right="20"/>
        <w:spacing w:after="0" w:line="266" w:lineRule="auto"/>
        <w:rPr>
          <w:sz w:val="20"/>
          <w:szCs w:val="20"/>
          <w:color w:val="auto"/>
        </w:rPr>
      </w:pPr>
      <w:r>
        <w:rPr>
          <w:rFonts w:ascii="Arial" w:cs="Arial" w:eastAsia="Arial" w:hAnsi="Arial"/>
          <w:sz w:val="12"/>
          <w:szCs w:val="12"/>
          <w:color w:val="auto"/>
        </w:rPr>
        <w:t>Payments related to tax withholding for stock-based compensation</w:t>
      </w:r>
    </w:p>
    <w:p>
      <w:pPr>
        <w:ind w:right="580"/>
        <w:spacing w:after="0" w:line="270" w:lineRule="auto"/>
        <w:rPr>
          <w:sz w:val="20"/>
          <w:szCs w:val="20"/>
          <w:color w:val="auto"/>
        </w:rPr>
      </w:pPr>
      <w:r>
        <w:rPr>
          <w:rFonts w:ascii="Arial" w:cs="Arial" w:eastAsia="Arial" w:hAnsi="Arial"/>
          <w:sz w:val="12"/>
          <w:szCs w:val="12"/>
          <w:color w:val="auto"/>
        </w:rPr>
        <w:t>Stock-based compensation</w:t>
      </w:r>
    </w:p>
    <w:p>
      <w:pPr>
        <w:ind w:right="40"/>
        <w:spacing w:after="0" w:line="232" w:lineRule="auto"/>
        <w:rPr>
          <w:sz w:val="20"/>
          <w:szCs w:val="20"/>
          <w:color w:val="auto"/>
        </w:rPr>
      </w:pPr>
      <w:r>
        <w:rPr>
          <w:rFonts w:ascii="Arial" w:cs="Arial" w:eastAsia="Arial" w:hAnsi="Arial"/>
          <w:sz w:val="14"/>
          <w:szCs w:val="14"/>
          <w:color w:val="auto"/>
        </w:rPr>
        <w:t>Issuance of common stock - employee stock purchase plan</w:t>
      </w:r>
    </w:p>
    <w:p>
      <w:pPr>
        <w:ind w:right="260"/>
        <w:spacing w:after="0" w:line="242" w:lineRule="auto"/>
        <w:rPr>
          <w:sz w:val="20"/>
          <w:szCs w:val="20"/>
          <w:color w:val="auto"/>
        </w:rPr>
      </w:pPr>
      <w:r>
        <w:rPr>
          <w:rFonts w:ascii="Arial" w:cs="Arial" w:eastAsia="Arial" w:hAnsi="Arial"/>
          <w:sz w:val="14"/>
          <w:szCs w:val="14"/>
          <w:color w:val="auto"/>
        </w:rPr>
        <w:t>Balance at June 30, 2020</w:t>
      </w:r>
    </w:p>
    <w:p>
      <w:pPr>
        <w:spacing w:after="0" w:line="236" w:lineRule="exact"/>
        <w:rPr>
          <w:sz w:val="20"/>
          <w:szCs w:val="20"/>
          <w:color w:val="auto"/>
        </w:rPr>
      </w:pPr>
    </w:p>
    <w:p>
      <w:pPr>
        <w:ind w:right="140"/>
        <w:spacing w:after="0"/>
        <w:rPr>
          <w:sz w:val="20"/>
          <w:szCs w:val="20"/>
          <w:color w:val="auto"/>
        </w:rPr>
      </w:pPr>
      <w:r>
        <w:rPr>
          <w:rFonts w:ascii="Arial" w:cs="Arial" w:eastAsia="Arial" w:hAnsi="Arial"/>
          <w:sz w:val="14"/>
          <w:szCs w:val="14"/>
          <w:color w:val="auto"/>
        </w:rPr>
        <w:t>Balance at December 31, 2020</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Cumulative effect adjustment for adoption of new accounting standard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3" w:lineRule="exact"/>
        <w:rPr>
          <w:sz w:val="20"/>
          <w:szCs w:val="20"/>
          <w:color w:val="auto"/>
        </w:rPr>
      </w:pPr>
    </w:p>
    <w:p>
      <w:pPr>
        <w:ind w:right="140"/>
        <w:spacing w:after="0" w:line="270" w:lineRule="auto"/>
        <w:rPr>
          <w:sz w:val="20"/>
          <w:szCs w:val="20"/>
          <w:color w:val="auto"/>
        </w:rPr>
      </w:pPr>
      <w:r>
        <w:rPr>
          <w:rFonts w:ascii="Arial" w:cs="Arial" w:eastAsia="Arial" w:hAnsi="Arial"/>
          <w:sz w:val="12"/>
          <w:szCs w:val="12"/>
          <w:color w:val="auto"/>
        </w:rPr>
        <w:t>Other comprehensive income</w:t>
      </w:r>
    </w:p>
    <w:p>
      <w:pPr>
        <w:ind w:right="280"/>
        <w:spacing w:after="0" w:line="245" w:lineRule="auto"/>
        <w:rPr>
          <w:sz w:val="20"/>
          <w:szCs w:val="20"/>
          <w:color w:val="auto"/>
        </w:rPr>
      </w:pPr>
      <w:r>
        <w:rPr>
          <w:rFonts w:ascii="Arial" w:cs="Arial" w:eastAsia="Arial" w:hAnsi="Arial"/>
          <w:sz w:val="13"/>
          <w:szCs w:val="13"/>
          <w:color w:val="auto"/>
        </w:rPr>
        <w:t>Common stock dividends declared ($0.15 per share)</w:t>
      </w:r>
    </w:p>
    <w:p>
      <w:pPr>
        <w:spacing w:after="0" w:line="1"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Distributions to noncontrolling interest</w:t>
      </w:r>
    </w:p>
    <w:p>
      <w:pPr>
        <w:jc w:val="both"/>
        <w:ind w:right="20"/>
        <w:spacing w:after="0" w:line="266" w:lineRule="auto"/>
        <w:rPr>
          <w:sz w:val="20"/>
          <w:szCs w:val="20"/>
          <w:color w:val="auto"/>
        </w:rPr>
      </w:pPr>
      <w:r>
        <w:rPr>
          <w:rFonts w:ascii="Arial" w:cs="Arial" w:eastAsia="Arial" w:hAnsi="Arial"/>
          <w:sz w:val="12"/>
          <w:szCs w:val="12"/>
          <w:color w:val="auto"/>
        </w:rPr>
        <w:t>Payments related to tax withholding for stock-based compensation</w:t>
      </w:r>
    </w:p>
    <w:p>
      <w:pPr>
        <w:ind w:right="580"/>
        <w:spacing w:after="0" w:line="270" w:lineRule="auto"/>
        <w:rPr>
          <w:sz w:val="20"/>
          <w:szCs w:val="20"/>
          <w:color w:val="auto"/>
        </w:rPr>
      </w:pPr>
      <w:r>
        <w:rPr>
          <w:rFonts w:ascii="Arial" w:cs="Arial" w:eastAsia="Arial" w:hAnsi="Arial"/>
          <w:sz w:val="12"/>
          <w:szCs w:val="12"/>
          <w:color w:val="auto"/>
        </w:rPr>
        <w:t>Stock-based compensation</w:t>
      </w:r>
    </w:p>
    <w:p>
      <w:pPr>
        <w:ind w:right="40"/>
        <w:spacing w:after="0" w:line="232" w:lineRule="auto"/>
        <w:rPr>
          <w:sz w:val="20"/>
          <w:szCs w:val="20"/>
          <w:color w:val="auto"/>
        </w:rPr>
      </w:pPr>
      <w:r>
        <w:rPr>
          <w:rFonts w:ascii="Arial" w:cs="Arial" w:eastAsia="Arial" w:hAnsi="Arial"/>
          <w:sz w:val="14"/>
          <w:szCs w:val="14"/>
          <w:color w:val="auto"/>
        </w:rPr>
        <w:t>Issuance of common stock - employee stock purchase plan</w:t>
      </w:r>
    </w:p>
    <w:p>
      <w:pPr>
        <w:ind w:right="260"/>
        <w:spacing w:after="0" w:line="243" w:lineRule="auto"/>
        <w:rPr>
          <w:sz w:val="20"/>
          <w:szCs w:val="20"/>
          <w:color w:val="auto"/>
        </w:rPr>
      </w:pPr>
      <w:r>
        <w:rPr>
          <w:rFonts w:ascii="Arial" w:cs="Arial" w:eastAsia="Arial" w:hAnsi="Arial"/>
          <w:sz w:val="14"/>
          <w:szCs w:val="14"/>
          <w:color w:val="auto"/>
        </w:rPr>
        <w:t>Balance at June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For the 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Noncontrolling</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Distributions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color w:val="auto"/>
              </w:rPr>
              <w:t>Interest - Non-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Other</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in Excess of</w:t>
            </w:r>
          </w:p>
        </w:tc>
        <w:tc>
          <w:tcPr>
            <w:tcW w:w="1240" w:type="dxa"/>
            <w:vAlign w:val="bottom"/>
            <w:gridSpan w:val="4"/>
          </w:tcPr>
          <w:p>
            <w:pPr>
              <w:ind w:left="60"/>
              <w:spacing w:after="0"/>
              <w:rPr>
                <w:sz w:val="20"/>
                <w:szCs w:val="20"/>
                <w:color w:val="auto"/>
              </w:rPr>
            </w:pPr>
            <w:r>
              <w:rPr>
                <w:rFonts w:ascii="Arial" w:cs="Arial" w:eastAsia="Arial" w:hAnsi="Arial"/>
                <w:sz w:val="16"/>
                <w:szCs w:val="16"/>
                <w:color w:val="auto"/>
              </w:rPr>
              <w:t>Noncontrolling</w:t>
            </w:r>
          </w:p>
        </w:tc>
        <w:tc>
          <w:tcPr>
            <w:tcW w:w="1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voting</w:t>
            </w:r>
          </w:p>
        </w:tc>
        <w:tc>
          <w:tcPr>
            <w:tcW w:w="12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Total</w:t>
            </w:r>
          </w:p>
        </w:tc>
      </w:tr>
      <w:tr>
        <w:trPr>
          <w:trHeight w:val="203"/>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6"/>
                <w:szCs w:val="16"/>
                <w:color w:val="auto"/>
              </w:rPr>
              <w:t>Paid-in</w:t>
            </w:r>
          </w:p>
        </w:tc>
        <w:tc>
          <w:tcPr>
            <w:tcW w:w="1200" w:type="dxa"/>
            <w:vAlign w:val="bottom"/>
            <w:gridSpan w:val="3"/>
          </w:tcPr>
          <w:p>
            <w:pPr>
              <w:spacing w:after="0"/>
              <w:rPr>
                <w:sz w:val="20"/>
                <w:szCs w:val="20"/>
                <w:color w:val="auto"/>
              </w:rPr>
            </w:pPr>
            <w:r>
              <w:rPr>
                <w:rFonts w:ascii="Arial" w:cs="Arial" w:eastAsia="Arial" w:hAnsi="Arial"/>
                <w:sz w:val="16"/>
                <w:szCs w:val="16"/>
                <w:color w:val="auto"/>
              </w:rPr>
              <w:t>Comprehensive</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Accumulated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Interest - OP</w:t>
            </w:r>
          </w:p>
        </w:tc>
        <w:tc>
          <w:tcPr>
            <w:tcW w:w="14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Preferred</w:t>
            </w:r>
          </w:p>
        </w:tc>
        <w:tc>
          <w:tcPr>
            <w:tcW w:w="940" w:type="dxa"/>
            <w:vAlign w:val="bottom"/>
            <w:gridSpan w:val="3"/>
          </w:tcPr>
          <w:p>
            <w:pPr>
              <w:spacing w:after="0"/>
              <w:rPr>
                <w:sz w:val="20"/>
                <w:szCs w:val="20"/>
                <w:color w:val="auto"/>
              </w:rPr>
            </w:pPr>
            <w:r>
              <w:rPr>
                <w:rFonts w:ascii="Arial" w:cs="Arial" w:eastAsia="Arial" w:hAnsi="Arial"/>
                <w:sz w:val="16"/>
                <w:szCs w:val="16"/>
                <w:color w:val="auto"/>
                <w:w w:val="93"/>
              </w:rPr>
              <w:t>Shareholders'</w:t>
            </w:r>
          </w:p>
        </w:tc>
      </w:tr>
      <w:tr>
        <w:trPr>
          <w:trHeight w:val="209"/>
        </w:trPr>
        <w:tc>
          <w:tcPr>
            <w:tcW w:w="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color w:val="auto"/>
                <w:w w:val="89"/>
              </w:rPr>
              <w:t>Preferred Stock</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color w:val="auto"/>
                <w:w w:val="96"/>
              </w:rPr>
              <w:t>Common Stock</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Capital</w:t>
            </w:r>
          </w:p>
        </w:tc>
        <w:tc>
          <w:tcPr>
            <w:tcW w:w="180" w:type="dxa"/>
            <w:vAlign w:val="bottom"/>
          </w:tcPr>
          <w:p>
            <w:pPr>
              <w:spacing w:after="0"/>
              <w:rPr>
                <w:sz w:val="18"/>
                <w:szCs w:val="18"/>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Income (Loss)</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Earnings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2"/>
              </w:rPr>
              <w:t>Shares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Deficit</w:t>
            </w:r>
          </w:p>
        </w:tc>
        <w:tc>
          <w:tcPr>
            <w:tcW w:w="6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6"/>
                <w:szCs w:val="16"/>
                <w:color w:val="auto"/>
                <w:w w:val="82"/>
              </w:rPr>
              <w:t>Shares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4"/>
          </w:tcPr>
          <w:p>
            <w:pPr>
              <w:ind w:left="20"/>
              <w:spacing w:after="0"/>
              <w:rPr>
                <w:sz w:val="20"/>
                <w:szCs w:val="20"/>
                <w:color w:val="auto"/>
              </w:rPr>
            </w:pPr>
            <w:r>
              <w:rPr>
                <w:rFonts w:ascii="Arial" w:cs="Arial" w:eastAsia="Arial" w:hAnsi="Arial"/>
                <w:sz w:val="16"/>
                <w:szCs w:val="16"/>
                <w:color w:val="auto"/>
              </w:rPr>
              <w:t>Amount</w:t>
            </w:r>
          </w:p>
        </w:tc>
        <w:tc>
          <w:tcPr>
            <w:tcW w:w="22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w w:val="82"/>
              </w:rPr>
              <w:t>Shares</w:t>
            </w:r>
          </w:p>
        </w:tc>
        <w:tc>
          <w:tcPr>
            <w:tcW w:w="140" w:type="dxa"/>
            <w:vAlign w:val="bottom"/>
          </w:tcPr>
          <w:p>
            <w:pPr>
              <w:spacing w:after="0"/>
              <w:rPr>
                <w:sz w:val="16"/>
                <w:szCs w:val="16"/>
                <w:color w:val="auto"/>
              </w:rPr>
            </w:pPr>
          </w:p>
        </w:tc>
        <w:tc>
          <w:tcPr>
            <w:tcW w:w="740" w:type="dxa"/>
            <w:vAlign w:val="bottom"/>
            <w:gridSpan w:val="5"/>
          </w:tcPr>
          <w:p>
            <w:pPr>
              <w:ind w:left="20"/>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192,141,634</w:t>
            </w:r>
          </w:p>
        </w:tc>
        <w:tc>
          <w:tcPr>
            <w:tcW w:w="48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951,295</w:t>
            </w:r>
          </w:p>
        </w:tc>
        <w:tc>
          <w:tcPr>
            <w:tcW w:w="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(23,442)</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 (2,494,740)</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83,704</w:t>
            </w:r>
          </w:p>
        </w:tc>
        <w:tc>
          <w:tcPr>
            <w:tcW w:w="1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7"/>
              </w:rPr>
              <w:t>(1,483,164)</w:t>
            </w:r>
          </w:p>
        </w:tc>
      </w:tr>
      <w:tr>
        <w:trPr>
          <w:trHeight w:val="230"/>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(666,597)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(11,998)</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(678,595)</w:t>
            </w:r>
          </w:p>
        </w:tc>
      </w:tr>
      <w:tr>
        <w:trPr>
          <w:trHeight w:val="310"/>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(2,495)</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(2,540)</w:t>
            </w:r>
          </w:p>
        </w:tc>
      </w:tr>
      <w:tr>
        <w:trPr>
          <w:trHeight w:val="459"/>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(58,286)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(58,286)</w:t>
            </w:r>
          </w:p>
        </w:tc>
      </w:tr>
      <w:tr>
        <w:trPr>
          <w:trHeight w:val="310"/>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(1,039)</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(1,039)</w:t>
            </w:r>
          </w:p>
        </w:tc>
      </w:tr>
      <w:tr>
        <w:trPr>
          <w:trHeight w:val="459"/>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60" w:type="dxa"/>
            <w:vAlign w:val="bottom"/>
          </w:tcPr>
          <w:p>
            <w:pPr>
              <w:spacing w:after="0"/>
              <w:rPr>
                <w:sz w:val="24"/>
                <w:szCs w:val="24"/>
                <w:color w:val="auto"/>
              </w:rPr>
            </w:pPr>
          </w:p>
        </w:tc>
      </w:tr>
      <w:tr>
        <w:trPr>
          <w:trHeight w:val="459"/>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(1,050)</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(1,050)</w:t>
            </w:r>
          </w:p>
        </w:tc>
      </w:tr>
      <w:tr>
        <w:trPr>
          <w:trHeight w:val="311"/>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337,600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7,105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7,105</w:t>
            </w:r>
          </w:p>
        </w:tc>
        <w:tc>
          <w:tcPr>
            <w:tcW w:w="60" w:type="dxa"/>
            <w:vAlign w:val="bottom"/>
          </w:tcPr>
          <w:p>
            <w:pPr>
              <w:spacing w:after="0"/>
              <w:rPr>
                <w:sz w:val="24"/>
                <w:szCs w:val="24"/>
                <w:color w:val="auto"/>
              </w:rPr>
            </w:pPr>
          </w:p>
        </w:tc>
      </w:tr>
      <w:tr>
        <w:trPr>
          <w:trHeight w:val="462"/>
        </w:trPr>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43,849</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60" w:type="dxa"/>
            <w:vAlign w:val="bottom"/>
          </w:tcPr>
          <w:p>
            <w:pPr>
              <w:spacing w:after="0"/>
              <w:rPr>
                <w:sz w:val="24"/>
                <w:szCs w:val="24"/>
                <w:color w:val="auto"/>
              </w:rPr>
            </w:pPr>
          </w:p>
        </w:tc>
      </w:tr>
      <w:tr>
        <w:trPr>
          <w:trHeight w:val="304"/>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192,523,083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957,656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(25,937)</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(3,219,623)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70,622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7"/>
              </w:rPr>
              <w:t>(2,217,138)</w:t>
            </w: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4"/>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231,261,958</w:t>
            </w:r>
          </w:p>
        </w:tc>
        <w:tc>
          <w:tcPr>
            <w:tcW w:w="48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1,209,141</w:t>
            </w:r>
          </w:p>
        </w:tc>
        <w:tc>
          <w:tcPr>
            <w:tcW w:w="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(20,367)</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 (3,330,455)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69,157</w:t>
            </w:r>
          </w:p>
        </w:tc>
        <w:tc>
          <w:tcPr>
            <w:tcW w:w="1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7"/>
              </w:rPr>
              <w:t>(2,072,376)</w:t>
            </w:r>
          </w:p>
        </w:tc>
      </w:tr>
      <w:tr>
        <w:trPr>
          <w:trHeight w:val="608"/>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(59,908)</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14,598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(45,310)</w:t>
            </w:r>
          </w:p>
        </w:tc>
      </w:tr>
      <w:tr>
        <w:trPr>
          <w:trHeight w:val="229"/>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44,469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45,137</w:t>
            </w:r>
          </w:p>
        </w:tc>
        <w:tc>
          <w:tcPr>
            <w:tcW w:w="60" w:type="dxa"/>
            <w:vAlign w:val="bottom"/>
          </w:tcPr>
          <w:p>
            <w:pPr>
              <w:spacing w:after="0"/>
              <w:rPr>
                <w:sz w:val="19"/>
                <w:szCs w:val="19"/>
                <w:color w:val="auto"/>
              </w:rPr>
            </w:pPr>
          </w:p>
        </w:tc>
      </w:tr>
      <w:tr>
        <w:trPr>
          <w:trHeight w:val="311"/>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5,575</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5,658</w:t>
            </w:r>
          </w:p>
        </w:tc>
        <w:tc>
          <w:tcPr>
            <w:tcW w:w="60" w:type="dxa"/>
            <w:vAlign w:val="bottom"/>
          </w:tcPr>
          <w:p>
            <w:pPr>
              <w:spacing w:after="0"/>
              <w:rPr>
                <w:sz w:val="24"/>
                <w:szCs w:val="24"/>
                <w:color w:val="auto"/>
              </w:rPr>
            </w:pPr>
          </w:p>
        </w:tc>
      </w:tr>
      <w:tr>
        <w:trPr>
          <w:trHeight w:val="459"/>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(69,983)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(69,983)</w:t>
            </w:r>
          </w:p>
        </w:tc>
      </w:tr>
      <w:tr>
        <w:trPr>
          <w:trHeight w:val="310"/>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(1,040)</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(1,040)</w:t>
            </w:r>
          </w:p>
        </w:tc>
      </w:tr>
      <w:tr>
        <w:trPr>
          <w:trHeight w:val="459"/>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(2,642)</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(2,642)</w:t>
            </w:r>
          </w:p>
        </w:tc>
      </w:tr>
      <w:tr>
        <w:trPr>
          <w:trHeight w:val="310"/>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507,199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6,797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6,797</w:t>
            </w:r>
          </w:p>
        </w:tc>
        <w:tc>
          <w:tcPr>
            <w:tcW w:w="60" w:type="dxa"/>
            <w:vAlign w:val="bottom"/>
          </w:tcPr>
          <w:p>
            <w:pPr>
              <w:spacing w:after="0"/>
              <w:rPr>
                <w:sz w:val="24"/>
                <w:szCs w:val="24"/>
                <w:color w:val="auto"/>
              </w:rPr>
            </w:pPr>
          </w:p>
        </w:tc>
      </w:tr>
      <w:tr>
        <w:trPr>
          <w:trHeight w:val="462"/>
        </w:trPr>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35,764</w:t>
            </w: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60" w:type="dxa"/>
            <w:vAlign w:val="bottom"/>
          </w:tcPr>
          <w:p>
            <w:pPr>
              <w:spacing w:after="0"/>
              <w:rPr>
                <w:sz w:val="24"/>
                <w:szCs w:val="24"/>
                <w:color w:val="auto"/>
              </w:rPr>
            </w:pPr>
          </w:p>
        </w:tc>
      </w:tr>
      <w:tr>
        <w:trPr>
          <w:trHeight w:val="304"/>
        </w:trPr>
        <w:tc>
          <w:tcPr>
            <w:tcW w:w="5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231,804,921</w:t>
            </w:r>
          </w:p>
        </w:tc>
        <w:tc>
          <w:tcPr>
            <w:tcW w:w="480" w:type="dxa"/>
            <w:vAlign w:val="bottom"/>
            <w:gridSpan w:val="3"/>
          </w:tcPr>
          <w:p>
            <w:pPr>
              <w:ind w:left="1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89"/>
              </w:rPr>
              <w:t>1,153,707</w:t>
            </w:r>
          </w:p>
        </w:tc>
        <w:tc>
          <w:tcPr>
            <w:tcW w:w="18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(14,792)</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 (3,341,371)</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68,868</w:t>
            </w:r>
          </w:p>
        </w:tc>
        <w:tc>
          <w:tcPr>
            <w:tcW w:w="1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7"/>
              </w:rPr>
              <w:t>(2,133,440)</w:t>
            </w: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-4893945</wp:posOffset>
            </wp:positionV>
            <wp:extent cx="713232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-4551045</wp:posOffset>
            </wp:positionV>
            <wp:extent cx="713232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-4062730</wp:posOffset>
            </wp:positionV>
            <wp:extent cx="713232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-3573780</wp:posOffset>
            </wp:positionV>
            <wp:extent cx="7132320" cy="291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-3085465</wp:posOffset>
            </wp:positionV>
            <wp:extent cx="71323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-2579370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-2228215</wp:posOffset>
            </wp:positionV>
            <wp:extent cx="7132320" cy="38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-1696720</wp:posOffset>
            </wp:positionV>
            <wp:extent cx="713232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-1207770</wp:posOffset>
            </wp:positionV>
            <wp:extent cx="713232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-719455</wp:posOffset>
            </wp:positionV>
            <wp:extent cx="713232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-231140</wp:posOffset>
            </wp:positionV>
            <wp:extent cx="713232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380" w:space="160"/>
            <w:col w:w="966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3"/>
                <w:szCs w:val="13"/>
                <w:b w:val="1"/>
                <w:bCs w:val="1"/>
                <w:color w:val="auto"/>
              </w:rPr>
              <w:t>Six Months Ended June 30,</w:t>
            </w:r>
          </w:p>
        </w:tc>
        <w:tc>
          <w:tcPr>
            <w:tcW w:w="1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5980" w:type="dxa"/>
            <w:vAlign w:val="bottom"/>
            <w:tcBorders>
              <w:bottom w:val="single" w:sz="8" w:color="auto"/>
            </w:tcBorders>
          </w:tcPr>
          <w:p>
            <w:pPr>
              <w:spacing w:after="0" w:line="142" w:lineRule="exact"/>
              <w:rPr>
                <w:sz w:val="20"/>
                <w:szCs w:val="20"/>
                <w:color w:val="auto"/>
              </w:rPr>
            </w:pPr>
            <w:r>
              <w:rPr>
                <w:rFonts w:ascii="Arial" w:cs="Arial" w:eastAsia="Arial" w:hAnsi="Arial"/>
                <w:sz w:val="13"/>
                <w:szCs w:val="13"/>
                <w:color w:val="auto"/>
              </w:rPr>
              <w:t>(Thousands)</w:t>
            </w:r>
          </w:p>
        </w:tc>
        <w:tc>
          <w:tcPr>
            <w:tcW w:w="30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ind w:right="957"/>
              <w:spacing w:after="0" w:line="142" w:lineRule="exact"/>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957"/>
              <w:spacing w:after="0" w:line="14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2"/>
                <w:szCs w:val="12"/>
                <w:color w:val="auto"/>
              </w:rPr>
            </w:pPr>
          </w:p>
        </w:tc>
      </w:tr>
      <w:tr>
        <w:trPr>
          <w:trHeight w:val="142"/>
        </w:trPr>
        <w:tc>
          <w:tcPr>
            <w:tcW w:w="5980" w:type="dxa"/>
            <w:vAlign w:val="bottom"/>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Cash flow from operating activities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spacing w:after="0"/>
              <w:rPr>
                <w:sz w:val="20"/>
                <w:szCs w:val="20"/>
                <w:color w:val="auto"/>
              </w:rPr>
            </w:pPr>
            <w:r>
              <w:rPr>
                <w:rFonts w:ascii="Arial" w:cs="Arial" w:eastAsia="Arial" w:hAnsi="Arial"/>
                <w:sz w:val="13"/>
                <w:szCs w:val="13"/>
                <w:color w:val="auto"/>
              </w:rPr>
              <w:t>Net income (loss)</w:t>
            </w:r>
          </w:p>
        </w:tc>
        <w:tc>
          <w:tcPr>
            <w:tcW w:w="840" w:type="dxa"/>
            <w:vAlign w:val="bottom"/>
            <w:gridSpan w:val="2"/>
          </w:tcPr>
          <w:p>
            <w:pPr>
              <w:jc w:val="right"/>
              <w:ind w:right="428"/>
              <w:spacing w:after="0"/>
              <w:rPr>
                <w:sz w:val="20"/>
                <w:szCs w:val="20"/>
                <w:color w:val="auto"/>
              </w:rPr>
            </w:pPr>
            <w:r>
              <w:rPr>
                <w:rFonts w:ascii="Arial" w:cs="Arial" w:eastAsia="Arial" w:hAnsi="Arial"/>
                <w:sz w:val="13"/>
                <w:szCs w:val="13"/>
                <w:color w:val="auto"/>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45,137</w:t>
            </w:r>
          </w:p>
        </w:tc>
        <w:tc>
          <w:tcPr>
            <w:tcW w:w="300" w:type="dxa"/>
            <w:vAlign w:val="bottom"/>
          </w:tcPr>
          <w:p>
            <w:pPr>
              <w:spacing w:after="0"/>
              <w:rPr>
                <w:sz w:val="12"/>
                <w:szCs w:val="12"/>
                <w:color w:val="auto"/>
              </w:rPr>
            </w:pPr>
          </w:p>
        </w:tc>
        <w:tc>
          <w:tcPr>
            <w:tcW w:w="800" w:type="dxa"/>
            <w:vAlign w:val="bottom"/>
          </w:tcPr>
          <w:p>
            <w:pPr>
              <w:jc w:val="right"/>
              <w:ind w:right="688"/>
              <w:spacing w:after="0"/>
              <w:rPr>
                <w:sz w:val="20"/>
                <w:szCs w:val="20"/>
                <w:color w:val="auto"/>
              </w:rPr>
            </w:pPr>
            <w:r>
              <w:rPr>
                <w:rFonts w:ascii="Arial" w:cs="Arial" w:eastAsia="Arial" w:hAnsi="Arial"/>
                <w:sz w:val="10"/>
                <w:szCs w:val="10"/>
                <w:color w:val="auto"/>
                <w:w w:val="71"/>
              </w:rPr>
              <w:t>$</w:t>
            </w:r>
          </w:p>
        </w:tc>
        <w:tc>
          <w:tcPr>
            <w:tcW w:w="1580" w:type="dxa"/>
            <w:vAlign w:val="bottom"/>
            <w:gridSpan w:val="2"/>
          </w:tcPr>
          <w:p>
            <w:pPr>
              <w:jc w:val="right"/>
              <w:ind w:right="60"/>
              <w:spacing w:after="0"/>
              <w:rPr>
                <w:sz w:val="20"/>
                <w:szCs w:val="20"/>
                <w:color w:val="auto"/>
              </w:rPr>
            </w:pPr>
            <w:r>
              <w:rPr>
                <w:rFonts w:ascii="Arial" w:cs="Arial" w:eastAsia="Arial" w:hAnsi="Arial"/>
                <w:sz w:val="13"/>
                <w:szCs w:val="13"/>
                <w:color w:val="auto"/>
              </w:rPr>
              <w:t>(678,595)</w:t>
            </w:r>
          </w:p>
        </w:tc>
      </w:tr>
      <w:tr>
        <w:trPr>
          <w:trHeight w:val="149"/>
        </w:trPr>
        <w:tc>
          <w:tcPr>
            <w:tcW w:w="598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140,635</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171,090</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deferred financing costs and debt discount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9,371</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18,666</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Loss on debt extinguishment</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43,369</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73,952</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rate swap termination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5,658</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4,496</w:t>
            </w:r>
          </w:p>
        </w:tc>
        <w:tc>
          <w:tcPr>
            <w:tcW w:w="100" w:type="dxa"/>
            <w:vAlign w:val="bottom"/>
            <w:shd w:val="clear" w:color="auto" w:fill="CFF0FC"/>
          </w:tcPr>
          <w:p>
            <w:pPr>
              <w:spacing w:after="0"/>
              <w:rPr>
                <w:sz w:val="12"/>
                <w:szCs w:val="12"/>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605</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3"/>
                <w:szCs w:val="13"/>
                <w:color w:val="auto"/>
              </w:rPr>
              <w:t>(11,209)</w:t>
            </w: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Equity in earnings of unconsolidated entities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(945)</w:t>
            </w: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Distributions of cumulative earnings from unconsolidated entities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1,950</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interest rate swap settlement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(6,110)</w:t>
            </w:r>
          </w:p>
        </w:tc>
        <w:tc>
          <w:tcPr>
            <w:tcW w:w="8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(2,251)</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Straight-line revenues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(14,215)</w:t>
            </w:r>
          </w:p>
        </w:tc>
        <w:tc>
          <w:tcPr>
            <w:tcW w:w="8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711</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6,797</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7,105</w:t>
            </w:r>
          </w:p>
        </w:tc>
        <w:tc>
          <w:tcPr>
            <w:tcW w:w="100" w:type="dxa"/>
            <w:vAlign w:val="bottom"/>
            <w:shd w:val="clear" w:color="auto" w:fill="CFF0FC"/>
          </w:tcPr>
          <w:p>
            <w:pPr>
              <w:spacing w:after="0"/>
              <w:rPr>
                <w:sz w:val="12"/>
                <w:szCs w:val="12"/>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Change in fair value of contingent consideration</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21</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6,140</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on sale of real estate</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(442)</w:t>
            </w:r>
          </w:p>
        </w:tc>
        <w:tc>
          <w:tcPr>
            <w:tcW w:w="8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(63,818)</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Gain on sale of operations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(28,143)</w:t>
            </w:r>
          </w:p>
        </w:tc>
        <w:tc>
          <w:tcPr>
            <w:tcW w:w="8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loss on asset disposals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(218)</w:t>
            </w: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672</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Accretion of settlement obligation</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8,889</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(195)</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Changes in assets and liabilities, net of acquisitions: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receivable</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19,965</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6,263</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380"/>
              <w:spacing w:after="0"/>
              <w:rPr>
                <w:sz w:val="20"/>
                <w:szCs w:val="20"/>
                <w:color w:val="auto"/>
              </w:rPr>
            </w:pPr>
            <w:r>
              <w:rPr>
                <w:rFonts w:ascii="Arial" w:cs="Arial" w:eastAsia="Arial" w:hAnsi="Arial"/>
                <w:sz w:val="13"/>
                <w:szCs w:val="13"/>
                <w:color w:val="auto"/>
              </w:rPr>
              <w:t>Other assets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39,019</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3"/>
                <w:szCs w:val="13"/>
                <w:color w:val="auto"/>
              </w:rPr>
              <w:t>(8,285)</w:t>
            </w:r>
          </w:p>
        </w:tc>
      </w:tr>
      <w:tr>
        <w:trPr>
          <w:trHeight w:val="148"/>
        </w:trPr>
        <w:tc>
          <w:tcPr>
            <w:tcW w:w="59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payable, accrued expenses and other liabilities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46,991</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51,539</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Borders>
              <w:bottom w:val="single" w:sz="8" w:color="CFF0FC"/>
            </w:tcBorders>
          </w:tcPr>
          <w:p>
            <w:pPr>
              <w:ind w:left="380"/>
              <w:spacing w:after="0"/>
              <w:rPr>
                <w:sz w:val="20"/>
                <w:szCs w:val="20"/>
                <w:color w:val="auto"/>
              </w:rPr>
            </w:pPr>
            <w:r>
              <w:rPr>
                <w:rFonts w:ascii="Arial" w:cs="Arial" w:eastAsia="Arial" w:hAnsi="Arial"/>
                <w:sz w:val="13"/>
                <w:szCs w:val="13"/>
                <w:color w:val="auto"/>
              </w:rPr>
              <w:t>Settlement payable (Note 15)</w:t>
            </w:r>
          </w:p>
        </w:tc>
        <w:tc>
          <w:tcPr>
            <w:tcW w:w="30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650,000</w:t>
            </w:r>
          </w:p>
        </w:tc>
        <w:tc>
          <w:tcPr>
            <w:tcW w:w="100" w:type="dxa"/>
            <w:vAlign w:val="bottom"/>
            <w:tcBorders>
              <w:bottom w:val="single" w:sz="8" w:color="CFF0FC"/>
            </w:tcBorders>
          </w:tcPr>
          <w:p>
            <w:pPr>
              <w:spacing w:after="0"/>
              <w:rPr>
                <w:sz w:val="12"/>
                <w:szCs w:val="12"/>
                <w:color w:val="auto"/>
              </w:rPr>
            </w:pPr>
          </w:p>
        </w:tc>
      </w:tr>
      <w:tr>
        <w:trPr>
          <w:trHeight w:val="142"/>
        </w:trPr>
        <w:tc>
          <w:tcPr>
            <w:tcW w:w="59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cash provided by operating activities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318,477</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226,281</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spacing w:after="0"/>
              <w:rPr>
                <w:sz w:val="20"/>
                <w:szCs w:val="20"/>
                <w:color w:val="auto"/>
              </w:rPr>
            </w:pPr>
            <w:r>
              <w:rPr>
                <w:rFonts w:ascii="Arial" w:cs="Arial" w:eastAsia="Arial" w:hAnsi="Arial"/>
                <w:sz w:val="13"/>
                <w:szCs w:val="13"/>
                <w:b w:val="1"/>
                <w:bCs w:val="1"/>
                <w:color w:val="auto"/>
              </w:rPr>
              <w:t>Cash flow from investing activities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capital expenditures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(177,934)</w:t>
            </w:r>
          </w:p>
        </w:tc>
        <w:tc>
          <w:tcPr>
            <w:tcW w:w="8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(134,035)</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Proceeds from sale of real estate, net of cash</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1,034</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225,149</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sale of operations (Note 5)</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62,113</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Proceeds from sale of other equipment</w:t>
            </w:r>
          </w:p>
        </w:tc>
        <w:tc>
          <w:tcPr>
            <w:tcW w:w="30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w:t>
            </w:r>
          </w:p>
        </w:tc>
        <w:tc>
          <w:tcPr>
            <w:tcW w:w="3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2"/>
                <w:szCs w:val="12"/>
                <w:color w:val="auto"/>
              </w:rPr>
            </w:pPr>
          </w:p>
        </w:tc>
      </w:tr>
      <w:tr>
        <w:trPr>
          <w:trHeight w:val="142"/>
        </w:trPr>
        <w:tc>
          <w:tcPr>
            <w:tcW w:w="598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Net cash (used in) provided by investing activities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(114,388)</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91,114</w:t>
            </w:r>
          </w:p>
        </w:tc>
        <w:tc>
          <w:tcPr>
            <w:tcW w:w="100" w:type="dxa"/>
            <w:vAlign w:val="bottom"/>
            <w:shd w:val="clear" w:color="auto" w:fill="CFF0FC"/>
          </w:tcPr>
          <w:p>
            <w:pPr>
              <w:spacing w:after="0"/>
              <w:rPr>
                <w:sz w:val="12"/>
                <w:szCs w:val="12"/>
                <w:color w:val="auto"/>
              </w:rPr>
            </w:pPr>
          </w:p>
        </w:tc>
      </w:tr>
      <w:tr>
        <w:trPr>
          <w:trHeight w:val="149"/>
        </w:trPr>
        <w:tc>
          <w:tcPr>
            <w:tcW w:w="5980" w:type="dxa"/>
            <w:vAlign w:val="bottom"/>
          </w:tcPr>
          <w:p>
            <w:pPr>
              <w:spacing w:after="0"/>
              <w:rPr>
                <w:sz w:val="20"/>
                <w:szCs w:val="20"/>
                <w:color w:val="auto"/>
              </w:rPr>
            </w:pPr>
            <w:r>
              <w:rPr>
                <w:rFonts w:ascii="Arial" w:cs="Arial" w:eastAsia="Arial" w:hAnsi="Arial"/>
                <w:sz w:val="13"/>
                <w:szCs w:val="13"/>
                <w:b w:val="1"/>
                <w:bCs w:val="1"/>
                <w:color w:val="auto"/>
              </w:rPr>
              <w:t>Cash flow from financing activities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Repayment of debt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(1,660,000)</w:t>
            </w:r>
          </w:p>
        </w:tc>
        <w:tc>
          <w:tcPr>
            <w:tcW w:w="8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(2,044,728)</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Proceeds from issuance of notes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1,680,000</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2,250,000</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Dividends paid</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(70,386)</w:t>
            </w:r>
          </w:p>
        </w:tc>
        <w:tc>
          <w:tcPr>
            <w:tcW w:w="8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(71,645)</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Payment of settlement obligation</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(49,011)</w:t>
            </w:r>
          </w:p>
        </w:tc>
        <w:tc>
          <w:tcPr>
            <w:tcW w:w="8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of contingent consideration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(2,979)</w:t>
            </w:r>
          </w:p>
        </w:tc>
        <w:tc>
          <w:tcPr>
            <w:tcW w:w="8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(7,086)</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Distributions paid to noncontrolling interest</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(1,039)</w:t>
            </w:r>
          </w:p>
        </w:tc>
        <w:tc>
          <w:tcPr>
            <w:tcW w:w="8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3"/>
                <w:szCs w:val="13"/>
                <w:color w:val="auto"/>
              </w:rPr>
              <w:t>(1,282)</w:t>
            </w: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Borrowings under revolving credit facility</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205,000</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w:t>
            </w:r>
          </w:p>
        </w:tc>
        <w:tc>
          <w:tcPr>
            <w:tcW w:w="100" w:type="dxa"/>
            <w:vAlign w:val="bottom"/>
            <w:shd w:val="clear" w:color="auto" w:fill="CFF0FC"/>
          </w:tcPr>
          <w:p>
            <w:pPr>
              <w:spacing w:after="0"/>
              <w:rPr>
                <w:sz w:val="12"/>
                <w:szCs w:val="12"/>
                <w:color w:val="auto"/>
              </w:rPr>
            </w:pPr>
          </w:p>
        </w:tc>
      </w:tr>
      <w:tr>
        <w:trPr>
          <w:trHeight w:val="149"/>
        </w:trPr>
        <w:tc>
          <w:tcPr>
            <w:tcW w:w="5980" w:type="dxa"/>
            <w:vAlign w:val="bottom"/>
          </w:tcPr>
          <w:p>
            <w:pPr>
              <w:ind w:left="260"/>
              <w:spacing w:after="0"/>
              <w:rPr>
                <w:sz w:val="20"/>
                <w:szCs w:val="20"/>
                <w:color w:val="auto"/>
              </w:rPr>
            </w:pPr>
            <w:r>
              <w:rPr>
                <w:rFonts w:ascii="Arial" w:cs="Arial" w:eastAsia="Arial" w:hAnsi="Arial"/>
                <w:sz w:val="13"/>
                <w:szCs w:val="13"/>
                <w:color w:val="auto"/>
              </w:rPr>
              <w:t>Payments under revolving credit facility</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(220,000)</w:t>
            </w:r>
          </w:p>
        </w:tc>
        <w:tc>
          <w:tcPr>
            <w:tcW w:w="8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3"/>
                <w:szCs w:val="13"/>
                <w:color w:val="auto"/>
              </w:rPr>
              <w:t>(456,700)</w:t>
            </w: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Finance lease payments</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(1,393)</w:t>
            </w:r>
          </w:p>
        </w:tc>
        <w:tc>
          <w:tcPr>
            <w:tcW w:w="8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(1,979)</w:t>
            </w: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Payments for financing costs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3"/>
                <w:szCs w:val="13"/>
                <w:color w:val="auto"/>
              </w:rPr>
              <w:t>(25,156)</w:t>
            </w:r>
          </w:p>
        </w:tc>
        <w:tc>
          <w:tcPr>
            <w:tcW w:w="800" w:type="dxa"/>
            <w:vAlign w:val="bottom"/>
          </w:tcPr>
          <w:p>
            <w:pPr>
              <w:spacing w:after="0"/>
              <w:rPr>
                <w:sz w:val="12"/>
                <w:szCs w:val="12"/>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3"/>
                <w:szCs w:val="13"/>
                <w:color w:val="auto"/>
              </w:rPr>
              <w:t>(47,775)</w:t>
            </w: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Costs related to the early repayment of debt</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(25,800)</w:t>
            </w:r>
          </w:p>
        </w:tc>
        <w:tc>
          <w:tcPr>
            <w:tcW w:w="80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r>
      <w:tr>
        <w:trPr>
          <w:trHeight w:val="148"/>
        </w:trPr>
        <w:tc>
          <w:tcPr>
            <w:tcW w:w="5980" w:type="dxa"/>
            <w:vAlign w:val="bottom"/>
          </w:tcPr>
          <w:p>
            <w:pPr>
              <w:ind w:left="260"/>
              <w:spacing w:after="0"/>
              <w:rPr>
                <w:sz w:val="20"/>
                <w:szCs w:val="20"/>
                <w:color w:val="auto"/>
              </w:rPr>
            </w:pPr>
            <w:r>
              <w:rPr>
                <w:rFonts w:ascii="Arial" w:cs="Arial" w:eastAsia="Arial" w:hAnsi="Arial"/>
                <w:sz w:val="13"/>
                <w:szCs w:val="13"/>
                <w:color w:val="auto"/>
              </w:rPr>
              <w:t>Employee stock purchase program</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319</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related to tax withholding for stock-based compensation</w:t>
            </w:r>
          </w:p>
        </w:tc>
        <w:tc>
          <w:tcPr>
            <w:tcW w:w="3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(2,642)</w:t>
            </w:r>
          </w:p>
        </w:tc>
        <w:tc>
          <w:tcPr>
            <w:tcW w:w="800" w:type="dxa"/>
            <w:vAlign w:val="bottom"/>
            <w:shd w:val="clear" w:color="auto" w:fill="CFF0FC"/>
          </w:tcPr>
          <w:p>
            <w:pPr>
              <w:spacing w:after="0"/>
              <w:rPr>
                <w:sz w:val="12"/>
                <w:szCs w:val="12"/>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(1,050)</w:t>
            </w:r>
          </w:p>
        </w:tc>
      </w:tr>
      <w:tr>
        <w:trPr>
          <w:trHeight w:val="142"/>
        </w:trPr>
        <w:tc>
          <w:tcPr>
            <w:tcW w:w="5980" w:type="dxa"/>
            <w:vAlign w:val="bottom"/>
          </w:tcPr>
          <w:p>
            <w:pPr>
              <w:spacing w:after="0" w:line="142" w:lineRule="exact"/>
              <w:rPr>
                <w:sz w:val="20"/>
                <w:szCs w:val="20"/>
                <w:color w:val="auto"/>
              </w:rPr>
            </w:pPr>
            <w:r>
              <w:rPr>
                <w:rFonts w:ascii="Arial" w:cs="Arial" w:eastAsia="Arial" w:hAnsi="Arial"/>
                <w:sz w:val="13"/>
                <w:szCs w:val="13"/>
                <w:color w:val="auto"/>
              </w:rPr>
              <w:t>Net cash used in financing activities</w:t>
            </w:r>
          </w:p>
        </w:tc>
        <w:tc>
          <w:tcPr>
            <w:tcW w:w="3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(173,087)</w:t>
            </w:r>
          </w:p>
        </w:tc>
        <w:tc>
          <w:tcPr>
            <w:tcW w:w="3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(371,939)</w:t>
            </w:r>
          </w:p>
        </w:tc>
        <w:tc>
          <w:tcPr>
            <w:tcW w:w="100" w:type="dxa"/>
            <w:vAlign w:val="bottom"/>
          </w:tcPr>
          <w:p>
            <w:pPr>
              <w:spacing w:after="0"/>
              <w:rPr>
                <w:sz w:val="12"/>
                <w:szCs w:val="12"/>
                <w:color w:val="auto"/>
              </w:rPr>
            </w:pPr>
          </w:p>
        </w:tc>
      </w:tr>
      <w:tr>
        <w:trPr>
          <w:trHeight w:val="149"/>
        </w:trPr>
        <w:tc>
          <w:tcPr>
            <w:tcW w:w="59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2"/>
        </w:trPr>
        <w:tc>
          <w:tcPr>
            <w:tcW w:w="5980" w:type="dxa"/>
            <w:vAlign w:val="bottom"/>
          </w:tcPr>
          <w:p>
            <w:pPr>
              <w:spacing w:after="0" w:line="142" w:lineRule="exact"/>
              <w:rPr>
                <w:sz w:val="20"/>
                <w:szCs w:val="20"/>
                <w:color w:val="auto"/>
              </w:rPr>
            </w:pPr>
            <w:r>
              <w:rPr>
                <w:rFonts w:ascii="Arial" w:cs="Arial" w:eastAsia="Arial" w:hAnsi="Arial"/>
                <w:sz w:val="13"/>
                <w:szCs w:val="13"/>
                <w:color w:val="auto"/>
              </w:rPr>
              <w:t>Net increase (decrease) in cash and cash equivalents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31,002</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3"/>
                <w:szCs w:val="13"/>
                <w:color w:val="auto"/>
              </w:rPr>
              <w:t>(54,544)</w:t>
            </w: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at beginning of period</w:t>
            </w:r>
          </w:p>
        </w:tc>
        <w:tc>
          <w:tcPr>
            <w:tcW w:w="300" w:type="dxa"/>
            <w:vAlign w:val="bottom"/>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77,534</w:t>
            </w:r>
          </w:p>
        </w:tc>
        <w:tc>
          <w:tcPr>
            <w:tcW w:w="300" w:type="dxa"/>
            <w:vAlign w:val="bottom"/>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142,813</w:t>
            </w:r>
          </w:p>
        </w:tc>
        <w:tc>
          <w:tcPr>
            <w:tcW w:w="100" w:type="dxa"/>
            <w:vAlign w:val="bottom"/>
            <w:shd w:val="clear" w:color="auto" w:fill="CFF0FC"/>
          </w:tcPr>
          <w:p>
            <w:pPr>
              <w:spacing w:after="0"/>
              <w:rPr>
                <w:sz w:val="12"/>
                <w:szCs w:val="12"/>
                <w:color w:val="auto"/>
              </w:rPr>
            </w:pPr>
          </w:p>
        </w:tc>
      </w:tr>
      <w:tr>
        <w:trPr>
          <w:trHeight w:val="182"/>
        </w:trPr>
        <w:tc>
          <w:tcPr>
            <w:tcW w:w="59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Cash and cash equivalents at end of period</w:t>
            </w:r>
          </w:p>
        </w:tc>
        <w:tc>
          <w:tcPr>
            <w:tcW w:w="30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jc w:val="right"/>
              <w:ind w:right="428"/>
              <w:spacing w:after="0"/>
              <w:rPr>
                <w:sz w:val="20"/>
                <w:szCs w:val="20"/>
                <w:color w:val="auto"/>
              </w:rPr>
            </w:pPr>
            <w:r>
              <w:rPr>
                <w:rFonts w:ascii="Arial" w:cs="Arial" w:eastAsia="Arial" w:hAnsi="Arial"/>
                <w:sz w:val="10"/>
                <w:szCs w:val="10"/>
                <w:color w:val="auto"/>
                <w:w w:val="71"/>
              </w:rPr>
              <w:t>$</w:t>
            </w:r>
          </w:p>
        </w:tc>
        <w:tc>
          <w:tcPr>
            <w:tcW w:w="1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108,536</w:t>
            </w:r>
          </w:p>
        </w:tc>
        <w:tc>
          <w:tcPr>
            <w:tcW w:w="30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ind w:right="688"/>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88,269</w:t>
            </w:r>
          </w:p>
        </w:tc>
        <w:tc>
          <w:tcPr>
            <w:tcW w:w="100" w:type="dxa"/>
            <w:vAlign w:val="bottom"/>
            <w:tcBorders>
              <w:bottom w:val="single" w:sz="8" w:color="CFF0FC"/>
            </w:tcBorders>
          </w:tcPr>
          <w:p>
            <w:pPr>
              <w:spacing w:after="0"/>
              <w:rPr>
                <w:sz w:val="15"/>
                <w:szCs w:val="15"/>
                <w:color w:val="auto"/>
              </w:rPr>
            </w:pPr>
          </w:p>
        </w:tc>
      </w:tr>
      <w:tr>
        <w:trPr>
          <w:trHeight w:val="129"/>
        </w:trPr>
        <w:tc>
          <w:tcPr>
            <w:tcW w:w="5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5980" w:type="dxa"/>
            <w:vAlign w:val="bottom"/>
          </w:tcPr>
          <w:p>
            <w:pPr>
              <w:spacing w:after="0"/>
              <w:rPr>
                <w:sz w:val="20"/>
                <w:szCs w:val="20"/>
                <w:color w:val="auto"/>
              </w:rPr>
            </w:pPr>
            <w:r>
              <w:rPr>
                <w:rFonts w:ascii="Arial" w:cs="Arial" w:eastAsia="Arial" w:hAnsi="Arial"/>
                <w:sz w:val="13"/>
                <w:szCs w:val="13"/>
                <w:color w:val="auto"/>
              </w:rPr>
              <w:t>Non-cash investing and financing activities:</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9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Property and equipment acquired but not yet paid</w:t>
            </w:r>
          </w:p>
        </w:tc>
        <w:tc>
          <w:tcPr>
            <w:tcW w:w="840" w:type="dxa"/>
            <w:vAlign w:val="bottom"/>
            <w:gridSpan w:val="2"/>
            <w:shd w:val="clear" w:color="auto" w:fill="CFF0FC"/>
          </w:tcPr>
          <w:p>
            <w:pPr>
              <w:jc w:val="right"/>
              <w:ind w:right="428"/>
              <w:spacing w:after="0"/>
              <w:rPr>
                <w:sz w:val="20"/>
                <w:szCs w:val="20"/>
                <w:color w:val="auto"/>
              </w:rPr>
            </w:pPr>
            <w:r>
              <w:rPr>
                <w:rFonts w:ascii="Arial" w:cs="Arial" w:eastAsia="Arial" w:hAnsi="Arial"/>
                <w:sz w:val="13"/>
                <w:szCs w:val="13"/>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17,764</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88"/>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17,825</w:t>
            </w:r>
          </w:p>
        </w:tc>
        <w:tc>
          <w:tcPr>
            <w:tcW w:w="100" w:type="dxa"/>
            <w:vAlign w:val="bottom"/>
            <w:shd w:val="clear" w:color="auto" w:fill="CFF0FC"/>
          </w:tcPr>
          <w:p>
            <w:pPr>
              <w:spacing w:after="0"/>
              <w:rPr>
                <w:sz w:val="12"/>
                <w:szCs w:val="12"/>
                <w:color w:val="auto"/>
              </w:rPr>
            </w:pPr>
          </w:p>
        </w:tc>
      </w:tr>
      <w:tr>
        <w:trPr>
          <w:trHeight w:val="160"/>
        </w:trPr>
        <w:tc>
          <w:tcPr>
            <w:tcW w:w="5980" w:type="dxa"/>
            <w:vAlign w:val="bottom"/>
          </w:tcPr>
          <w:p>
            <w:pPr>
              <w:ind w:left="260"/>
              <w:spacing w:after="0"/>
              <w:rPr>
                <w:sz w:val="20"/>
                <w:szCs w:val="20"/>
                <w:color w:val="auto"/>
              </w:rPr>
            </w:pPr>
            <w:r>
              <w:rPr>
                <w:rFonts w:ascii="Arial" w:cs="Arial" w:eastAsia="Arial" w:hAnsi="Arial"/>
                <w:sz w:val="13"/>
                <w:szCs w:val="13"/>
                <w:color w:val="auto"/>
              </w:rPr>
              <w:t>Tenant capital improvements</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106,789</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87,017</w:t>
            </w:r>
          </w:p>
        </w:tc>
        <w:tc>
          <w:tcPr>
            <w:tcW w:w="10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Uniti Group Inc. (the “Company,” “Uniti,” “we,” “us,” or “our”) was incorporated in the state of Maryland on September 4, 2014. We are an independent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internally managed real estate investment trust (“REIT”) engaged in the acquisition, construction and leasing of mission critical infrastructure in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communications industry. We are principally focused on acquiring and constructing fiber optic, copper and coaxial broadband networks and data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centers. We have historically managed our operations in four separate lines of business: Uniti Fiber, Uniti Towers, Uniti Leasing, and the Consumer CLEC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On June 1, 2020, the Company completed the sale of its Uniti Towers business, and as of the end of the second quarter of 2020,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substantially completed the wind down of its Consumer CLEC business. As a result, effective January 1, 2021, we manage our operations focused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two primary lines of business: Uniti Fiber and Uniti Leasing.</w:t>
      </w:r>
    </w:p>
    <w:p>
      <w:pPr>
        <w:spacing w:after="0" w:line="21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(“Talk America”), which we substantially completed the wind down of the business as of the end of the second quarter of 2020. The up-REIT structure is intended to facilitate future acquisition opportunities by providing the Company with the ability to use common units of the Operating Partnership as a tax-efficient acquisition currency. As of June 30, 2021, we are the sole general partner of the Operating Partnership and own approximately 98.5% of the partnership interests in the Operating Partnership.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SEC on March 5, 2021, as amended by Amendment No. 1 thereto filed on Form 10-K/A with the SEC on March 30, 2021 (the “Annual Report”). Accordingly, significant accounting policies and other disclosures normally provided have been omitted from the accompanying Condensed Consolidated Financial Statements and related notes since such items are disclosed in our Annual Report.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u w:val="single" w:color="auto"/>
          <w:color w:val="auto"/>
        </w:rPr>
        <w:t>Concentration of Credit Risks</w:t>
      </w:r>
      <w:r>
        <w:rPr>
          <w:rFonts w:ascii="Arial" w:cs="Arial" w:eastAsia="Arial" w:hAnsi="Arial"/>
          <w:sz w:val="16"/>
          <w:szCs w:val="16"/>
          <w:color w:val="auto"/>
        </w:rPr>
        <w:t>—Prior to September 2020, we were party to a long-term exclusive triple-net lease (the “Master Lease”) with Windstream Holdings, Inc. (together with Windstream Holdings II, LLC, its successor in interest, and its subsidiaries, “Windstream”) pursuant to which a substantial portion of our real property was leased to Windstream and from which a substantial portion of our leasing revenues were derived. On September 18, 2020, Uniti and Windstream bifurcated the Master Lease and entered into two structurally similar master leases (collectively, the “Windstream Leases”), which amended and restated the Master Lease in its entirety. Revenue under the Windstream Leases and the Master Lease provided 67.1% and 65.2% of our revenue for the six months ended June 30, 2021 and 2020,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Prior to its emergence from bankruptcy on September 21, 2020, Windstream was a publicly traded company subject to the periodic filing requirements of the Securities Exchange Act of 1934, as amended (the “Exchange Act”). Windstream’s historic filings through their quarter ended June 30, 2020 can be found at www.sec.gov. Additionally, the Windstream audited financial statements as of December 31, 2020 and for the period from September 22, 2020 to December 31, 2020 and as of December 31, 2019 and for the period from January 1, 2020 to September 21, 2020 and for each of the two years in the period ended December 31, 2019 are included as an exhibit to our Annual Report. On September 22, 2020, Windstream filed a Form 15 to terminate all filing obligations under Sections 12(g) and 15(d) under the Exchange Act. Windstream filings are not incorporated by reference in this Quarterly Report on Form 10-Q.</w:t>
      </w:r>
    </w:p>
    <w:p>
      <w:pPr>
        <w:spacing w:after="0" w:line="19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In order to assist us in our continuing assessment of Windstream’s creditworthiness, we periodically receive certain confidential financial information and metrics from Windstream.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470- 20)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which simplifies the accounting for certain financial instruments with characteristics of liabilities and equity. ASU 2020-06 (1)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Earnings Per Share, to require entities to calculate diluted earnings per share (“EPS”) for convertible instruments by using the if-converted method.</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entities must presume share settlement for purposes of calculating diluted EPS when an instrument may be settled in cash or shares. ASU 2020-06 is effective for fiscal years beginning after December 15, 2021, and interim periods within those fiscal years, with early adoption permitted. The Company elected to early adopt the guidance ASU 2020-06 as of January 1, 2021 using the modified retrospective transition method. Pursuant to the transition guidance, the Company is required to apply the guidance to all impacted financial instruments that were outstanding as of January 1, 2021 with the cumulative effect recognized as an adjustment to the opening balance of retained earnings.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a result of early adopting ASU 2020-06, the Company made certain adjustments to its accounting for the outstanding exchangeable senior unsecured notes. The adoption of ASU 2020-06 resulted in the re-combination of the liability and equity components of these notes into a single liability instrument. The carrying value as of December 31, 2020, totaled approximately $275.4 million and as a result of the adoption increased by $61.1 million to $336.5 million as of January 1, 2021. Because of this adoption, the effective interest rate on the exchangeable senior unsecured notes went from 11.1% to 4.8%. Additional paid-in-capital was reduced by $59.9 million and deferred tax liabilities were reduced by $15.8 million. Approximately $14.6 million of cumulative effect of adoption was recognized to the opening balance of retained earnings as of January 1,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The following is a description of principal activities, separated by reportable segments </w:t>
      </w:r>
      <w:hyperlink w:anchor="page30">
        <w:r>
          <w:rPr>
            <w:rFonts w:ascii="Arial" w:cs="Arial" w:eastAsia="Arial" w:hAnsi="Arial"/>
            <w:sz w:val="16"/>
            <w:szCs w:val="16"/>
            <w:u w:val="single" w:color="auto"/>
            <w:color w:val="0000EE"/>
          </w:rPr>
          <w:t>(see 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from which the Company generates its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ind w:right="2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Leasing revenue represents the results from our leasing program, Uniti Leasing, which is engaged in the acquisition of mission-critical communications assets and leasing them to anchor customers on either an exclusive or shared-tenant basis. </w:t>
      </w:r>
      <w:hyperlink w:anchor="page15">
        <w:r>
          <w:rPr>
            <w:rFonts w:ascii="Arial" w:cs="Arial" w:eastAsia="Arial" w:hAnsi="Arial"/>
            <w:sz w:val="18"/>
            <w:szCs w:val="18"/>
            <w:u w:val="single" w:color="auto"/>
            <w:color w:val="auto"/>
          </w:rPr>
          <w:t>See Note 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4132580</wp:posOffset>
            </wp:positionH>
            <wp:positionV relativeFrom="paragraph">
              <wp:posOffset>-45085</wp:posOffset>
            </wp:positionV>
            <wp:extent cx="5295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 Infrastructure</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38" w:lineRule="exact"/>
        <w:rPr>
          <w:sz w:val="20"/>
          <w:szCs w:val="20"/>
          <w:color w:val="auto"/>
        </w:rPr>
      </w:pPr>
    </w:p>
    <w:p>
      <w:pPr>
        <w:ind w:left="880" w:right="20" w:hanging="508"/>
        <w:spacing w:after="0" w:line="25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78" w:lineRule="exact"/>
        <w:rPr>
          <w:rFonts w:ascii="Arial" w:cs="Arial" w:eastAsia="Arial" w:hAnsi="Arial"/>
          <w:sz w:val="18"/>
          <w:szCs w:val="18"/>
          <w:color w:val="auto"/>
        </w:rPr>
      </w:pPr>
    </w:p>
    <w:p>
      <w:pPr>
        <w:ind w:left="880" w:right="80" w:hanging="508"/>
        <w:spacing w:after="0" w:line="25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78" w:lineRule="exact"/>
        <w:rPr>
          <w:rFonts w:ascii="Arial" w:cs="Arial" w:eastAsia="Arial" w:hAnsi="Arial"/>
          <w:sz w:val="18"/>
          <w:szCs w:val="18"/>
          <w:color w:val="auto"/>
        </w:rPr>
      </w:pPr>
    </w:p>
    <w:p>
      <w:pPr>
        <w:ind w:left="880" w:hanging="508"/>
        <w:spacing w:after="0" w:line="257"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under Topic 606. Dark fiber and associated maintenance services constitute a lease, and as such, they are outside the scope of Topic 606 and are governed by other applicable guidance.</w:t>
      </w:r>
    </w:p>
    <w:p>
      <w:pPr>
        <w:spacing w:after="0" w:line="79" w:lineRule="exact"/>
        <w:rPr>
          <w:rFonts w:ascii="Arial" w:cs="Arial" w:eastAsia="Arial" w:hAnsi="Arial"/>
          <w:sz w:val="18"/>
          <w:szCs w:val="18"/>
          <w:color w:val="auto"/>
        </w:rPr>
      </w:pPr>
    </w:p>
    <w:p>
      <w:pPr>
        <w:ind w:left="880" w:right="280" w:hanging="508"/>
        <w:spacing w:after="0" w:line="301" w:lineRule="auto"/>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49" w:lineRule="exact"/>
        <w:rPr>
          <w:rFonts w:ascii="Arial" w:cs="Arial" w:eastAsia="Arial" w:hAnsi="Arial"/>
          <w:sz w:val="16"/>
          <w:szCs w:val="16"/>
          <w:color w:val="auto"/>
        </w:rPr>
      </w:pPr>
    </w:p>
    <w:p>
      <w:pPr>
        <w:ind w:left="880" w:right="20" w:hanging="508"/>
        <w:spacing w:after="0" w:line="25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Dark fiber arrangements represent operating leases under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and are outside the scope of Topic 606. When (a) a customer makes an advance payment or (b)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78" w:lineRule="exact"/>
        <w:rPr>
          <w:rFonts w:ascii="Arial" w:cs="Arial" w:eastAsia="Arial" w:hAnsi="Arial"/>
          <w:sz w:val="18"/>
          <w:szCs w:val="18"/>
          <w:color w:val="auto"/>
        </w:rPr>
      </w:pPr>
    </w:p>
    <w:p>
      <w:pPr>
        <w:ind w:left="880" w:right="120" w:hanging="508"/>
        <w:spacing w:after="0" w:line="259" w:lineRule="auto"/>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880" w:right="140"/>
        <w:spacing w:after="0" w:line="277" w:lineRule="auto"/>
        <w:rPr>
          <w:sz w:val="20"/>
          <w:szCs w:val="20"/>
          <w:color w:val="auto"/>
        </w:rPr>
      </w:pPr>
      <w:r>
        <w:rPr>
          <w:rFonts w:ascii="Arial" w:cs="Arial" w:eastAsia="Arial" w:hAnsi="Arial"/>
          <w:sz w:val="18"/>
          <w:szCs w:val="18"/>
          <w:color w:val="auto"/>
        </w:rPr>
        <w:t>telecommunications services, including broadband, long distance, and enhanced services are recognized over time in a pattern that reflects the satisfaction of the service performance obligation.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Towers segment represents the operations of our former towers business, Uniti Towers, through which we acquired and constructed tower and tower-related real estate, which we then leased to our customers in the United States and Latin America. Revenue from our towers business qualifies as a lease under ASC 842 and is outside the scope of Topic 606. Starting in 2019, the Company completed a series of transactions to largely divest of its towers business and on April 2, 2019, May 23, 2019 and June 1, 2020, the Company completed the sales of its Latin American business, substantially all of its U.S. ground lease business, and its U.S. tower business,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CLEC</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Consumer CLEC segment represents the operations of Talk America through which we operated the Consumer CLEC Business, which provided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 As of the end of the second quarter of 2020, we substantially completed a wind down of our Consumer CLEC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stream.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8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Three Months Ended June 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1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 disaggregated by revenue stream</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Revenue from contracts with customers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Pr>
          <w:p>
            <w:pPr>
              <w:ind w:left="380"/>
              <w:spacing w:after="0"/>
              <w:rPr>
                <w:sz w:val="20"/>
                <w:szCs w:val="20"/>
                <w:color w:val="auto"/>
              </w:rPr>
            </w:pPr>
            <w:r>
              <w:rPr>
                <w:rFonts w:ascii="Arial" w:cs="Arial" w:eastAsia="Arial" w:hAnsi="Arial"/>
                <w:sz w:val="18"/>
                <w:szCs w:val="18"/>
                <w:color w:val="auto"/>
              </w:rPr>
              <w:t>Lit backhaul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22,979</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27,216</w:t>
            </w:r>
          </w:p>
        </w:tc>
        <w:tc>
          <w:tcPr>
            <w:tcW w:w="16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48,023</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55,408</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Enterprise and wholesale</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38,886</w:t>
            </w:r>
          </w:p>
        </w:tc>
        <w:tc>
          <w:tcPr>
            <w:tcW w:w="120" w:type="dxa"/>
            <w:vAlign w:val="bottom"/>
            <w:shd w:val="clear" w:color="auto" w:fill="CFF0FC"/>
          </w:tcPr>
          <w:p>
            <w:pPr>
              <w:spacing w:after="0"/>
              <w:rPr>
                <w:sz w:val="19"/>
                <w:szCs w:val="19"/>
                <w:color w:val="auto"/>
              </w:rPr>
            </w:pPr>
          </w:p>
        </w:tc>
      </w:tr>
      <w:tr>
        <w:trPr>
          <w:trHeight w:val="229"/>
        </w:trPr>
        <w:tc>
          <w:tcPr>
            <w:tcW w:w="4880" w:type="dxa"/>
            <w:vAlign w:val="bottom"/>
          </w:tcPr>
          <w:p>
            <w:pPr>
              <w:ind w:left="380"/>
              <w:spacing w:after="0"/>
              <w:rPr>
                <w:sz w:val="20"/>
                <w:szCs w:val="20"/>
                <w:color w:val="auto"/>
              </w:rPr>
            </w:pPr>
            <w:r>
              <w:rPr>
                <w:rFonts w:ascii="Arial" w:cs="Arial" w:eastAsia="Arial" w:hAnsi="Arial"/>
                <w:sz w:val="18"/>
                <w:szCs w:val="18"/>
                <w:color w:val="auto"/>
              </w:rPr>
              <w:t>E-Rate and government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15,926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35,290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42,758</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Fiber Infrastructure</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61,056</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69,420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127,280</w:t>
            </w:r>
          </w:p>
        </w:tc>
        <w:tc>
          <w:tcPr>
            <w:tcW w:w="28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138,355</w:t>
            </w:r>
          </w:p>
        </w:tc>
        <w:tc>
          <w:tcPr>
            <w:tcW w:w="120" w:type="dxa"/>
            <w:vAlign w:val="bottom"/>
          </w:tcPr>
          <w:p>
            <w:pPr>
              <w:spacing w:after="0"/>
              <w:rPr>
                <w:sz w:val="19"/>
                <w:szCs w:val="19"/>
                <w:color w:val="auto"/>
              </w:rPr>
            </w:pPr>
          </w:p>
        </w:tc>
      </w:tr>
      <w:tr>
        <w:trPr>
          <w:trHeight w:val="230"/>
        </w:trPr>
        <w:tc>
          <w:tcPr>
            <w:tcW w:w="4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Leasing</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Total revenue from contracts with customers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62,056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129,447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139,006</w:t>
            </w:r>
          </w:p>
        </w:tc>
        <w:tc>
          <w:tcPr>
            <w:tcW w:w="120" w:type="dxa"/>
            <w:vAlign w:val="bottom"/>
            <w:shd w:val="clear" w:color="auto" w:fill="CFF0FC"/>
          </w:tcPr>
          <w:p>
            <w:pPr>
              <w:spacing w:after="0"/>
              <w:rPr>
                <w:sz w:val="19"/>
                <w:szCs w:val="19"/>
                <w:color w:val="auto"/>
              </w:rPr>
            </w:pP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applicable guidance</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206,124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197,432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411,319</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393,976</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268,180</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266,820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540,766</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532,982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June 30, 2021, and December 31, 2020, lease receivables were $15.1 million and $17.5 million, respectively, and receivables from contracts with customers were $22.7 million and $45.1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Contract assets primarily consist of unbilled construction revenue where we are utilizing our costs incurred as the measure of progress of satisfying our performance obligation, contract assets are reported within accounts receivable, net on our Consolidated Balance Sheet.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760"/>
        <w:spacing w:after="0" w:line="377" w:lineRule="auto"/>
        <w:rPr>
          <w:sz w:val="20"/>
          <w:szCs w:val="20"/>
          <w:color w:val="auto"/>
        </w:rPr>
      </w:pPr>
      <w:r>
        <w:rPr>
          <w:rFonts w:ascii="Arial" w:cs="Arial" w:eastAsia="Arial" w:hAnsi="Arial"/>
          <w:sz w:val="16"/>
          <w:szCs w:val="16"/>
          <w:color w:val="auto"/>
        </w:rPr>
        <w:t>arrangement are expected to be performed, which is the initial term of the arrangement. During the three and six months ended June 30, 2021, we recognized revenues of $3.0 million and $8.1 million, respectively, which was included in the December 31, 2020 contract liabilities balance.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Topic 606.</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color w:val="auto"/>
              </w:rPr>
              <w:t>(Thousands)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 Liabilities</w:t>
            </w:r>
          </w:p>
        </w:tc>
      </w:tr>
      <w:tr>
        <w:trPr>
          <w:trHeight w:val="223"/>
        </w:trPr>
        <w:tc>
          <w:tcPr>
            <w:tcW w:w="6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3,462</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13,970</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June 30, 2021, our future revenues (i.e., transaction price related to remaining performance obligations) under contract accounted for under Topic 606 totaled $418.7 million, of which $339.4 million is related to contracts that are currently being invoiced and have an average remaining contract term of 1.7 years, while $79.3 million represents our backlog for sales bookings which have yet to be installed and have an average remaining contract term of 6.2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that have an original expected duration of one year or less.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exclude from the transaction price any amounts collected from customers for sales taxes and therefore, such amounts are not included in revenue.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lease communications towers, ground, colocation,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three and six months ended June 30, 2021 and 2020, respectively,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8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206,124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197,432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411,319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393,976</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Lease payments to be received under non-cancellable operating leases where we are the lessor for the remainder of the lease terms as of June 30, 2021 are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0" w:type="dxa"/>
            <w:vAlign w:val="bottom"/>
          </w:tcPr>
          <w:p>
            <w:pPr>
              <w:spacing w:after="0"/>
              <w:rPr>
                <w:sz w:val="14"/>
                <w:szCs w:val="14"/>
                <w:color w:val="auto"/>
              </w:rPr>
            </w:pPr>
          </w:p>
        </w:tc>
        <w:tc>
          <w:tcPr>
            <w:tcW w:w="2160" w:type="dxa"/>
            <w:vAlign w:val="bottom"/>
            <w:gridSpan w:val="2"/>
          </w:tcPr>
          <w:p>
            <w:pPr>
              <w:ind w:left="300"/>
              <w:spacing w:after="0"/>
              <w:rPr>
                <w:sz w:val="20"/>
                <w:szCs w:val="20"/>
                <w:color w:val="auto"/>
              </w:rPr>
            </w:pPr>
            <w:r>
              <w:rPr>
                <w:rFonts w:ascii="Arial" w:cs="Arial" w:eastAsia="Arial" w:hAnsi="Arial"/>
                <w:sz w:val="14"/>
                <w:szCs w:val="14"/>
                <w:b w:val="1"/>
                <w:bCs w:val="1"/>
                <w:color w:val="auto"/>
              </w:rPr>
              <w:t xml:space="preserve">June 30, 2021 </w:t>
            </w:r>
            <w:r>
              <w:rPr>
                <w:rFonts w:ascii="Arial" w:cs="Arial" w:eastAsia="Arial" w:hAnsi="Arial"/>
                <w:sz w:val="12"/>
                <w:szCs w:val="12"/>
                <w:b w:val="1"/>
                <w:bCs w:val="1"/>
                <w:color w:val="auto"/>
              </w:rPr>
              <w:t>(1)</w:t>
            </w:r>
          </w:p>
        </w:tc>
      </w:tr>
      <w:tr>
        <w:trPr>
          <w:trHeight w:val="223"/>
        </w:trPr>
        <w:tc>
          <w:tcPr>
            <w:tcW w:w="8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368,041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751,516</w:t>
            </w:r>
          </w:p>
        </w:tc>
        <w:tc>
          <w:tcPr>
            <w:tcW w:w="120" w:type="dxa"/>
            <w:vAlign w:val="bottom"/>
          </w:tcPr>
          <w:p>
            <w:pPr>
              <w:spacing w:after="0"/>
              <w:rPr>
                <w:sz w:val="19"/>
                <w:szCs w:val="19"/>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755,574</w:t>
            </w:r>
          </w:p>
        </w:tc>
        <w:tc>
          <w:tcPr>
            <w:tcW w:w="120" w:type="dxa"/>
            <w:vAlign w:val="bottom"/>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757,431</w:t>
            </w:r>
          </w:p>
        </w:tc>
        <w:tc>
          <w:tcPr>
            <w:tcW w:w="120" w:type="dxa"/>
            <w:vAlign w:val="bottom"/>
          </w:tcPr>
          <w:p>
            <w:pPr>
              <w:spacing w:after="0"/>
              <w:rPr>
                <w:sz w:val="19"/>
                <w:szCs w:val="19"/>
                <w:color w:val="auto"/>
              </w:rPr>
            </w:pPr>
          </w:p>
        </w:tc>
      </w:tr>
      <w:tr>
        <w:trPr>
          <w:trHeight w:val="229"/>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759,168</w:t>
            </w:r>
          </w:p>
        </w:tc>
        <w:tc>
          <w:tcPr>
            <w:tcW w:w="120" w:type="dxa"/>
            <w:vAlign w:val="bottom"/>
            <w:shd w:val="clear" w:color="auto" w:fill="CFF0FC"/>
          </w:tcPr>
          <w:p>
            <w:pPr>
              <w:spacing w:after="0"/>
              <w:rPr>
                <w:sz w:val="19"/>
                <w:szCs w:val="19"/>
                <w:color w:val="auto"/>
              </w:rPr>
            </w:pPr>
          </w:p>
        </w:tc>
      </w:tr>
      <w:tr>
        <w:trPr>
          <w:trHeight w:val="230"/>
        </w:trPr>
        <w:tc>
          <w:tcPr>
            <w:tcW w:w="8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3,734,183</w:t>
            </w:r>
          </w:p>
        </w:tc>
        <w:tc>
          <w:tcPr>
            <w:tcW w:w="120" w:type="dxa"/>
            <w:vAlign w:val="bottom"/>
            <w:tcBorders>
              <w:bottom w:val="single" w:sz="8" w:color="CFF0FC"/>
            </w:tcBorders>
          </w:tcPr>
          <w:p>
            <w:pPr>
              <w:spacing w:after="0"/>
              <w:rPr>
                <w:sz w:val="19"/>
                <w:szCs w:val="19"/>
                <w:color w:val="auto"/>
              </w:rPr>
            </w:pPr>
          </w:p>
        </w:tc>
      </w:tr>
      <w:tr>
        <w:trPr>
          <w:trHeight w:val="223"/>
        </w:trPr>
        <w:tc>
          <w:tcPr>
            <w:tcW w:w="8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receivables</w:t>
            </w: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7,125,913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 w:lineRule="exact"/>
        <w:rPr>
          <w:sz w:val="20"/>
          <w:szCs w:val="20"/>
          <w:color w:val="auto"/>
        </w:rPr>
      </w:pPr>
    </w:p>
    <w:p>
      <w:pPr>
        <w:ind w:right="3240" w:firstLine="8"/>
        <w:spacing w:after="0" w:line="602" w:lineRule="auto"/>
        <w:tabs>
          <w:tab w:leader="none" w:pos="223" w:val="left"/>
        </w:tabs>
        <w:numPr>
          <w:ilvl w:val="0"/>
          <w:numId w:val="6"/>
        </w:numPr>
        <w:rPr>
          <w:rFonts w:ascii="Arial" w:cs="Arial" w:eastAsia="Arial" w:hAnsi="Arial"/>
          <w:sz w:val="13"/>
          <w:szCs w:val="13"/>
          <w:color w:val="auto"/>
        </w:rPr>
      </w:pPr>
      <w:r>
        <w:rPr>
          <w:rFonts w:ascii="Arial" w:cs="Arial" w:eastAsia="Arial" w:hAnsi="Arial"/>
          <w:sz w:val="16"/>
          <w:szCs w:val="16"/>
          <w:color w:val="auto"/>
        </w:rPr>
        <w:t>Total future minimum lease payments to be received include $6.1 billion relating to the Windstream Leases. The underlying assets under operating leases where we are the lessor are summarized as follows:</w:t>
      </w: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2020</w:t>
            </w: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26,596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340,096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335,495</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Poles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273,934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266,758</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Fiber</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3,147,976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2,994,465</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Copper</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3,902,265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3,850,988</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Conduit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89,960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89,773</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Tower assets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28,126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32,660</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10,425</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7,821,421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7,608,978</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(5,319,033)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(5,222,731)</w:t>
            </w: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Underlying assets under operating leases, net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2,502,388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2,386,247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three and six months ended June 30, 2021 and 2020, respectively, is summarized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r>
      <w:tr>
        <w:trPr>
          <w:trHeight w:val="223"/>
        </w:trPr>
        <w:tc>
          <w:tcPr>
            <w:tcW w:w="524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0"/>
              </w:rPr>
              <w:t>Depreciation expense for underlying assets under operating leases</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44,107</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53,303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90,020</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109,437</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commitments under operating leases for communications towers, ground, colocation, dark fiber lease arrangements, and buildings. We also have finance leases for dark fiber lease arrangements and other communications equipment. Our leases have initial lease terms ranging from less than one year to 30 years, most of which include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have short term lease commitments amounting to approximately $2.6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for the three and six months ended June 30, 2021 and 2020, respectively, are as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jc w:val="right"/>
              <w:ind w:right="572"/>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4"/>
                <w:szCs w:val="14"/>
                <w:color w:val="auto"/>
              </w:rPr>
              <w:t>(Thousands)</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Finance lease cost</w:t>
            </w: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Amortization of ROU assets</w:t>
            </w:r>
          </w:p>
        </w:tc>
        <w:tc>
          <w:tcPr>
            <w:tcW w:w="94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1,335</w:t>
            </w:r>
          </w:p>
        </w:tc>
        <w:tc>
          <w:tcPr>
            <w:tcW w:w="280" w:type="dxa"/>
            <w:vAlign w:val="bottom"/>
          </w:tcPr>
          <w:p>
            <w:pPr>
              <w:spacing w:after="0"/>
              <w:rPr>
                <w:sz w:val="19"/>
                <w:szCs w:val="19"/>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954</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19"/>
                <w:szCs w:val="19"/>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12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2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120" w:type="dxa"/>
            <w:vAlign w:val="bottom"/>
            <w:shd w:val="clear" w:color="auto" w:fill="CFF0FC"/>
          </w:tcPr>
          <w:p>
            <w:pPr>
              <w:spacing w:after="0"/>
              <w:rPr>
                <w:sz w:val="19"/>
                <w:szCs w:val="19"/>
                <w:color w:val="auto"/>
              </w:rPr>
            </w:pP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 finance lease cost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2,052</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13,959</w:t>
            </w:r>
          </w:p>
        </w:tc>
        <w:tc>
          <w:tcPr>
            <w:tcW w:w="12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748</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Less sublease income</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(3,246)</w:t>
            </w:r>
          </w:p>
        </w:tc>
        <w:tc>
          <w:tcPr>
            <w:tcW w:w="8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(3,076)</w:t>
            </w: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(6,770)</w:t>
            </w: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reported in the Condensed Consolidated Balance Sheets for leases where we are the lessee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on Condensed Consolidated Balance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82"/>
              </w:rPr>
              <w:t>Sheets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Operating leases</w:t>
            </w:r>
          </w:p>
        </w:tc>
        <w:tc>
          <w:tcPr>
            <w:tcW w:w="140" w:type="dxa"/>
            <w:vAlign w:val="bottom"/>
            <w:tcBorders>
              <w:top w:val="single" w:sz="8" w:color="CFF0FC"/>
            </w:tcBorders>
            <w:shd w:val="clear" w:color="auto" w:fill="CFF0FC"/>
          </w:tcPr>
          <w:p>
            <w:pPr>
              <w:spacing w:after="0"/>
              <w:rPr>
                <w:sz w:val="19"/>
                <w:szCs w:val="19"/>
                <w:color w:val="auto"/>
              </w:rPr>
            </w:pPr>
          </w:p>
        </w:tc>
        <w:tc>
          <w:tcPr>
            <w:tcW w:w="2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ROU assets, net</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Other assets, net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73,620</w:t>
            </w:r>
          </w:p>
        </w:tc>
        <w:tc>
          <w:tcPr>
            <w:tcW w:w="2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97,850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30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5"/>
              </w:rPr>
              <w:t>Accounts payable, accrued expenses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49,909</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71,483</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60" w:type="dxa"/>
            <w:vAlign w:val="bottom"/>
            <w:shd w:val="clear" w:color="auto" w:fill="CFF0FC"/>
          </w:tcPr>
          <w:p>
            <w:pPr>
              <w:spacing w:after="0"/>
              <w:rPr>
                <w:sz w:val="10"/>
                <w:szCs w:val="10"/>
                <w:color w:val="auto"/>
              </w:rPr>
            </w:pPr>
          </w:p>
        </w:tc>
        <w:tc>
          <w:tcPr>
            <w:tcW w:w="302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and other liabilities, net</w:t>
            </w: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6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shd w:val="clear" w:color="auto" w:fill="CFF0FC"/>
          </w:tcPr>
          <w:p>
            <w:pPr>
              <w:spacing w:after="0"/>
              <w:rPr>
                <w:sz w:val="9"/>
                <w:szCs w:val="9"/>
                <w:color w:val="auto"/>
              </w:rPr>
            </w:pPr>
          </w:p>
        </w:tc>
        <w:tc>
          <w:tcPr>
            <w:tcW w:w="302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Finance leases</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ROU asset, gross</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71,444</w:t>
            </w:r>
          </w:p>
        </w:tc>
        <w:tc>
          <w:tcPr>
            <w:tcW w:w="2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128,098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30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Weighted-average remaining lease term</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8.8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12.2 years</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13.3 years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13.3 years</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Weighted-average discount rate</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as of June 30, 2021 and 2020, respectively, are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4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1,627</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1,957</w:t>
            </w: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10,381</w:t>
            </w: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14,470</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1,393</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Non-cash items:</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New operating leases and remeasurements, net</w:t>
            </w:r>
          </w:p>
        </w:tc>
        <w:tc>
          <w:tcPr>
            <w:tcW w:w="2060" w:type="dxa"/>
            <w:vAlign w:val="bottom"/>
            <w:gridSpan w:val="3"/>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w:t>
            </w:r>
          </w:p>
        </w:tc>
        <w:tc>
          <w:tcPr>
            <w:tcW w:w="8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100" w:type="dxa"/>
            <w:vAlign w:val="bottom"/>
            <w:shd w:val="clear" w:color="auto" w:fill="CFF0FC"/>
          </w:tcPr>
          <w:p>
            <w:pPr>
              <w:spacing w:after="0"/>
              <w:rPr>
                <w:sz w:val="19"/>
                <w:szCs w:val="19"/>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New finance leases</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r>
      <w:tr>
        <w:trPr>
          <w:trHeight w:val="917"/>
        </w:trPr>
        <w:tc>
          <w:tcPr>
            <w:tcW w:w="5300" w:type="dxa"/>
            <w:vAlign w:val="bottom"/>
          </w:tcPr>
          <w:p>
            <w:pPr>
              <w:spacing w:after="0"/>
              <w:rPr>
                <w:sz w:val="24"/>
                <w:szCs w:val="24"/>
                <w:color w:val="auto"/>
              </w:rPr>
            </w:pPr>
          </w:p>
        </w:tc>
        <w:tc>
          <w:tcPr>
            <w:tcW w:w="1440" w:type="dxa"/>
            <w:vAlign w:val="bottom"/>
          </w:tcPr>
          <w:p>
            <w:pPr>
              <w:jc w:val="right"/>
              <w:ind w:right="93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3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non-cancellable leases as of June 30, 2021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20"/>
                <w:szCs w:val="20"/>
                <w:color w:val="auto"/>
              </w:rPr>
            </w:pPr>
            <w:r>
              <w:rPr>
                <w:rFonts w:ascii="Arial" w:cs="Arial" w:eastAsia="Arial" w:hAnsi="Arial"/>
                <w:sz w:val="14"/>
                <w:szCs w:val="14"/>
                <w:color w:val="auto"/>
              </w:rPr>
              <w:t>(Thousands)</w:t>
            </w: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7,446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2022</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12,672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10,484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2024</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8,064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5,439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31,892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15,440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75,997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24,886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Less: imputed interest</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4"/>
          </w:tcPr>
          <w:p>
            <w:pPr>
              <w:jc w:val="right"/>
              <w:ind w:right="160"/>
              <w:spacing w:after="0"/>
              <w:rPr>
                <w:sz w:val="20"/>
                <w:szCs w:val="20"/>
                <w:color w:val="auto"/>
              </w:rPr>
            </w:pPr>
            <w:r>
              <w:rPr>
                <w:rFonts w:ascii="Arial" w:cs="Arial" w:eastAsia="Arial" w:hAnsi="Arial"/>
                <w:sz w:val="18"/>
                <w:szCs w:val="18"/>
                <w:color w:val="auto"/>
              </w:rPr>
              <w:t>(26,088)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color w:val="auto"/>
              </w:rPr>
              <w:t>(10,389)</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8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49,909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Future sublease rentals as of June 30, 2021 are as follows:</w:t>
            </w: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4860" w:type="dxa"/>
            <w:vAlign w:val="bottom"/>
          </w:tcPr>
          <w:p>
            <w:pPr>
              <w:spacing w:after="0"/>
              <w:rPr>
                <w:sz w:val="20"/>
                <w:szCs w:val="20"/>
                <w:color w:val="auto"/>
              </w:rPr>
            </w:pPr>
            <w:r>
              <w:rPr>
                <w:rFonts w:ascii="Arial" w:cs="Arial" w:eastAsia="Arial" w:hAnsi="Arial"/>
                <w:sz w:val="14"/>
                <w:szCs w:val="14"/>
                <w:color w:val="auto"/>
              </w:rPr>
              <w:t>(Thousands)</w:t>
            </w: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1"/>
              </w:rPr>
              <w:t>Sublease Rentals</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8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2022</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9,310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2024</w:t>
            </w: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9,445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136,177</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178,280</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80" w:type="dxa"/>
            <w:vAlign w:val="bottom"/>
            <w:vMerge w:val="restart"/>
          </w:tcPr>
          <w:p>
            <w:pPr>
              <w:jc w:val="right"/>
              <w:ind w:right="93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8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Everstream OpCo-PropCo Transaction</w:t>
      </w:r>
    </w:p>
    <w:p>
      <w:pPr>
        <w:spacing w:after="0" w:line="225"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On May 28, 2021, the Company completed its previously announced strategic transaction with Everstream Solutions LLC (“Everstream”). As part of the transaction, Uniti entered into two 20-year dark fiber indefeasible rights of use (“IRU”) lease agreements with Everstream on Uniti owned</w:t>
      </w:r>
    </w:p>
    <w:p>
      <w:pPr>
        <w:ind w:right="40"/>
        <w:spacing w:after="0" w:line="253" w:lineRule="auto"/>
        <w:rPr>
          <w:sz w:val="20"/>
          <w:szCs w:val="20"/>
          <w:color w:val="auto"/>
        </w:rPr>
      </w:pPr>
      <w:r>
        <w:rPr>
          <w:rFonts w:ascii="Arial" w:cs="Arial" w:eastAsia="Arial" w:hAnsi="Arial"/>
          <w:sz w:val="18"/>
          <w:szCs w:val="18"/>
          <w:color w:val="auto"/>
        </w:rPr>
        <w:t>fiber. Concurrently, Uniti sold its Uniti Fiber Northeast operations and certain dark fiber IRU contracts acquired as part of the Windstream settlement to Everstream. Total cash consideration, including upfront IRU payments, was approximately $135 million. In addition to the upfront proceeds, Uniti will receive fees of approximately $3 million annually from Everstream over the initial 20-year term of the IRU lease agreements, subject to an annual escalator of 2%. During the second quarter, we recorded a gain of $28.1 million related to this transaction, which is included in gain on sale of operations in our Condensed Consolidated Statements of Income (Loss).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9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80" w:type="dxa"/>
            <w:vAlign w:val="bottom"/>
          </w:tcPr>
          <w:p>
            <w:pPr>
              <w:spacing w:after="0"/>
              <w:rPr>
                <w:sz w:val="18"/>
                <w:szCs w:val="18"/>
                <w:color w:val="auto"/>
              </w:rPr>
            </w:pPr>
          </w:p>
        </w:tc>
        <w:tc>
          <w:tcPr>
            <w:tcW w:w="19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 2021</w:t>
            </w:r>
          </w:p>
        </w:tc>
      </w:tr>
      <w:tr>
        <w:trPr>
          <w:trHeight w:val="223"/>
        </w:trPr>
        <w:tc>
          <w:tcPr>
            <w:tcW w:w="8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and liabilities sold:</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44,685</w:t>
            </w:r>
          </w:p>
        </w:tc>
        <w:tc>
          <w:tcPr>
            <w:tcW w:w="100" w:type="dxa"/>
            <w:vAlign w:val="bottom"/>
            <w:shd w:val="clear" w:color="auto" w:fill="CFF0FC"/>
          </w:tcPr>
          <w:p>
            <w:pPr>
              <w:spacing w:after="0"/>
              <w:rPr>
                <w:sz w:val="19"/>
                <w:szCs w:val="19"/>
                <w:color w:val="auto"/>
              </w:rPr>
            </w:pPr>
          </w:p>
        </w:tc>
      </w:tr>
      <w:tr>
        <w:trPr>
          <w:trHeight w:val="229"/>
        </w:trPr>
        <w:tc>
          <w:tcPr>
            <w:tcW w:w="8900" w:type="dxa"/>
            <w:vAlign w:val="bottom"/>
            <w:gridSpan w:val="2"/>
          </w:tcPr>
          <w:p>
            <w:pPr>
              <w:ind w:left="26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17,794</w:t>
            </w:r>
          </w:p>
        </w:tc>
        <w:tc>
          <w:tcPr>
            <w:tcW w:w="10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7,264</w:t>
            </w:r>
          </w:p>
        </w:tc>
        <w:tc>
          <w:tcPr>
            <w:tcW w:w="100" w:type="dxa"/>
            <w:vAlign w:val="bottom"/>
            <w:shd w:val="clear" w:color="auto" w:fill="CFF0FC"/>
          </w:tcPr>
          <w:p>
            <w:pPr>
              <w:spacing w:after="0"/>
              <w:rPr>
                <w:sz w:val="19"/>
                <w:szCs w:val="19"/>
                <w:color w:val="auto"/>
              </w:rPr>
            </w:pPr>
          </w:p>
        </w:tc>
      </w:tr>
      <w:tr>
        <w:trPr>
          <w:trHeight w:val="229"/>
        </w:trPr>
        <w:tc>
          <w:tcPr>
            <w:tcW w:w="89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Right of use assets, net</w:t>
            </w: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19,841</w:t>
            </w:r>
          </w:p>
        </w:tc>
        <w:tc>
          <w:tcPr>
            <w:tcW w:w="100" w:type="dxa"/>
            <w:vAlign w:val="bottom"/>
            <w:tcBorders>
              <w:bottom w:val="single" w:sz="8" w:color="CFF0FC"/>
            </w:tcBorders>
          </w:tcPr>
          <w:p>
            <w:pPr>
              <w:spacing w:after="0"/>
              <w:rPr>
                <w:sz w:val="19"/>
                <w:szCs w:val="19"/>
                <w:color w:val="auto"/>
              </w:rPr>
            </w:pPr>
          </w:p>
        </w:tc>
      </w:tr>
      <w:tr>
        <w:trPr>
          <w:trHeight w:val="223"/>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89,584</w:t>
            </w:r>
          </w:p>
        </w:tc>
        <w:tc>
          <w:tcPr>
            <w:tcW w:w="100" w:type="dxa"/>
            <w:vAlign w:val="bottom"/>
            <w:shd w:val="clear" w:color="auto" w:fill="CFF0FC"/>
          </w:tcPr>
          <w:p>
            <w:pPr>
              <w:spacing w:after="0"/>
              <w:rPr>
                <w:sz w:val="19"/>
                <w:szCs w:val="19"/>
                <w:color w:val="auto"/>
              </w:rPr>
            </w:pPr>
          </w:p>
        </w:tc>
      </w:tr>
      <w:tr>
        <w:trPr>
          <w:trHeight w:val="230"/>
        </w:trPr>
        <w:tc>
          <w:tcPr>
            <w:tcW w:w="8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Liabilities:</w:t>
            </w:r>
          </w:p>
        </w:tc>
        <w:tc>
          <w:tcPr>
            <w:tcW w:w="3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900" w:type="dxa"/>
            <w:vAlign w:val="bottom"/>
            <w:gridSpan w:val="2"/>
          </w:tcPr>
          <w:p>
            <w:pPr>
              <w:ind w:left="260"/>
              <w:spacing w:after="0"/>
              <w:rPr>
                <w:sz w:val="20"/>
                <w:szCs w:val="20"/>
                <w:color w:val="auto"/>
              </w:rPr>
            </w:pPr>
            <w:r>
              <w:rPr>
                <w:rFonts w:ascii="Arial" w:cs="Arial" w:eastAsia="Arial" w:hAnsi="Arial"/>
                <w:sz w:val="18"/>
                <w:szCs w:val="18"/>
                <w:color w:val="auto"/>
              </w:rPr>
              <w:t>Lease liabilities</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18,779</w:t>
            </w:r>
          </w:p>
        </w:tc>
        <w:tc>
          <w:tcPr>
            <w:tcW w:w="10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Intangible liabilities, net</w:t>
            </w:r>
          </w:p>
        </w:tc>
        <w:tc>
          <w:tcPr>
            <w:tcW w:w="38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FF0FC"/>
          </w:tcPr>
          <w:p>
            <w:pPr>
              <w:spacing w:after="0"/>
              <w:rPr>
                <w:sz w:val="19"/>
                <w:szCs w:val="19"/>
                <w:color w:val="auto"/>
              </w:rPr>
            </w:pPr>
          </w:p>
        </w:tc>
      </w:tr>
      <w:tr>
        <w:trPr>
          <w:trHeight w:val="230"/>
        </w:trPr>
        <w:tc>
          <w:tcPr>
            <w:tcW w:w="89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Finance lease obligations</w:t>
            </w:r>
          </w:p>
        </w:tc>
        <w:tc>
          <w:tcPr>
            <w:tcW w:w="3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32,343</w:t>
            </w:r>
          </w:p>
        </w:tc>
        <w:tc>
          <w:tcPr>
            <w:tcW w:w="100" w:type="dxa"/>
            <w:vAlign w:val="bottom"/>
            <w:tcBorders>
              <w:bottom w:val="single" w:sz="8" w:color="CFF0FC"/>
            </w:tcBorders>
          </w:tcPr>
          <w:p>
            <w:pPr>
              <w:spacing w:after="0"/>
              <w:rPr>
                <w:sz w:val="19"/>
                <w:szCs w:val="19"/>
                <w:color w:val="auto"/>
              </w:rPr>
            </w:pPr>
          </w:p>
        </w:tc>
      </w:tr>
      <w:tr>
        <w:trPr>
          <w:trHeight w:val="223"/>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55,614</w:t>
            </w:r>
          </w:p>
        </w:tc>
        <w:tc>
          <w:tcPr>
            <w:tcW w:w="100" w:type="dxa"/>
            <w:vAlign w:val="bottom"/>
            <w:shd w:val="clear" w:color="auto" w:fill="CFF0FC"/>
          </w:tcPr>
          <w:p>
            <w:pPr>
              <w:spacing w:after="0"/>
              <w:rPr>
                <w:sz w:val="19"/>
                <w:szCs w:val="19"/>
                <w:color w:val="auto"/>
              </w:rPr>
            </w:pPr>
          </w:p>
        </w:tc>
      </w:tr>
      <w:tr>
        <w:trPr>
          <w:trHeight w:val="230"/>
        </w:trPr>
        <w:tc>
          <w:tcPr>
            <w:tcW w:w="8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consideration</w:t>
            </w: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62,113</w:t>
            </w:r>
          </w:p>
        </w:tc>
        <w:tc>
          <w:tcPr>
            <w:tcW w:w="100" w:type="dxa"/>
            <w:vAlign w:val="bottom"/>
            <w:shd w:val="clear" w:color="auto" w:fill="CFF0FC"/>
          </w:tcPr>
          <w:p>
            <w:pPr>
              <w:spacing w:after="0"/>
              <w:rPr>
                <w:sz w:val="19"/>
                <w:szCs w:val="19"/>
                <w:color w:val="auto"/>
              </w:rPr>
            </w:pPr>
          </w:p>
        </w:tc>
      </w:tr>
      <w:tr>
        <w:trPr>
          <w:trHeight w:val="229"/>
        </w:trPr>
        <w:tc>
          <w:tcPr>
            <w:tcW w:w="8900" w:type="dxa"/>
            <w:vAlign w:val="bottom"/>
            <w:gridSpan w:val="2"/>
          </w:tcPr>
          <w:p>
            <w:pPr>
              <w:spacing w:after="0"/>
              <w:rPr>
                <w:sz w:val="20"/>
                <w:szCs w:val="20"/>
                <w:color w:val="auto"/>
              </w:rPr>
            </w:pPr>
            <w:r>
              <w:rPr>
                <w:rFonts w:ascii="Arial" w:cs="Arial" w:eastAsia="Arial" w:hAnsi="Arial"/>
                <w:sz w:val="18"/>
                <w:szCs w:val="18"/>
                <w:color w:val="auto"/>
              </w:rPr>
              <w:t>Less: total assets and liabilities sold, net</w:t>
            </w:r>
          </w:p>
        </w:tc>
        <w:tc>
          <w:tcPr>
            <w:tcW w:w="380" w:type="dxa"/>
            <w:vAlign w:val="bottom"/>
          </w:tcPr>
          <w:p>
            <w:pPr>
              <w:spacing w:after="0"/>
              <w:rPr>
                <w:sz w:val="19"/>
                <w:szCs w:val="19"/>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(33,970)</w:t>
            </w:r>
          </w:p>
        </w:tc>
      </w:tr>
      <w:tr>
        <w:trPr>
          <w:trHeight w:val="223"/>
        </w:trPr>
        <w:tc>
          <w:tcPr>
            <w:tcW w:w="89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Gain on sale of operations</w:t>
            </w: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U.S. Tower Portfolio</w:t>
      </w:r>
    </w:p>
    <w:p>
      <w:pPr>
        <w:spacing w:after="0" w:line="225" w:lineRule="exact"/>
        <w:rPr>
          <w:sz w:val="20"/>
          <w:szCs w:val="20"/>
          <w:color w:val="auto"/>
        </w:rPr>
      </w:pPr>
    </w:p>
    <w:p>
      <w:pPr>
        <w:ind w:right="2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On June 1, 2020, the Company completed the sale of its U.S. tower business to Melody Investment Advisors LP (“Melody”), selling net assets having a book value of $190.0 million for total cash consideration of $225.8 million. The Company retained a 10% investment interest in the tower business, having a fair value of $26.0 million, through a newly formed limited partnership with Melody (see </w:t>
      </w:r>
      <w:hyperlink w:anchor="page19">
        <w:r>
          <w:rPr>
            <w:rFonts w:ascii="Arial" w:cs="Arial" w:eastAsia="Arial" w:hAnsi="Arial"/>
            <w:sz w:val="17"/>
            <w:szCs w:val="17"/>
            <w:u w:val="single" w:color="auto"/>
            <w:color w:val="auto"/>
          </w:rPr>
          <w:t>Note 6</w:t>
        </w:r>
      </w:hyperlink>
      <w:r>
        <w:rPr>
          <w:rFonts w:ascii="Arial" w:cs="Arial" w:eastAsia="Arial" w:hAnsi="Arial"/>
          <w:sz w:val="17"/>
          <w:szCs w:val="17"/>
          <w:color w:val="auto"/>
        </w:rPr>
        <w:t>), and will receive incremental earn-out payments, estimated to be $1.6 million, which is included in other assets on the Condensed Consolidated Balance Sheet as of December 31, 2020. During the quarter ended June 30, 2020, we recorded a gain of $63.4 million related to this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-297815</wp:posOffset>
            </wp:positionV>
            <wp:extent cx="3079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797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6. Investments in Unconsolidated Entities</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212529"/>
        </w:rPr>
        <w:t>As of June 30, 2021, the Company had an aggregate investment of $65.0 million in its equity method unconsolidated entities, which included a 42% interest in BB Fiber Holdings LLC (“Fiber Holdings”) and an 8% interest in Harmoni Towers LP (“Harmoni”).</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Fiber Holdings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Fiber Holdings </w:t>
      </w:r>
      <w:r>
        <w:rPr>
          <w:rFonts w:ascii="Arial" w:cs="Arial" w:eastAsia="Arial" w:hAnsi="Arial"/>
          <w:sz w:val="18"/>
          <w:szCs w:val="18"/>
          <w:color w:val="000000"/>
        </w:rPr>
        <w:t>was primarily established to develop fiber networks as real estate property for long-term investment. On July 1, 2020, the</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Company completed the sale of an ownership stake in the entity that controls the Company’s Midwest fiber network assets (the “Propco”). Fiber Holdings has a 47.5% ownership in the Propco that is under a long-term, triple net lease with our joint venture partner. Our ownership interest in Fiber Holdings represents approximately a 20% economic interest in the Propco. The Company’s current investment and maximum exposure to loss as a result of its involvement with </w:t>
      </w:r>
      <w:r>
        <w:rPr>
          <w:rFonts w:ascii="Arial" w:cs="Arial" w:eastAsia="Arial" w:hAnsi="Arial"/>
          <w:sz w:val="18"/>
          <w:szCs w:val="18"/>
          <w:color w:val="212529"/>
        </w:rPr>
        <w:t>Fiber Holdings</w:t>
      </w:r>
      <w:r>
        <w:rPr>
          <w:rFonts w:ascii="Arial" w:cs="Arial" w:eastAsia="Arial" w:hAnsi="Arial"/>
          <w:sz w:val="18"/>
          <w:szCs w:val="18"/>
          <w:color w:val="auto"/>
        </w:rPr>
        <w:t xml:space="preserve"> was approximately $40.5 million as of June 30, 2021. The Company has not provided financial support to </w:t>
      </w:r>
      <w:r>
        <w:rPr>
          <w:rFonts w:ascii="Arial" w:cs="Arial" w:eastAsia="Arial" w:hAnsi="Arial"/>
          <w:sz w:val="18"/>
          <w:szCs w:val="18"/>
          <w:color w:val="212529"/>
        </w:rPr>
        <w:t>Fiber</w:t>
      </w:r>
      <w:r>
        <w:rPr>
          <w:rFonts w:ascii="Arial" w:cs="Arial" w:eastAsia="Arial" w:hAnsi="Arial"/>
          <w:sz w:val="18"/>
          <w:szCs w:val="18"/>
          <w:color w:val="auto"/>
        </w:rPr>
        <w:t xml:space="preserve"> </w:t>
      </w:r>
      <w:r>
        <w:rPr>
          <w:rFonts w:ascii="Arial" w:cs="Arial" w:eastAsia="Arial" w:hAnsi="Arial"/>
          <w:sz w:val="18"/>
          <w:szCs w:val="18"/>
          <w:color w:val="212529"/>
        </w:rPr>
        <w:t>Holdings.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Harmoni</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Harmoni was primarily established to develop wireless communication towers as real estate property for long-term investment. We concluded that Harmoni is a VIE; however, the Company determined that it was not the primary beneficiary of Harmoni because the Company lacks the power to direct the activities that most significantly impact its economic performance. The Company’s current investment and maximum exposure to loss as a result of its involvement with Harmoni was approximately $24.5 million as of June 30, 2021. The Company has not provided financial support to Harmoni.</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provide transition services to Harmoni in exchange for fees and reimbursements. Total transition service fees earned in connection with Harmoni for the three and six months ended June 30, 2021 were $0.1 million and $0.2 million, respectively, which is included in operating expense on a net basis in our Condensed Consolidated Statements of Income (Loss).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ind w:right="780"/>
        <w:spacing w:after="0" w:line="389"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for identical assets or liabilities that the reporting entity can access at the assessment date;</w:t>
      </w:r>
      <w:r>
        <w:rPr>
          <w:rFonts w:ascii="Arial" w:cs="Arial" w:eastAsia="Arial" w:hAnsi="Arial"/>
          <w:sz w:val="18"/>
          <w:szCs w:val="18"/>
          <w:b w:val="1"/>
          <w:bCs w:val="1"/>
          <w:i w:val="1"/>
          <w:iCs w:val="1"/>
          <w:color w:val="auto"/>
        </w:rPr>
        <w:t xml:space="preserve"> Level 2 </w:t>
      </w:r>
      <w:r>
        <w:rPr>
          <w:rFonts w:ascii="Arial" w:cs="Arial" w:eastAsia="Arial" w:hAnsi="Arial"/>
          <w:sz w:val="18"/>
          <w:szCs w:val="18"/>
          <w:color w:val="auto"/>
        </w:rPr>
        <w:t>– Inputs other than quoted prices included within Level 1 that are observable for the asset or liability, either directly or indirectly; and</w:t>
      </w:r>
      <w:r>
        <w:rPr>
          <w:rFonts w:ascii="Arial" w:cs="Arial" w:eastAsia="Arial" w:hAnsi="Arial"/>
          <w:sz w:val="18"/>
          <w:szCs w:val="18"/>
          <w:b w:val="1"/>
          <w:bCs w:val="1"/>
          <w:i w:val="1"/>
          <w:iCs w:val="1"/>
          <w:color w:val="auto"/>
        </w:rPr>
        <w:t xml:space="preserve"> Level 3 </w:t>
      </w:r>
      <w:r>
        <w:rPr>
          <w:rFonts w:ascii="Arial" w:cs="Arial" w:eastAsia="Arial" w:hAnsi="Arial"/>
          <w:sz w:val="18"/>
          <w:szCs w:val="18"/>
          <w:color w:val="auto"/>
        </w:rPr>
        <w:t>– Unobservable inputs for the asset or liability.</w:t>
      </w:r>
    </w:p>
    <w:p>
      <w:pPr>
        <w:spacing w:after="0" w:line="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a derivative asset and liability, our outstanding notes and other debt, contingent consideration and accounts, interest and dividends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June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Quoted Prices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59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Inputs (Level 3)</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June 30, 2021</w:t>
            </w: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secured notes - 7.875%, due February 15, 2025</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2,410,313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2,410,313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Senior secured notes - 4.75%, due April 15, 2028</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569,288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569,288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621,000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40"/>
              <w:spacing w:after="0"/>
              <w:rPr>
                <w:sz w:val="20"/>
                <w:szCs w:val="20"/>
                <w:color w:val="auto"/>
              </w:rPr>
            </w:pPr>
            <w:r>
              <w:rPr>
                <w:rFonts w:ascii="Arial" w:cs="Arial" w:eastAsia="Arial" w:hAnsi="Arial"/>
                <w:sz w:val="18"/>
                <w:szCs w:val="18"/>
                <w:color w:val="auto"/>
              </w:rPr>
              <w:t>Senior unsecured notes - 6.50%, due February 15, 2029</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1,115,550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1,115,550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Exchangeable senior notes - 4.00%, due June 15, 2024</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399,769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399,769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140"/>
              <w:spacing w:after="0"/>
              <w:rPr>
                <w:sz w:val="20"/>
                <w:szCs w:val="20"/>
                <w:color w:val="auto"/>
              </w:rPr>
            </w:pPr>
            <w:r>
              <w:rPr>
                <w:rFonts w:ascii="Arial" w:cs="Arial" w:eastAsia="Arial" w:hAnsi="Arial"/>
                <w:sz w:val="18"/>
                <w:szCs w:val="18"/>
                <w:color w:val="auto"/>
                <w:w w:val="94"/>
              </w:rPr>
              <w:t>Senior secured revolving credit facility, variable rate, due December 10, 2024</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Settlement payable</w:t>
            </w:r>
          </w:p>
        </w:tc>
        <w:tc>
          <w:tcPr>
            <w:tcW w:w="4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378,718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378,718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Derivative liability, net</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16,786</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16,786</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5,606,424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5,606,424</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Prices with Other</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23"/>
        </w:trPr>
        <w:tc>
          <w:tcPr>
            <w:tcW w:w="6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2020</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secured notes - 6.00%, due April 15, 2023</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561,000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notes - 7.875%, due February 15, 2025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2,410,313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2,410,313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unsecured notes - 8.25%, due October 15, 2023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1,112,775</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1,112,775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601,500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601,500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Exchangeable senior unsecured notes - 4.00%, due June 15, 2024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426,058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426,058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revolving credit facility, variable rate, due April 24, 2022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Settlement payable</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418,840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418,840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Derivative liability, net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22,897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5,666,340</w:t>
            </w:r>
          </w:p>
        </w:tc>
        <w:tc>
          <w:tcPr>
            <w:tcW w:w="100" w:type="dxa"/>
            <w:vAlign w:val="bottom"/>
          </w:tcPr>
          <w:p>
            <w:pPr>
              <w:spacing w:after="0"/>
              <w:rPr>
                <w:sz w:val="20"/>
                <w:szCs w:val="20"/>
                <w:color w:val="auto"/>
              </w:rPr>
            </w:pPr>
          </w:p>
        </w:tc>
        <w:tc>
          <w:tcPr>
            <w:tcW w:w="1040" w:type="dxa"/>
            <w:vAlign w:val="bottom"/>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5,663,383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4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The total principal balance of our outstanding notes and other debt was $4.97 billion at June 30, 2021, with a fair value of $5.21 billion. The estimated fair value of our outstanding notes and other debt was based on available external pricing data and current market rates for similar debt instruments, among </w:t>
      </w:r>
      <w:hyperlink w:anchor="page23">
        <w:r>
          <w:rPr>
            <w:rFonts w:ascii="Arial" w:cs="Arial" w:eastAsia="Arial" w:hAnsi="Arial"/>
            <w:sz w:val="17"/>
            <w:szCs w:val="17"/>
            <w:color w:val="auto"/>
          </w:rPr>
          <w:t xml:space="preserve">other factors, which are classified as Level 2 inputs within the fair value hierarchy. Derivative assets and liabilities are carried at fair value. </w:t>
        </w:r>
        <w:r>
          <w:rPr>
            <w:rFonts w:ascii="Arial" w:cs="Arial" w:eastAsia="Arial" w:hAnsi="Arial"/>
            <w:sz w:val="17"/>
            <w:szCs w:val="17"/>
            <w:u w:val="single" w:color="auto"/>
            <w:color w:val="0000EE"/>
          </w:rPr>
          <w:t>See Note 9. The</w:t>
        </w:r>
      </w:hyperlink>
      <w:r>
        <w:rPr>
          <w:rFonts w:ascii="Arial" w:cs="Arial" w:eastAsia="Arial" w:hAnsi="Arial"/>
          <w:sz w:val="17"/>
          <w:szCs w:val="17"/>
          <w:color w:val="auto"/>
        </w:rPr>
        <w:t xml:space="preserve"> </w:t>
      </w:r>
      <w:hyperlink w:anchor="page23">
        <w:r>
          <w:rPr>
            <w:rFonts w:ascii="Arial" w:cs="Arial" w:eastAsia="Arial" w:hAnsi="Arial"/>
            <w:sz w:val="17"/>
            <w:szCs w:val="17"/>
            <w:u w:val="single" w:color="auto"/>
            <w:color w:val="0000EE"/>
          </w:rPr>
          <w:t>fair value of an interest rate swap is determined based on the present value of expected future cash flows using observable, quoted LIBOR swap rates for</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the full term of the swap and also incorporate credit valuation adjustments to appropriately reflect both Uniti’s own non-performance risk and non-</w:t>
        </w:r>
      </w:hyperlink>
      <w:hyperlink w:anchor="page23">
        <w:r>
          <w:rPr>
            <w:rFonts w:ascii="Arial" w:cs="Arial" w:eastAsia="Arial" w:hAnsi="Arial"/>
            <w:sz w:val="17"/>
            <w:szCs w:val="17"/>
            <w:u w:val="single" w:color="auto"/>
            <w:color w:val="0000EE"/>
          </w:rPr>
          <w:t>performance risk of the respective counterparties. The Company has determined that the majority of the inputs used to value its derivative assets and</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liabilities fall within Level 2 of the fair value hierarchy; however, the associated credit valuation adjustments utilized Level 3 inputs, such as estimates of</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credit spreads, to evaluate the likelihood of default by the Company and its counterparties. As of June 30, 2021, the Company has assessed the significance</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of the impact of the credit valuation adjustments on the overall valuation of its derivative positions and has determined that the credit valuation adjustment</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is not significant to the overall value of the derivatives. As such, the Company classifies its derivative assets and liabilities valuation in Level 2 of the fair</w:t>
        </w:r>
      </w:hyperlink>
      <w:r>
        <w:rPr>
          <w:rFonts w:ascii="Arial" w:cs="Arial" w:eastAsia="Arial" w:hAnsi="Arial"/>
          <w:sz w:val="17"/>
          <w:szCs w:val="17"/>
          <w:u w:val="single" w:color="auto"/>
          <w:color w:val="0000EE"/>
        </w:rPr>
        <w:t xml:space="preserve"> </w:t>
      </w:r>
      <w:hyperlink w:anchor="page23">
        <w:r>
          <w:rPr>
            <w:rFonts w:ascii="Arial" w:cs="Arial" w:eastAsia="Arial" w:hAnsi="Arial"/>
            <w:sz w:val="17"/>
            <w:szCs w:val="17"/>
            <w:u w:val="single" w:color="auto"/>
            <w:color w:val="0000EE"/>
          </w:rPr>
          <w:t>value hierarchy</w:t>
        </w:r>
        <w:r>
          <w:rPr>
            <w:rFonts w:ascii="Arial" w:cs="Arial" w:eastAsia="Arial" w:hAnsi="Arial"/>
            <w:sz w:val="17"/>
            <w:szCs w:val="17"/>
            <w:color w:val="000000"/>
          </w:rPr>
          <w:t>.</w:t>
        </w:r>
      </w:hyperlink>
    </w:p>
    <w:p>
      <w:pPr>
        <w:spacing w:after="0" w:line="182" w:lineRule="exact"/>
        <w:rPr>
          <w:rFonts w:ascii="Arial" w:cs="Arial" w:eastAsia="Arial" w:hAnsi="Arial"/>
          <w:sz w:val="17"/>
          <w:szCs w:val="17"/>
          <w:u w:val="single" w:color="auto"/>
          <w:color w:val="0000EE"/>
        </w:rPr>
      </w:pPr>
    </w:p>
    <w:p>
      <w:pPr>
        <w:ind w:right="220"/>
        <w:spacing w:after="0" w:line="277" w:lineRule="auto"/>
        <w:rPr>
          <w:rFonts w:ascii="Arial" w:cs="Arial" w:eastAsia="Arial" w:hAnsi="Arial"/>
          <w:sz w:val="18"/>
          <w:szCs w:val="18"/>
          <w:color w:val="auto"/>
        </w:rPr>
      </w:pPr>
      <w:r>
        <w:rPr>
          <w:rFonts w:ascii="Arial" w:cs="Arial" w:eastAsia="Arial" w:hAnsi="Arial"/>
          <w:sz w:val="18"/>
          <w:szCs w:val="18"/>
          <w:color w:val="auto"/>
        </w:rPr>
        <w:t>Given the limited trade activity of the Exchangeable Notes, the fair value of the Exchangeable Notes (</w:t>
      </w:r>
      <w:hyperlink w:anchor="page25">
        <w:r>
          <w:rPr>
            <w:rFonts w:ascii="Arial" w:cs="Arial" w:eastAsia="Arial" w:hAnsi="Arial"/>
            <w:sz w:val="18"/>
            <w:szCs w:val="18"/>
            <w:u w:val="single" w:color="auto"/>
            <w:color w:val="0000EE"/>
          </w:rPr>
          <w:t>see Note 11</w:t>
        </w:r>
      </w:hyperlink>
      <w:r>
        <w:rPr>
          <w:rFonts w:ascii="Arial" w:cs="Arial" w:eastAsia="Arial" w:hAnsi="Arial"/>
          <w:sz w:val="18"/>
          <w:szCs w:val="18"/>
          <w:color w:val="auto"/>
        </w:rPr>
        <w:t>) is determined based on inputs that are observable in the market and have been classified as Level 2 in the fair value hierarchy. Specifically, we</w:t>
      </w:r>
    </w:p>
    <w:p>
      <w:pPr>
        <w:spacing w:after="0" w:line="200" w:lineRule="exact"/>
        <w:rPr>
          <w:rFonts w:ascii="Arial" w:cs="Arial" w:eastAsia="Arial" w:hAnsi="Arial"/>
          <w:sz w:val="17"/>
          <w:szCs w:val="17"/>
          <w:u w:val="single" w:color="auto"/>
          <w:color w:val="0000EE"/>
        </w:rPr>
      </w:pPr>
    </w:p>
    <w:p>
      <w:pPr>
        <w:spacing w:after="0" w:line="213"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estimated the fair value of the Exchangeable Notes based on readily available external pricing information, quoted market prices, and current market rates for similar convertible debt instruments.</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Uniti is required to make $490.1 million of cash payments to Windstream in equal installments over 20 consecutive quarters beginning the first month after Windstream’s emergence (the “Settlement Payable”). </w:t>
      </w:r>
      <w:r>
        <w:rPr>
          <w:rFonts w:ascii="Arial" w:cs="Arial" w:eastAsia="Arial" w:hAnsi="Arial"/>
          <w:sz w:val="17"/>
          <w:szCs w:val="17"/>
          <w:u w:val="single" w:color="auto"/>
          <w:color w:val="auto"/>
        </w:rPr>
        <w:t>See Note 14</w:t>
      </w:r>
      <w:r>
        <w:rPr>
          <w:rFonts w:ascii="Arial" w:cs="Arial" w:eastAsia="Arial" w:hAnsi="Arial"/>
          <w:sz w:val="17"/>
          <w:szCs w:val="17"/>
          <w:color w:val="auto"/>
          <w:highlight w:val="white"/>
        </w:rPr>
        <w:t>. The Settlement Payable is recorded at fair value, using the present value of future cash</w:t>
      </w:r>
      <w:r>
        <w:rPr>
          <w:rFonts w:ascii="Arial" w:cs="Arial" w:eastAsia="Arial" w:hAnsi="Arial"/>
          <w:sz w:val="17"/>
          <w:szCs w:val="17"/>
          <w:color w:val="auto"/>
        </w:rPr>
        <w:t xml:space="preserve"> flows. The future cash flows are discounted using discount rate input based on observable market data. Accordingly, we classify inputs used as Level 2 in the fair value hierarchy. The remaining fair value of the Settlement Payable is $378.7 million and is reported on our Condensed Consolidated Balance Sheet at June 30, 2021. There have been no changes in the valuation methodologies used since the initial recording.</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acquired Tower Cloud, Inc. (“Tower Cloud”) on August 31, 2016. As part of the Tower Cloud acquisition, we were obligated to pay contingent consideration upon achievement of certain defined operational and financial milestones from the date of acquisition through December 31, 2021. During the three months ended March 31, 2021, the Company paid $3.0 million for the achievement of the final remaining milestone in accordance with the Tower Cloud merger agreement. During the six months ended June 30, 2020, we paid $7.1 million for the achievement of certain milestones in accordance with the Tower Cloud merger agreement.</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Changes in the fair value of contingent consideration arrangements are recorded in our Condensed Consolidated Statements of Income (Loss) in the period in which the change occurs. The final measurement of the contingent consideration was recorded during the three months ended March 31, 2021, resulting in an increase in the fair value of less than $0.1 million. For the three and six months ended June 30, 2020, there was a $4.6 million and $6.1 million, respectively, increase in the fair value of the contingent consideration that was recorded in other (income) expense on the Condensed Consolidated Statements of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our liabilities measured at fair value on a recurring basis using unobservable inputs (Level 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1"/>
              </w:rPr>
              <w:t>December 31, 2020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(Gain)/Loss included in</w:t>
            </w:r>
          </w:p>
        </w:tc>
        <w:tc>
          <w:tcPr>
            <w:tcW w:w="240" w:type="dxa"/>
            <w:vAlign w:val="bottom"/>
          </w:tcPr>
          <w:p>
            <w:pPr>
              <w:spacing w:after="0"/>
              <w:rPr>
                <w:sz w:val="14"/>
                <w:szCs w:val="14"/>
                <w:color w:val="auto"/>
              </w:rPr>
            </w:pPr>
          </w:p>
        </w:tc>
        <w:tc>
          <w:tcPr>
            <w:tcW w:w="156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Settlements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171"/>
        </w:trPr>
        <w:tc>
          <w:tcPr>
            <w:tcW w:w="30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rPr>
              <w:t>Transfers into Level 3</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5"/>
              </w:rPr>
              <w:t>earnings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4"/>
              </w:rPr>
              <w:t>(2,979)</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92"/>
              </w:rPr>
              <w:t>Note 8. Property, Plant and Equipment</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120" w:type="dxa"/>
            <w:vAlign w:val="bottom"/>
            <w:gridSpan w:val="7"/>
          </w:tcPr>
          <w:p>
            <w:pPr>
              <w:spacing w:after="0"/>
              <w:rPr>
                <w:sz w:val="20"/>
                <w:szCs w:val="20"/>
                <w:color w:val="auto"/>
              </w:rPr>
            </w:pPr>
            <w:r>
              <w:rPr>
                <w:rFonts w:ascii="Arial" w:cs="Arial" w:eastAsia="Arial" w:hAnsi="Arial"/>
                <w:sz w:val="18"/>
                <w:szCs w:val="18"/>
                <w:color w:val="auto"/>
                <w:w w:val="98"/>
              </w:rPr>
              <w:t>The carrying value of property, plant and equipment is as follows: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Depreciable Lives</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8"/>
              </w:rPr>
              <w:t>June 30, 2021</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27,936</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3 - 40 years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358,570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351,305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Poles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273,934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266,758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Fiber</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3,875,028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3,737,372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5 - 7 years</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314,256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Copper</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20 years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3,902,265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3,850,987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Conduit</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89,960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Tower assets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20 years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71,444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15 - 20 years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10,644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Corporate assets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3 - 7 years</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13,829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gridSpan w:val="4"/>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85,562</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9,031,972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8,776,840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(5,631,217)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(5,503,487)</w:t>
            </w: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3,400,755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3,273,353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auto"/>
        </w:rPr>
        <w:t>(1) See our Annual Report for property, plant and equipment accounting policies.</w:t>
      </w:r>
    </w:p>
    <w:p>
      <w:pPr>
        <w:spacing w:after="0" w:line="2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expense for the three and six months ended June 30, 2021 was $64.9 million and $131.1 million, respectively. Depreciation expense for the three and six months ended June 30, 2020 was $77.2 million and $155.0 million,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Instruments and Hedging Activities</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2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 xml:space="preserve">On April 27, 2015, we entered into fixed for floating interest rate swap agreements to mitigate the interest rate risk inherent in our variable rate senior secured term loan B facility. These interest rate swaps were designated as cash flow hedges and have a notional value of $2.01 billion and mature on October 24, 2022. </w:t>
      </w:r>
      <w:r>
        <w:rPr>
          <w:rFonts w:ascii="Arial" w:cs="Arial" w:eastAsia="Arial" w:hAnsi="Arial"/>
          <w:sz w:val="18"/>
          <w:szCs w:val="18"/>
          <w:color w:val="1F2322"/>
        </w:rPr>
        <w:t>As result of the repayment of the Company’s senior secured term loan B facility in February 2020, the Company entered into receive-fixed interest rate swaps to offset its existing pay-fixed interest rate swaps. As a result, the Company discontinued hedge accounting as the hedge accounting requirements were no longer met. Amounts in accumulated other comprehensive (loss) income as of the date of de-designation, will be reclassified to interest expense as the hedged transactions impact earnings. Prospectively, changes in fair value of all interest rate swaps will be recorded directly to earnings.</w:t>
      </w:r>
    </w:p>
    <w:p>
      <w:pPr>
        <w:spacing w:after="0" w:line="19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1F2322"/>
        </w:rPr>
        <w:t>The Company has elected to offset derivative positions that are subject to master netting arrangements with the same counterparty in our Condensed Consolidated Balance Sheets. The following tables present the gross amounts of our derivative instruments subject to master netting arrangements with the same counterparty as of June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1"/>
              </w:rPr>
              <w:t>Gross Amounts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Gross Amounts Offset 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Amounts of Assets or</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the Condensed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Liabilities presented in the</w:t>
            </w:r>
          </w:p>
        </w:tc>
        <w:tc>
          <w:tcPr>
            <w:tcW w:w="0" w:type="dxa"/>
            <w:vAlign w:val="bottom"/>
          </w:tcPr>
          <w:p>
            <w:pPr>
              <w:spacing w:after="0"/>
              <w:rPr>
                <w:sz w:val="1"/>
                <w:szCs w:val="1"/>
                <w:color w:val="auto"/>
              </w:rPr>
            </w:pPr>
          </w:p>
        </w:tc>
      </w:tr>
      <w:tr>
        <w:trPr>
          <w:trHeight w:val="149"/>
        </w:trPr>
        <w:tc>
          <w:tcPr>
            <w:tcW w:w="4800" w:type="dxa"/>
            <w:vAlign w:val="bottom"/>
            <w:vMerge w:val="restart"/>
          </w:tcPr>
          <w:p>
            <w:pPr>
              <w:spacing w:after="0"/>
              <w:rPr>
                <w:sz w:val="20"/>
                <w:szCs w:val="20"/>
                <w:color w:val="auto"/>
              </w:rPr>
            </w:pPr>
            <w:r>
              <w:rPr>
                <w:rFonts w:ascii="Arial" w:cs="Arial" w:eastAsia="Arial" w:hAnsi="Arial"/>
                <w:sz w:val="18"/>
                <w:szCs w:val="18"/>
                <w:color w:val="auto"/>
              </w:rPr>
              <w:t>Offsetting of Derivative Assets and Liabilities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7"/>
              </w:rPr>
              <w:t>Recognized Assets 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71"/>
        </w:trPr>
        <w:tc>
          <w:tcPr>
            <w:tcW w:w="4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Sheets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June 30, 2021</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19,965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(19,965)</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19,965</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(19,965)</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(19,965)</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36,751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(19,965)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1"/>
              </w:rPr>
              <w:t>Gross Amounts of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Gross Amounts Offset in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Net Amounts of Assets or</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the Condensed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Liabilities presented in the</w:t>
            </w:r>
          </w:p>
        </w:tc>
        <w:tc>
          <w:tcPr>
            <w:tcW w:w="0" w:type="dxa"/>
            <w:vAlign w:val="bottom"/>
          </w:tcPr>
          <w:p>
            <w:pPr>
              <w:spacing w:after="0"/>
              <w:rPr>
                <w:sz w:val="1"/>
                <w:szCs w:val="1"/>
                <w:color w:val="auto"/>
              </w:rPr>
            </w:pPr>
          </w:p>
        </w:tc>
      </w:tr>
      <w:tr>
        <w:trPr>
          <w:trHeight w:val="149"/>
        </w:trPr>
        <w:tc>
          <w:tcPr>
            <w:tcW w:w="4800" w:type="dxa"/>
            <w:vAlign w:val="bottom"/>
            <w:vMerge w:val="restart"/>
          </w:tcPr>
          <w:p>
            <w:pPr>
              <w:spacing w:after="0"/>
              <w:rPr>
                <w:sz w:val="20"/>
                <w:szCs w:val="20"/>
                <w:color w:val="auto"/>
              </w:rPr>
            </w:pPr>
            <w:r>
              <w:rPr>
                <w:rFonts w:ascii="Arial" w:cs="Arial" w:eastAsia="Arial" w:hAnsi="Arial"/>
                <w:sz w:val="18"/>
                <w:szCs w:val="18"/>
                <w:color w:val="auto"/>
              </w:rPr>
              <w:t>Offsetting of Derivative Assets and Liabilities (Thousands)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87"/>
              </w:rPr>
              <w:t>Recognized Assets or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71"/>
        </w:trPr>
        <w:tc>
          <w:tcPr>
            <w:tcW w:w="4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Sheets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2020</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27,869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(27,869)</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27,869</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(27,869)</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rate swaps</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50,766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ind w:left="1180"/>
              <w:spacing w:after="0"/>
              <w:rPr>
                <w:sz w:val="20"/>
                <w:szCs w:val="20"/>
                <w:color w:val="auto"/>
              </w:rPr>
            </w:pPr>
            <w:r>
              <w:rPr>
                <w:rFonts w:ascii="Arial" w:cs="Arial" w:eastAsia="Arial" w:hAnsi="Arial"/>
                <w:sz w:val="18"/>
                <w:szCs w:val="18"/>
                <w:color w:val="auto"/>
              </w:rPr>
              <w:t>(27,869)</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50,766</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0"/>
              </w:rPr>
              <w:t>(27,869)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Location on Condensed</w:t>
            </w: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300" w:type="dxa"/>
            <w:vAlign w:val="bottom"/>
          </w:tcPr>
          <w:p>
            <w:pPr>
              <w:spacing w:after="0"/>
              <w:rPr>
                <w:sz w:val="12"/>
                <w:szCs w:val="12"/>
                <w:color w:val="auto"/>
              </w:rPr>
            </w:pPr>
          </w:p>
        </w:tc>
        <w:tc>
          <w:tcPr>
            <w:tcW w:w="1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2"/>
                <w:szCs w:val="12"/>
                <w:color w:val="auto"/>
              </w:rPr>
            </w:pPr>
          </w:p>
        </w:tc>
        <w:tc>
          <w:tcPr>
            <w:tcW w:w="1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71"/>
        </w:trPr>
        <w:tc>
          <w:tcPr>
            <w:tcW w:w="49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Sheets</w:t>
            </w:r>
          </w:p>
        </w:tc>
        <w:tc>
          <w:tcPr>
            <w:tcW w:w="3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Derivative liability, net</w:t>
            </w: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June 30, 2021, all of the interest rate swaps were valued in net unrealized loss positions and recognized as liability balances within the derivative liability, net in our Condensed Consolidated Balance Sheets. As hedge accounting is no longer applied beginning in February 2020, the unrealized loss amounts are now being recorded directly to earnings. The amount reclassified out of other comprehensive income into interest expense on our Condensed Consolidated Statements of Loss for the three and six months ended June 30, 2021 was $2.8 million and $5.7 million, respectively. The amount reclassified out of other comprehensive income into interest expense on our Condensed Consolidated Statements of Loss for the three and six months ended June 30, 2020 was $2.8 million and $5.2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During the next twelve months, beginning July 1, 2021, we estimate that $11.3 million will be reclassified as an increase to interest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52" w:lineRule="exact"/>
        <w:rPr>
          <w:sz w:val="20"/>
          <w:szCs w:val="20"/>
          <w:color w:val="auto"/>
        </w:rPr>
      </w:pPr>
    </w:p>
    <w:p>
      <w:pPr>
        <w:ind w:right="40"/>
        <w:spacing w:after="0" w:line="287" w:lineRule="auto"/>
        <w:rPr>
          <w:rFonts w:ascii="Arial" w:cs="Arial" w:eastAsia="Arial" w:hAnsi="Arial"/>
          <w:sz w:val="16"/>
          <w:szCs w:val="16"/>
          <w:color w:val="auto"/>
        </w:rPr>
      </w:pPr>
      <w:r>
        <w:rPr>
          <w:rFonts w:ascii="Arial" w:cs="Arial" w:eastAsia="Arial" w:hAnsi="Arial"/>
          <w:sz w:val="16"/>
          <w:szCs w:val="16"/>
          <w:color w:val="auto"/>
        </w:rPr>
        <w:t>On June 25, 2019, concurrently with the pricing of the Exchangeable Notes (</w:t>
      </w:r>
      <w:hyperlink w:anchor="page25">
        <w:r>
          <w:rPr>
            <w:rFonts w:ascii="Arial" w:cs="Arial" w:eastAsia="Arial" w:hAnsi="Arial"/>
            <w:sz w:val="16"/>
            <w:szCs w:val="16"/>
            <w:u w:val="single" w:color="auto"/>
            <w:color w:val="auto"/>
          </w:rPr>
          <w:t>see Note 11</w:t>
        </w:r>
      </w:hyperlink>
      <w:r>
        <w:rPr>
          <w:rFonts w:ascii="Arial" w:cs="Arial" w:eastAsia="Arial" w:hAnsi="Arial"/>
          <w:sz w:val="16"/>
          <w:szCs w:val="16"/>
          <w:color w:val="auto"/>
        </w:rPr>
        <w:t>), and on June 27, 2019, concurrently with the exercise by the initial purchasers involved in the offering of the Exchangeable Notes (the “Initial Purchasers”) of their option to purchase additional Exchangeable Notes, Uniti Fiber, the issuer of the Exchangeable Notes, entered into exchangeable note hedge transactions with respect to the Company’s common stock (the “Note Hedge Transactions”) with certain of the Initial Purchasers or their respective affiliates (collectively,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-1555115</wp:posOffset>
            </wp:positionV>
            <wp:extent cx="5353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5305" cy="8255"/>
                    </a:xfrm>
                    <a:prstGeom prst="rect">
                      <a:avLst/>
                    </a:prstGeom>
                    <a:noFill/>
                  </pic:spPr>
                </pic:pic>
              </a:graphicData>
            </a:graphic>
          </wp:anchor>
        </w:drawing>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Note Hedge Transactions are separate transactions, entered into by Uniti Fiber with the Counterparties, and are not part of the terms of the Exchangeable Notes. Holders of the Exchangeable Notes will not have any rights with respect to the Note Hedge Transactions. The Note Hedge Transactions meet certain accounting criteria under GAAP, are recorded in additional paid-in capital on our Condensed Consolidated Balance Sheets and are not accounted for as derivatives that are remeasured each reporting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Transactions</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(the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Warrants are separate transactions, entered into by the Company with the Counterparties, and are not part of the terms of the Exchangeable Notes. Holders of the Exchangeable Notes will not have any rights with respect to the Warrants. The Warrants meet certain accounting criteria under GAAP, are recorded in additional paid-in capital on our Condensed Consolidated Balance Sheets and are not accounted for as derivatives that are remeasured each reporting period.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 Assets and Liabilities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There were no changes in the carrying amount of goodwill occurring during the three and six months ended June 30, 2021. The balance of goodwill recorded in our Fiber Infrastructure segment as of June 30, 2021 and December 31, 2020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64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Fiber Infrastructure</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at December 31, 2020</w:t>
            </w:r>
          </w:p>
        </w:tc>
        <w:tc>
          <w:tcPr>
            <w:tcW w:w="1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3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Goodwill at June 30, 2021</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601,878</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64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gridSpan w:val="7"/>
          </w:tcPr>
          <w:p>
            <w:pPr>
              <w:jc w:val="right"/>
              <w:ind w:right="12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3"/>
        </w:trPr>
        <w:tc>
          <w:tcPr>
            <w:tcW w:w="3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Original</w:t>
            </w: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tcPr>
          <w:p>
            <w:pPr>
              <w:ind w:left="100"/>
              <w:spacing w:after="0" w:line="13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780" w:type="dxa"/>
            <w:vAlign w:val="bottom"/>
            <w:tcBorders>
              <w:top w:val="single" w:sz="8" w:color="auto"/>
            </w:tcBorders>
            <w:gridSpan w:val="4"/>
          </w:tcPr>
          <w:p>
            <w:pPr>
              <w:jc w:val="right"/>
              <w:ind w:right="700"/>
              <w:spacing w:after="0" w:line="133" w:lineRule="exact"/>
              <w:rPr>
                <w:sz w:val="20"/>
                <w:szCs w:val="20"/>
                <w:color w:val="auto"/>
              </w:rPr>
            </w:pPr>
            <w:r>
              <w:rPr>
                <w:rFonts w:ascii="Arial" w:cs="Arial" w:eastAsia="Arial" w:hAnsi="Arial"/>
                <w:sz w:val="14"/>
                <w:szCs w:val="14"/>
                <w:b w:val="1"/>
                <w:bCs w:val="1"/>
                <w:color w:val="auto"/>
              </w:rPr>
              <w:t>Original</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336"/>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Cost</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Amortization</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7"/>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Finite life intangible assets:</w:t>
            </w:r>
          </w:p>
        </w:tc>
        <w:tc>
          <w:tcPr>
            <w:tcW w:w="140" w:type="dxa"/>
            <w:vAlign w:val="bottom"/>
            <w:tcBorders>
              <w:top w:val="single" w:sz="8" w:color="CFF0FC"/>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Customer lists</w:t>
            </w:r>
          </w:p>
        </w:tc>
        <w:tc>
          <w:tcPr>
            <w:tcW w:w="126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416,104</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(94,426)</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416,104</w:t>
            </w:r>
          </w:p>
        </w:tc>
        <w:tc>
          <w:tcPr>
            <w:tcW w:w="1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(82,989)</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Contracts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52,536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(4,925)</w:t>
            </w:r>
          </w:p>
        </w:tc>
        <w:tc>
          <w:tcPr>
            <w:tcW w:w="10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48,269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Underlying Rights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10,497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(262)</w:t>
            </w:r>
          </w:p>
        </w:tc>
        <w:tc>
          <w:tcPr>
            <w:tcW w:w="10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10,497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gridSpan w:val="2"/>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6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479,137</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474,870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8"/>
              </w:rPr>
              <w:t>(99,613)</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7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(84,145)</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 intangible assets, net</w:t>
            </w: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3640" w:type="dxa"/>
            <w:vAlign w:val="bottom"/>
            <w:vMerge w:val="continue"/>
          </w:tcPr>
          <w:p>
            <w:pPr>
              <w:spacing w:after="0"/>
              <w:rPr>
                <w:sz w:val="24"/>
                <w:szCs w:val="24"/>
                <w:color w:val="auto"/>
              </w:rPr>
            </w:pPr>
          </w:p>
        </w:tc>
        <w:tc>
          <w:tcPr>
            <w:tcW w:w="126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379,524</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390,725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Finite life intangible liabilities: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Below-market leases</w:t>
            </w:r>
          </w:p>
        </w:tc>
        <w:tc>
          <w:tcPr>
            <w:tcW w:w="1260" w:type="dxa"/>
            <w:vAlign w:val="bottom"/>
            <w:gridSpan w:val="2"/>
            <w:shd w:val="clear" w:color="auto" w:fill="CFF0FC"/>
          </w:tcPr>
          <w:p>
            <w:pPr>
              <w:jc w:val="right"/>
              <w:ind w:right="9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191,154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60" w:type="dxa"/>
            <w:vAlign w:val="bottom"/>
            <w:gridSpan w:val="4"/>
            <w:shd w:val="clear" w:color="auto" w:fill="CFF0FC"/>
          </w:tcPr>
          <w:p>
            <w:pPr>
              <w:jc w:val="right"/>
              <w:ind w:right="180"/>
              <w:spacing w:after="0"/>
              <w:rPr>
                <w:sz w:val="20"/>
                <w:szCs w:val="20"/>
                <w:color w:val="auto"/>
              </w:rPr>
            </w:pPr>
            <w:r>
              <w:rPr>
                <w:rFonts w:ascii="Arial" w:cs="Arial" w:eastAsia="Arial" w:hAnsi="Arial"/>
                <w:sz w:val="18"/>
                <w:szCs w:val="18"/>
                <w:color w:val="auto"/>
              </w:rPr>
              <w:t>(8,021)</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190,086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36"/>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Finite life intangible liabilities:</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Below-market leases</w:t>
            </w:r>
          </w:p>
        </w:tc>
        <w:tc>
          <w:tcPr>
            <w:tcW w:w="126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191,154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190,086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(8,021)</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7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 intangible liabilities, net</w:t>
            </w: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40" w:type="dxa"/>
            <w:vAlign w:val="bottom"/>
            <w:vMerge w:val="continue"/>
          </w:tcPr>
          <w:p>
            <w:pPr>
              <w:spacing w:after="0"/>
              <w:rPr>
                <w:sz w:val="20"/>
                <w:szCs w:val="20"/>
                <w:color w:val="auto"/>
              </w:rPr>
            </w:pPr>
          </w:p>
        </w:tc>
        <w:tc>
          <w:tcPr>
            <w:tcW w:w="1260" w:type="dxa"/>
            <w:vAlign w:val="bottom"/>
            <w:gridSpan w:val="2"/>
          </w:tcPr>
          <w:p>
            <w:pPr>
              <w:jc w:val="right"/>
              <w:ind w:right="96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183,133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187,886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June 30, 2021, the remaining weighted average amortization period of the Company’s intangible assets and liabilities was 15.3 years and 18.4 years, respectively. Amortization expense for the three and six months ended June 30, 2021 was $4.7 million and $9.5 million, respectively. Amortization expense for the three and six months ended June 30, 2020 was $7.8 million and $16.1 million, respectively.</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expense is estimated to be $19.1 million for the full year of 2021, $19.1 million in 2022, $19.0 million in 2023, $19.0 million in 2024, and $19.0 million for 2025.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Notes and Other Debt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4"/>
                <w:szCs w:val="14"/>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36"/>
        </w:trPr>
        <w:tc>
          <w:tcPr>
            <w:tcW w:w="6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1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4,970,000</w:t>
            </w:r>
          </w:p>
        </w:tc>
        <w:tc>
          <w:tcPr>
            <w:tcW w:w="1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4,965,000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30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(85,590)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(148,476)</w:t>
            </w:r>
          </w:p>
        </w:tc>
        <w:tc>
          <w:tcPr>
            <w:tcW w:w="0" w:type="dxa"/>
            <w:vAlign w:val="bottom"/>
          </w:tcPr>
          <w:p>
            <w:pPr>
              <w:spacing w:after="0"/>
              <w:rPr>
                <w:sz w:val="1"/>
                <w:szCs w:val="1"/>
                <w:color w:val="auto"/>
              </w:rPr>
            </w:pPr>
          </w:p>
        </w:tc>
      </w:tr>
      <w:tr>
        <w:trPr>
          <w:trHeight w:val="237"/>
        </w:trPr>
        <w:tc>
          <w:tcPr>
            <w:tcW w:w="7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4,884,410</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4,816,524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554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at June 30, 2021 and December 31, 2020 consisted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4"/>
                <w:szCs w:val="14"/>
                <w:color w:val="auto"/>
              </w:rPr>
            </w:pPr>
          </w:p>
        </w:tc>
        <w:tc>
          <w:tcPr>
            <w:tcW w:w="28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96"/>
              <w:spacing w:after="0" w:line="133" w:lineRule="exact"/>
              <w:rPr>
                <w:sz w:val="20"/>
                <w:szCs w:val="20"/>
                <w:color w:val="auto"/>
              </w:rPr>
            </w:pPr>
            <w:r>
              <w:rPr>
                <w:rFonts w:ascii="Arial" w:cs="Arial" w:eastAsia="Arial" w:hAnsi="Arial"/>
                <w:sz w:val="14"/>
                <w:szCs w:val="14"/>
                <w:b w:val="1"/>
                <w:bCs w:val="1"/>
                <w:color w:val="auto"/>
                <w:w w:val="96"/>
              </w:rPr>
              <w:t>Unamortized</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96"/>
              <w:spacing w:after="0" w:line="133" w:lineRule="exact"/>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Discount,</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Discount,</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Premium and</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22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Debt Issuance</w:t>
            </w: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Costs</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Senior secured notes - 6.00%, due April 15, 2023</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6.49%)</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secured notes - 7.875%, due February 15, 2025</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8.38%)</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(35,730)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(39,852)</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secured notes - 4.75%, due April 15, 2028</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5.04%)</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(9,479)</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unsecured notes - 8.25%, due October 15, 2023</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9.06%)</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(22,024)</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- 4.00%, due June 15, 2024</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4.77%)</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(7,359)</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(69,608)</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unsecured notes - 7.125% due December 15, 2024</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7.38%)</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(4,794)</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- 6.50%, due February 15, 2029</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6.83%)</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(21,668)</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w w:val="93"/>
              </w:rPr>
              <w:t>Senior secured revolving credit facility, variable rate, due December</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10, 2024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95,000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(6,560)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4,970,000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(85,590)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4,965,000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(148,476)</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At June 30, 2021, notes and other debt included the following: (i) $95.0 million under the Revolving Credit Facility (as defined below) pursuant to the credit agreement by and among Uniti Group LP, Uniti Group Finance 2019 Inc. and CSL Capital, LLC (the “Borrowers”), the guarantors and lenders party thereto and Bank of America, N.A., as administrative agent and collateral agent (the “Credit Agreement”); (ii) $2.25 billion aggregate principal amount of 7.875% senior secured notes due 2025 (the “2025 Secured Notes”); (iii) $570.0 million aggregate principal amount of 4.75% Senior Secured Notes due 2028 (the “2028 Secured Notes”); (iv) $600.0 million aggregate principal amount of 7.125% Senior Unsecured Notes due December 15, 2024 (the “2024 Notes”); (v) $1.11 billion aggregate principal amount of 6.50% Senior Notes due February 15, 2029 (the “2029 Notes”); and (vi) $345.0 million aggregate principal amount of 4.00% Exchangeable Senior Notes due June 15, 2024 (the “Exchangeable Notes” and, collectively with the 2025 Secured Notes, 2028 Notes, 2024 Notes and 2029 Notes, the Notes). Until our net leverage ratio is below 5.75 : 1.00, our 2025 Secured Notes limit our ability to make cash distributions to our shareholders in amounts exceeding 90% of our good faith estimate, as of the date on which the first quarterly dividend for the relevant year is declared, of our REIT taxable income for such year, determined without regard to the dividends paid deduction and excluding any capital</w:t>
      </w:r>
    </w:p>
    <w:p>
      <w:pPr>
        <w:spacing w:after="0" w:line="5"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gains. Except as disclosed below with respect to the 2029 Notes and the 2028 Secured Notes, the terms of the Notes are as described in the Company’s Annual Report.</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2, 2021, the Borrowers, as co-issuers, issued $1.11 billion aggregate principal of the 2029 Notes and used the net proceeds to fund the tender offer of substantially all outstanding $1.11 billion aggregate principal amount of 8.25% Senior Unsecured Notes due October 15, 2023 (the “2023 Notes”), of which $58.8 million remained outstanding as of March 31, 2021. On April 15, 2021, the Borrowers redeemed the $58.8 million remaining outstanding principal amount of the 2023 Notes. During the three months ended March 31, 2021, we recognized a $38.0 million loss on the tendered 2023 Notes within interest expense, net on the Condensed Consolidated States of Income (loss), which included $20.4 million of non-cash interest expense for the write off of the unamortized discount and deferred financing costs and $17.6 million of cash interest expense for the tender premium. The remaining unamortized discount and deferred financing costs of $1.1 million was written off on April 15, 2021 when the outstanding principal amount was repaid.</w:t>
      </w:r>
    </w:p>
    <w:p>
      <w:pPr>
        <w:spacing w:after="0" w:line="166"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The 2029 Notes were issued at an issue price of 100% of their principal amount pursuant to an indenture, dated as of February 2, 2021 (the “2029 Indenture”), among the Borrowers, the guarantors named therein and Deutsche Bank Trust Company Americas, as trustee.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2029 Notes mature on February 15, 2029 and bear interest at a rate of 6.50% per year. Interest on the 2029 Notes is payable on February 15 and August 15 of each year, beginning on August 15, 2021.</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Borrowers may redeem the 2029 Notes, in whole or in part, at any time prior to February 15, 2024 at a redemption price equal to 100% of the principal amount of the 2029 Notes redeemed plus accrued and unpaid interest on the 2029 Notes, if any, to, but not including the redemption date, plus an applicable “make whole” premium described in the 2029 Indenture. Thereafter, the Borrowers may redeem the 2029 Notes in whole or in part, at the redemption prices set forth in the 2029 Indenture. In addition, at any time on or prior to February 15, 2024, up to 40% of the aggregate principal amount of the 2029 Notes may be redeemed with the net cash proceeds of certain equity offerings, at a redemption price of 106.500% of the principal amount, plus accrued and unpaid interest, if any, to, but excluding, the redemption date; provided that at least 60% of aggregate principal amount of the originally issued 2029 Notes remains outstanding. Further, if certain changes of control of Uniti Group LP occur, holders of the 2029 Notes will have the right to require the Borrowers to offer to repurchase their 2029 Notes at 101% of their principal amount plus accrued and unpaid interest, if any, to, but excluding, the repurchase date.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2029 Notes are fully and unconditionally guaranteed, jointly and severally, on a senior unsecured basis by the Company and by each of Uniti Group LP’s existing and future domestic restricted subsidiaries (other than the Borrowers) that guarantees indebtedness under the Company’s senior secured credit facilities. The guarantees are subject to release under specified circumstances, including certain circumstances in which such guarantees may be automatically released without the consent of the holders of the 2029 Notes.</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2029 Indenture contains customary high yield covenants limiting the ability of Uniti Group LP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of the Borrowers and their restricted subsidiaries to pay dividends or other amounts to the Borrowers. These covenants are subject to a number of limitations, qualifications and exceptions. The 2029 Indenture also contains customary events of default.</w:t>
      </w:r>
    </w:p>
    <w:p>
      <w:pPr>
        <w:spacing w:after="0" w:line="16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April 20, 2021, the Borrowers issued $570 million aggregate principal amount of 4.750% Senior Secured Notes due 2028 and used the net proceeds from the offering to fund the redemption in full of the $550.0 million aggregate principal amount of 6.00% Senior Secured Notes due April 15, 2023 (the “2023 Secured Notes”) on May 6, 2021. On April 20, 2021, the Borrowers deposited amounts sufficient to fund the redemption of the 2023 Secured Notes with the trustee and satisfied and discharged their respective obligations under the indenture governing the 2023 Secured Notes. During the three months ended June 30, 2021, we recognized a $4.3 million loss on the extinguishment of the 2023 Secured Notes within interest expense, net on the Condensed Consolidated States of Income (loss), which included $1.3 million of non-cash interest expense for the write off of the unamortized discount and deferred financing costs and $3.0 million of cash interest expense for the redemption premium.</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2028 Secured Notes were issued at an issue price of 100% of their principal amount pursuant to an Indenture, dated as of April 20, 2021 (the “2028 Indenture”), among the Borrowers, the guarantors named therein and Deutsche Bank Trust Company Americas, as trustee and as collateral agent. The 2028 Secured Notes mature on April 15, 2028 and bear interest at a rate of 4.750% per year. Interest on the 2028 Secured Notes is payable on April 15 and October 15 of each year, beginning on October 15, 2021.</w:t>
      </w:r>
    </w:p>
    <w:p>
      <w:pPr>
        <w:spacing w:after="0" w:line="187"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The Borrowers may redeem the 2028 Secured Notes, in whole or in part, at any time prior to April 15, 2024 at a redemption price equal to 100% of the principal amount of the 2028 Secured Notes redeemed plus accrued and unpaid interest on the 2028 Secured Notes, if any, to, but not including, the redemption date, plus an applicable “make whole” premium described in the 2028 Indenture. Thereafter, the Borrowers may redeem the 2028 Secured Notes in whole or in part, at the redemption prices set forth in the 2028 Indenture. In addition, prior to April 15, 2024, the Borrowers may redeem up to 10% of the aggregate principal amount of the 2028 Secured Notes in any twelve month period at a redemption price equal to 103% of the principal amount thereof plus accrued and unpaid interest thereon, if any, to, but not including, the applicable redemption date. Further, at any time on or prior to April 15, 2024, up to 40% of the aggregate principal amount of the 2028 Secured Notes may be redeemed with the net cash proceeds of certain equity offerings at a redemption price of 104.750% of the principal amount plus accrued and unpaid interest, if any, to, but not including, the applicable redemption date; provided that at least 60% of aggregate principal amount of the originally issued 2028 Secured Notes remains outstanding. If certain changes of control of Uniti Group LP occur, holders of the 2028 Secured Notes will have the right to require the Borrowers to offer to repurchase their Notes at 101% of their principal amount plus accrued and unpaid interest, if any, to, but not including, the repurchase date.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2028 Secured Notes are fully and unconditionally guaranteed, jointly and severally, on a senior unsecured basis by the Company and on a senior secured basis by each of the Operating Partnership’s existing and future domestic restricted subsidiaries (other than the Borrowers) that guarantees indebtedness under the senior secured credit facilities (the “Guarantors”). In addition, the Borrowers will use commercially reasonable efforts to obtain necessary regulatory approval to allow certain non-guarantor subsidiaries of the Company to guarantee the 2028 Secured Notes, including by making filings to obtain such approval within 60 days of the issuance of the 2028 Secured Notes. The guarantees are subject to release under specified circumstances, including certain circumstances in which such guarantees may be automatically released without the consent of the holders of the 2028 Secured Notes.</w:t>
      </w:r>
    </w:p>
    <w:p>
      <w:pPr>
        <w:spacing w:after="0" w:line="19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2028 Secured Notes and the related guarantees are the Borrowers’ and the Guarantors’ senior secured obligations and the Company’s senior unsecured obligations and rank equal in right of payment with all of the Borrowers’ and the Guarantors’ existing and future senior unsubordinated obligations; effectively senior to all unsecured indebtedness of the Borrowers and the Guarantors, including the Borrowers’ existing senior unsecured notes, to the extent of the value of the collateral securing the 2028 Secured Notes; effectively equal with all of the Borrowers’ and the Guarantors’ existing and future indebtedness that is secured by first-priority liens on the collateral (including indebtedness under the senior secured credit facilities and existing secured notes); senior in right of payment to any of the Borrowers’ and Guarantors’ future subordinated indebtedness; and structurally subordinated to all existing and future liabilities (including trade payables) of the Company’s subsidiaries (other than the Borrowers) that do not guarantee the 2028 Secured Notes. The 2028 Secured Notes and the related guarantees will also be effectively subordinated to any existing or future indebtedness that is secured by liens on assets that do not constitute a part of the collateral securing the 2028 Secured Notes to the extent of the value of such assets.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2028 Secured Notes and the related guarantees will be secured by liens on substantially all of the assets of the Borrowers and the Guarantors, which assets also ratably secure obligations under the existing secured notes and senior secured credit facilities, in each case, subject to certain exceptions and permitted liens. The collateral will not include real property (below a specified threshold of value), but will include certain fixtures and other equipment as well as cash that we receive pursuant the Windstream Leases.</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2028 Indenture contains customary high yield covenants limiting the ability of Uniti Group LP and its restricted subsidiaries to: incur or guarantee additional indebtedness; incur or guarantee secured indebtedness; pay dividends or distributions on, or redeem or repurchase, capital stock; make certain investments or other restricted payments; sell assets; enter into transactions with affiliates; merge or consolidate or sell all or substantially all of their assets; and create restrictions on the ability of the Borrowers and their restricted subsidiaries to pay dividends or other amounts to the Borrowers. These covenants are subject to a number of limitations, qualifications and exceptions. The 2028 Indenture also contains customary events of default.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Borrowers are party to the Credit Agreement, which after the Seventh Amendment (as defined below), provided for a $60.5 million non-extended revolving credit facility that matures on April 24, 2022 (the “Non-Extended Revolving Credit Facility”) and a $500 million revolving credit facility extended that will mature on December 10, 2024 (the “Extended Revolving Credit Facility” and together with Non-Extended Revolving Credit facility, the “Revolving Credit Facility”), which provide us with the ability to obtain revolving loans as well as swingline loans and letters of credit from time to time.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June 30, 2021, the Borrowers were in compliance with all of the covenants under the Credit Agreement.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10, 2020, we entered into an amendment (the “Seventh Amendment”) to our Credit Agreement. Pursuant to the Seventh Amendment, commitments from new and existing lenders under the Revolving Credit Facility have increased to $500 million and the maturity date of such commitments has been extended to December 10, 2024. Certain non-extending lender commitments of $60.5 million will mature on April 24, 2022 and will continue to bear interest at rates previously in effect. Prior to the expiration of these commitments, the aggregate size of the Revolving Credit Facility will be $560.5 million from all lenders.</w:t>
      </w:r>
    </w:p>
    <w:p>
      <w:pPr>
        <w:spacing w:after="0" w:line="18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Borrowings under (a) the Non-Extended Revolving Credit Facility bear interest at a rate equal to either a base rate plus an applicable margin ranging from 3.75% to 4.25% or a eurodollar rate plus an applicable margin ranging from 4.75% to 5.25% and (b) effective April 17, 2021, following the receipt of certain routine regulatory approvals, the Extended Revolving Credit Facility bear interest at a rate equal to either a base rate plus an applicable margin ranging from 2.75% to 3.50% or a eurodollar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eurodollar borrowings and (B) the average amount available to be drawn under outstanding letters of credit during such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Deferred financing costs were incurred in connection with the issuance of the Notes and the Revolving Credit Facility. These costs are amortized using the effective interest method over the term of the related indebtedness and are included in interest expense in our Condensed Consolidated Statements of Income (Loss). For the three and six months ended June 30, 2021, we recognized $4.1 million and $8.2 million, respectively, of non-cash interest expense related to the amortization of deferred financing costs. For the three and six months ended June 30, 2020, we recognized $4.5 million and $7.5 million, respectively, of non-cash interest expense related to the amortization of deferred financing costs.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Earnings Per Share</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46" w:lineRule="exact"/>
        <w:rPr>
          <w:sz w:val="20"/>
          <w:szCs w:val="20"/>
          <w:color w:val="auto"/>
        </w:rPr>
      </w:pPr>
    </w:p>
    <w:p>
      <w:pPr>
        <w:spacing w:after="0" w:line="275" w:lineRule="auto"/>
        <w:rPr>
          <w:rFonts w:ascii="Arial" w:cs="Arial" w:eastAsia="Arial" w:hAnsi="Arial"/>
          <w:sz w:val="17"/>
          <w:szCs w:val="17"/>
          <w:color w:val="auto"/>
        </w:rPr>
      </w:pPr>
      <w:r>
        <w:rPr>
          <w:rFonts w:ascii="Arial" w:cs="Arial" w:eastAsia="Arial" w:hAnsi="Arial"/>
          <w:sz w:val="17"/>
          <w:szCs w:val="17"/>
          <w:color w:val="auto"/>
        </w:rPr>
        <w:t>The dilutive effect of the Exchangeable Notes (</w:t>
      </w:r>
      <w:hyperlink w:anchor="page25">
        <w:r>
          <w:rPr>
            <w:rFonts w:ascii="Arial" w:cs="Arial" w:eastAsia="Arial" w:hAnsi="Arial"/>
            <w:sz w:val="17"/>
            <w:szCs w:val="17"/>
            <w:u w:val="single" w:color="auto"/>
            <w:color w:val="0000EE"/>
          </w:rPr>
          <w:t>see Note 11</w:t>
        </w:r>
      </w:hyperlink>
      <w:r>
        <w:rPr>
          <w:rFonts w:ascii="Arial" w:cs="Arial" w:eastAsia="Arial" w:hAnsi="Arial"/>
          <w:sz w:val="17"/>
          <w:szCs w:val="17"/>
          <w:color w:val="auto"/>
        </w:rPr>
        <w:t>)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hyperlink w:anchor="page23">
        <w:r>
          <w:rPr>
            <w:rFonts w:ascii="Arial" w:cs="Arial" w:eastAsia="Arial" w:hAnsi="Arial"/>
            <w:sz w:val="17"/>
            <w:szCs w:val="17"/>
            <w:u w:val="single" w:color="auto"/>
            <w:color w:val="0000EE"/>
          </w:rPr>
          <w:t>see Note 9</w:t>
        </w:r>
      </w:hyperlink>
      <w:r>
        <w:rPr>
          <w:rFonts w:ascii="Arial" w:cs="Arial" w:eastAsia="Arial" w:hAnsi="Arial"/>
          <w:sz w:val="17"/>
          <w:szCs w:val="17"/>
          <w:color w:val="auto"/>
        </w:rPr>
        <w:t>) is calculated using the treasury-stock method. During the three and six months ended June 30, 2021 and 2020, the Warrants were excluded from diluted shares outstanding because the exercise price exceeded the average market price of our common stock for the reporting period.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320" w:type="dxa"/>
            <w:vAlign w:val="bottom"/>
          </w:tcPr>
          <w:p>
            <w:pPr>
              <w:spacing w:after="0"/>
              <w:rPr>
                <w:sz w:val="14"/>
                <w:szCs w:val="14"/>
                <w:color w:val="auto"/>
              </w:rPr>
            </w:pPr>
          </w:p>
        </w:tc>
        <w:tc>
          <w:tcPr>
            <w:tcW w:w="30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8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7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shareholders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48,907</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(587,744)</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44,469</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(666,597)</w:t>
            </w:r>
          </w:p>
        </w:tc>
        <w:tc>
          <w:tcPr>
            <w:tcW w:w="0" w:type="dxa"/>
            <w:vAlign w:val="bottom"/>
          </w:tcPr>
          <w:p>
            <w:pPr>
              <w:spacing w:after="0"/>
              <w:rPr>
                <w:sz w:val="1"/>
                <w:szCs w:val="1"/>
                <w:color w:val="auto"/>
              </w:rPr>
            </w:pPr>
          </w:p>
        </w:tc>
      </w:tr>
      <w:tr>
        <w:trPr>
          <w:trHeight w:val="229"/>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60"/>
              <w:spacing w:after="0"/>
              <w:rPr>
                <w:sz w:val="20"/>
                <w:szCs w:val="20"/>
                <w:color w:val="auto"/>
              </w:rPr>
            </w:pPr>
            <w:r>
              <w:rPr>
                <w:rFonts w:ascii="Arial" w:cs="Arial" w:eastAsia="Arial" w:hAnsi="Arial"/>
                <w:sz w:val="18"/>
                <w:szCs w:val="18"/>
                <w:color w:val="auto"/>
              </w:rPr>
              <w:t>Net income (loss) attributable to common shares</w:t>
            </w: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(588,169)</w:t>
            </w:r>
          </w:p>
        </w:tc>
        <w:tc>
          <w:tcPr>
            <w:tcW w:w="240" w:type="dxa"/>
            <w:vAlign w:val="bottom"/>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231,801</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192,479</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231,636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Basic earnings (loss) per common share</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320" w:type="dxa"/>
            <w:vAlign w:val="bottom"/>
          </w:tcPr>
          <w:p>
            <w:pPr>
              <w:spacing w:after="0"/>
              <w:rPr>
                <w:sz w:val="24"/>
                <w:szCs w:val="24"/>
                <w:color w:val="auto"/>
              </w:rPr>
            </w:pPr>
          </w:p>
        </w:tc>
        <w:tc>
          <w:tcPr>
            <w:tcW w:w="30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24"/>
                <w:szCs w:val="24"/>
                <w:color w:val="auto"/>
              </w:rPr>
            </w:pPr>
          </w:p>
        </w:tc>
        <w:tc>
          <w:tcPr>
            <w:tcW w:w="28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7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shareholders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48,907</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(587,744)</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44,469</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(666,597)</w:t>
            </w:r>
          </w:p>
        </w:tc>
        <w:tc>
          <w:tcPr>
            <w:tcW w:w="0" w:type="dxa"/>
            <w:vAlign w:val="bottom"/>
          </w:tcPr>
          <w:p>
            <w:pPr>
              <w:spacing w:after="0"/>
              <w:rPr>
                <w:sz w:val="1"/>
                <w:szCs w:val="1"/>
                <w:color w:val="auto"/>
              </w:rPr>
            </w:pPr>
          </w:p>
        </w:tc>
      </w:tr>
      <w:tr>
        <w:trPr>
          <w:trHeight w:val="229"/>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FF0FC"/>
            </w:tcBorders>
            <w:gridSpan w:val="2"/>
          </w:tcPr>
          <w:p>
            <w:pPr>
              <w:ind w:left="620"/>
              <w:spacing w:after="0"/>
              <w:rPr>
                <w:sz w:val="20"/>
                <w:szCs w:val="20"/>
                <w:color w:val="auto"/>
              </w:rPr>
            </w:pPr>
            <w:r>
              <w:rPr>
                <w:rFonts w:ascii="Arial" w:cs="Arial" w:eastAsia="Arial" w:hAnsi="Arial"/>
                <w:sz w:val="18"/>
                <w:szCs w:val="18"/>
                <w:color w:val="auto"/>
              </w:rPr>
              <w:t>Impact on if-converted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common shares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51,546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(588,169)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192,479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Effect of dilutive non-participating securities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Impact on if-converted dilutive securities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30,332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gridSpan w:val="2"/>
          </w:tcPr>
          <w:p>
            <w:pPr>
              <w:ind w:left="260"/>
              <w:spacing w:after="0"/>
              <w:rPr>
                <w:sz w:val="20"/>
                <w:szCs w:val="20"/>
                <w:color w:val="auto"/>
              </w:rPr>
            </w:pPr>
            <w:r>
              <w:rPr>
                <w:rFonts w:ascii="Arial" w:cs="Arial" w:eastAsia="Arial" w:hAnsi="Arial"/>
                <w:sz w:val="18"/>
                <w:szCs w:val="18"/>
                <w:color w:val="auto"/>
                <w:w w:val="94"/>
              </w:rPr>
              <w:t>Weighted-average shares for dilutive earnings per common</w:t>
            </w: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262,268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192,479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231,862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192,358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740" w:type="dxa"/>
            <w:vAlign w:val="bottom"/>
            <w:gridSpan w:val="2"/>
            <w:vMerge w:val="restart"/>
          </w:tcPr>
          <w:p>
            <w:pPr>
              <w:ind w:left="260"/>
              <w:spacing w:after="0"/>
              <w:rPr>
                <w:sz w:val="20"/>
                <w:szCs w:val="20"/>
                <w:color w:val="auto"/>
              </w:rPr>
            </w:pPr>
            <w:r>
              <w:rPr>
                <w:rFonts w:ascii="Arial" w:cs="Arial" w:eastAsia="Arial" w:hAnsi="Arial"/>
                <w:sz w:val="18"/>
                <w:szCs w:val="18"/>
                <w:color w:val="auto"/>
              </w:rPr>
              <w:t>share</w:t>
            </w: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40" w:type="dxa"/>
            <w:vAlign w:val="bottom"/>
            <w:tcBorders>
              <w:bottom w:val="single" w:sz="8" w:color="CFF0FC"/>
            </w:tcBorders>
            <w:gridSpan w:val="2"/>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Dilutive earnings (loss) per common share</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six months ended June 30, 2021, 30,332,262 potential common shares related to the Exchangeable Notes were excluded from the computation of earnings per share, as their effect would have been anti-dilutive. For the three and six months ended June 30, 2020, 29,198,385 potential common shares related to the Exchangeable Notes and 730,863 non-participating securities were excluded from the computation of earnings per share, as their effect would have been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Historically our management, including our chief executive officer, who is our chief operating decision maker, managed our operations as the four reportable segments, in addition to our corporate operations, as described below. Due to the sale of our towers business and wind down of the Consumer CLEC business, effective January 1, 2021, we manage our operations focused on our two primary businesses, Leasing and Fiber Infrastructure.</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results from our leasing business, Uniti Leasing, which is engaged in the acquisition of mission-critical communications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leasing them back to anchor customers on either an exclusive or shared-tenant basis.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u w:val="single" w:color="auto"/>
          <w:color w:val="auto"/>
        </w:rPr>
        <w:t>Towers</w:t>
      </w:r>
      <w:r>
        <w:rPr>
          <w:rFonts w:ascii="Arial" w:cs="Arial" w:eastAsia="Arial" w:hAnsi="Arial"/>
          <w:sz w:val="16"/>
          <w:szCs w:val="16"/>
          <w:color w:val="auto"/>
        </w:rPr>
        <w:t>: Represents the operations of our former towers business, Uniti Towers, through which we acquired and constructed tower and tower-related real</w:t>
      </w:r>
      <w:r>
        <w:rPr>
          <w:rFonts w:ascii="Arial" w:cs="Arial" w:eastAsia="Arial" w:hAnsi="Arial"/>
          <w:sz w:val="16"/>
          <w:szCs w:val="16"/>
          <w:i w:val="1"/>
          <w:iCs w:val="1"/>
          <w:color w:val="auto"/>
        </w:rPr>
        <w:t xml:space="preserve"> </w:t>
      </w:r>
      <w:r>
        <w:rPr>
          <w:rFonts w:ascii="Arial" w:cs="Arial" w:eastAsia="Arial" w:hAnsi="Arial"/>
          <w:sz w:val="16"/>
          <w:szCs w:val="16"/>
          <w:color w:val="auto"/>
        </w:rPr>
        <w:t>estate and leased space on communications towers to wireless service providers and other tenants in the United States and Latin America. Starting in 2019, the Company completed a series of transactions to largely divest of its towers business: on April 2, 2019, May 23, 2019 and June 1, 2020, the Company completed the sales of its Latin American business, substantially all of its U.S. ground lease business, and its U.S. tower business, respectively.</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color w:val="auto"/>
        </w:rPr>
        <w:t>: Represents the operations of Talk America through which we operated the Consumer CLEC business, which prior to Uniti’s separation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spin-off from Windstream (the “Spin-Off”) was reported as an integrated operation within Windstream. Talk America provided local telephone, high-speed internet and long-distance services to customers in the eastern and central United States. As of the end of the second quarter of 2020, we substantially completed a wind down of our Consumer CLEC business.</w:t>
      </w:r>
    </w:p>
    <w:p>
      <w:pPr>
        <w:spacing w:after="0" w:line="18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charges, that are directly attributable to operations of our business segments are allocated to the respective segments.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determined in accordance with GAAP, before interest expense, provision for income taxes, depreciation and amortization, stock-based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and the impact, which may be recurring in nature, of transaction and integration related costs, costs associated with Windstream’s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bankruptcy, costs associated with litigation claims made against us, costs associated with the implementation of our enterprise resource planning system,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costs related to the settlement with Windstream, amortization of non-cash rights-of-use, the write off of unamortized deferred financing costs,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incurred as a result of the early repayment of debt, including early tender premiums and costs associated with the termination of related hedging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on dispositions, changes in the fair value of contingent consideration and financial instruments, and other similar or infrequent items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(although we may not have had such charges in the periods presented). Adjusted EBITDA includes adjustments to reflect the Company’s share of Adjusted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EBITDA from unconsolidated entities. The Company believes that net income, as defined by GAAP, is the most appropriate earnings metric; however, we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believe that Adjusted EBITDA serves as a useful supplement to net income because it allows investors, analysts and management to evaluate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performance of our segments in a manner that is comparable period over period. Adjusted EBITDA should not be considered as an alternative to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income as determined in accordance with GAAP.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and six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 June 30, 2021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Fiber</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Consumer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r>
      <w:tr>
        <w:trPr>
          <w:trHeight w:val="234"/>
        </w:trPr>
        <w:tc>
          <w:tcPr>
            <w:tcW w:w="23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Leasing</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Infrastructure</w:t>
            </w: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Towers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6"/>
              <w:spacing w:after="0"/>
              <w:rPr>
                <w:sz w:val="20"/>
                <w:szCs w:val="20"/>
                <w:color w:val="auto"/>
              </w:rPr>
            </w:pPr>
            <w:r>
              <w:rPr>
                <w:rFonts w:ascii="Arial" w:cs="Arial" w:eastAsia="Arial" w:hAnsi="Arial"/>
                <w:sz w:val="18"/>
                <w:szCs w:val="18"/>
                <w:b w:val="1"/>
                <w:bCs w:val="1"/>
                <w:color w:val="auto"/>
              </w:rPr>
              <w:t>CLEC</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196,057</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72,123</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5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268,180</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Transaction related and other</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real estate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operations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 for equity in</w:t>
      </w:r>
    </w:p>
    <w:p>
      <w:pPr>
        <w:spacing w:after="0" w:line="23" w:lineRule="exact"/>
        <w:rPr>
          <w:sz w:val="20"/>
          <w:szCs w:val="20"/>
          <w:color w:val="auto"/>
        </w:rPr>
      </w:pPr>
    </w:p>
    <w:p>
      <w:pPr>
        <w:ind w:left="140" w:right="700"/>
        <w:spacing w:after="0" w:line="290" w:lineRule="auto"/>
        <w:rPr>
          <w:sz w:val="20"/>
          <w:szCs w:val="20"/>
          <w:color w:val="auto"/>
        </w:rPr>
      </w:pPr>
      <w:r>
        <w:rPr>
          <w:rFonts w:ascii="Arial" w:cs="Arial" w:eastAsia="Arial" w:hAnsi="Arial"/>
          <w:sz w:val="16"/>
          <w:szCs w:val="16"/>
          <w:color w:val="auto"/>
        </w:rPr>
        <w:t>earnings from unconsolidated entities</w:t>
      </w: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192,137</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29,439</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Pr>
          <w:p>
            <w:pPr>
              <w:ind w:left="500"/>
              <w:spacing w:after="0"/>
              <w:rPr>
                <w:sz w:val="20"/>
                <w:szCs w:val="20"/>
                <w:color w:val="auto"/>
              </w:rPr>
            </w:pPr>
            <w:r>
              <w:rPr>
                <w:rFonts w:ascii="Arial" w:cs="Arial" w:eastAsia="Arial" w:hAnsi="Arial"/>
                <w:sz w:val="18"/>
                <w:szCs w:val="18"/>
                <w:color w:val="auto"/>
              </w:rPr>
              <w:t>-   $</w:t>
            </w:r>
          </w:p>
        </w:tc>
        <w:tc>
          <w:tcPr>
            <w:tcW w:w="1220" w:type="dxa"/>
            <w:vAlign w:val="bottom"/>
          </w:tcPr>
          <w:p>
            <w:pPr>
              <w:ind w:left="50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(5,842)</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215,734</w:t>
            </w:r>
          </w:p>
        </w:tc>
        <w:tc>
          <w:tcPr>
            <w:tcW w:w="6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106,388</w:t>
            </w:r>
          </w:p>
        </w:tc>
        <w:tc>
          <w:tcPr>
            <w:tcW w:w="60" w:type="dxa"/>
            <w:vAlign w:val="bottom"/>
          </w:tcPr>
          <w:p>
            <w:pPr>
              <w:spacing w:after="0"/>
              <w:rPr>
                <w:sz w:val="24"/>
                <w:szCs w:val="24"/>
                <w:color w:val="auto"/>
              </w:rPr>
            </w:pPr>
          </w:p>
        </w:tc>
      </w:tr>
      <w:tr>
        <w:trPr>
          <w:trHeight w:val="338"/>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40,474</w:t>
            </w:r>
          </w:p>
        </w:tc>
        <w:tc>
          <w:tcPr>
            <w:tcW w:w="6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29,132</w:t>
            </w:r>
          </w:p>
        </w:tc>
        <w:tc>
          <w:tcPr>
            <w:tcW w:w="720" w:type="dxa"/>
            <w:vAlign w:val="bottom"/>
          </w:tcPr>
          <w:p>
            <w:pPr>
              <w:spacing w:after="0"/>
              <w:rPr>
                <w:sz w:val="24"/>
                <w:szCs w:val="24"/>
                <w:color w:val="auto"/>
              </w:rPr>
            </w:pPr>
          </w:p>
        </w:tc>
        <w:tc>
          <w:tcPr>
            <w:tcW w:w="1400" w:type="dxa"/>
            <w:vAlign w:val="bottom"/>
          </w:tcPr>
          <w:p>
            <w:pPr>
              <w:ind w:left="500"/>
              <w:spacing w:after="0"/>
              <w:rPr>
                <w:sz w:val="20"/>
                <w:szCs w:val="20"/>
                <w:color w:val="auto"/>
              </w:rPr>
            </w:pPr>
            <w:r>
              <w:rPr>
                <w:rFonts w:ascii="Arial" w:cs="Arial" w:eastAsia="Arial" w:hAnsi="Arial"/>
                <w:sz w:val="18"/>
                <w:szCs w:val="18"/>
                <w:color w:val="auto"/>
              </w:rPr>
              <w:t>-</w:t>
            </w:r>
          </w:p>
        </w:tc>
        <w:tc>
          <w:tcPr>
            <w:tcW w:w="1220" w:type="dxa"/>
            <w:vAlign w:val="bottom"/>
          </w:tcPr>
          <w:p>
            <w:pPr>
              <w:ind w:left="5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69,671</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8,779</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(28,143)</w:t>
            </w:r>
          </w:p>
        </w:tc>
      </w:tr>
      <w:tr>
        <w:trPr>
          <w:trHeight w:val="230"/>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3,462</w:t>
            </w:r>
          </w:p>
        </w:tc>
        <w:tc>
          <w:tcPr>
            <w:tcW w:w="60" w:type="dxa"/>
            <w:vAlign w:val="bottom"/>
          </w:tcPr>
          <w:p>
            <w:pPr>
              <w:spacing w:after="0"/>
              <w:rPr>
                <w:sz w:val="19"/>
                <w:szCs w:val="19"/>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5,084</w:t>
            </w:r>
          </w:p>
        </w:tc>
        <w:tc>
          <w:tcPr>
            <w:tcW w:w="60" w:type="dxa"/>
            <w:vAlign w:val="bottom"/>
          </w:tcPr>
          <w:p>
            <w:pPr>
              <w:spacing w:after="0"/>
              <w:rPr>
                <w:sz w:val="20"/>
                <w:szCs w:val="20"/>
                <w:color w:val="auto"/>
              </w:rPr>
            </w:pPr>
          </w:p>
        </w:tc>
      </w:tr>
      <w:tr>
        <w:trPr>
          <w:trHeight w:val="446"/>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872</w:t>
            </w:r>
          </w:p>
        </w:tc>
        <w:tc>
          <w:tcPr>
            <w:tcW w:w="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49,639</w:t>
            </w:r>
          </w:p>
        </w:tc>
        <w:tc>
          <w:tcPr>
            <w:tcW w:w="6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-2331085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-2039620</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-1610995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-1182370</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-890905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-599440</wp:posOffset>
            </wp:positionV>
            <wp:extent cx="7132320" cy="420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60"/>
          </w:cols>
          <w:pgMar w:left="320" w:top="125"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8"/>
                <w:szCs w:val="18"/>
                <w:b w:val="1"/>
                <w:bCs w:val="1"/>
                <w:color w:val="auto"/>
                <w:w w:val="91"/>
              </w:rPr>
              <w:t>Three Months Ended June 30, 2020</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Fiber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Consumer</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Leasing</w:t>
            </w:r>
          </w:p>
        </w:tc>
        <w:tc>
          <w:tcPr>
            <w:tcW w:w="1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Infrastructure</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Towers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CLEC</w:t>
            </w:r>
          </w:p>
        </w:tc>
        <w:tc>
          <w:tcPr>
            <w:tcW w:w="1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185,320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79,140</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266,820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182,810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28,493</w:t>
            </w:r>
          </w:p>
        </w:tc>
        <w:tc>
          <w:tcPr>
            <w:tcW w:w="46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(8,227)</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52,405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32,279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84,969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auto"/>
              </w:rPr>
              <w:t>Settlement expense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Transaction related and other</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(63,818)</w:t>
            </w: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Stock-based compensation</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w w:val="89"/>
              </w:rPr>
              <w:t>32</w:t>
            </w: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76"/>
              <w:spacing w:after="0"/>
              <w:rPr>
                <w:sz w:val="20"/>
                <w:szCs w:val="20"/>
                <w:color w:val="auto"/>
              </w:rPr>
            </w:pPr>
            <w:r>
              <w:rPr>
                <w:rFonts w:ascii="Arial" w:cs="Arial" w:eastAsia="Arial" w:hAnsi="Arial"/>
                <w:sz w:val="18"/>
                <w:szCs w:val="18"/>
                <w:b w:val="1"/>
                <w:bCs w:val="1"/>
                <w:color w:val="auto"/>
                <w:w w:val="89"/>
              </w:rPr>
              <w:t>Six Months Ended June 30, 2021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Fiber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left="16"/>
              <w:spacing w:after="0"/>
              <w:rPr>
                <w:sz w:val="20"/>
                <w:szCs w:val="20"/>
                <w:color w:val="auto"/>
              </w:rPr>
            </w:pPr>
            <w:r>
              <w:rPr>
                <w:rFonts w:ascii="Arial" w:cs="Arial" w:eastAsia="Arial" w:hAnsi="Arial"/>
                <w:sz w:val="18"/>
                <w:szCs w:val="18"/>
                <w:b w:val="1"/>
                <w:bCs w:val="1"/>
                <w:color w:val="auto"/>
                <w:w w:val="89"/>
              </w:rPr>
              <w:t>Consumer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r>
      <w:tr>
        <w:trPr>
          <w:trHeight w:val="234"/>
        </w:trPr>
        <w:tc>
          <w:tcPr>
            <w:tcW w:w="23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Leasing</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Infrastructure</w:t>
            </w:r>
          </w:p>
        </w:tc>
        <w:tc>
          <w:tcPr>
            <w:tcW w:w="26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Towers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ind w:left="36"/>
              <w:spacing w:after="0"/>
              <w:rPr>
                <w:sz w:val="20"/>
                <w:szCs w:val="20"/>
                <w:color w:val="auto"/>
              </w:rPr>
            </w:pPr>
            <w:r>
              <w:rPr>
                <w:rFonts w:ascii="Arial" w:cs="Arial" w:eastAsia="Arial" w:hAnsi="Arial"/>
                <w:sz w:val="18"/>
                <w:szCs w:val="18"/>
                <w:b w:val="1"/>
                <w:bCs w:val="1"/>
                <w:color w:val="auto"/>
              </w:rPr>
              <w:t>CLEC</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390,993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149,773</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5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540,766</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income,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Transaction related and other</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real estate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operations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 for equity in</w:t>
      </w:r>
    </w:p>
    <w:p>
      <w:pPr>
        <w:spacing w:after="0" w:line="23" w:lineRule="exact"/>
        <w:rPr>
          <w:sz w:val="20"/>
          <w:szCs w:val="20"/>
          <w:color w:val="auto"/>
        </w:rPr>
      </w:pPr>
    </w:p>
    <w:p>
      <w:pPr>
        <w:ind w:left="140" w:right="700"/>
        <w:spacing w:after="0" w:line="290" w:lineRule="auto"/>
        <w:rPr>
          <w:sz w:val="20"/>
          <w:szCs w:val="20"/>
          <w:color w:val="auto"/>
        </w:rPr>
      </w:pPr>
      <w:r>
        <w:rPr>
          <w:rFonts w:ascii="Arial" w:cs="Arial" w:eastAsia="Arial" w:hAnsi="Arial"/>
          <w:sz w:val="16"/>
          <w:szCs w:val="16"/>
          <w:color w:val="auto"/>
        </w:rPr>
        <w:t>earnings from unconsolidated entities</w:t>
      </w: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383,634</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59,160</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(12,812)</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429,982</w:t>
            </w:r>
          </w:p>
        </w:tc>
        <w:tc>
          <w:tcPr>
            <w:tcW w:w="6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246,969</w:t>
            </w:r>
          </w:p>
        </w:tc>
        <w:tc>
          <w:tcPr>
            <w:tcW w:w="60" w:type="dxa"/>
            <w:vAlign w:val="bottom"/>
          </w:tcPr>
          <w:p>
            <w:pPr>
              <w:spacing w:after="0"/>
              <w:rPr>
                <w:sz w:val="24"/>
                <w:szCs w:val="24"/>
                <w:color w:val="auto"/>
              </w:rPr>
            </w:pPr>
          </w:p>
        </w:tc>
      </w:tr>
      <w:tr>
        <w:trPr>
          <w:trHeight w:val="338"/>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82,700</w:t>
            </w:r>
          </w:p>
        </w:tc>
        <w:tc>
          <w:tcPr>
            <w:tcW w:w="6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57,802</w:t>
            </w:r>
          </w:p>
        </w:tc>
        <w:tc>
          <w:tcPr>
            <w:tcW w:w="7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140,635</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10,097</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4,561</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(28,143)</w:t>
            </w:r>
          </w:p>
        </w:tc>
      </w:tr>
      <w:tr>
        <w:trPr>
          <w:trHeight w:val="230"/>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6,797</w:t>
            </w:r>
          </w:p>
        </w:tc>
        <w:tc>
          <w:tcPr>
            <w:tcW w:w="60" w:type="dxa"/>
            <w:vAlign w:val="bottom"/>
          </w:tcPr>
          <w:p>
            <w:pPr>
              <w:spacing w:after="0"/>
              <w:rPr>
                <w:sz w:val="19"/>
                <w:szCs w:val="19"/>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2,527</w:t>
            </w:r>
          </w:p>
        </w:tc>
        <w:tc>
          <w:tcPr>
            <w:tcW w:w="60" w:type="dxa"/>
            <w:vAlign w:val="bottom"/>
          </w:tcPr>
          <w:p>
            <w:pPr>
              <w:spacing w:after="0"/>
              <w:rPr>
                <w:sz w:val="20"/>
                <w:szCs w:val="20"/>
                <w:color w:val="auto"/>
              </w:rPr>
            </w:pPr>
          </w:p>
        </w:tc>
      </w:tr>
      <w:tr>
        <w:trPr>
          <w:trHeight w:val="446"/>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1,844</w:t>
            </w:r>
          </w:p>
        </w:tc>
        <w:tc>
          <w:tcPr>
            <w:tcW w:w="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45,137</w:t>
            </w:r>
          </w:p>
        </w:tc>
        <w:tc>
          <w:tcPr>
            <w:tcW w:w="6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-2331085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-2039620</wp:posOffset>
            </wp:positionV>
            <wp:extent cx="71323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-1610995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-1182370</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-890905</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-599440</wp:posOffset>
            </wp:positionV>
            <wp:extent cx="7132320" cy="420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60"/>
          </w:cols>
          <w:pgMar w:left="320" w:top="125" w:right="339" w:bottom="1440" w:gutter="0" w:footer="0" w:header="0"/>
          <w:type w:val="continuous"/>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8"/>
                <w:szCs w:val="18"/>
                <w:b w:val="1"/>
                <w:bCs w:val="1"/>
                <w:color w:val="auto"/>
                <w:w w:val="95"/>
              </w:rPr>
              <w:t>Six Months Ended June 30, 2020</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7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Fiber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Consumer</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Leasing</w:t>
            </w:r>
          </w:p>
        </w:tc>
        <w:tc>
          <w:tcPr>
            <w:tcW w:w="140" w:type="dxa"/>
            <w:vAlign w:val="bottom"/>
          </w:tcPr>
          <w:p>
            <w:pPr>
              <w:spacing w:after="0"/>
              <w:rPr>
                <w:sz w:val="20"/>
                <w:szCs w:val="20"/>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Infrastructure</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Towers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CLEC</w:t>
            </w:r>
          </w:p>
        </w:tc>
        <w:tc>
          <w:tcPr>
            <w:tcW w:w="14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369,672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156,547</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364,689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56,034</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(15,942)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107,027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62,340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171,090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auto"/>
              </w:rPr>
              <w:t>Settlement expense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Transaction related and other</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(63,818)</w:t>
            </w: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Stock-based compensation</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(10,451)</w:t>
            </w: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(678,595)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Commitments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Following the consummation of our settlement agreement with Windstream, including entry into the Windstream Leases, we are obligated to make $490.1 million of cash payments to Windstream in equal installments over 20 consecutive quarters beginning in October 2020. As of the date of this Quarterly Report on Form 10-Q, the Company made the first four quarterly payments totaling $98.0 million.</w:t>
      </w:r>
    </w:p>
    <w:p>
      <w:pPr>
        <w:spacing w:after="0" w:line="1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Further, we are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our combined total obligation to fund Growth Capital Improvements may exceed $250 million to the extent of any unfunded excess amounts from calendar year 2020. Accordingly, because we funded $84.7 million of the $125 million limit in 2020, we are committed to fund up to $265.3 million of Growth Capital Improvements in 2021. During the six months ended June 30, 2021, Uniti reimbursed $92.1 million of Growth Capital Improvements, of which $28.5 million, as allowed under the Settlement, represented the reimbursement of capital improvements completed in 2020 that were previously classified as tenant funded capital improvements.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$0.9 million and reported within other assets on our Condensed Consolidated Balance Sheet as of June 30, 2021, will be amortized against revenue over the initial term of the Windstream Leases.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 recharacterized as a financing instead of a “true lease.” The amended complaint seeks compensatory and punitive damages, as well as reformation of the purchase agreement for the sale. On December 18, 2019, Defendants moved to dismiss the amended complaint in its entirety. That motion was fully briefed as of February 7, 2020, and a hearing on the motion was heard on May 12, 2020. On November 4, 2020, the court granted the Defendants’ motion and dismissed SLF’s amended complaint, in its entirety, with prejudice. On December 1, 2020, SLF filed a notice of appeal to the United States Court of Appeals for the Third Circuit from the district court’s dismissal order. The appeal is scheduled to be fully briefed by August 19, 2021. We have evaluated this matter under the guidance provided by ASC 450-20, </w:t>
      </w:r>
      <w:r>
        <w:rPr>
          <w:rFonts w:ascii="Arial" w:cs="Arial" w:eastAsia="Arial" w:hAnsi="Arial"/>
          <w:sz w:val="17"/>
          <w:szCs w:val="17"/>
          <w:i w:val="1"/>
          <w:iCs w:val="1"/>
          <w:color w:val="auto"/>
        </w:rPr>
        <w:t>Contingencies</w:t>
      </w:r>
      <w:r>
        <w:rPr>
          <w:rFonts w:ascii="Arial" w:cs="Arial" w:eastAsia="Arial" w:hAnsi="Arial"/>
          <w:sz w:val="17"/>
          <w:szCs w:val="17"/>
          <w:color w:val="auto"/>
        </w:rPr>
        <w:t xml:space="preserve">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Beginning on October 25, 2019, several purported shareholders filed separate putative class actions in the U.S. District Court for the Eastern District of Arkansas against the Company and certain of our officers, alleging violations of the federal securities laws (the “Shareholder Actions”), based on claims similar to those asserted in the SLF Action. On March 12, 2020, the U.S. District Court for the Eastern District of Arkansas consolidated the Shareholder Actions and appointed lead plaintiffs and lead counsel in the consolidated cases under the caption In re Uniti Group Inc. Securities Litigation. On May 11, 2020, lead plaintiffs filed a consolidated amended complaint in the consolidated Shareholder Actions. The consolidated amended complaint seeks to represent investors who acquired the Company’s securities between April 20, 2015 and February 15, 2019. The Shareholder Actions assert claims under Sections 10(b) and 20(a) of the Exchange Act and Rule 10b-5 promulgated thereunder, alleging that the Company made materially false and misleading statements by allegedly failing to disclose, among other things, the risk that the Spin-Off and entry into the Master Lease violated certain debt covenants of Windstream and/or the risk that the Master Lease purportedly could be recharacterized as a financing instead of a “true lease.” The Shareholder Actions seek class certification, unspecified monetary damages, costs and attorneys’ fees and other relief. On July 10, 2020, defendants moved to dismiss the consolidated amended complaint. On April 1, 2021, the court issued an order denying defendants’ motion to dismiss. On April 15, 2021, defendants filed a motion for reconsideration of the order or, in the alternative, for certification of an appeal of the decision to the Eighth Circuit. Plaintiffs formally opposed this motion on April 29, 2021. The District Court has not yet ruled on the motion. We intend to defend this matter vigorously, and, because it is still in its preliminary stages, we have not yet determined what effect this lawsuit will have, if any, on our financial position or results of operations. We have evaluated this matter under the guidance provided by ASC 450, and as of the date of this Quarterly Report on Form 10-Q, we consider a loss not to be probable and are unable to estimate a reasonably possible range of loss; therefore, we have not recorded any liabilities associated with these claims in our Condensed Consolidated Balance Sheet.</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We maintain insurance policies that would provide coverage to various degrees for potential liabilities arising from the legal proceedings described above.</w:t>
      </w:r>
    </w:p>
    <w:p>
      <w:pPr>
        <w:spacing w:after="0" w:line="24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w:t>
      </w:r>
    </w:p>
    <w:p>
      <w:pPr>
        <w:spacing w:after="0" w:line="4" w:lineRule="exact"/>
        <w:rPr>
          <w:sz w:val="20"/>
          <w:szCs w:val="20"/>
          <w:color w:val="auto"/>
        </w:rPr>
      </w:pPr>
    </w:p>
    <w:p>
      <w:pPr>
        <w:ind w:right="740"/>
        <w:spacing w:after="0" w:line="260" w:lineRule="auto"/>
        <w:rPr>
          <w:sz w:val="20"/>
          <w:szCs w:val="20"/>
          <w:color w:val="auto"/>
        </w:rPr>
      </w:pPr>
      <w:r>
        <w:rPr>
          <w:rFonts w:ascii="Arial" w:cs="Arial" w:eastAsia="Arial" w:hAnsi="Arial"/>
          <w:sz w:val="18"/>
          <w:szCs w:val="18"/>
          <w:color w:val="auto"/>
        </w:rPr>
        <w:t>the probability of us incurring obligations under the Tax Matters Agreement are remote; and therefore, we have recorded no such liabilities in our Condensed Consolidated Balance Sheet as of June 30, 2021.</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(loss) income by component is as follows for the three and six months ended June 30, 2021 and 2020:</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Cash flow hedge changes in fair value (loss) gain:</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w w:val="90"/>
              </w:rPr>
              <w:t>Balance at beginning of period attributable to common shareholders</w:t>
            </w: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(30,353)</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(30,353)</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(30,353)</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(23,442)</w:t>
            </w:r>
          </w:p>
        </w:tc>
      </w:tr>
      <w:tr>
        <w:trPr>
          <w:trHeight w:val="229"/>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(7,713)</w:t>
            </w:r>
          </w:p>
        </w:tc>
      </w:tr>
      <w:tr>
        <w:trPr>
          <w:trHeight w:val="215"/>
        </w:trPr>
        <w:tc>
          <w:tcPr>
            <w:tcW w:w="5060" w:type="dxa"/>
            <w:vAlign w:val="bottom"/>
          </w:tcPr>
          <w:p>
            <w:pPr>
              <w:ind w:left="140"/>
              <w:spacing w:after="0"/>
              <w:rPr>
                <w:sz w:val="20"/>
                <w:szCs w:val="20"/>
                <w:color w:val="auto"/>
              </w:rPr>
            </w:pPr>
            <w:r>
              <w:rPr>
                <w:rFonts w:ascii="Arial" w:cs="Arial" w:eastAsia="Arial" w:hAnsi="Arial"/>
                <w:sz w:val="18"/>
                <w:szCs w:val="18"/>
                <w:color w:val="auto"/>
              </w:rPr>
              <w:t>Amounts reclassified from accumulated other comprehensive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income</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FF0FC"/>
            </w:tcBorders>
          </w:tcPr>
          <w:p>
            <w:pPr>
              <w:spacing w:after="0"/>
              <w:rPr>
                <w:sz w:val="20"/>
                <w:szCs w:val="20"/>
                <w:color w:val="auto"/>
              </w:rPr>
            </w:pPr>
          </w:p>
        </w:tc>
      </w:tr>
      <w:tr>
        <w:trPr>
          <w:trHeight w:val="223"/>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(30,478)</w:t>
            </w:r>
          </w:p>
        </w:tc>
        <w:tc>
          <w:tcPr>
            <w:tcW w:w="100" w:type="dxa"/>
            <w:vAlign w:val="bottom"/>
            <w:shd w:val="clear" w:color="auto" w:fill="CFF0FC"/>
          </w:tcPr>
          <w:p>
            <w:pPr>
              <w:spacing w:after="0"/>
              <w:rPr>
                <w:sz w:val="19"/>
                <w:szCs w:val="19"/>
                <w:color w:val="auto"/>
              </w:rPr>
            </w:pPr>
          </w:p>
        </w:tc>
      </w:tr>
      <w:tr>
        <w:trPr>
          <w:trHeight w:val="215"/>
        </w:trPr>
        <w:tc>
          <w:tcPr>
            <w:tcW w:w="5060" w:type="dxa"/>
            <w:vAlign w:val="bottom"/>
          </w:tcPr>
          <w:p>
            <w:pPr>
              <w:ind w:left="140"/>
              <w:spacing w:after="0"/>
              <w:rPr>
                <w:sz w:val="20"/>
                <w:szCs w:val="20"/>
                <w:color w:val="auto"/>
              </w:rPr>
            </w:pPr>
            <w:r>
              <w:rPr>
                <w:rFonts w:ascii="Arial" w:cs="Arial" w:eastAsia="Arial" w:hAnsi="Arial"/>
                <w:sz w:val="18"/>
                <w:szCs w:val="18"/>
                <w:color w:val="auto"/>
              </w:rPr>
              <w:t>Less: Other comprehensive loss attributable to noncontrolling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Pr>
          <w:p>
            <w:pPr>
              <w:ind w:left="14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r>
      <w:tr>
        <w:trPr>
          <w:trHeight w:val="223"/>
        </w:trPr>
        <w:tc>
          <w:tcPr>
            <w:tcW w:w="50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w w:val="99"/>
              </w:rPr>
              <w:t>Balance at end of period attributable to common shareholders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Interest rate swap termination: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Balance at beginning of period attributable to common shareholders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15"/>
        </w:trPr>
        <w:tc>
          <w:tcPr>
            <w:tcW w:w="5060" w:type="dxa"/>
            <w:vAlign w:val="bottom"/>
          </w:tcPr>
          <w:p>
            <w:pPr>
              <w:ind w:left="140"/>
              <w:spacing w:after="0"/>
              <w:rPr>
                <w:sz w:val="20"/>
                <w:szCs w:val="20"/>
                <w:color w:val="auto"/>
              </w:rPr>
            </w:pPr>
            <w:r>
              <w:rPr>
                <w:rFonts w:ascii="Arial" w:cs="Arial" w:eastAsia="Arial" w:hAnsi="Arial"/>
                <w:sz w:val="18"/>
                <w:szCs w:val="18"/>
                <w:color w:val="auto"/>
              </w:rPr>
              <w:t>Amounts reclassified from accumulated other comprehensive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income</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w:t>
            </w:r>
          </w:p>
        </w:tc>
        <w:tc>
          <w:tcPr>
            <w:tcW w:w="100" w:type="dxa"/>
            <w:vAlign w:val="bottom"/>
            <w:tcBorders>
              <w:bottom w:val="single" w:sz="8" w:color="CFF0FC"/>
            </w:tcBorders>
          </w:tcPr>
          <w:p>
            <w:pPr>
              <w:spacing w:after="0"/>
              <w:rPr>
                <w:sz w:val="20"/>
                <w:szCs w:val="20"/>
                <w:color w:val="auto"/>
              </w:rPr>
            </w:pPr>
          </w:p>
        </w:tc>
      </w:tr>
      <w:tr>
        <w:trPr>
          <w:trHeight w:val="223"/>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w:t>
            </w:r>
          </w:p>
        </w:tc>
        <w:tc>
          <w:tcPr>
            <w:tcW w:w="100" w:type="dxa"/>
            <w:vAlign w:val="bottom"/>
            <w:shd w:val="clear" w:color="auto" w:fill="CFF0FC"/>
          </w:tcPr>
          <w:p>
            <w:pPr>
              <w:spacing w:after="0"/>
              <w:rPr>
                <w:sz w:val="19"/>
                <w:szCs w:val="19"/>
                <w:color w:val="auto"/>
              </w:rPr>
            </w:pPr>
          </w:p>
        </w:tc>
      </w:tr>
      <w:tr>
        <w:trPr>
          <w:trHeight w:val="215"/>
        </w:trPr>
        <w:tc>
          <w:tcPr>
            <w:tcW w:w="5060" w:type="dxa"/>
            <w:vAlign w:val="bottom"/>
          </w:tcPr>
          <w:p>
            <w:pPr>
              <w:ind w:left="140"/>
              <w:spacing w:after="0"/>
              <w:rPr>
                <w:sz w:val="20"/>
                <w:szCs w:val="20"/>
                <w:color w:val="auto"/>
              </w:rPr>
            </w:pPr>
            <w:r>
              <w:rPr>
                <w:rFonts w:ascii="Arial" w:cs="Arial" w:eastAsia="Arial" w:hAnsi="Arial"/>
                <w:sz w:val="18"/>
                <w:szCs w:val="18"/>
                <w:color w:val="auto"/>
              </w:rPr>
              <w:t>Less: Other comprehensive (loss) income attributable to</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FF0FC"/>
            </w:tcBorders>
          </w:tcPr>
          <w:p>
            <w:pPr>
              <w:spacing w:after="0"/>
              <w:rPr>
                <w:sz w:val="20"/>
                <w:szCs w:val="20"/>
                <w:color w:val="auto"/>
              </w:rPr>
            </w:pPr>
          </w:p>
        </w:tc>
      </w:tr>
      <w:tr>
        <w:trPr>
          <w:trHeight w:val="223"/>
        </w:trPr>
        <w:tc>
          <w:tcPr>
            <w:tcW w:w="506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9"/>
              </w:rPr>
              <w:t>Balance at end of period attributable to common shareholders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4,416</w:t>
            </w:r>
          </w:p>
        </w:tc>
        <w:tc>
          <w:tcPr>
            <w:tcW w:w="100" w:type="dxa"/>
            <w:vAlign w:val="bottom"/>
            <w:shd w:val="clear" w:color="auto" w:fill="CFF0FC"/>
          </w:tcPr>
          <w:p>
            <w:pPr>
              <w:spacing w:after="0"/>
              <w:rPr>
                <w:sz w:val="19"/>
                <w:szCs w:val="19"/>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Accumulated other comprehensive loss at end of period</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(25,937)</w:t>
            </w:r>
          </w:p>
        </w:tc>
        <w:tc>
          <w:tcPr>
            <w:tcW w:w="10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692"/>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7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right="100"/>
        <w:spacing w:after="0" w:line="275"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our operations, financial condition, and changes in financial condition for the three and six months ended June 30, 2021. This discussion should be read in conjunction with the accompanying Condensed Consolidated Financial Statements, and the notes thereto set forth in Part I, Item 1 of this Quarterly Report on Form 10-Q and our Annual Report on Form 10-K filed with the U.S. Securities and Exchange Commission (“SEC”) on March 5, 2021, as amended by Amendment No. 1 thereto filed on Form 10-K/A with the SEC on March 30, 2021 (the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Uniti Group Inc. (the “Company”, “Uniti”, “we”, “us” or “our”) is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spacing w:after="0" w:line="18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certain aspects of our former towers business, and Talk America Services, LLC, which operated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June 30, 2021, we are the sole general partner of the Operating Partnership and own approximately 98.5% of the partnership interests in the Operating Partnership.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aim to grow and diversify our portfolio and tenant base by pursuing a range of transaction structures with communication service providers, including</w:t>
      </w:r>
    </w:p>
    <w:p>
      <w:pPr>
        <w:spacing w:after="0" w:line="46" w:lineRule="exact"/>
        <w:rPr>
          <w:sz w:val="20"/>
          <w:szCs w:val="20"/>
          <w:color w:val="auto"/>
        </w:rPr>
      </w:pPr>
    </w:p>
    <w:p>
      <w:pPr>
        <w:ind w:right="80" w:firstLine="8"/>
        <w:spacing w:after="0" w:line="269" w:lineRule="auto"/>
        <w:tabs>
          <w:tab w:leader="none" w:pos="215" w:val="left"/>
        </w:tabs>
        <w:numPr>
          <w:ilvl w:val="0"/>
          <w:numId w:val="7"/>
        </w:numPr>
        <w:rPr>
          <w:rFonts w:ascii="Arial" w:cs="Arial" w:eastAsia="Arial" w:hAnsi="Arial"/>
          <w:sz w:val="17"/>
          <w:szCs w:val="17"/>
          <w:color w:val="auto"/>
        </w:rPr>
      </w:pPr>
      <w:r>
        <w:rPr>
          <w:rFonts w:ascii="Arial" w:cs="Arial" w:eastAsia="Arial" w:hAnsi="Arial"/>
          <w:sz w:val="17"/>
          <w:szCs w:val="17"/>
          <w:color w:val="auto"/>
        </w:rPr>
        <w:t>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 Consistent with this strategy, we regularly evaluate and consider potential opportunities.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have historically managed our operations as the four reportable business segments listed below (in addition to our corporate operations), but due to the sale of our towers business and wind down of the Consumer CLEC Business, effective January 1, 2021, we manage our operations focused on our two primary businesses, Leasing and Fiber Infrastructure:</w:t>
      </w:r>
    </w:p>
    <w:p>
      <w:pPr>
        <w:spacing w:after="0" w:line="18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u w:val="single" w:color="auto"/>
          <w:color w:val="auto"/>
        </w:rPr>
        <w:t>Leasing Segment</w:t>
      </w:r>
      <w:r>
        <w:rPr>
          <w:rFonts w:ascii="Arial" w:cs="Arial" w:eastAsia="Arial" w:hAnsi="Arial"/>
          <w:sz w:val="16"/>
          <w:szCs w:val="16"/>
          <w:color w:val="auto"/>
        </w:rPr>
        <w:t>: Represents the results from our leasing business, Uniti Leasing, which is engaged in the acquisition of mission-critical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leasing them to anchor customers on either an exclusive or shared-tenant basis. Uniti Leasing is a component of our REIT operations.</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i w:val="1"/>
          <w:iCs w:val="1"/>
          <w:u w:val="single" w:color="auto"/>
          <w:color w:val="auto"/>
        </w:rPr>
        <w:t>Towers Segment</w:t>
      </w:r>
      <w:r>
        <w:rPr>
          <w:rFonts w:ascii="Arial" w:cs="Arial" w:eastAsia="Arial" w:hAnsi="Arial"/>
          <w:sz w:val="16"/>
          <w:szCs w:val="16"/>
          <w:color w:val="auto"/>
        </w:rPr>
        <w:t>: Represents the operations of our former towers business, Uniti Towers, through which we acquired and constructed tower and tower-related real estate and leased space on communications towers to wireless service providers and other tenants in the United States. Starting in 2019, the Company completed a series of transactions to largely divest of its towers business and on April 2, 2019, May 23, 2019 and June 1, 2020, the Company completed the sales of its Latin American business, substantially all of its U.S. ground lease business, and its U.S. tower business, respectively. Portions of our former towers business were a component of our REIT operations, while the remainder were owned and operated by our TRSs.</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u w:val="single" w:color="auto"/>
          <w:color w:val="auto"/>
        </w:rPr>
        <w:t>Consumer CLEC Segment</w:t>
      </w:r>
      <w:r>
        <w:rPr>
          <w:rFonts w:ascii="Arial" w:cs="Arial" w:eastAsia="Arial" w:hAnsi="Arial"/>
          <w:sz w:val="18"/>
          <w:szCs w:val="18"/>
          <w:color w:val="auto"/>
        </w:rPr>
        <w:t>: Represents the operations of Talk America through which we operated the Consumer CLEC Business that, prior to the Spin-Off, was reported as an integrated operation within Windstream. Talk America provided local telephone, high-speed internet and long-distance services to customers in the eastern and central United States. As of the end of the second quarter of 2020, we substantially completed a wind down of our Consumer CLEC Business.</w:t>
      </w:r>
    </w:p>
    <w:p>
      <w:pPr>
        <w:spacing w:after="0" w:line="18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systems, insurance, professional fees and similar charges, that are directly attributable to operations of our business segments are allocated to the respective segments.</w:t>
      </w:r>
    </w:p>
    <w:p>
      <w:pPr>
        <w:spacing w:after="0" w:line="18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costs related to the settlement with Windstream, amortization of non-cash rights-of-use, the write off of unamortized deferred financing costs, costs incurred as a result of the early repayment of debt, including early tender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Note 13 to our accompanying Condensed Consolidated Financial Statements contained in Part I, Item 1 of this Quarterly Report on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u w:val="single" w:color="auto"/>
          <w:color w:val="auto"/>
        </w:rPr>
        <w:t>Secured Notes Offering and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20, 2021, the Operating Partnership, Uniti Group Finance 2019 Inc. and CSL Capital, LLC, as co-issuers</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“Issuers,” issued $570 million aggregate principal amount of 4.750% Senior Secured Notes due 2028 (the “2028 Secured Notes”) and used the proceeds to fund the redemption of their outstanding 6.00% Senior Secured Notes due 2023 (the “2023 Secured Notes”). The Issuers satisfied and discharged their respective obligations under the indenture governing the 2023 Secured Notes on April 20, 2021 and redeemed the 2023 Secured Notes in full on May 6, 2021.</w:t>
      </w:r>
    </w:p>
    <w:p>
      <w:pPr>
        <w:spacing w:after="0" w:line="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u w:val="single" w:color="auto"/>
          <w:color w:val="auto"/>
        </w:rPr>
        <w:t>Everstream Solutions LLC OpCo-PropCo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On May 28, 2021, the Company completed its previously announced strategic transaction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Everstream Solutions LLC (“Everstream”). As part of the transaction, Uniti entered into two 20-year IRU lease agreements with Everstream on Uniti owned fiber. Concurrently, Uniti sold its Uniti Fiber Northeast operations and certain dark fiber IRU contracts acquired as part of the Windstream settlement to Everstream. Total cash consideration, including upfront IRU payments, was approximately $135 million. In addition to the upfront proceeds, Uniti will receive fees of approximately $3 million annually from Everstream over the initial 20-year term of the IRU lease agreements, subject to an annual escalator of 2%. During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second quarter, we recorded a gain of $28.1 million related to this transaction, which is included in gain on sale of operations in our Condensed Consolidated Statements of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8"/>
                <w:szCs w:val="18"/>
                <w:b w:val="1"/>
                <w:bCs w:val="1"/>
                <w:color w:val="auto"/>
                <w:w w:val="92"/>
              </w:rPr>
              <w:t>Three Months Ended June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5"/>
        </w:trPr>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7"/>
                <w:szCs w:val="17"/>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w w:val="99"/>
              </w:rPr>
              <w:t>Amount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Leasing</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196,057</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73.1%</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185,320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69.4%</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72,123</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26.9%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79,140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29.7%</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0.9%</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0.0%</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268,180</w:t>
            </w:r>
          </w:p>
        </w:tc>
        <w:tc>
          <w:tcPr>
            <w:tcW w:w="28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266,820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9"/>
                <w:szCs w:val="19"/>
                <w:color w:val="auto"/>
              </w:rPr>
            </w:pPr>
          </w:p>
        </w:tc>
      </w:tr>
      <w:tr>
        <w:trPr>
          <w:trHeight w:val="237"/>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106,388</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39.6%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107,243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40.1%</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69,671</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26.0%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84,969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31.7%</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24,900</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27,894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10.5%</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33,185</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15.1%</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Settlement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1"/>
              </w:rPr>
              <w:t>243.6%</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related and other costs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7.0%</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(63,818)</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5"/>
              </w:rPr>
              <w:t>(23.9%)</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operations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(28,143)</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0.0%</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8,021</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3.0%</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2.3%</w:t>
            </w:r>
          </w:p>
        </w:tc>
        <w:tc>
          <w:tcPr>
            <w:tcW w:w="120" w:type="dxa"/>
            <w:vAlign w:val="bottom"/>
            <w:tcBorders>
              <w:bottom w:val="single" w:sz="8" w:color="CFF0FC"/>
            </w:tcBorders>
          </w:tcPr>
          <w:p>
            <w:pPr>
              <w:spacing w:after="0"/>
              <w:rPr>
                <w:sz w:val="19"/>
                <w:szCs w:val="19"/>
                <w:color w:val="auto"/>
              </w:rPr>
            </w:pPr>
          </w:p>
        </w:tc>
      </w:tr>
      <w:tr>
        <w:trPr>
          <w:trHeight w:val="223"/>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214,004</w:t>
            </w:r>
          </w:p>
        </w:tc>
        <w:tc>
          <w:tcPr>
            <w:tcW w:w="2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79.8%</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871,024</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1"/>
              </w:rPr>
              <w:t>326.4%</w:t>
            </w:r>
          </w:p>
        </w:tc>
        <w:tc>
          <w:tcPr>
            <w:tcW w:w="120" w:type="dxa"/>
            <w:vAlign w:val="bottom"/>
            <w:shd w:val="clear" w:color="auto" w:fill="CFF0FC"/>
          </w:tcPr>
          <w:p>
            <w:pPr>
              <w:spacing w:after="0"/>
              <w:rPr>
                <w:sz w:val="19"/>
                <w:szCs w:val="19"/>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Income (loss) before income taxes and equity in earnings from</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unconsolidated entities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54,176</w:t>
            </w:r>
          </w:p>
        </w:tc>
        <w:tc>
          <w:tcPr>
            <w:tcW w:w="2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20.2%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(604,204)</w:t>
            </w: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(226.4%)</w:t>
            </w:r>
          </w:p>
        </w:tc>
        <w:tc>
          <w:tcPr>
            <w:tcW w:w="120" w:type="dxa"/>
            <w:vAlign w:val="bottom"/>
          </w:tcPr>
          <w:p>
            <w:pPr>
              <w:spacing w:after="0"/>
              <w:rPr>
                <w:sz w:val="20"/>
                <w:szCs w:val="20"/>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(5,875)</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(2.2%)</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(547)</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49,639</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18.5%</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(598,329)</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3"/>
              </w:rPr>
              <w:t>(224.2%)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732</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(10,585)</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0"/>
              </w:rPr>
              <w:t>(3.9%)</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48,907</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18.2%</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(587,744)</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3"/>
              </w:rPr>
              <w:t>(220.3%)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0"/>
              </w:rPr>
              <w:t>(0.1%)</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(0.0%)</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48,572</w:t>
            </w:r>
          </w:p>
        </w:tc>
        <w:tc>
          <w:tcPr>
            <w:tcW w:w="2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18.1%</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(588,169)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(220.4%)</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5"/>
        </w:trPr>
        <w:tc>
          <w:tcPr>
            <w:tcW w:w="5500" w:type="dxa"/>
            <w:vAlign w:val="bottom"/>
          </w:tcPr>
          <w:p>
            <w:pPr>
              <w:spacing w:after="0"/>
              <w:rPr>
                <w:sz w:val="24"/>
                <w:szCs w:val="24"/>
                <w:color w:val="auto"/>
              </w:rPr>
            </w:pP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w w:val="99"/>
              </w:rPr>
              <w:t>39</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set forth, for the three months ended June 30, 2021 and 2020, revenues, Adjusted EBITDA and net (loss) income of our reportable segments: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52" w:lineRule="exact"/>
        <w:rPr>
          <w:sz w:val="20"/>
          <w:szCs w:val="20"/>
          <w:color w:val="auto"/>
        </w:rPr>
      </w:pPr>
    </w:p>
    <w:p>
      <w:pPr>
        <w:ind w:right="860"/>
        <w:spacing w:after="0" w:line="266" w:lineRule="auto"/>
        <w:rPr>
          <w:sz w:val="20"/>
          <w:szCs w:val="20"/>
          <w:color w:val="auto"/>
        </w:rPr>
      </w:pPr>
      <w:r>
        <w:rPr>
          <w:rFonts w:ascii="Arial" w:cs="Arial" w:eastAsia="Arial" w:hAnsi="Arial"/>
          <w:sz w:val="18"/>
          <w:szCs w:val="18"/>
          <w:color w:val="auto"/>
        </w:rPr>
        <w:t>Adjusted EBITDA Less: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Transaction related and other</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40" w:right="160"/>
        <w:spacing w:after="0" w:line="296" w:lineRule="auto"/>
        <w:rPr>
          <w:sz w:val="20"/>
          <w:szCs w:val="20"/>
          <w:color w:val="auto"/>
        </w:rPr>
      </w:pPr>
      <w:r>
        <w:rPr>
          <w:rFonts w:ascii="Arial" w:cs="Arial" w:eastAsia="Arial" w:hAnsi="Arial"/>
          <w:sz w:val="16"/>
          <w:szCs w:val="16"/>
          <w:color w:val="auto"/>
        </w:rPr>
        <w:t>Gain on sale of real estate Gain on sale of operations Stock-based compensation Income tax expense Adjustments for equity in earnings from unconsolidated entities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52" w:lineRule="exact"/>
        <w:rPr>
          <w:sz w:val="20"/>
          <w:szCs w:val="20"/>
          <w:color w:val="auto"/>
        </w:rPr>
      </w:pPr>
    </w:p>
    <w:p>
      <w:pPr>
        <w:ind w:right="860"/>
        <w:spacing w:after="0" w:line="266" w:lineRule="auto"/>
        <w:rPr>
          <w:sz w:val="20"/>
          <w:szCs w:val="20"/>
          <w:color w:val="auto"/>
        </w:rPr>
      </w:pPr>
      <w:r>
        <w:rPr>
          <w:rFonts w:ascii="Arial" w:cs="Arial" w:eastAsia="Arial" w:hAnsi="Arial"/>
          <w:sz w:val="18"/>
          <w:szCs w:val="18"/>
          <w:color w:val="auto"/>
        </w:rPr>
        <w:t>Adjusted EBITDA Less: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Settlement expense</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Transaction related and other</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Gain on sale of real estate</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Stock-based compensation</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benefit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Three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Fiber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Consumer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Leasing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5"/>
              </w:rPr>
              <w:t>Infrastructure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Towers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CLEC</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9"/>
              </w:rPr>
              <w:t>Corporate</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4"/>
        </w:trPr>
        <w:tc>
          <w:tcPr>
            <w:tcW w:w="2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196,057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72,123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268,180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192,137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29,439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(5,842)</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215,734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106,388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40,474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29,132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69,671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8,779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(28,143)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60" w:type="dxa"/>
            <w:vAlign w:val="bottom"/>
            <w:gridSpan w:val="11"/>
            <w:vMerge w:val="restart"/>
          </w:tcPr>
          <w:p>
            <w:pPr>
              <w:jc w:val="right"/>
              <w:ind w:right="180"/>
              <w:spacing w:after="0"/>
              <w:rPr>
                <w:sz w:val="20"/>
                <w:szCs w:val="20"/>
                <w:color w:val="auto"/>
              </w:rPr>
            </w:pPr>
            <w:r>
              <w:rPr>
                <w:rFonts w:ascii="Arial" w:cs="Arial" w:eastAsia="Arial" w:hAnsi="Arial"/>
                <w:sz w:val="18"/>
                <w:szCs w:val="18"/>
                <w:b w:val="1"/>
                <w:bCs w:val="1"/>
                <w:color w:val="auto"/>
                <w:w w:val="91"/>
              </w:rPr>
              <w:t>Three Months Ended June 30, 2020</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1"/>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Fiber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Consumer</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Leasing</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Infrastructure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w w:val="88"/>
              </w:rPr>
              <w:t>Towers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CLEC</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2"/>
              </w:rPr>
              <w:t>Corporate</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3"/>
              </w:rPr>
              <w:t>Segments</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185,320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182,810</w:t>
            </w:r>
          </w:p>
        </w:tc>
        <w:tc>
          <w:tcPr>
            <w:tcW w:w="1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28,493</w:t>
            </w:r>
          </w:p>
        </w:tc>
        <w:tc>
          <w:tcPr>
            <w:tcW w:w="1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(8,227)</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202,869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107,243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52,405</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32,279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84,969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6,013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18,556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(63,818)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(598,329)</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-5288280</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-4996815</wp:posOffset>
            </wp:positionV>
            <wp:extent cx="713232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-4568190</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-4139565</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-3848100</wp:posOffset>
            </wp:positionV>
            <wp:extent cx="713232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-3556635</wp:posOffset>
            </wp:positionV>
            <wp:extent cx="7132320" cy="419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197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-5588635</wp:posOffset>
            </wp:positionV>
            <wp:extent cx="713232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-1919605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-1628140</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-1199515</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-899795</wp:posOffset>
            </wp:positionV>
            <wp:extent cx="7132320" cy="2832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-471170</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-179070</wp:posOffset>
            </wp:positionV>
            <wp:extent cx="713232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-2219325</wp:posOffset>
            </wp:positionV>
            <wp:extent cx="713232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160"/>
            <w:col w:w="8820"/>
          </w:cols>
          <w:pgMar w:left="320" w:top="125" w:right="379" w:bottom="1440" w:gutter="0" w:footer="0" w:header="0"/>
          <w:type w:val="continuous"/>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4"/>
        </w:trPr>
        <w:tc>
          <w:tcPr>
            <w:tcW w:w="5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Summary of Operating Metrics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8"/>
        </w:trPr>
        <w:tc>
          <w:tcPr>
            <w:tcW w:w="1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Operating Metrics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w w:val="90"/>
              </w:rPr>
              <w:t>As of June 30,</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12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2"/>
              </w:rPr>
              <w:t>% Increase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(Decrease)</w:t>
            </w:r>
          </w:p>
        </w:tc>
      </w:tr>
      <w:tr>
        <w:trPr>
          <w:trHeight w:val="223"/>
        </w:trPr>
        <w:tc>
          <w:tcPr>
            <w:tcW w:w="58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Operating metrics:</w:t>
            </w:r>
          </w:p>
        </w:tc>
        <w:tc>
          <w:tcPr>
            <w:tcW w:w="1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Fiber strand miles</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4,600,000</w:t>
            </w:r>
          </w:p>
        </w:tc>
        <w:tc>
          <w:tcPr>
            <w:tcW w:w="280" w:type="dxa"/>
            <w:vAlign w:val="bottom"/>
            <w:shd w:val="clear" w:color="auto" w:fill="CFF0FC"/>
          </w:tcPr>
          <w:p>
            <w:pPr>
              <w:spacing w:after="0"/>
              <w:rPr>
                <w:sz w:val="19"/>
                <w:szCs w:val="19"/>
                <w:color w:val="auto"/>
              </w:rPr>
            </w:pP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4,400,000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7"/>
              </w:rPr>
              <w:t>4.5%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gridSpan w:val="3"/>
          </w:tcPr>
          <w:p>
            <w:pPr>
              <w:ind w:left="500"/>
              <w:spacing w:after="0"/>
              <w:rPr>
                <w:sz w:val="20"/>
                <w:szCs w:val="20"/>
                <w:color w:val="auto"/>
              </w:rPr>
            </w:pPr>
            <w:r>
              <w:rPr>
                <w:rFonts w:ascii="Arial" w:cs="Arial" w:eastAsia="Arial" w:hAnsi="Arial"/>
                <w:sz w:val="18"/>
                <w:szCs w:val="18"/>
                <w:color w:val="auto"/>
              </w:rPr>
              <w:t>Copper strand miles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7"/>
              </w:rPr>
              <w:t>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60" w:type="dxa"/>
            <w:vAlign w:val="bottom"/>
            <w:gridSpan w:val="3"/>
          </w:tcPr>
          <w:p>
            <w:pPr>
              <w:ind w:left="500"/>
              <w:spacing w:after="0"/>
              <w:rPr>
                <w:sz w:val="20"/>
                <w:szCs w:val="20"/>
                <w:color w:val="auto"/>
              </w:rPr>
            </w:pPr>
            <w:r>
              <w:rPr>
                <w:rFonts w:ascii="Arial" w:cs="Arial" w:eastAsia="Arial" w:hAnsi="Arial"/>
                <w:sz w:val="18"/>
                <w:szCs w:val="18"/>
                <w:color w:val="auto"/>
              </w:rPr>
              <w:t>Fiber strand miles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2,540,000</w:t>
            </w:r>
          </w:p>
        </w:tc>
        <w:tc>
          <w:tcPr>
            <w:tcW w:w="28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2,130,000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93"/>
              </w:rPr>
              <w:t>19.2%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Customer connections</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25,383</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7"/>
              </w:rPr>
              <w:t>4.5%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432"/>
        </w:trPr>
        <w:tc>
          <w:tcPr>
            <w:tcW w:w="5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12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w w:val="97"/>
              </w:rPr>
              <w:t>Three Months Ended June 30,</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jc w:val="right"/>
              <w:ind w:right="8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12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0"/>
              <w:spacing w:after="0" w:line="205"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Consolidated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586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Amount</w:t>
            </w:r>
          </w:p>
        </w:tc>
        <w:tc>
          <w:tcPr>
            <w:tcW w:w="160" w:type="dxa"/>
            <w:vAlign w:val="bottom"/>
          </w:tcPr>
          <w:p>
            <w:pPr>
              <w:spacing w:after="0"/>
              <w:rPr>
                <w:sz w:val="20"/>
                <w:szCs w:val="20"/>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r>
      <w:tr>
        <w:trPr>
          <w:trHeight w:val="223"/>
        </w:trPr>
        <w:tc>
          <w:tcPr>
            <w:tcW w:w="57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196,057</w:t>
            </w:r>
          </w:p>
        </w:tc>
        <w:tc>
          <w:tcPr>
            <w:tcW w:w="102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73.1%</w:t>
            </w:r>
          </w:p>
        </w:tc>
        <w:tc>
          <w:tcPr>
            <w:tcW w:w="280" w:type="dxa"/>
            <w:vAlign w:val="bottom"/>
          </w:tcPr>
          <w:p>
            <w:pPr>
              <w:spacing w:after="0"/>
              <w:rPr>
                <w:sz w:val="19"/>
                <w:szCs w:val="19"/>
                <w:color w:val="auto"/>
              </w:rPr>
            </w:pPr>
          </w:p>
        </w:tc>
        <w:tc>
          <w:tcPr>
            <w:tcW w:w="800" w:type="dxa"/>
            <w:vAlign w:val="bottom"/>
            <w:gridSpan w:val="2"/>
          </w:tcPr>
          <w:p>
            <w:pPr>
              <w:jc w:val="center"/>
              <w:ind w:left="5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185,320</w:t>
            </w:r>
          </w:p>
        </w:tc>
        <w:tc>
          <w:tcPr>
            <w:tcW w:w="100" w:type="dxa"/>
            <w:vAlign w:val="bottom"/>
          </w:tcPr>
          <w:p>
            <w:pPr>
              <w:spacing w:after="0"/>
              <w:rPr>
                <w:sz w:val="19"/>
                <w:szCs w:val="19"/>
                <w:color w:val="auto"/>
              </w:rPr>
            </w:pPr>
          </w:p>
        </w:tc>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69.4%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72,123</w:t>
            </w:r>
          </w:p>
        </w:tc>
        <w:tc>
          <w:tcPr>
            <w:tcW w:w="1020" w:type="dxa"/>
            <w:vAlign w:val="bottom"/>
            <w:gridSpan w:val="2"/>
            <w:shd w:val="clear" w:color="auto" w:fill="CFF0FC"/>
          </w:tcPr>
          <w:p>
            <w:pPr>
              <w:jc w:val="center"/>
              <w:ind w:left="430"/>
              <w:spacing w:after="0"/>
              <w:rPr>
                <w:sz w:val="20"/>
                <w:szCs w:val="20"/>
                <w:color w:val="auto"/>
              </w:rPr>
            </w:pPr>
            <w:r>
              <w:rPr>
                <w:rFonts w:ascii="Arial" w:cs="Arial" w:eastAsia="Arial" w:hAnsi="Arial"/>
                <w:sz w:val="18"/>
                <w:szCs w:val="18"/>
                <w:color w:val="auto"/>
                <w:w w:val="90"/>
              </w:rPr>
              <w:t>26.9%</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79,140</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0"/>
              </w:rPr>
              <w:t>29.7%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60" w:type="dxa"/>
            <w:vAlign w:val="bottom"/>
            <w:gridSpan w:val="3"/>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430"/>
              <w:spacing w:after="0"/>
              <w:rPr>
                <w:sz w:val="20"/>
                <w:szCs w:val="20"/>
                <w:color w:val="auto"/>
              </w:rPr>
            </w:pPr>
            <w:r>
              <w:rPr>
                <w:rFonts w:ascii="Arial" w:cs="Arial" w:eastAsia="Arial" w:hAnsi="Arial"/>
                <w:sz w:val="18"/>
                <w:szCs w:val="18"/>
                <w:color w:val="auto"/>
                <w:w w:val="92"/>
              </w:rPr>
              <w:t>0.0%</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118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6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center"/>
              <w:ind w:left="430"/>
              <w:spacing w:after="0"/>
              <w:rPr>
                <w:sz w:val="20"/>
                <w:szCs w:val="20"/>
                <w:color w:val="auto"/>
              </w:rPr>
            </w:pPr>
            <w:r>
              <w:rPr>
                <w:rFonts w:ascii="Arial" w:cs="Arial" w:eastAsia="Arial" w:hAnsi="Arial"/>
                <w:sz w:val="18"/>
                <w:szCs w:val="18"/>
                <w:color w:val="auto"/>
                <w:w w:val="92"/>
              </w:rPr>
              <w:t>0.0%</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11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2"/>
              </w:rPr>
              <w:t>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60" w:type="dxa"/>
            <w:vAlign w:val="bottom"/>
            <w:gridSpan w:val="3"/>
          </w:tcPr>
          <w:p>
            <w:pPr>
              <w:ind w:left="50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268,180</w:t>
            </w: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100.0%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266,820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are primarily attributable to rental revenue from leasing our Distribution Systems to Windstream pursuant to the Windstream</w:t>
      </w:r>
      <w:r>
        <w:rPr>
          <w:rFonts w:ascii="Arial" w:cs="Arial" w:eastAsia="Arial" w:hAnsi="Arial"/>
          <w:sz w:val="18"/>
          <w:szCs w:val="18"/>
          <w:i w:val="1"/>
          <w:iCs w:val="1"/>
          <w:color w:val="auto"/>
        </w:rPr>
        <w:t xml:space="preserve"> </w:t>
      </w:r>
      <w:r>
        <w:rPr>
          <w:rFonts w:ascii="Arial" w:cs="Arial" w:eastAsia="Arial" w:hAnsi="Arial"/>
          <w:sz w:val="18"/>
          <w:szCs w:val="18"/>
          <w:color w:val="auto"/>
        </w:rPr>
        <w:t>Leases (and historically, the Master Lease).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The aggregate initial annual rent under the Windstream Leases is $663 million, equal to the annual rent under the Master Lease previously in effect, and is subject to annual escalation at a rate of 0.5%.</w:t>
      </w:r>
    </w:p>
    <w:p>
      <w:pPr>
        <w:spacing w:after="0" w:line="19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rent for the first year of each renewal term will be an amount agreed to by us and Windstream. While the agreement requires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Pursuant to the Windstream Leases, Windstream (or any successor tenant under a Windstream Lease) has the right to cause Uniti to reimburse up to an aggregate $1.75 billion for certain growth capital improvements in long-term fiber and related assets made by Windstream (or the applicable tenant under the Windstream Lease) to certain ILEC and CLEC properties (the “Growth Capital Improvements”).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Uniti’s combined total obligation to fund Growth Capital Improvements may exceed $250 million to the extent of any unfunded excess amounts from calendar year 2020. Accordingly,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because we funded $84.7 million of the $125 million limit in 2020, we are committed to fund up to $265.3 million of Growth Capital Improvements in 2021.</w:t>
      </w:r>
    </w:p>
    <w:p>
      <w:pPr>
        <w:spacing w:after="0" w:line="170" w:lineRule="exact"/>
        <w:rPr>
          <w:sz w:val="20"/>
          <w:szCs w:val="20"/>
          <w:color w:val="auto"/>
        </w:rPr>
      </w:pPr>
    </w:p>
    <w:p>
      <w:pPr>
        <w:jc w:val="both"/>
        <w:ind w:right="560"/>
        <w:spacing w:after="0" w:line="29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w:t>
      </w:r>
    </w:p>
    <w:p>
      <w:pPr>
        <w:spacing w:after="0" w:line="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5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were made to Windstream during quarter ended June 30, 2021.</w:t>
      </w:r>
    </w:p>
    <w:p>
      <w:pPr>
        <w:spacing w:after="0" w:line="19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and when reimbursed by Uniti.</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months ended June 30, 2021, Uniti reimbursed $49.4 million of Growth Capital Improvements. Subsequent to June 30, 2021, Windstream requested, and we reimbursed $11.8 million of qualifying Growth Capital Improvements. As of the date of this Quarterly Report on Form 10-Q, we have reimbursed a total of $188.6 million of Growth Capital Improvements.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2"/>
              </w:rPr>
              <w:t>Three Months Ended June 30,</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20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9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1"/>
                <w:szCs w:val="21"/>
                <w:color w:val="auto"/>
              </w:rPr>
            </w:pPr>
          </w:p>
        </w:tc>
      </w:tr>
      <w:tr>
        <w:trPr>
          <w:trHeight w:val="205"/>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100" w:type="dxa"/>
            <w:vAlign w:val="bottom"/>
          </w:tcPr>
          <w:p>
            <w:pPr>
              <w:spacing w:after="0"/>
              <w:rPr>
                <w:sz w:val="17"/>
                <w:szCs w:val="17"/>
                <w:color w:val="auto"/>
              </w:rPr>
            </w:pPr>
          </w:p>
        </w:tc>
      </w:tr>
      <w:tr>
        <w:trPr>
          <w:trHeight w:val="234"/>
        </w:trPr>
        <w:tc>
          <w:tcPr>
            <w:tcW w:w="538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Amount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Leasing revenues:</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Windstream Leases: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rent</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84.9%</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4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0"/>
              </w:rPr>
              <w:t>89.4%</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ind w:left="380"/>
              <w:spacing w:after="0"/>
              <w:rPr>
                <w:sz w:val="20"/>
                <w:szCs w:val="20"/>
                <w:color w:val="auto"/>
              </w:rPr>
            </w:pPr>
            <w:r>
              <w:rPr>
                <w:rFonts w:ascii="Arial" w:cs="Arial" w:eastAsia="Arial" w:hAnsi="Arial"/>
                <w:sz w:val="18"/>
                <w:szCs w:val="18"/>
                <w:color w:val="auto"/>
              </w:rPr>
              <w:t>Non-cash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TCI revenue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4.8%</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4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4.7%</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Pr>
          <w:p>
            <w:pPr>
              <w:ind w:left="500"/>
              <w:spacing w:after="0"/>
              <w:rPr>
                <w:sz w:val="20"/>
                <w:szCs w:val="20"/>
                <w:color w:val="auto"/>
              </w:rPr>
            </w:pPr>
            <w:r>
              <w:rPr>
                <w:rFonts w:ascii="Arial" w:cs="Arial" w:eastAsia="Arial" w:hAnsi="Arial"/>
                <w:sz w:val="18"/>
                <w:szCs w:val="18"/>
                <w:color w:val="auto"/>
              </w:rPr>
              <w:t>Straight-line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3.1%</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19"/>
                <w:szCs w:val="19"/>
                <w:color w:val="auto"/>
              </w:rPr>
            </w:pPr>
          </w:p>
        </w:tc>
      </w:tr>
      <w:tr>
        <w:trPr>
          <w:trHeight w:val="223"/>
        </w:trPr>
        <w:tc>
          <w:tcPr>
            <w:tcW w:w="53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non-cash revenue</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7.9%</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4.7%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380" w:type="dxa"/>
            <w:vAlign w:val="bottom"/>
          </w:tcPr>
          <w:p>
            <w:pPr>
              <w:ind w:left="260"/>
              <w:spacing w:after="0"/>
              <w:rPr>
                <w:sz w:val="20"/>
                <w:szCs w:val="20"/>
                <w:color w:val="auto"/>
              </w:rPr>
            </w:pPr>
            <w:r>
              <w:rPr>
                <w:rFonts w:ascii="Arial" w:cs="Arial" w:eastAsia="Arial" w:hAnsi="Arial"/>
                <w:sz w:val="18"/>
                <w:szCs w:val="18"/>
                <w:color w:val="auto"/>
              </w:rPr>
              <w:t>Total Windstream revenue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92.8%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174.3</w:t>
            </w:r>
          </w:p>
        </w:tc>
        <w:tc>
          <w:tcPr>
            <w:tcW w:w="2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94.1%</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triple-net leasing and dark fiber IRU</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7.2%</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5.9%</w:t>
            </w:r>
          </w:p>
        </w:tc>
        <w:tc>
          <w:tcPr>
            <w:tcW w:w="100" w:type="dxa"/>
            <w:vAlign w:val="bottom"/>
            <w:shd w:val="clear" w:color="auto" w:fill="CFF0FC"/>
          </w:tcPr>
          <w:p>
            <w:pPr>
              <w:spacing w:after="0"/>
              <w:rPr>
                <w:sz w:val="19"/>
                <w:szCs w:val="19"/>
                <w:color w:val="auto"/>
              </w:rPr>
            </w:pPr>
          </w:p>
        </w:tc>
      </w:tr>
      <w:tr>
        <w:trPr>
          <w:trHeight w:val="223"/>
        </w:trPr>
        <w:tc>
          <w:tcPr>
            <w:tcW w:w="5380" w:type="dxa"/>
            <w:vAlign w:val="bottom"/>
          </w:tcPr>
          <w:p>
            <w:pPr>
              <w:ind w:left="380"/>
              <w:spacing w:after="0"/>
              <w:rPr>
                <w:sz w:val="20"/>
                <w:szCs w:val="20"/>
                <w:color w:val="auto"/>
              </w:rPr>
            </w:pPr>
            <w:r>
              <w:rPr>
                <w:rFonts w:ascii="Arial" w:cs="Arial" w:eastAsia="Arial" w:hAnsi="Arial"/>
                <w:sz w:val="18"/>
                <w:szCs w:val="18"/>
                <w:color w:val="auto"/>
              </w:rPr>
              <w:t>Total Leasing revenues</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2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185.3</w:t>
            </w:r>
          </w:p>
        </w:tc>
        <w:tc>
          <w:tcPr>
            <w:tcW w:w="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TCI revenue is attributable to continued investment by Windstream, which invested $43.9 million in TCIs during the three months ended June 30, 2021. The total amount invested in TCIs by Windstream since the inception of the Windstream Leases and Master Lease was $952.5 million as of June 30, 2021. For the three months ended June 30, 2021, we recognized $14.2 million of leasing revenues from non-Windstream triple-net leasing and dark fiber indefeasible rights of use (“IRU”) arrangements. For the three months ended June 30, 2020, we recognized $11.0 million from non-Windstream triple-net leasing and dark fiber IRU arrangements.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16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Prior to its emergence from bankruptcy on September 21, 2020, Windstream was a publicly traded company and was subject to the periodic filing requirements of the Securities Exchange Act of 1934, as amended (the “Exchange Act”). Windstream’s historic filings through their quarter ended June 30, 2020 can be found at www.sec.gov. Additionally, the Windstream audited financial statements as of December 31, 2020 and for the period from September 22, 2020 to December 31, 2020 and as of December 31, 2019 and for the period from January 1, 2020 to September 21, 2020 and for each of the two years in the period ended December 31, 2019 are included as an exhibit to our Annual Report. On September 22, 2020, Windstream filed a Form 15 to terminate all filing obligations under Section 12(g) and 15(d) under the Exchange Act. Windstream filings are not incorporated by reference in this Quarterly Report on Form 10-Q.</w:t>
      </w:r>
    </w:p>
    <w:p>
      <w:pPr>
        <w:spacing w:after="0" w:line="19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In order to assist us in our continuing assessment of Windstream’s creditworthiness, we receive certain confidential financial information and metrics from Windstream.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three months ended June 30, 2021 and 2020 consisted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8"/>
                <w:szCs w:val="18"/>
                <w:b w:val="1"/>
                <w:bCs w:val="1"/>
                <w:color w:val="auto"/>
                <w:w w:val="96"/>
              </w:rPr>
              <w:t>Three Months Ended June 30,</w:t>
            </w: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5"/>
        </w:trPr>
        <w:tc>
          <w:tcPr>
            <w:tcW w:w="5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120" w:type="dxa"/>
            <w:vAlign w:val="bottom"/>
          </w:tcPr>
          <w:p>
            <w:pPr>
              <w:spacing w:after="0"/>
              <w:rPr>
                <w:sz w:val="17"/>
                <w:szCs w:val="17"/>
                <w:color w:val="auto"/>
              </w:rPr>
            </w:pPr>
          </w:p>
        </w:tc>
      </w:tr>
      <w:tr>
        <w:trPr>
          <w:trHeight w:val="234"/>
        </w:trPr>
        <w:tc>
          <w:tcPr>
            <w:tcW w:w="5440" w:type="dxa"/>
            <w:vAlign w:val="bottom"/>
          </w:tcPr>
          <w:p>
            <w:pPr>
              <w:spacing w:after="0"/>
              <w:rPr>
                <w:sz w:val="20"/>
                <w:szCs w:val="20"/>
                <w:color w:val="auto"/>
              </w:rPr>
            </w:pPr>
            <w:r>
              <w:rPr>
                <w:rFonts w:ascii="Arial" w:cs="Arial" w:eastAsia="Arial" w:hAnsi="Arial"/>
                <w:sz w:val="18"/>
                <w:szCs w:val="18"/>
                <w:color w:val="auto"/>
              </w:rPr>
              <w:t>(Thousands)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Revenues</w:t>
            </w: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ind w:left="260"/>
              <w:spacing w:after="0"/>
              <w:rPr>
                <w:sz w:val="20"/>
                <w:szCs w:val="20"/>
                <w:color w:val="auto"/>
              </w:rPr>
            </w:pPr>
            <w:r>
              <w:rPr>
                <w:rFonts w:ascii="Arial" w:cs="Arial" w:eastAsia="Arial" w:hAnsi="Arial"/>
                <w:sz w:val="18"/>
                <w:szCs w:val="18"/>
                <w:color w:val="auto"/>
              </w:rPr>
              <w:t>Lit backhaul services</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22,979</w:t>
            </w:r>
          </w:p>
        </w:tc>
        <w:tc>
          <w:tcPr>
            <w:tcW w:w="2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31.9%</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27,216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34.3%</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21,327</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24.8%</w:t>
            </w:r>
          </w:p>
        </w:tc>
        <w:tc>
          <w:tcPr>
            <w:tcW w:w="120" w:type="dxa"/>
            <w:vAlign w:val="bottom"/>
            <w:shd w:val="clear" w:color="auto" w:fill="CFF0FC"/>
          </w:tcPr>
          <w:p>
            <w:pPr>
              <w:spacing w:after="0"/>
              <w:rPr>
                <w:sz w:val="19"/>
                <w:szCs w:val="19"/>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E-Rate and government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15,926</w:t>
            </w:r>
          </w:p>
        </w:tc>
        <w:tc>
          <w:tcPr>
            <w:tcW w:w="2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22.1%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21,821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27.6%</w:t>
            </w:r>
          </w:p>
        </w:tc>
        <w:tc>
          <w:tcPr>
            <w:tcW w:w="120" w:type="dxa"/>
            <w:vAlign w:val="bottom"/>
          </w:tcPr>
          <w:p>
            <w:pPr>
              <w:spacing w:after="0"/>
              <w:rPr>
                <w:sz w:val="19"/>
                <w:szCs w:val="19"/>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11,067</w:t>
            </w: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9,720</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12.3%</w:t>
            </w:r>
          </w:p>
        </w:tc>
        <w:tc>
          <w:tcPr>
            <w:tcW w:w="12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services</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8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1.1%</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3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1.0%</w:t>
            </w:r>
          </w:p>
        </w:tc>
        <w:tc>
          <w:tcPr>
            <w:tcW w:w="120" w:type="dxa"/>
            <w:vAlign w:val="bottom"/>
            <w:tcBorders>
              <w:bottom w:val="single" w:sz="8" w:color="CFF0FC"/>
            </w:tcBorders>
          </w:tcPr>
          <w:p>
            <w:pPr>
              <w:spacing w:after="0"/>
              <w:rPr>
                <w:sz w:val="19"/>
                <w:szCs w:val="19"/>
                <w:color w:val="auto"/>
              </w:rPr>
            </w:pPr>
          </w:p>
        </w:tc>
      </w:tr>
      <w:tr>
        <w:trPr>
          <w:trHeight w:val="223"/>
        </w:trPr>
        <w:tc>
          <w:tcPr>
            <w:tcW w:w="5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72,123</w:t>
            </w:r>
          </w:p>
        </w:tc>
        <w:tc>
          <w:tcPr>
            <w:tcW w:w="2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79,140</w:t>
            </w:r>
          </w:p>
        </w:tc>
        <w:tc>
          <w:tcPr>
            <w:tcW w:w="3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360"/>
        <w:spacing w:after="0" w:line="342" w:lineRule="auto"/>
        <w:rPr>
          <w:sz w:val="20"/>
          <w:szCs w:val="20"/>
          <w:color w:val="auto"/>
        </w:rPr>
      </w:pPr>
      <w:r>
        <w:rPr>
          <w:rFonts w:ascii="Arial" w:cs="Arial" w:eastAsia="Arial" w:hAnsi="Arial"/>
          <w:sz w:val="16"/>
          <w:szCs w:val="16"/>
          <w:color w:val="auto"/>
        </w:rPr>
        <w:t>For the three months ended June 30, 2021, Fiber Infrastructure revenues totaled $72.1 million as compared to $79.1 million for the three months ended June 30, 2020. As of June 30, 2021, we had approximately 25,383 customer connections, up from 24,288 customer connections as of June 30, 2020.</w:t>
      </w:r>
    </w:p>
    <w:p>
      <w:pPr>
        <w:spacing w:after="0" w:line="12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June 30, 2021, we recognized no revenue from the Towers business, as we completed the sale of our U.S. tower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on June 1, 2020.</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June 30, 2021, we recognized no revenue from the Consumer CLEC Business, as we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the wind down of the business as of the end of the second quarter of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6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2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28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50"/>
              <w:spacing w:after="0" w:line="205" w:lineRule="exact"/>
              <w:rPr>
                <w:sz w:val="20"/>
                <w:szCs w:val="20"/>
                <w:color w:val="auto"/>
              </w:rPr>
            </w:pPr>
            <w:r>
              <w:rPr>
                <w:rFonts w:ascii="Arial" w:cs="Arial" w:eastAsia="Arial" w:hAnsi="Arial"/>
                <w:sz w:val="18"/>
                <w:szCs w:val="18"/>
                <w:b w:val="1"/>
                <w:bCs w:val="1"/>
                <w:color w:val="auto"/>
                <w:w w:val="96"/>
              </w:rPr>
              <w:t>Increase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3"/>
        </w:trPr>
        <w:tc>
          <w:tcPr>
            <w:tcW w:w="62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260"/>
              <w:spacing w:after="0"/>
              <w:rPr>
                <w:sz w:val="20"/>
                <w:szCs w:val="20"/>
                <w:color w:val="auto"/>
              </w:rPr>
            </w:pPr>
            <w:r>
              <w:rPr>
                <w:rFonts w:ascii="Arial" w:cs="Arial" w:eastAsia="Arial" w:hAnsi="Arial"/>
                <w:sz w:val="18"/>
                <w:szCs w:val="18"/>
                <w:b w:val="1"/>
                <w:bCs w:val="1"/>
                <w:color w:val="auto"/>
              </w:rPr>
              <w:t>Cash:</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xml:space="preserve">Senior secured term loan B - variable rate </w:t>
            </w:r>
            <w:r>
              <w:rPr>
                <w:rFonts w:ascii="Arial" w:cs="Arial" w:eastAsia="Arial" w:hAnsi="Arial"/>
                <w:sz w:val="15"/>
                <w:szCs w:val="15"/>
                <w:color w:val="auto"/>
              </w:rPr>
              <w:t>(1)</w:t>
            </w:r>
          </w:p>
        </w:tc>
        <w:tc>
          <w:tcPr>
            <w:tcW w:w="48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30"/>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Senior secured notes - 4.75%, 6.00% and 7.875%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54,312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53,430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Senior unsecured notes - 4.00%, 6.50%. 7.125% and 8.25%</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29"/>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Senior secured revolving credit facility - variable rate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Early redemption payment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3,612</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cash interest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95,863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98,931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260"/>
              <w:spacing w:after="0"/>
              <w:rPr>
                <w:sz w:val="20"/>
                <w:szCs w:val="20"/>
                <w:color w:val="auto"/>
              </w:rPr>
            </w:pPr>
            <w:r>
              <w:rPr>
                <w:rFonts w:ascii="Arial" w:cs="Arial" w:eastAsia="Arial" w:hAnsi="Arial"/>
                <w:sz w:val="18"/>
                <w:szCs w:val="18"/>
                <w:b w:val="1"/>
                <w:bCs w:val="1"/>
                <w:color w:val="auto"/>
              </w:rPr>
              <w:t>Non-cash:</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Amortization of deferred financing costs and debt discount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(4,546)</w:t>
            </w:r>
          </w:p>
        </w:tc>
        <w:tc>
          <w:tcPr>
            <w:tcW w:w="0" w:type="dxa"/>
            <w:vAlign w:val="bottom"/>
          </w:tcPr>
          <w:p>
            <w:pPr>
              <w:spacing w:after="0"/>
              <w:rPr>
                <w:sz w:val="1"/>
                <w:szCs w:val="1"/>
                <w:color w:val="auto"/>
              </w:rPr>
            </w:pPr>
          </w:p>
        </w:tc>
      </w:tr>
      <w:tr>
        <w:trPr>
          <w:trHeight w:val="230"/>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Write off of deferred financing costs and debt discount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Accretion of settlement payable</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Capitalized Interest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(626)</w:t>
            </w:r>
          </w:p>
        </w:tc>
        <w:tc>
          <w:tcPr>
            <w:tcW w:w="3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non-cash interest</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8,312</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ind w:left="620"/>
              <w:spacing w:after="0"/>
              <w:rPr>
                <w:sz w:val="20"/>
                <w:szCs w:val="20"/>
                <w:color w:val="auto"/>
              </w:rPr>
            </w:pPr>
            <w:r>
              <w:rPr>
                <w:rFonts w:ascii="Arial" w:cs="Arial" w:eastAsia="Arial" w:hAnsi="Arial"/>
                <w:sz w:val="18"/>
                <w:szCs w:val="18"/>
                <w:color w:val="auto"/>
              </w:rPr>
              <w:t>Total interest expense, net</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106,388</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107,243</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Swapped to fixed rate. See Note 9</w:t>
            </w: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Interest expense for the three months ended June 30, 2021 decreased $0.9 million compared to the three months ended June 30, 2020. The decrease is primarily due to lower cash interest expense resulting from the extinguishment of 2023 Secured Notes and 8.25% Senior Unsecured Notes due October 15, 2023 (the “2023 Notes”), partially offset by the debt extinguishment loss of $5.4 million on the 2023 Secured Notes for three months ended June 30,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20" w:type="dxa"/>
            <w:vAlign w:val="bottom"/>
            <w:gridSpan w:val="9"/>
          </w:tcPr>
          <w:p>
            <w:pPr>
              <w:jc w:val="right"/>
              <w:ind w:right="1000"/>
              <w:spacing w:after="0"/>
              <w:rPr>
                <w:sz w:val="20"/>
                <w:szCs w:val="20"/>
                <w:color w:val="auto"/>
              </w:rPr>
            </w:pPr>
            <w:r>
              <w:rPr>
                <w:rFonts w:ascii="Arial" w:cs="Arial" w:eastAsia="Arial" w:hAnsi="Arial"/>
                <w:sz w:val="18"/>
                <w:szCs w:val="18"/>
                <w:b w:val="1"/>
                <w:bCs w:val="1"/>
                <w:color w:val="auto"/>
              </w:rPr>
              <w:t>Three Months Ended June 30,</w:t>
            </w:r>
          </w:p>
        </w:tc>
      </w:tr>
      <w:tr>
        <w:trPr>
          <w:trHeight w:val="205"/>
        </w:trPr>
        <w:tc>
          <w:tcPr>
            <w:tcW w:w="5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1"/>
              </w:rPr>
              <w:t>Increase /</w:t>
            </w:r>
          </w:p>
        </w:tc>
        <w:tc>
          <w:tcPr>
            <w:tcW w:w="100" w:type="dxa"/>
            <w:vAlign w:val="bottom"/>
          </w:tcPr>
          <w:p>
            <w:pPr>
              <w:spacing w:after="0"/>
              <w:rPr>
                <w:sz w:val="17"/>
                <w:szCs w:val="17"/>
                <w:color w:val="auto"/>
              </w:rPr>
            </w:pPr>
          </w:p>
        </w:tc>
      </w:tr>
      <w:tr>
        <w:trPr>
          <w:trHeight w:val="234"/>
        </w:trPr>
        <w:tc>
          <w:tcPr>
            <w:tcW w:w="5480" w:type="dxa"/>
            <w:vAlign w:val="bottom"/>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6"/>
              </w:rPr>
              <w:t>(Decrease)</w:t>
            </w:r>
          </w:p>
        </w:tc>
      </w:tr>
      <w:tr>
        <w:trPr>
          <w:trHeight w:val="223"/>
        </w:trPr>
        <w:tc>
          <w:tcPr>
            <w:tcW w:w="5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Leasing</w:t>
            </w:r>
          </w:p>
        </w:tc>
        <w:tc>
          <w:tcPr>
            <w:tcW w:w="4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41,419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50,732</w:t>
            </w:r>
          </w:p>
        </w:tc>
        <w:tc>
          <w:tcPr>
            <w:tcW w:w="2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(9,313)</w:t>
            </w:r>
          </w:p>
        </w:tc>
      </w:tr>
      <w:tr>
        <w:trPr>
          <w:trHeight w:val="230"/>
        </w:trPr>
        <w:tc>
          <w:tcPr>
            <w:tcW w:w="5480" w:type="dxa"/>
            <w:vAlign w:val="bottom"/>
          </w:tcPr>
          <w:p>
            <w:pPr>
              <w:ind w:left="380"/>
              <w:spacing w:after="0"/>
              <w:rPr>
                <w:sz w:val="20"/>
                <w:szCs w:val="20"/>
                <w:color w:val="auto"/>
              </w:rPr>
            </w:pPr>
            <w:r>
              <w:rPr>
                <w:rFonts w:ascii="Arial" w:cs="Arial" w:eastAsia="Arial" w:hAnsi="Arial"/>
                <w:sz w:val="18"/>
                <w:szCs w:val="18"/>
                <w:color w:val="auto"/>
              </w:rPr>
              <w:t>Fiber Infrastructure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26,309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(2,895)</w:t>
            </w:r>
          </w:p>
        </w:tc>
      </w:tr>
      <w:tr>
        <w:trPr>
          <w:trHeight w:val="230"/>
        </w:trPr>
        <w:tc>
          <w:tcPr>
            <w:tcW w:w="5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Corporate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5480" w:type="dxa"/>
            <w:vAlign w:val="bottom"/>
          </w:tcPr>
          <w:p>
            <w:pPr>
              <w:ind w:left="38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5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5480" w:type="dxa"/>
            <w:vAlign w:val="bottom"/>
          </w:tcPr>
          <w:p>
            <w:pPr>
              <w:ind w:left="260"/>
              <w:spacing w:after="0"/>
              <w:rPr>
                <w:sz w:val="20"/>
                <w:szCs w:val="20"/>
                <w:color w:val="auto"/>
              </w:rPr>
            </w:pPr>
            <w:r>
              <w:rPr>
                <w:rFonts w:ascii="Arial" w:cs="Arial" w:eastAsia="Arial" w:hAnsi="Arial"/>
                <w:sz w:val="18"/>
                <w:szCs w:val="18"/>
                <w:color w:val="auto"/>
              </w:rPr>
              <w:t>Total depreciation expense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64,898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(12,231)</w:t>
            </w:r>
          </w:p>
        </w:tc>
        <w:tc>
          <w:tcPr>
            <w:tcW w:w="100" w:type="dxa"/>
            <w:vAlign w:val="bottom"/>
          </w:tcPr>
          <w:p>
            <w:pPr>
              <w:spacing w:after="0"/>
              <w:rPr>
                <w:sz w:val="19"/>
                <w:szCs w:val="19"/>
                <w:color w:val="auto"/>
              </w:rPr>
            </w:pPr>
          </w:p>
        </w:tc>
      </w:tr>
      <w:tr>
        <w:trPr>
          <w:trHeight w:val="229"/>
        </w:trPr>
        <w:tc>
          <w:tcPr>
            <w:tcW w:w="5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480" w:type="dxa"/>
            <w:vAlign w:val="bottom"/>
          </w:tcPr>
          <w:p>
            <w:pPr>
              <w:ind w:left="380"/>
              <w:spacing w:after="0"/>
              <w:rPr>
                <w:sz w:val="20"/>
                <w:szCs w:val="20"/>
                <w:color w:val="auto"/>
              </w:rPr>
            </w:pPr>
            <w:r>
              <w:rPr>
                <w:rFonts w:ascii="Arial" w:cs="Arial" w:eastAsia="Arial" w:hAnsi="Arial"/>
                <w:sz w:val="18"/>
                <w:szCs w:val="18"/>
                <w:color w:val="auto"/>
              </w:rPr>
              <w:t>Leasing</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(2,618)</w:t>
            </w:r>
          </w:p>
        </w:tc>
      </w:tr>
      <w:tr>
        <w:trPr>
          <w:trHeight w:val="230"/>
        </w:trPr>
        <w:tc>
          <w:tcPr>
            <w:tcW w:w="5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(252)</w:t>
            </w:r>
          </w:p>
        </w:tc>
      </w:tr>
      <w:tr>
        <w:trPr>
          <w:trHeight w:val="230"/>
        </w:trPr>
        <w:tc>
          <w:tcPr>
            <w:tcW w:w="548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Towers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5480" w:type="dxa"/>
            <w:vAlign w:val="bottom"/>
          </w:tcPr>
          <w:p>
            <w:pPr>
              <w:ind w:left="380"/>
              <w:spacing w:after="0"/>
              <w:rPr>
                <w:sz w:val="20"/>
                <w:szCs w:val="20"/>
                <w:color w:val="auto"/>
              </w:rPr>
            </w:pPr>
            <w:r>
              <w:rPr>
                <w:rFonts w:ascii="Arial" w:cs="Arial" w:eastAsia="Arial" w:hAnsi="Arial"/>
                <w:sz w:val="18"/>
                <w:szCs w:val="18"/>
                <w:color w:val="auto"/>
              </w:rPr>
              <w:t>Consumer CLEC</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r>
      <w:tr>
        <w:trPr>
          <w:trHeight w:val="223"/>
        </w:trPr>
        <w:tc>
          <w:tcPr>
            <w:tcW w:w="54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amortization expense</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7,840</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Arial" w:cs="Arial" w:eastAsia="Arial" w:hAnsi="Arial"/>
                <w:sz w:val="18"/>
                <w:szCs w:val="18"/>
                <w:color w:val="auto"/>
              </w:rPr>
              <w:t>Total depreciation and amortization expense</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69,671</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(15,298)</w:t>
            </w:r>
          </w:p>
        </w:tc>
        <w:tc>
          <w:tcPr>
            <w:tcW w:w="10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incur depreciation and amortization expense related to our property, plant and equipment, corporate assets and intangible assets and liabilities. Charges for depreciation and amortization for the three months ended June 30, 2021 totaled $69.7 million, which included $64.9 million of depreciation expense and $4.8 million of amortization expense. Charges for depreciation and amortization</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for the three months ended June 30, 2020 totaled $85.0 million, which included $77.2 million of depreciation expense and $7.8 million of amortization expense.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 Expense</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3"/>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05"/>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13,926</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5.2%</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13,731</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5.2%</w:t>
            </w:r>
          </w:p>
        </w:tc>
        <w:tc>
          <w:tcPr>
            <w:tcW w:w="120" w:type="dxa"/>
            <w:vAlign w:val="bottom"/>
          </w:tcPr>
          <w:p>
            <w:pPr>
              <w:spacing w:after="0"/>
              <w:rPr>
                <w:sz w:val="19"/>
                <w:szCs w:val="19"/>
                <w:color w:val="auto"/>
              </w:rPr>
            </w:pPr>
          </w:p>
        </w:tc>
      </w:tr>
      <w:tr>
        <w:trPr>
          <w:trHeight w:val="230"/>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shd w:val="clear" w:color="auto" w:fill="CFF0FC"/>
          </w:tcPr>
          <w:p>
            <w:pPr>
              <w:spacing w:after="0"/>
              <w:rPr>
                <w:sz w:val="19"/>
                <w:szCs w:val="19"/>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8,362</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11,306</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4.2%</w:t>
            </w:r>
          </w:p>
        </w:tc>
        <w:tc>
          <w:tcPr>
            <w:tcW w:w="120" w:type="dxa"/>
            <w:vAlign w:val="bottom"/>
          </w:tcPr>
          <w:p>
            <w:pPr>
              <w:spacing w:after="0"/>
              <w:rPr>
                <w:sz w:val="19"/>
                <w:szCs w:val="19"/>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0.0%</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Borders>
              <w:bottom w:val="single" w:sz="8" w:color="CFF0FC"/>
            </w:tcBorders>
          </w:tcPr>
          <w:p>
            <w:pPr>
              <w:spacing w:after="0"/>
              <w:rPr>
                <w:sz w:val="19"/>
                <w:szCs w:val="19"/>
                <w:color w:val="auto"/>
              </w:rPr>
            </w:pPr>
          </w:p>
        </w:tc>
      </w:tr>
      <w:tr>
        <w:trPr>
          <w:trHeight w:val="223"/>
        </w:trPr>
        <w:tc>
          <w:tcPr>
            <w:tcW w:w="59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24,900</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9.3%</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27,894</w:t>
            </w:r>
          </w:p>
        </w:tc>
        <w:tc>
          <w:tcPr>
            <w:tcW w:w="2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and legal services, corporate office costs and other costs associated with administrative activities. For the three months ended June 30, 2021, general and administrative costs totaled $24.9 million, which includes $3.5 million of stock-based compensation. For the three months ended June 30, 2020, general and administrative costs totaled $27.9 million, which included $4.1 million of 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Operating expense for the three months ended June 30, 2021 decreased by $7.0 million from the three months ended June 30, 2020, which was primarily attributable to decreases in Fiber Infrastructure, Towers and Consumer CLEC Business operating expenses offset by an increase in Leasing operating expenses discussed below. Operating expense for our reportable segments for the three months ended June 30, 2021 and 2020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w w:val="90"/>
              </w:rPr>
              <w:t>Three Months Ended June 30,</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0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right"/>
              <w:ind w:right="1130"/>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21"/>
                <w:szCs w:val="21"/>
                <w:color w:val="auto"/>
              </w:rPr>
            </w:pPr>
          </w:p>
        </w:tc>
      </w:tr>
      <w:tr>
        <w:trPr>
          <w:trHeight w:val="205"/>
        </w:trPr>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Consolidated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5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20"/>
                <w:szCs w:val="20"/>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9"/>
              </w:rPr>
              <w:t>Amount</w:t>
            </w: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Revenues</w:t>
            </w:r>
          </w:p>
        </w:tc>
        <w:tc>
          <w:tcPr>
            <w:tcW w:w="16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29,572</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11.1%</w:t>
            </w:r>
          </w:p>
        </w:tc>
        <w:tc>
          <w:tcPr>
            <w:tcW w:w="3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37,697</w:t>
            </w:r>
          </w:p>
        </w:tc>
        <w:tc>
          <w:tcPr>
            <w:tcW w:w="60" w:type="dxa"/>
            <w:vAlign w:val="bottom"/>
          </w:tcPr>
          <w:p>
            <w:pPr>
              <w:spacing w:after="0"/>
              <w:rPr>
                <w:sz w:val="19"/>
                <w:szCs w:val="19"/>
                <w:color w:val="auto"/>
              </w:rPr>
            </w:pPr>
          </w:p>
        </w:tc>
        <w:tc>
          <w:tcPr>
            <w:tcW w:w="162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14.2%</w:t>
            </w:r>
          </w:p>
        </w:tc>
        <w:tc>
          <w:tcPr>
            <w:tcW w:w="120" w:type="dxa"/>
            <w:vAlign w:val="bottom"/>
          </w:tcPr>
          <w:p>
            <w:pPr>
              <w:spacing w:after="0"/>
              <w:rPr>
                <w:sz w:val="19"/>
                <w:szCs w:val="19"/>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3,613</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0.3%</w:t>
            </w:r>
          </w:p>
        </w:tc>
        <w:tc>
          <w:tcPr>
            <w:tcW w:w="120" w:type="dxa"/>
            <w:vAlign w:val="bottom"/>
            <w:shd w:val="clear" w:color="auto" w:fill="CFF0FC"/>
          </w:tcPr>
          <w:p>
            <w:pPr>
              <w:spacing w:after="0"/>
              <w:rPr>
                <w:sz w:val="19"/>
                <w:szCs w:val="19"/>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1,430</w:t>
            </w:r>
          </w:p>
        </w:tc>
        <w:tc>
          <w:tcPr>
            <w:tcW w:w="60" w:type="dxa"/>
            <w:vAlign w:val="bottom"/>
          </w:tcPr>
          <w:p>
            <w:pPr>
              <w:spacing w:after="0"/>
              <w:rPr>
                <w:sz w:val="19"/>
                <w:szCs w:val="19"/>
                <w:color w:val="auto"/>
              </w:rPr>
            </w:pPr>
          </w:p>
        </w:tc>
        <w:tc>
          <w:tcPr>
            <w:tcW w:w="162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0.5%</w:t>
            </w:r>
          </w:p>
        </w:tc>
        <w:tc>
          <w:tcPr>
            <w:tcW w:w="120" w:type="dxa"/>
            <w:vAlign w:val="bottom"/>
          </w:tcPr>
          <w:p>
            <w:pPr>
              <w:spacing w:after="0"/>
              <w:rPr>
                <w:sz w:val="19"/>
                <w:szCs w:val="19"/>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CLEC</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FF0FC"/>
          </w:tcPr>
          <w:p>
            <w:pPr>
              <w:spacing w:after="0"/>
              <w:rPr>
                <w:sz w:val="19"/>
                <w:szCs w:val="19"/>
                <w:color w:val="auto"/>
              </w:rPr>
            </w:pPr>
          </w:p>
        </w:tc>
      </w:tr>
      <w:tr>
        <w:trPr>
          <w:trHeight w:val="223"/>
        </w:trPr>
        <w:tc>
          <w:tcPr>
            <w:tcW w:w="552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33,185</w:t>
            </w:r>
          </w:p>
        </w:tc>
        <w:tc>
          <w:tcPr>
            <w:tcW w:w="3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12.4%</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40,167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15.1%</w:t>
            </w:r>
          </w:p>
        </w:tc>
        <w:tc>
          <w:tcPr>
            <w:tcW w:w="12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i w:val="1"/>
          <w:iCs w:val="1"/>
          <w:color w:val="auto"/>
        </w:rPr>
        <w:t xml:space="preserve"> </w:t>
      </w:r>
      <w:r>
        <w:rPr>
          <w:rFonts w:ascii="Arial" w:cs="Arial" w:eastAsia="Arial" w:hAnsi="Arial"/>
          <w:sz w:val="20"/>
          <w:szCs w:val="20"/>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June 30, 2021, Fiber Infrastructure operating expenses totaled $29.6 million as compared to $37.7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June 30, 2020. Operating expense consists of network related costs, such as dark fiber and tower rents, and lit service and maintenance expense. In addition, costs associated with our construction activities are presented within operating expenses. The decrease in operating expenses is primarily attributable to a decrease of $5.6 million in construction related expenses.</w:t>
      </w:r>
    </w:p>
    <w:p>
      <w:pPr>
        <w:spacing w:after="0" w:line="172"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operating expense was $3.6 million and $0.9 million for the three months ended June 30, 2021 and 2020, respectively. The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$2.1 million increase in network expenses due to the asset purchase agreement the Company entered into with Windstream which was completed in the third quarter of 2020.</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June 30, 2021, Towers operating expenses were not incurred as the U.S. tower business sale was completed on June 1,</w:t>
      </w:r>
      <w:r>
        <w:rPr>
          <w:rFonts w:ascii="Arial" w:cs="Arial" w:eastAsia="Arial" w:hAnsi="Arial"/>
          <w:sz w:val="18"/>
          <w:szCs w:val="18"/>
          <w:i w:val="1"/>
          <w:iCs w:val="1"/>
          <w:color w:val="auto"/>
        </w:rPr>
        <w:t xml:space="preserve"> </w:t>
      </w:r>
      <w:r>
        <w:rPr>
          <w:rFonts w:ascii="Arial" w:cs="Arial" w:eastAsia="Arial" w:hAnsi="Arial"/>
          <w:sz w:val="18"/>
          <w:szCs w:val="18"/>
          <w:color w:val="auto"/>
        </w:rPr>
        <w:t>2020. Towers operating expense was $1.4 million for the three months ended June 30,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June 30, 2021, Consumer CLEC Business operating expenses were not incurred, as we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the wind down of the business as of the end of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new enterprise resource planning system. For the three months ended June 30, 2021, we incurred $0.4 million of transaction related and other costs, compared to $18.6 million of such costs during the three months ended June 30, 2020. The decrease is primarily related to incurring $10.8 million of total costs related to the Windstream bankruptcy for the three months ended June 30, 2020, and we incurred $3.8 million in costs related to the sale of our U.S. towers business during the three months ended June 30,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benefit recorded for the three months ended June 30, 2021 and 2020, respectively, is related to the tax impact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84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2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Pre-tax loss (Fiber Infrastructure)</w:t>
            </w:r>
          </w:p>
        </w:tc>
        <w:tc>
          <w:tcPr>
            <w:tcW w:w="3420" w:type="dxa"/>
            <w:vAlign w:val="bottom"/>
            <w:gridSpan w:val="3"/>
          </w:tcPr>
          <w:p>
            <w:pPr>
              <w:jc w:val="right"/>
              <w:ind w:right="22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(2,949)</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operations</w:t>
            </w:r>
          </w:p>
        </w:tc>
        <w:tc>
          <w:tcPr>
            <w:tcW w:w="2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REIT state and local taxes</w:t>
            </w:r>
          </w:p>
        </w:tc>
        <w:tc>
          <w:tcPr>
            <w:tcW w:w="2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260"/>
              <w:spacing w:after="0"/>
              <w:rPr>
                <w:sz w:val="20"/>
                <w:szCs w:val="20"/>
                <w:color w:val="auto"/>
              </w:rPr>
            </w:pPr>
            <w:r>
              <w:rPr>
                <w:rFonts w:ascii="Arial" w:cs="Arial" w:eastAsia="Arial" w:hAnsi="Arial"/>
                <w:sz w:val="18"/>
                <w:szCs w:val="18"/>
                <w:color w:val="auto"/>
              </w:rPr>
              <w:t>Other</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income tax benefit</w:t>
            </w:r>
          </w:p>
        </w:tc>
        <w:tc>
          <w:tcPr>
            <w:tcW w:w="28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840" w:type="dxa"/>
            <w:vAlign w:val="bottom"/>
            <w:vMerge w:val="restart"/>
          </w:tcPr>
          <w:p>
            <w:pPr>
              <w:jc w:val="right"/>
              <w:ind w:right="141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2021 and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w w:val="96"/>
              </w:rPr>
              <w:t>Six Months Ended June 30,</w:t>
            </w: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50"/>
        </w:trPr>
        <w:tc>
          <w:tcPr>
            <w:tcW w:w="5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5"/>
        </w:trPr>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7"/>
                <w:szCs w:val="17"/>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Amount</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w w:val="99"/>
              </w:rPr>
              <w:t>Amount</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Leasing</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390,993</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72.3%</w:t>
            </w:r>
          </w:p>
        </w:tc>
        <w:tc>
          <w:tcPr>
            <w:tcW w:w="3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369,672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69.4%</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149,773</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156,547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29.4%</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87"/>
              </w:rPr>
              <w:t>0.1%</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540,766</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532,982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9"/>
                <w:szCs w:val="19"/>
                <w:color w:val="auto"/>
              </w:rPr>
            </w:pPr>
          </w:p>
        </w:tc>
      </w:tr>
      <w:tr>
        <w:trPr>
          <w:trHeight w:val="237"/>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246,969</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45.7%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285,636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53.6%</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140,635</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26.0%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171,090</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32.1%</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50,723</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9.4%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55,027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10.3%</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71,269</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13.2%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80,477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3"/>
              </w:rPr>
              <w:t>15.1%</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Settlement expense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650,000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1"/>
              </w:rPr>
              <w:t>122.0%</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related and other costs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6.5%</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(63,818)</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5"/>
              </w:rPr>
              <w:t>(12.0%)</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sale of operations</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(28,143)</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(5.2%)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87"/>
              </w:rPr>
              <w:t>0.0%</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expense (income)</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8,475</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1.6%</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9,088</w:t>
            </w: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1.7%</w:t>
            </w:r>
          </w:p>
        </w:tc>
        <w:tc>
          <w:tcPr>
            <w:tcW w:w="120" w:type="dxa"/>
            <w:vAlign w:val="bottom"/>
            <w:tcBorders>
              <w:bottom w:val="single" w:sz="8" w:color="CFF0FC"/>
            </w:tcBorders>
          </w:tcPr>
          <w:p>
            <w:pPr>
              <w:spacing w:after="0"/>
              <w:rPr>
                <w:sz w:val="19"/>
                <w:szCs w:val="19"/>
                <w:color w:val="auto"/>
              </w:rPr>
            </w:pPr>
          </w:p>
        </w:tc>
      </w:tr>
      <w:tr>
        <w:trPr>
          <w:trHeight w:val="223"/>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494,047</w:t>
            </w:r>
          </w:p>
        </w:tc>
        <w:tc>
          <w:tcPr>
            <w:tcW w:w="2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91.4%</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1,222,028</w:t>
            </w:r>
          </w:p>
        </w:tc>
        <w:tc>
          <w:tcPr>
            <w:tcW w:w="3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1"/>
              </w:rPr>
              <w:t>229.3%</w:t>
            </w:r>
          </w:p>
        </w:tc>
        <w:tc>
          <w:tcPr>
            <w:tcW w:w="120" w:type="dxa"/>
            <w:vAlign w:val="bottom"/>
            <w:shd w:val="clear" w:color="auto" w:fill="CFF0FC"/>
          </w:tcPr>
          <w:p>
            <w:pPr>
              <w:spacing w:after="0"/>
              <w:rPr>
                <w:sz w:val="19"/>
                <w:szCs w:val="19"/>
                <w:color w:val="auto"/>
              </w:rPr>
            </w:pPr>
          </w:p>
        </w:tc>
      </w:tr>
      <w:tr>
        <w:trPr>
          <w:trHeight w:val="205"/>
        </w:trPr>
        <w:tc>
          <w:tcPr>
            <w:tcW w:w="5500" w:type="dxa"/>
            <w:vAlign w:val="bottom"/>
          </w:tcPr>
          <w:p>
            <w:pPr>
              <w:spacing w:after="0" w:line="205" w:lineRule="exact"/>
              <w:rPr>
                <w:sz w:val="20"/>
                <w:szCs w:val="20"/>
                <w:color w:val="auto"/>
              </w:rPr>
            </w:pPr>
            <w:r>
              <w:rPr>
                <w:rFonts w:ascii="Arial" w:cs="Arial" w:eastAsia="Arial" w:hAnsi="Arial"/>
                <w:sz w:val="18"/>
                <w:szCs w:val="18"/>
                <w:b w:val="1"/>
                <w:bCs w:val="1"/>
                <w:color w:val="auto"/>
              </w:rPr>
              <w:t>Income (loss) before income taxes and equity in earnings from</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unconsolidated entities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46,719</w:t>
            </w:r>
          </w:p>
        </w:tc>
        <w:tc>
          <w:tcPr>
            <w:tcW w:w="2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(689,046)</w:t>
            </w: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3"/>
              </w:rPr>
              <w:t>(129.3%)</w:t>
            </w:r>
          </w:p>
        </w:tc>
        <w:tc>
          <w:tcPr>
            <w:tcW w:w="120" w:type="dxa"/>
            <w:vAlign w:val="bottom"/>
          </w:tcPr>
          <w:p>
            <w:pPr>
              <w:spacing w:after="0"/>
              <w:rPr>
                <w:sz w:val="20"/>
                <w:szCs w:val="20"/>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(10,451)</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(1.9%)</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(945)</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(0.2%)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45,137</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8.3%</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(678,595)</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3"/>
              </w:rPr>
              <w:t>(127.3%)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(11,998)</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0"/>
              </w:rPr>
              <w:t>(2.3%)</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income (loss) attributable to shareholders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44,469</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8.2%</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(666,597)</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right="30"/>
              <w:spacing w:after="0"/>
              <w:rPr>
                <w:sz w:val="20"/>
                <w:szCs w:val="20"/>
                <w:color w:val="auto"/>
              </w:rPr>
            </w:pPr>
            <w:r>
              <w:rPr>
                <w:rFonts w:ascii="Arial" w:cs="Arial" w:eastAsia="Arial" w:hAnsi="Arial"/>
                <w:sz w:val="18"/>
                <w:szCs w:val="18"/>
                <w:color w:val="auto"/>
                <w:w w:val="93"/>
              </w:rPr>
              <w:t>(125.1%)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(581)</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0"/>
              </w:rPr>
              <w:t>(0.1%)</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30"/>
              <w:spacing w:after="0"/>
              <w:rPr>
                <w:sz w:val="20"/>
                <w:szCs w:val="20"/>
                <w:color w:val="auto"/>
              </w:rPr>
            </w:pPr>
            <w:r>
              <w:rPr>
                <w:rFonts w:ascii="Arial" w:cs="Arial" w:eastAsia="Arial" w:hAnsi="Arial"/>
                <w:sz w:val="18"/>
                <w:szCs w:val="18"/>
                <w:color w:val="auto"/>
                <w:w w:val="90"/>
              </w:rPr>
              <w:t>(0.0%)</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43,883</w:t>
            </w:r>
          </w:p>
        </w:tc>
        <w:tc>
          <w:tcPr>
            <w:tcW w:w="2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2"/>
              </w:rPr>
              <w:t>8.1%</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(667,225)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(125.2%)</w:t>
            </w:r>
          </w:p>
        </w:tc>
        <w:tc>
          <w:tcPr>
            <w:tcW w:w="12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6"/>
        </w:trPr>
        <w:tc>
          <w:tcPr>
            <w:tcW w:w="5500" w:type="dxa"/>
            <w:vAlign w:val="bottom"/>
          </w:tcPr>
          <w:p>
            <w:pPr>
              <w:spacing w:after="0"/>
              <w:rPr>
                <w:sz w:val="24"/>
                <w:szCs w:val="24"/>
                <w:color w:val="auto"/>
              </w:rPr>
            </w:pP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w w:val="99"/>
              </w:rPr>
              <w:t>47</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5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following tables set forth, for the six months ended June 30, 2021 and 2020, revenues, Adjusted EBITDA and net (loss) income of our reportable segments: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76"/>
              <w:spacing w:after="0"/>
              <w:rPr>
                <w:sz w:val="20"/>
                <w:szCs w:val="20"/>
                <w:color w:val="auto"/>
              </w:rPr>
            </w:pPr>
            <w:r>
              <w:rPr>
                <w:rFonts w:ascii="Arial" w:cs="Arial" w:eastAsia="Arial" w:hAnsi="Arial"/>
                <w:sz w:val="18"/>
                <w:szCs w:val="18"/>
                <w:b w:val="1"/>
                <w:bCs w:val="1"/>
                <w:color w:val="auto"/>
                <w:w w:val="89"/>
              </w:rPr>
              <w:t>Six Months Ended June 30, 2021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89"/>
              </w:rPr>
              <w:t>Subtotal of</w:t>
            </w:r>
          </w:p>
        </w:tc>
        <w:tc>
          <w:tcPr>
            <w:tcW w:w="10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Fiber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center"/>
              <w:ind w:left="16"/>
              <w:spacing w:after="0"/>
              <w:rPr>
                <w:sz w:val="20"/>
                <w:szCs w:val="20"/>
                <w:color w:val="auto"/>
              </w:rPr>
            </w:pPr>
            <w:r>
              <w:rPr>
                <w:rFonts w:ascii="Arial" w:cs="Arial" w:eastAsia="Arial" w:hAnsi="Arial"/>
                <w:sz w:val="18"/>
                <w:szCs w:val="18"/>
                <w:b w:val="1"/>
                <w:bCs w:val="1"/>
                <w:color w:val="auto"/>
                <w:w w:val="89"/>
              </w:rPr>
              <w:t>Consumer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Reportable</w:t>
            </w:r>
          </w:p>
        </w:tc>
      </w:tr>
      <w:tr>
        <w:trPr>
          <w:trHeight w:val="234"/>
        </w:trPr>
        <w:tc>
          <w:tcPr>
            <w:tcW w:w="23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Leasing</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Infrastructure</w:t>
            </w:r>
          </w:p>
        </w:tc>
        <w:tc>
          <w:tcPr>
            <w:tcW w:w="26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b w:val="1"/>
                <w:bCs w:val="1"/>
                <w:color w:val="auto"/>
              </w:rPr>
              <w:t>Towers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ind w:left="36"/>
              <w:spacing w:after="0"/>
              <w:rPr>
                <w:sz w:val="20"/>
                <w:szCs w:val="20"/>
                <w:color w:val="auto"/>
              </w:rPr>
            </w:pPr>
            <w:r>
              <w:rPr>
                <w:rFonts w:ascii="Arial" w:cs="Arial" w:eastAsia="Arial" w:hAnsi="Arial"/>
                <w:sz w:val="18"/>
                <w:szCs w:val="18"/>
                <w:b w:val="1"/>
                <w:bCs w:val="1"/>
                <w:color w:val="auto"/>
              </w:rPr>
              <w:t>CLEC</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Segments</w:t>
            </w: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390,993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149,773</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9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5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540,766</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9"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income,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Transaction related and other</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costs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real estate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operations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 for equity in</w:t>
      </w:r>
    </w:p>
    <w:p>
      <w:pPr>
        <w:spacing w:after="0" w:line="23" w:lineRule="exact"/>
        <w:rPr>
          <w:sz w:val="20"/>
          <w:szCs w:val="20"/>
          <w:color w:val="auto"/>
        </w:rPr>
      </w:pPr>
    </w:p>
    <w:p>
      <w:pPr>
        <w:ind w:left="140" w:right="700"/>
        <w:spacing w:after="0" w:line="290" w:lineRule="auto"/>
        <w:rPr>
          <w:sz w:val="20"/>
          <w:szCs w:val="20"/>
          <w:color w:val="auto"/>
        </w:rPr>
      </w:pPr>
      <w:r>
        <w:rPr>
          <w:rFonts w:ascii="Arial" w:cs="Arial" w:eastAsia="Arial" w:hAnsi="Arial"/>
          <w:sz w:val="16"/>
          <w:szCs w:val="16"/>
          <w:color w:val="auto"/>
        </w:rPr>
        <w:t>earnings from unconsolidated entities</w:t>
      </w: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383,634</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59,160</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(12,812)</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429,982</w:t>
            </w:r>
          </w:p>
        </w:tc>
        <w:tc>
          <w:tcPr>
            <w:tcW w:w="60" w:type="dxa"/>
            <w:vAlign w:val="bottom"/>
          </w:tcPr>
          <w:p>
            <w:pPr>
              <w:spacing w:after="0"/>
              <w:rPr>
                <w:sz w:val="20"/>
                <w:szCs w:val="20"/>
                <w:color w:val="auto"/>
              </w:rPr>
            </w:pPr>
          </w:p>
        </w:tc>
      </w:tr>
      <w:tr>
        <w:trPr>
          <w:trHeight w:val="45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246,969</w:t>
            </w:r>
          </w:p>
        </w:tc>
        <w:tc>
          <w:tcPr>
            <w:tcW w:w="60" w:type="dxa"/>
            <w:vAlign w:val="bottom"/>
          </w:tcPr>
          <w:p>
            <w:pPr>
              <w:spacing w:after="0"/>
              <w:rPr>
                <w:sz w:val="24"/>
                <w:szCs w:val="24"/>
                <w:color w:val="auto"/>
              </w:rPr>
            </w:pPr>
          </w:p>
        </w:tc>
      </w:tr>
      <w:tr>
        <w:trPr>
          <w:trHeight w:val="337"/>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82,700</w:t>
            </w:r>
          </w:p>
        </w:tc>
        <w:tc>
          <w:tcPr>
            <w:tcW w:w="6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57,802</w:t>
            </w:r>
          </w:p>
        </w:tc>
        <w:tc>
          <w:tcPr>
            <w:tcW w:w="72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140,635</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10,097</w:t>
            </w:r>
          </w:p>
        </w:tc>
        <w:tc>
          <w:tcPr>
            <w:tcW w:w="60" w:type="dxa"/>
            <w:vAlign w:val="bottom"/>
          </w:tcPr>
          <w:p>
            <w:pPr>
              <w:spacing w:after="0"/>
              <w:rPr>
                <w:sz w:val="24"/>
                <w:szCs w:val="24"/>
                <w:color w:val="auto"/>
              </w:rPr>
            </w:pPr>
          </w:p>
        </w:tc>
      </w:tr>
      <w:tr>
        <w:trPr>
          <w:trHeight w:val="338"/>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4,561</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(442)</w:t>
            </w:r>
          </w:p>
        </w:tc>
      </w:tr>
      <w:tr>
        <w:trPr>
          <w:trHeight w:val="230"/>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(28,143)</w:t>
            </w:r>
          </w:p>
        </w:tc>
      </w:tr>
      <w:tr>
        <w:trPr>
          <w:trHeight w:val="229"/>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6,797</w:t>
            </w:r>
          </w:p>
        </w:tc>
        <w:tc>
          <w:tcPr>
            <w:tcW w:w="60" w:type="dxa"/>
            <w:vAlign w:val="bottom"/>
          </w:tcPr>
          <w:p>
            <w:pPr>
              <w:spacing w:after="0"/>
              <w:rPr>
                <w:sz w:val="19"/>
                <w:szCs w:val="19"/>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2,527</w:t>
            </w:r>
          </w:p>
        </w:tc>
        <w:tc>
          <w:tcPr>
            <w:tcW w:w="60" w:type="dxa"/>
            <w:vAlign w:val="bottom"/>
          </w:tcPr>
          <w:p>
            <w:pPr>
              <w:spacing w:after="0"/>
              <w:rPr>
                <w:sz w:val="20"/>
                <w:szCs w:val="20"/>
                <w:color w:val="auto"/>
              </w:rPr>
            </w:pPr>
          </w:p>
        </w:tc>
      </w:tr>
      <w:tr>
        <w:trPr>
          <w:trHeight w:val="445"/>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1,844</w:t>
            </w:r>
          </w:p>
        </w:tc>
        <w:tc>
          <w:tcPr>
            <w:tcW w:w="60" w:type="dxa"/>
            <w:vAlign w:val="bottom"/>
          </w:tcPr>
          <w:p>
            <w:pPr>
              <w:spacing w:after="0"/>
              <w:rPr>
                <w:sz w:val="24"/>
                <w:szCs w:val="24"/>
                <w:color w:val="auto"/>
              </w:rPr>
            </w:pP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45,137</w:t>
            </w:r>
          </w:p>
        </w:tc>
        <w:tc>
          <w:tcPr>
            <w:tcW w:w="6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-2331085</wp:posOffset>
            </wp:positionV>
            <wp:extent cx="7132320" cy="146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-2039620</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-1610995</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-1182370</wp:posOffset>
            </wp:positionV>
            <wp:extent cx="713232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-890905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-599440</wp:posOffset>
            </wp:positionV>
            <wp:extent cx="7132320" cy="420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60"/>
          </w:cols>
          <w:pgMar w:left="320" w:top="125"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8"/>
                <w:szCs w:val="18"/>
                <w:b w:val="1"/>
                <w:bCs w:val="1"/>
                <w:color w:val="auto"/>
                <w:w w:val="93"/>
              </w:rPr>
              <w:t>Six Months Ended June 30, 2020</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50"/>
              <w:spacing w:after="0" w:line="205" w:lineRule="exact"/>
              <w:rPr>
                <w:sz w:val="20"/>
                <w:szCs w:val="20"/>
                <w:color w:val="auto"/>
              </w:rPr>
            </w:pPr>
            <w:r>
              <w:rPr>
                <w:rFonts w:ascii="Arial" w:cs="Arial" w:eastAsia="Arial" w:hAnsi="Arial"/>
                <w:sz w:val="18"/>
                <w:szCs w:val="18"/>
                <w:b w:val="1"/>
                <w:bCs w:val="1"/>
                <w:color w:val="auto"/>
                <w:w w:val="91"/>
              </w:rPr>
              <w:t>Subtotal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Fiber</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Consumer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Reportable</w:t>
            </w: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Leasing</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Infrastructure</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Towers</w:t>
            </w:r>
          </w:p>
        </w:tc>
        <w:tc>
          <w:tcPr>
            <w:tcW w:w="14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CLEC</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Corporate</w:t>
            </w:r>
          </w:p>
        </w:tc>
        <w:tc>
          <w:tcPr>
            <w:tcW w:w="12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369,672</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156,547</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364,689</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56,034</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(15,942)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107,027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62,340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171,090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40"/>
              <w:spacing w:after="0"/>
              <w:rPr>
                <w:sz w:val="20"/>
                <w:szCs w:val="20"/>
                <w:color w:val="auto"/>
              </w:rPr>
            </w:pPr>
            <w:r>
              <w:rPr>
                <w:rFonts w:ascii="Arial" w:cs="Arial" w:eastAsia="Arial" w:hAnsi="Arial"/>
                <w:sz w:val="18"/>
                <w:szCs w:val="18"/>
                <w:color w:val="auto"/>
              </w:rPr>
              <w:t>Settlement expense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0"/>
              </w:rPr>
              <w:t>Transaction related and other</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34,528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shd w:val="clear" w:color="auto" w:fill="CFF0FC"/>
          </w:tcPr>
          <w:p>
            <w:pPr>
              <w:ind w:left="14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8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3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Gain on sale of real estate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(63,818)</w:t>
            </w: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Stock-based compensation</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4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(10,451)</w:t>
            </w: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(678,595)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4"/>
            <w:vMerge w:val="restart"/>
          </w:tcPr>
          <w:p>
            <w:pPr>
              <w:jc w:val="right"/>
              <w:ind w:right="25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b w:val="1"/>
                <w:bCs w:val="1"/>
                <w:color w:val="auto"/>
                <w:w w:val="99"/>
              </w:rPr>
              <w:t>2021</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7"/>
              </w:rPr>
              <w:t>Consolidated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4"/>
        </w:trPr>
        <w:tc>
          <w:tcPr>
            <w:tcW w:w="54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4"/>
              </w:rPr>
              <w:t>Revenues</w:t>
            </w:r>
          </w:p>
        </w:tc>
        <w:tc>
          <w:tcPr>
            <w:tcW w:w="1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390,993</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72.3%</w:t>
            </w:r>
          </w:p>
        </w:tc>
        <w:tc>
          <w:tcPr>
            <w:tcW w:w="6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369,672</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149,773</w:t>
            </w:r>
          </w:p>
        </w:tc>
        <w:tc>
          <w:tcPr>
            <w:tcW w:w="150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3"/>
              </w:rPr>
              <w:t>27.7%</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156,547</w:t>
            </w:r>
          </w:p>
        </w:tc>
        <w:tc>
          <w:tcPr>
            <w:tcW w:w="14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3"/>
              </w:rPr>
              <w:t>29.4%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0.0%</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6,112</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7"/>
              </w:rPr>
              <w:t>0.0%</w:t>
            </w: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14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540,766</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532,982</w:t>
            </w:r>
          </w:p>
        </w:tc>
        <w:tc>
          <w:tcPr>
            <w:tcW w:w="2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the six months ended June 30, 2021, Uniti reimbursed $92.1 million of Growth Capital Improvements, of which $28.5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allowed for under the Settlement, represented the reimbursement of capital improvements completed in 2020 that were previously classified as TCIs.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$0.9 million and reported within other assets on our Condensed Consolidated Balance Sheet as of June 30, 2021, will be amortized against revenue over the initial term of the Windstream Leases. Subsequent to June 30, 2021, Windstream requested, and we reimbursed $11.8 million of qualifying Growth Capital Improvements. As of the date of this Quarterly Report on Form 10-Q, we have reimbursed a total of $188.6 million of Growth Capital Improvements.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w w:val="94"/>
              </w:rPr>
              <w:t>2021</w:t>
            </w:r>
          </w:p>
        </w:tc>
        <w:tc>
          <w:tcPr>
            <w:tcW w:w="4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ind w:right="9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1"/>
                <w:szCs w:val="21"/>
                <w:color w:val="auto"/>
              </w:rPr>
            </w:pPr>
          </w:p>
        </w:tc>
      </w:tr>
      <w:tr>
        <w:trPr>
          <w:trHeight w:val="205"/>
        </w:trPr>
        <w:tc>
          <w:tcPr>
            <w:tcW w:w="5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100" w:type="dxa"/>
            <w:vAlign w:val="bottom"/>
          </w:tcPr>
          <w:p>
            <w:pPr>
              <w:spacing w:after="0"/>
              <w:rPr>
                <w:sz w:val="17"/>
                <w:szCs w:val="17"/>
                <w:color w:val="auto"/>
              </w:rPr>
            </w:pPr>
          </w:p>
        </w:tc>
      </w:tr>
      <w:tr>
        <w:trPr>
          <w:trHeight w:val="234"/>
        </w:trPr>
        <w:tc>
          <w:tcPr>
            <w:tcW w:w="56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Revenues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Leasing revenues: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80" w:type="dxa"/>
            <w:vAlign w:val="bottom"/>
            <w:gridSpan w:val="2"/>
          </w:tcPr>
          <w:p>
            <w:pPr>
              <w:ind w:left="140"/>
              <w:spacing w:after="0"/>
              <w:rPr>
                <w:sz w:val="20"/>
                <w:szCs w:val="20"/>
                <w:color w:val="auto"/>
              </w:rPr>
            </w:pPr>
            <w:r>
              <w:rPr>
                <w:rFonts w:ascii="Arial" w:cs="Arial" w:eastAsia="Arial" w:hAnsi="Arial"/>
                <w:sz w:val="18"/>
                <w:szCs w:val="18"/>
                <w:color w:val="auto"/>
              </w:rPr>
              <w:t>Windstream leases:</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rent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332.2</w:t>
            </w:r>
          </w:p>
        </w:tc>
        <w:tc>
          <w:tcPr>
            <w:tcW w:w="15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0"/>
              </w:rPr>
              <w:t>85.0%</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330.6</w:t>
            </w:r>
          </w:p>
        </w:tc>
        <w:tc>
          <w:tcPr>
            <w:tcW w:w="14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93"/>
              </w:rPr>
              <w:t>89.4%</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gridSpan w:val="2"/>
          </w:tcPr>
          <w:p>
            <w:pPr>
              <w:ind w:left="380"/>
              <w:spacing w:after="0"/>
              <w:rPr>
                <w:sz w:val="20"/>
                <w:szCs w:val="20"/>
                <w:color w:val="auto"/>
              </w:rPr>
            </w:pPr>
            <w:r>
              <w:rPr>
                <w:rFonts w:ascii="Arial" w:cs="Arial" w:eastAsia="Arial" w:hAnsi="Arial"/>
                <w:sz w:val="18"/>
                <w:szCs w:val="18"/>
                <w:color w:val="auto"/>
              </w:rPr>
              <w:t>Non-cash revenue</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TCI revenue</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5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4.8%</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4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7"/>
              </w:rPr>
              <w:t>4.6%</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gridSpan w:val="2"/>
          </w:tcPr>
          <w:p>
            <w:pPr>
              <w:ind w:left="500"/>
              <w:spacing w:after="0"/>
              <w:rPr>
                <w:sz w:val="20"/>
                <w:szCs w:val="20"/>
                <w:color w:val="auto"/>
              </w:rPr>
            </w:pPr>
            <w:r>
              <w:rPr>
                <w:rFonts w:ascii="Arial" w:cs="Arial" w:eastAsia="Arial" w:hAnsi="Arial"/>
                <w:sz w:val="18"/>
                <w:szCs w:val="18"/>
                <w:color w:val="auto"/>
              </w:rPr>
              <w:t>Straight-line revenue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3.0%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0.0%</w:t>
            </w:r>
          </w:p>
        </w:tc>
        <w:tc>
          <w:tcPr>
            <w:tcW w:w="100" w:type="dxa"/>
            <w:vAlign w:val="bottom"/>
          </w:tcPr>
          <w:p>
            <w:pPr>
              <w:spacing w:after="0"/>
              <w:rPr>
                <w:sz w:val="19"/>
                <w:szCs w:val="19"/>
                <w:color w:val="auto"/>
              </w:rPr>
            </w:pPr>
          </w:p>
        </w:tc>
      </w:tr>
      <w:tr>
        <w:trPr>
          <w:trHeight w:val="223"/>
        </w:trPr>
        <w:tc>
          <w:tcPr>
            <w:tcW w:w="5680" w:type="dxa"/>
            <w:vAlign w:val="bottom"/>
            <w:tcBorders>
              <w:top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non-cash revenue</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7.8%</w:t>
            </w:r>
          </w:p>
        </w:tc>
        <w:tc>
          <w:tcPr>
            <w:tcW w:w="4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680" w:type="dxa"/>
            <w:vAlign w:val="bottom"/>
            <w:gridSpan w:val="2"/>
          </w:tcPr>
          <w:p>
            <w:pPr>
              <w:ind w:left="260"/>
              <w:spacing w:after="0"/>
              <w:rPr>
                <w:sz w:val="20"/>
                <w:szCs w:val="20"/>
                <w:color w:val="auto"/>
              </w:rPr>
            </w:pPr>
            <w:r>
              <w:rPr>
                <w:rFonts w:ascii="Arial" w:cs="Arial" w:eastAsia="Arial" w:hAnsi="Arial"/>
                <w:sz w:val="18"/>
                <w:szCs w:val="18"/>
                <w:color w:val="auto"/>
              </w:rPr>
              <w:t>Total Windstream revenue</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362.6</w:t>
            </w:r>
          </w:p>
        </w:tc>
        <w:tc>
          <w:tcPr>
            <w:tcW w:w="2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92.8%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347.5</w:t>
            </w:r>
          </w:p>
        </w:tc>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94.0%</w:t>
            </w:r>
          </w:p>
        </w:tc>
        <w:tc>
          <w:tcPr>
            <w:tcW w:w="100" w:type="dxa"/>
            <w:vAlign w:val="bottom"/>
          </w:tcPr>
          <w:p>
            <w:pPr>
              <w:spacing w:after="0"/>
              <w:rPr>
                <w:sz w:val="19"/>
                <w:szCs w:val="19"/>
                <w:color w:val="auto"/>
              </w:rPr>
            </w:pPr>
          </w:p>
        </w:tc>
      </w:tr>
      <w:tr>
        <w:trPr>
          <w:trHeight w:val="230"/>
        </w:trPr>
        <w:tc>
          <w:tcPr>
            <w:tcW w:w="5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 triple-net leasing and dark fiber IRU</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5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7.2%</w:t>
            </w: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460" w:type="dxa"/>
            <w:vAlign w:val="bottom"/>
            <w:gridSpan w:val="2"/>
            <w:shd w:val="clear" w:color="auto" w:fill="CFF0FC"/>
          </w:tcPr>
          <w:p>
            <w:pPr>
              <w:jc w:val="center"/>
              <w:ind w:left="130"/>
              <w:spacing w:after="0"/>
              <w:rPr>
                <w:sz w:val="20"/>
                <w:szCs w:val="20"/>
                <w:color w:val="auto"/>
              </w:rPr>
            </w:pPr>
            <w:r>
              <w:rPr>
                <w:rFonts w:ascii="Arial" w:cs="Arial" w:eastAsia="Arial" w:hAnsi="Arial"/>
                <w:sz w:val="18"/>
                <w:szCs w:val="18"/>
                <w:color w:val="auto"/>
                <w:w w:val="87"/>
              </w:rPr>
              <w:t>6.0%</w:t>
            </w:r>
          </w:p>
        </w:tc>
        <w:tc>
          <w:tcPr>
            <w:tcW w:w="100" w:type="dxa"/>
            <w:vAlign w:val="bottom"/>
            <w:shd w:val="clear" w:color="auto" w:fill="CFF0FC"/>
          </w:tcPr>
          <w:p>
            <w:pPr>
              <w:spacing w:after="0"/>
              <w:rPr>
                <w:sz w:val="19"/>
                <w:szCs w:val="19"/>
                <w:color w:val="auto"/>
              </w:rPr>
            </w:pPr>
          </w:p>
        </w:tc>
      </w:tr>
      <w:tr>
        <w:trPr>
          <w:trHeight w:val="223"/>
        </w:trPr>
        <w:tc>
          <w:tcPr>
            <w:tcW w:w="5680" w:type="dxa"/>
            <w:vAlign w:val="bottom"/>
            <w:gridSpan w:val="2"/>
          </w:tcPr>
          <w:p>
            <w:pPr>
              <w:ind w:left="380"/>
              <w:spacing w:after="0"/>
              <w:rPr>
                <w:sz w:val="20"/>
                <w:szCs w:val="20"/>
                <w:color w:val="auto"/>
              </w:rPr>
            </w:pPr>
            <w:r>
              <w:rPr>
                <w:rFonts w:ascii="Arial" w:cs="Arial" w:eastAsia="Arial" w:hAnsi="Arial"/>
                <w:sz w:val="18"/>
                <w:szCs w:val="18"/>
                <w:color w:val="auto"/>
              </w:rPr>
              <w:t>Total Leasing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391.0</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369.7</w:t>
            </w:r>
          </w:p>
        </w:tc>
        <w:tc>
          <w:tcPr>
            <w:tcW w:w="2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increase in TCI revenue is attributable to continued investment by Windstream, which invested $106.8 million in TCIs during the six months ended June 30, 2021. The total amount invested in TCIs by Windstream since the inception of the Windstream Leases and Master Lease was $952.5 million as of June 30, 2021. For the six months ended June 30, 2021, we recognized $28.4 million of leasing revenues from non-Windstream triple-net leasing and dark fiber IRU arrangements. For the six months ended June 30, 2020, we recognized $22.2 million from non-Windstream triple-net leasing and dark fiber IRU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six months ended June 30, 2021 and 2020 consisted of the following: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66"/>
        </w:trPr>
        <w:tc>
          <w:tcPr>
            <w:tcW w:w="1280" w:type="dxa"/>
            <w:vAlign w:val="bottom"/>
            <w:tcBorders>
              <w:top w:val="single" w:sz="8" w:color="0000EE"/>
            </w:tcBorders>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Six Months Ended June 30,</w:t>
            </w: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05"/>
        </w:trPr>
        <w:tc>
          <w:tcPr>
            <w:tcW w:w="1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0"/>
              </w:rPr>
              <w:t>% of Segment</w:t>
            </w:r>
          </w:p>
        </w:tc>
        <w:tc>
          <w:tcPr>
            <w:tcW w:w="120" w:type="dxa"/>
            <w:vAlign w:val="bottom"/>
          </w:tcPr>
          <w:p>
            <w:pPr>
              <w:spacing w:after="0"/>
              <w:rPr>
                <w:sz w:val="17"/>
                <w:szCs w:val="17"/>
                <w:color w:val="auto"/>
              </w:rPr>
            </w:pP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2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48,023</w:t>
            </w:r>
          </w:p>
        </w:tc>
        <w:tc>
          <w:tcPr>
            <w:tcW w:w="154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32.0%</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55,408</w:t>
            </w:r>
          </w:p>
        </w:tc>
        <w:tc>
          <w:tcPr>
            <w:tcW w:w="16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35.5%</w:t>
            </w:r>
          </w:p>
        </w:tc>
        <w:tc>
          <w:tcPr>
            <w:tcW w:w="120" w:type="dxa"/>
            <w:vAlign w:val="bottom"/>
          </w:tcPr>
          <w:p>
            <w:pPr>
              <w:spacing w:after="0"/>
              <w:rPr>
                <w:sz w:val="19"/>
                <w:szCs w:val="19"/>
                <w:color w:val="auto"/>
              </w:rPr>
            </w:pPr>
          </w:p>
        </w:tc>
      </w:tr>
      <w:tr>
        <w:trPr>
          <w:trHeight w:val="229"/>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42,327</w:t>
            </w:r>
          </w:p>
        </w:tc>
        <w:tc>
          <w:tcPr>
            <w:tcW w:w="15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3"/>
              </w:rPr>
              <w:t>28.3%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38,886</w:t>
            </w:r>
          </w:p>
        </w:tc>
        <w:tc>
          <w:tcPr>
            <w:tcW w:w="16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0"/>
              </w:rPr>
              <w:t>24.8%</w:t>
            </w:r>
          </w:p>
        </w:tc>
        <w:tc>
          <w:tcPr>
            <w:tcW w:w="120" w:type="dxa"/>
            <w:vAlign w:val="bottom"/>
            <w:shd w:val="clear" w:color="auto" w:fill="CFF0FC"/>
          </w:tcPr>
          <w:p>
            <w:pPr>
              <w:spacing w:after="0"/>
              <w:rPr>
                <w:sz w:val="19"/>
                <w:szCs w:val="19"/>
                <w:color w:val="auto"/>
              </w:rPr>
            </w:pPr>
          </w:p>
        </w:tc>
      </w:tr>
      <w:tr>
        <w:trPr>
          <w:trHeight w:val="229"/>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35,290</w:t>
            </w:r>
          </w:p>
        </w:tc>
        <w:tc>
          <w:tcPr>
            <w:tcW w:w="154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23.6%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42,758</w:t>
            </w:r>
          </w:p>
        </w:tc>
        <w:tc>
          <w:tcPr>
            <w:tcW w:w="16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27.3%</w:t>
            </w:r>
          </w:p>
        </w:tc>
        <w:tc>
          <w:tcPr>
            <w:tcW w:w="120" w:type="dxa"/>
            <w:vAlign w:val="bottom"/>
          </w:tcPr>
          <w:p>
            <w:pPr>
              <w:spacing w:after="0"/>
              <w:rPr>
                <w:sz w:val="19"/>
                <w:szCs w:val="19"/>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22,493</w:t>
            </w:r>
          </w:p>
        </w:tc>
        <w:tc>
          <w:tcPr>
            <w:tcW w:w="15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3"/>
              </w:rPr>
              <w:t>15.0%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18,192</w:t>
            </w:r>
          </w:p>
        </w:tc>
        <w:tc>
          <w:tcPr>
            <w:tcW w:w="16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0"/>
              </w:rPr>
              <w:t>11.6%</w:t>
            </w:r>
          </w:p>
        </w:tc>
        <w:tc>
          <w:tcPr>
            <w:tcW w:w="120" w:type="dxa"/>
            <w:vAlign w:val="bottom"/>
            <w:shd w:val="clear" w:color="auto" w:fill="CFF0FC"/>
          </w:tcPr>
          <w:p>
            <w:pPr>
              <w:spacing w:after="0"/>
              <w:rPr>
                <w:sz w:val="19"/>
                <w:szCs w:val="19"/>
                <w:color w:val="auto"/>
              </w:rPr>
            </w:pPr>
          </w:p>
        </w:tc>
      </w:tr>
      <w:tr>
        <w:trPr>
          <w:trHeight w:val="229"/>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Other services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1,640</w:t>
            </w:r>
          </w:p>
        </w:tc>
        <w:tc>
          <w:tcPr>
            <w:tcW w:w="15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1.1%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1,303</w:t>
            </w:r>
          </w:p>
        </w:tc>
        <w:tc>
          <w:tcPr>
            <w:tcW w:w="16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0.8%</w:t>
            </w:r>
          </w:p>
        </w:tc>
        <w:tc>
          <w:tcPr>
            <w:tcW w:w="120" w:type="dxa"/>
            <w:vAlign w:val="bottom"/>
          </w:tcPr>
          <w:p>
            <w:pPr>
              <w:spacing w:after="0"/>
              <w:rPr>
                <w:sz w:val="19"/>
                <w:szCs w:val="19"/>
                <w:color w:val="auto"/>
              </w:rPr>
            </w:pPr>
          </w:p>
        </w:tc>
      </w:tr>
      <w:tr>
        <w:trPr>
          <w:trHeight w:val="223"/>
        </w:trPr>
        <w:tc>
          <w:tcPr>
            <w:tcW w:w="528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149,773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156,547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six months ended June 30, 2021, Fiber Infrastructure revenues totaled $149.8 million as compared to $156.5 million for the six months ended June 30, 2020.</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six months ended June 30, 2021, we recognized no revenue from the Towers business, as we completed the sale of our U.S. tower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on June 1, 2020.</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six months ended June 30, 2021, we recognized no revenue from the Consumer CLEC Business, as we substantially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the wind down of the business as of the end of the second quarter of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7"/>
            <w:vMerge w:val="restart"/>
          </w:tcPr>
          <w:p>
            <w:pPr>
              <w:jc w:val="right"/>
              <w:ind w:right="30"/>
              <w:spacing w:after="0"/>
              <w:rPr>
                <w:sz w:val="20"/>
                <w:szCs w:val="20"/>
                <w:color w:val="auto"/>
              </w:rPr>
            </w:pPr>
            <w:r>
              <w:rPr>
                <w:rFonts w:ascii="Arial" w:cs="Arial" w:eastAsia="Arial" w:hAnsi="Arial"/>
                <w:sz w:val="18"/>
                <w:szCs w:val="18"/>
                <w:b w:val="1"/>
                <w:bCs w:val="1"/>
                <w:color w:val="auto"/>
              </w:rPr>
              <w:t>Six Months Ended June 30,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7"/>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70"/>
              <w:spacing w:after="0" w:line="205" w:lineRule="exact"/>
              <w:rPr>
                <w:sz w:val="20"/>
                <w:szCs w:val="20"/>
                <w:color w:val="auto"/>
              </w:rPr>
            </w:pPr>
            <w:r>
              <w:rPr>
                <w:rFonts w:ascii="Arial" w:cs="Arial" w:eastAsia="Arial" w:hAnsi="Arial"/>
                <w:sz w:val="18"/>
                <w:szCs w:val="18"/>
                <w:b w:val="1"/>
                <w:bCs w:val="1"/>
                <w:color w:val="auto"/>
                <w:w w:val="96"/>
              </w:rPr>
              <w:t>Increase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3"/>
        </w:trPr>
        <w:tc>
          <w:tcPr>
            <w:tcW w:w="6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b w:val="1"/>
                <w:bCs w:val="1"/>
                <w:color w:val="auto"/>
              </w:rPr>
              <w:t>Cash:</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 xml:space="preserve">Senior secured term loan B - variable rate </w:t>
            </w:r>
            <w:r>
              <w:rPr>
                <w:rFonts w:ascii="Arial" w:cs="Arial" w:eastAsia="Arial" w:hAnsi="Arial"/>
                <w:sz w:val="15"/>
                <w:szCs w:val="15"/>
                <w:color w:val="auto"/>
              </w:rPr>
              <w:t>(1)</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20,205</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(20,205)</w:t>
            </w:r>
          </w:p>
        </w:tc>
        <w:tc>
          <w:tcPr>
            <w:tcW w:w="0" w:type="dxa"/>
            <w:vAlign w:val="bottom"/>
          </w:tcPr>
          <w:p>
            <w:pPr>
              <w:spacing w:after="0"/>
              <w:rPr>
                <w:sz w:val="1"/>
                <w:szCs w:val="1"/>
                <w:color w:val="auto"/>
              </w:rPr>
            </w:pPr>
          </w:p>
        </w:tc>
      </w:tr>
      <w:tr>
        <w:trPr>
          <w:trHeight w:val="230"/>
        </w:trPr>
        <w:tc>
          <w:tcPr>
            <w:tcW w:w="6480" w:type="dxa"/>
            <w:vAlign w:val="bottom"/>
          </w:tcPr>
          <w:p>
            <w:pPr>
              <w:ind w:left="380"/>
              <w:spacing w:after="0"/>
              <w:rPr>
                <w:sz w:val="20"/>
                <w:szCs w:val="20"/>
                <w:color w:val="auto"/>
              </w:rPr>
            </w:pPr>
            <w:r>
              <w:rPr>
                <w:rFonts w:ascii="Arial" w:cs="Arial" w:eastAsia="Arial" w:hAnsi="Arial"/>
                <w:sz w:val="18"/>
                <w:szCs w:val="18"/>
                <w:color w:val="auto"/>
              </w:rPr>
              <w:t>Senior secured notes - 4.75%, 6.00% and 7.875%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106,859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Senior unsecured notes - 4.00%, 6.50%. 7.125% and 8.25%</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74,061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30"/>
        </w:trPr>
        <w:tc>
          <w:tcPr>
            <w:tcW w:w="6480" w:type="dxa"/>
            <w:vAlign w:val="bottom"/>
          </w:tcPr>
          <w:p>
            <w:pPr>
              <w:ind w:left="380"/>
              <w:spacing w:after="0"/>
              <w:rPr>
                <w:sz w:val="20"/>
                <w:szCs w:val="20"/>
                <w:color w:val="auto"/>
              </w:rPr>
            </w:pPr>
            <w:r>
              <w:rPr>
                <w:rFonts w:ascii="Arial" w:cs="Arial" w:eastAsia="Arial" w:hAnsi="Arial"/>
                <w:sz w:val="18"/>
                <w:szCs w:val="18"/>
                <w:color w:val="auto"/>
              </w:rPr>
              <w:t>Senior secured revolving credit facility - variable rate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4,885</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(7,347)</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Tender premium and early redemption payments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7,363</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cash interest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206,910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b w:val="1"/>
                <w:bCs w:val="1"/>
                <w:color w:val="auto"/>
              </w:rPr>
              <w:t>Non-cash:</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deferred financing costs and debt discount</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(9,295)</w:t>
            </w:r>
          </w:p>
        </w:tc>
        <w:tc>
          <w:tcPr>
            <w:tcW w:w="0" w:type="dxa"/>
            <w:vAlign w:val="bottom"/>
          </w:tcPr>
          <w:p>
            <w:pPr>
              <w:spacing w:after="0"/>
              <w:rPr>
                <w:sz w:val="1"/>
                <w:szCs w:val="1"/>
                <w:color w:val="auto"/>
              </w:rPr>
            </w:pPr>
          </w:p>
        </w:tc>
      </w:tr>
      <w:tr>
        <w:trPr>
          <w:trHeight w:val="230"/>
        </w:trPr>
        <w:tc>
          <w:tcPr>
            <w:tcW w:w="6480" w:type="dxa"/>
            <w:vAlign w:val="bottom"/>
          </w:tcPr>
          <w:p>
            <w:pPr>
              <w:ind w:left="380"/>
              <w:spacing w:after="0"/>
              <w:rPr>
                <w:sz w:val="20"/>
                <w:szCs w:val="20"/>
                <w:color w:val="auto"/>
              </w:rPr>
            </w:pPr>
            <w:r>
              <w:rPr>
                <w:rFonts w:ascii="Arial" w:cs="Arial" w:eastAsia="Arial" w:hAnsi="Arial"/>
                <w:sz w:val="18"/>
                <w:szCs w:val="18"/>
                <w:color w:val="auto"/>
              </w:rPr>
              <w:t>Write off of deferred financing costs and debt discount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22,828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(51,124)</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Accretion of settlement payable</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380"/>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(1,029)</w:t>
            </w:r>
          </w:p>
        </w:tc>
        <w:tc>
          <w:tcPr>
            <w:tcW w:w="3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non-cash interest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40,059</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91,266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620"/>
              <w:spacing w:after="0"/>
              <w:rPr>
                <w:sz w:val="20"/>
                <w:szCs w:val="20"/>
                <w:color w:val="auto"/>
              </w:rPr>
            </w:pPr>
            <w:r>
              <w:rPr>
                <w:rFonts w:ascii="Arial" w:cs="Arial" w:eastAsia="Arial" w:hAnsi="Arial"/>
                <w:sz w:val="18"/>
                <w:szCs w:val="18"/>
                <w:color w:val="auto"/>
              </w:rPr>
              <w:t>Total interest expense, net</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246,969</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Swapped to fixed rate. See Note 9</w:t>
            </w: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Interest expense for the six months ended June 30, 2021 decreased $38.7 million compared to the six months ended June 30, 2020. The decrease is primarily due to the decrease in debt extinguishment loss of $30.6 million on the 2023 Secured Notes and the 2023 Notes during the six months ended June 30, 2021 as compared to the write-off of unamortized deferred financing costs and debt discount related to the repayment of the senior secured term loan B and terminated commitments of the revolving loans of $72.5 million and $1.4 million, respectively, during the six months ended June 30,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64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6"/>
        </w:trPr>
        <w:tc>
          <w:tcPr>
            <w:tcW w:w="1280" w:type="dxa"/>
            <w:vAlign w:val="bottom"/>
            <w:tcBorders>
              <w:top w:val="single" w:sz="8" w:color="0000EE"/>
            </w:tcBorders>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8"/>
                <w:szCs w:val="18"/>
                <w:b w:val="1"/>
                <w:bCs w:val="1"/>
                <w:color w:val="auto"/>
              </w:rPr>
              <w:t>Six Months Ended June 30,</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128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170"/>
              <w:spacing w:after="0" w:line="205" w:lineRule="exact"/>
              <w:rPr>
                <w:sz w:val="20"/>
                <w:szCs w:val="20"/>
                <w:color w:val="auto"/>
              </w:rPr>
            </w:pPr>
            <w:r>
              <w:rPr>
                <w:rFonts w:ascii="Arial" w:cs="Arial" w:eastAsia="Arial" w:hAnsi="Arial"/>
                <w:sz w:val="18"/>
                <w:szCs w:val="18"/>
                <w:b w:val="1"/>
                <w:bCs w:val="1"/>
                <w:color w:val="auto"/>
                <w:w w:val="96"/>
              </w:rPr>
              <w:t>Increase /</w:t>
            </w:r>
          </w:p>
        </w:tc>
        <w:tc>
          <w:tcPr>
            <w:tcW w:w="100" w:type="dxa"/>
            <w:vAlign w:val="bottom"/>
          </w:tcPr>
          <w:p>
            <w:pPr>
              <w:spacing w:after="0"/>
              <w:rPr>
                <w:sz w:val="17"/>
                <w:szCs w:val="17"/>
                <w:color w:val="auto"/>
              </w:rPr>
            </w:pPr>
          </w:p>
        </w:tc>
      </w:tr>
      <w:tr>
        <w:trPr>
          <w:trHeight w:val="234"/>
        </w:trPr>
        <w:tc>
          <w:tcPr>
            <w:tcW w:w="64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(Decrease)</w:t>
            </w:r>
          </w:p>
        </w:tc>
      </w:tr>
      <w:tr>
        <w:trPr>
          <w:trHeight w:val="223"/>
        </w:trPr>
        <w:tc>
          <w:tcPr>
            <w:tcW w:w="64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480" w:type="dxa"/>
            <w:vAlign w:val="bottom"/>
            <w:gridSpan w:val="2"/>
          </w:tcPr>
          <w:p>
            <w:pPr>
              <w:ind w:left="260"/>
              <w:spacing w:after="0"/>
              <w:rPr>
                <w:sz w:val="20"/>
                <w:szCs w:val="20"/>
                <w:color w:val="auto"/>
              </w:rPr>
            </w:pPr>
            <w:r>
              <w:rPr>
                <w:rFonts w:ascii="Arial" w:cs="Arial" w:eastAsia="Arial" w:hAnsi="Arial"/>
                <w:sz w:val="18"/>
                <w:szCs w:val="18"/>
                <w:color w:val="auto"/>
              </w:rPr>
              <w:t>Depreciation expense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Leasing</w:t>
            </w:r>
          </w:p>
        </w:tc>
        <w:tc>
          <w:tcPr>
            <w:tcW w:w="4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84,589</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103,656</w:t>
            </w:r>
          </w:p>
        </w:tc>
        <w:tc>
          <w:tcPr>
            <w:tcW w:w="2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(19,067)</w:t>
            </w:r>
          </w:p>
        </w:tc>
      </w:tr>
      <w:tr>
        <w:trPr>
          <w:trHeight w:val="230"/>
        </w:trPr>
        <w:tc>
          <w:tcPr>
            <w:tcW w:w="6480" w:type="dxa"/>
            <w:vAlign w:val="bottom"/>
            <w:gridSpan w:val="2"/>
          </w:tcPr>
          <w:p>
            <w:pPr>
              <w:ind w:left="380"/>
              <w:spacing w:after="0"/>
              <w:rPr>
                <w:sz w:val="20"/>
                <w:szCs w:val="20"/>
                <w:color w:val="auto"/>
              </w:rPr>
            </w:pPr>
            <w:r>
              <w:rPr>
                <w:rFonts w:ascii="Arial" w:cs="Arial" w:eastAsia="Arial" w:hAnsi="Arial"/>
                <w:sz w:val="18"/>
                <w:szCs w:val="18"/>
                <w:color w:val="auto"/>
              </w:rPr>
              <w:t>Fiber Infrastructure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46,366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(4,034)</w:t>
            </w:r>
          </w:p>
        </w:tc>
      </w:tr>
      <w:tr>
        <w:trPr>
          <w:trHeight w:val="229"/>
        </w:trPr>
        <w:tc>
          <w:tcPr>
            <w:tcW w:w="6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29"/>
        </w:trPr>
        <w:tc>
          <w:tcPr>
            <w:tcW w:w="6480" w:type="dxa"/>
            <w:vAlign w:val="bottom"/>
            <w:gridSpan w:val="2"/>
          </w:tcPr>
          <w:p>
            <w:pPr>
              <w:ind w:left="380"/>
              <w:spacing w:after="0"/>
              <w:rPr>
                <w:sz w:val="20"/>
                <w:szCs w:val="20"/>
                <w:color w:val="auto"/>
              </w:rPr>
            </w:pPr>
            <w:r>
              <w:rPr>
                <w:rFonts w:ascii="Arial" w:cs="Arial" w:eastAsia="Arial" w:hAnsi="Arial"/>
                <w:sz w:val="18"/>
                <w:szCs w:val="18"/>
                <w:color w:val="auto"/>
              </w:rPr>
              <w:t>Towers</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(783)</w:t>
            </w:r>
          </w:p>
        </w:tc>
      </w:tr>
      <w:tr>
        <w:trPr>
          <w:trHeight w:val="230"/>
        </w:trPr>
        <w:tc>
          <w:tcPr>
            <w:tcW w:w="6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Consumer CLEC</w:t>
            </w:r>
          </w:p>
        </w:tc>
        <w:tc>
          <w:tcPr>
            <w:tcW w:w="1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6480" w:type="dxa"/>
            <w:vAlign w:val="bottom"/>
            <w:gridSpan w:val="2"/>
          </w:tcPr>
          <w:p>
            <w:pPr>
              <w:ind w:left="260"/>
              <w:spacing w:after="0"/>
              <w:rPr>
                <w:sz w:val="20"/>
                <w:szCs w:val="20"/>
                <w:color w:val="auto"/>
              </w:rPr>
            </w:pPr>
            <w:r>
              <w:rPr>
                <w:rFonts w:ascii="Arial" w:cs="Arial" w:eastAsia="Arial" w:hAnsi="Arial"/>
                <w:sz w:val="18"/>
                <w:szCs w:val="18"/>
                <w:color w:val="auto"/>
              </w:rPr>
              <w:t>Total depreciation expense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131,088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154,988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(23,900)</w:t>
            </w:r>
          </w:p>
        </w:tc>
        <w:tc>
          <w:tcPr>
            <w:tcW w:w="100" w:type="dxa"/>
            <w:vAlign w:val="bottom"/>
          </w:tcPr>
          <w:p>
            <w:pPr>
              <w:spacing w:after="0"/>
              <w:rPr>
                <w:sz w:val="19"/>
                <w:szCs w:val="19"/>
                <w:color w:val="auto"/>
              </w:rPr>
            </w:pPr>
          </w:p>
        </w:tc>
      </w:tr>
      <w:tr>
        <w:trPr>
          <w:trHeight w:val="230"/>
        </w:trPr>
        <w:tc>
          <w:tcPr>
            <w:tcW w:w="64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480" w:type="dxa"/>
            <w:vAlign w:val="bottom"/>
            <w:gridSpan w:val="2"/>
          </w:tcPr>
          <w:p>
            <w:pPr>
              <w:ind w:left="380"/>
              <w:spacing w:after="0"/>
              <w:rPr>
                <w:sz w:val="20"/>
                <w:szCs w:val="20"/>
                <w:color w:val="auto"/>
              </w:rPr>
            </w:pPr>
            <w:r>
              <w:rPr>
                <w:rFonts w:ascii="Arial" w:cs="Arial" w:eastAsia="Arial" w:hAnsi="Arial"/>
                <w:sz w:val="18"/>
                <w:szCs w:val="18"/>
                <w:color w:val="auto"/>
              </w:rPr>
              <w:t>Leasing</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(1,889)</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(5,260)</w:t>
            </w:r>
          </w:p>
        </w:tc>
      </w:tr>
      <w:tr>
        <w:trPr>
          <w:trHeight w:val="230"/>
        </w:trPr>
        <w:tc>
          <w:tcPr>
            <w:tcW w:w="6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Fiber Infrastructure</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(504)</w:t>
            </w:r>
          </w:p>
        </w:tc>
      </w:tr>
      <w:tr>
        <w:trPr>
          <w:trHeight w:val="229"/>
        </w:trPr>
        <w:tc>
          <w:tcPr>
            <w:tcW w:w="6480" w:type="dxa"/>
            <w:vAlign w:val="bottom"/>
            <w:gridSpan w:val="2"/>
          </w:tcPr>
          <w:p>
            <w:pPr>
              <w:ind w:left="38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4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Towers</w:t>
            </w: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6480" w:type="dxa"/>
            <w:vAlign w:val="bottom"/>
            <w:gridSpan w:val="2"/>
          </w:tcPr>
          <w:p>
            <w:pPr>
              <w:ind w:left="380"/>
              <w:spacing w:after="0"/>
              <w:rPr>
                <w:sz w:val="20"/>
                <w:szCs w:val="20"/>
                <w:color w:val="auto"/>
              </w:rPr>
            </w:pPr>
            <w:r>
              <w:rPr>
                <w:rFonts w:ascii="Arial" w:cs="Arial" w:eastAsia="Arial" w:hAnsi="Arial"/>
                <w:sz w:val="18"/>
                <w:szCs w:val="18"/>
                <w:color w:val="auto"/>
              </w:rPr>
              <w:t>Consumer CLEC</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(791)</w:t>
            </w:r>
          </w:p>
        </w:tc>
      </w:tr>
      <w:tr>
        <w:trPr>
          <w:trHeight w:val="223"/>
        </w:trPr>
        <w:tc>
          <w:tcPr>
            <w:tcW w:w="648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amortization expense</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9,547</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16,102</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Total depreciation and amortization expense</w:t>
            </w:r>
          </w:p>
        </w:tc>
        <w:tc>
          <w:tcPr>
            <w:tcW w:w="1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140,635</w:t>
            </w:r>
          </w:p>
        </w:tc>
        <w:tc>
          <w:tcPr>
            <w:tcW w:w="2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171,090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(30,455)</w:t>
            </w:r>
          </w:p>
        </w:tc>
        <w:tc>
          <w:tcPr>
            <w:tcW w:w="10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incur depreciation and amortization expense related to our property, plant and equipment, corporate assets and intangible assets and liabilities. Charges for depreciation and amortization for the six months ended June 30, 2021 totaled $140.6 million, which included $131.1 million of depreciation expense and $9.5 million of amortization expense. Charges for depreciation and amortization for the six months ended June 30, 2020 totaled $171.1 million, which included $155.0 million of depreciation expense and $16.1 million of amortization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 Expense</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4"/>
            <w:vMerge w:val="restart"/>
          </w:tcPr>
          <w:p>
            <w:pPr>
              <w:jc w:val="right"/>
              <w:ind w:right="5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4"/>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w w:val="99"/>
              </w:rPr>
              <w:t>2021</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4"/>
        </w:trPr>
        <w:tc>
          <w:tcPr>
            <w:tcW w:w="57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4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24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c>
          <w:tcPr>
            <w:tcW w:w="0" w:type="dxa"/>
            <w:vAlign w:val="bottom"/>
          </w:tcPr>
          <w:p>
            <w:pPr>
              <w:spacing w:after="0"/>
              <w:rPr>
                <w:sz w:val="1"/>
                <w:szCs w:val="1"/>
                <w:color w:val="auto"/>
              </w:rPr>
            </w:pPr>
          </w:p>
        </w:tc>
      </w:tr>
      <w:tr>
        <w:trPr>
          <w:trHeight w:val="223"/>
        </w:trPr>
        <w:tc>
          <w:tcPr>
            <w:tcW w:w="5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27,763</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5.1%</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27,586</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5,182</w:t>
            </w:r>
          </w:p>
        </w:tc>
        <w:tc>
          <w:tcPr>
            <w:tcW w:w="15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1.0%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3,507</w:t>
            </w:r>
          </w:p>
        </w:tc>
        <w:tc>
          <w:tcPr>
            <w:tcW w:w="15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17,778</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3.3%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21,188</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w:t>
            </w:r>
          </w:p>
        </w:tc>
        <w:tc>
          <w:tcPr>
            <w:tcW w:w="1500" w:type="dxa"/>
            <w:vAlign w:val="bottom"/>
            <w:gridSpan w:val="2"/>
            <w:shd w:val="clear" w:color="auto" w:fill="CFF0FC"/>
          </w:tcPr>
          <w:p>
            <w:pPr>
              <w:jc w:val="center"/>
              <w:ind w:left="150"/>
              <w:spacing w:after="0"/>
              <w:rPr>
                <w:sz w:val="20"/>
                <w:szCs w:val="20"/>
                <w:color w:val="auto"/>
              </w:rPr>
            </w:pPr>
            <w:r>
              <w:rPr>
                <w:rFonts w:ascii="Arial" w:cs="Arial" w:eastAsia="Arial" w:hAnsi="Arial"/>
                <w:sz w:val="18"/>
                <w:szCs w:val="18"/>
                <w:color w:val="auto"/>
                <w:w w:val="92"/>
              </w:rPr>
              <w:t>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tcPr>
          <w:p>
            <w:pPr>
              <w:ind w:left="260"/>
              <w:spacing w:after="0"/>
              <w:rPr>
                <w:sz w:val="20"/>
                <w:szCs w:val="20"/>
                <w:color w:val="auto"/>
              </w:rPr>
            </w:pPr>
            <w:r>
              <w:rPr>
                <w:rFonts w:ascii="Arial" w:cs="Arial" w:eastAsia="Arial" w:hAnsi="Arial"/>
                <w:sz w:val="18"/>
                <w:szCs w:val="18"/>
                <w:color w:val="auto"/>
              </w:rPr>
              <w:t>Consumer CLEC</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w:t>
            </w:r>
          </w:p>
        </w:tc>
        <w:tc>
          <w:tcPr>
            <w:tcW w:w="150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50,723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9.4%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55,027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10.3%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expenses include compensation costs, including stock-based compensation awards, professional and legal services, corporate office costs and other costs associated with administrative activities. For the six months ended June 30, 2021, general and administrative costs totaled $50.7 million, which includes $6.8 million of stock-based compensation. For the six months ended June 30, 2020, general and administrative costs totaled $55.0 million, which included $7.1 million of stock-based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Operating expense for the six months ended June 30, 2021 decreased from the six months ended June 30, 2020, which was primarily attributable to decreases in Fiber Infrastructure, Towers and Consumer CLEC Business operating expenses offset by an increase in Leasing operating expenses discussed below. Operating expense for our reportable segments for the six months ended June 30, 2021 and 2020 consisted of the following: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66"/>
        </w:trPr>
        <w:tc>
          <w:tcPr>
            <w:tcW w:w="1280" w:type="dxa"/>
            <w:vAlign w:val="bottom"/>
            <w:tcBorders>
              <w:top w:val="single" w:sz="8" w:color="0000EE"/>
            </w:tcBorders>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Six Months Ended June 30,</w:t>
            </w: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05"/>
        </w:trPr>
        <w:tc>
          <w:tcPr>
            <w:tcW w:w="12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2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8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2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64,427</w:t>
            </w:r>
          </w:p>
        </w:tc>
        <w:tc>
          <w:tcPr>
            <w:tcW w:w="1540" w:type="dxa"/>
            <w:vAlign w:val="bottom"/>
            <w:gridSpan w:val="2"/>
          </w:tcPr>
          <w:p>
            <w:pPr>
              <w:jc w:val="center"/>
              <w:ind w:left="170"/>
              <w:spacing w:after="0"/>
              <w:rPr>
                <w:sz w:val="20"/>
                <w:szCs w:val="20"/>
                <w:color w:val="auto"/>
              </w:rPr>
            </w:pPr>
            <w:r>
              <w:rPr>
                <w:rFonts w:ascii="Arial" w:cs="Arial" w:eastAsia="Arial" w:hAnsi="Arial"/>
                <w:sz w:val="18"/>
                <w:szCs w:val="18"/>
                <w:color w:val="auto"/>
                <w:w w:val="86"/>
              </w:rPr>
              <w:t>11.9%</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74,283</w:t>
            </w:r>
          </w:p>
        </w:tc>
        <w:tc>
          <w:tcPr>
            <w:tcW w:w="164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14.0%</w:t>
            </w:r>
          </w:p>
        </w:tc>
        <w:tc>
          <w:tcPr>
            <w:tcW w:w="120" w:type="dxa"/>
            <w:vAlign w:val="bottom"/>
          </w:tcPr>
          <w:p>
            <w:pPr>
              <w:spacing w:after="0"/>
              <w:rPr>
                <w:sz w:val="19"/>
                <w:szCs w:val="19"/>
                <w:color w:val="auto"/>
              </w:rPr>
            </w:pPr>
          </w:p>
        </w:tc>
      </w:tr>
      <w:tr>
        <w:trPr>
          <w:trHeight w:val="229"/>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6,842</w:t>
            </w:r>
          </w:p>
        </w:tc>
        <w:tc>
          <w:tcPr>
            <w:tcW w:w="15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7"/>
              </w:rPr>
              <w:t>1.3%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16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0.3%</w:t>
            </w:r>
          </w:p>
        </w:tc>
        <w:tc>
          <w:tcPr>
            <w:tcW w:w="120" w:type="dxa"/>
            <w:vAlign w:val="bottom"/>
            <w:shd w:val="clear" w:color="auto" w:fill="CFF0FC"/>
          </w:tcPr>
          <w:p>
            <w:pPr>
              <w:spacing w:after="0"/>
              <w:rPr>
                <w:sz w:val="19"/>
                <w:szCs w:val="19"/>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170"/>
              <w:spacing w:after="0"/>
              <w:rPr>
                <w:sz w:val="20"/>
                <w:szCs w:val="20"/>
                <w:color w:val="auto"/>
              </w:rPr>
            </w:pPr>
            <w:r>
              <w:rPr>
                <w:rFonts w:ascii="Arial" w:cs="Arial" w:eastAsia="Arial" w:hAnsi="Arial"/>
                <w:sz w:val="18"/>
                <w:szCs w:val="18"/>
                <w:color w:val="auto"/>
                <w:w w:val="87"/>
              </w:rPr>
              <w:t>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3,692</w:t>
            </w:r>
          </w:p>
        </w:tc>
        <w:tc>
          <w:tcPr>
            <w:tcW w:w="164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0.7%</w:t>
            </w:r>
          </w:p>
        </w:tc>
        <w:tc>
          <w:tcPr>
            <w:tcW w:w="120" w:type="dxa"/>
            <w:vAlign w:val="bottom"/>
          </w:tcPr>
          <w:p>
            <w:pPr>
              <w:spacing w:after="0"/>
              <w:rPr>
                <w:sz w:val="19"/>
                <w:szCs w:val="19"/>
                <w:color w:val="auto"/>
              </w:rPr>
            </w:pPr>
          </w:p>
        </w:tc>
      </w:tr>
      <w:tr>
        <w:trPr>
          <w:trHeight w:val="229"/>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CLEC</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87"/>
              </w:rPr>
              <w:t>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164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FF0FC"/>
          </w:tcPr>
          <w:p>
            <w:pPr>
              <w:spacing w:after="0"/>
              <w:rPr>
                <w:sz w:val="19"/>
                <w:szCs w:val="19"/>
                <w:color w:val="auto"/>
              </w:rPr>
            </w:pPr>
          </w:p>
        </w:tc>
      </w:tr>
      <w:tr>
        <w:trPr>
          <w:trHeight w:val="223"/>
        </w:trPr>
        <w:tc>
          <w:tcPr>
            <w:tcW w:w="528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71,269</w:t>
            </w:r>
          </w:p>
        </w:tc>
        <w:tc>
          <w:tcPr>
            <w:tcW w:w="2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13.2%</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80,477</w:t>
            </w:r>
          </w:p>
        </w:tc>
        <w:tc>
          <w:tcPr>
            <w:tcW w:w="2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15.1%</w:t>
            </w:r>
          </w:p>
        </w:tc>
        <w:tc>
          <w:tcPr>
            <w:tcW w:w="12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2021, Fiber Infrastructure operating expenses totaled $64.4 million as compared to $74.3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2020. Operating expense consists of network related costs, such as dark fiber and tower rents, and lit service and maintenance expense. In addition, costs associated with our construction activities are presented within operating expenses. The decrease in operating expenses is primarily attributable to a decrease of $11.4 million in construction related expenses, partially offset by increased personnel expense of $2.4 million.</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operating expense was $6.8 million and $1.7 million for the six months ended June 30, 2021 and 2020, respectively. The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$4.0 million increase in network expenses due to the asset purchase agreement the Company entered into with Windstream which was completed in the third quarter of 2020.</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six months ended June 30, 2021, Towers operating expenses were not incurred as the U.S. tower business sale was completed on June 1,</w:t>
      </w:r>
      <w:r>
        <w:rPr>
          <w:rFonts w:ascii="Arial" w:cs="Arial" w:eastAsia="Arial" w:hAnsi="Arial"/>
          <w:sz w:val="18"/>
          <w:szCs w:val="18"/>
          <w:i w:val="1"/>
          <w:iCs w:val="1"/>
          <w:color w:val="auto"/>
        </w:rPr>
        <w:t xml:space="preserve"> </w:t>
      </w:r>
      <w:r>
        <w:rPr>
          <w:rFonts w:ascii="Arial" w:cs="Arial" w:eastAsia="Arial" w:hAnsi="Arial"/>
          <w:sz w:val="18"/>
          <w:szCs w:val="18"/>
          <w:color w:val="auto"/>
        </w:rPr>
        <w:t>2020. Towers operating expense was $3.7 million for the six months ended June 30, 2020.</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six months ended June 30, 2021, Consumer CLEC Business operating expenses were not incurred, as we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the wind down of the business as of the end of the second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new enterprise resource planning system. For the six months ended June 30, 2021, we incurred $4.6 million of transaction related and other costs, compared to $34.5 million of such costs during the six months ended June 30, 2020. The decrease is primarily related to incurring $23.8 million of total costs related to the Windstream bankruptcy for the six months ended June 30, 2020, as compared to $1.3 million for the six months ended June 30, 2021, and we incurred $4.9 million in costs related to the sale of our U.S. towers business during the six months ended June 30,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benefit recorded for the six months ended June 30, 2021 and 2020, respectively, is related to the tax impact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6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23"/>
        </w:trPr>
        <w:tc>
          <w:tcPr>
            <w:tcW w:w="7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Pre-tax loss (Fiber Infrastructure)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(6,008)</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(10,733)</w:t>
            </w:r>
          </w:p>
        </w:tc>
      </w:tr>
      <w:tr>
        <w:trPr>
          <w:trHeight w:val="230"/>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on sale of operations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gridSpan w:val="2"/>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REIT state and local taxes</w:t>
            </w: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6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FF0FC"/>
            </w:tcBorders>
          </w:tcPr>
          <w:p>
            <w:pPr>
              <w:spacing w:after="0"/>
              <w:rPr>
                <w:sz w:val="19"/>
                <w:szCs w:val="19"/>
                <w:color w:val="auto"/>
              </w:rPr>
            </w:pPr>
          </w:p>
        </w:tc>
      </w:tr>
      <w:tr>
        <w:trPr>
          <w:trHeight w:val="223"/>
        </w:trPr>
        <w:tc>
          <w:tcPr>
            <w:tcW w:w="76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income tax (benefit) expense</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21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amortization of non-cash rights-of-use, the write off of unamortized deferred financing costs, costs incurred as a result of the early repayment of debt, including early tender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19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 defines AFFO, as FFO excluding (i) Transaction Related and Other Costs; (ii) costs related to the litigation settlement with Windstream, and accretion on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premium and costs associated with the termination of related hedging activities,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r>
        <w:rPr>
          <w:rFonts w:ascii="Arial" w:cs="Arial" w:eastAsia="Arial" w:hAnsi="Arial"/>
          <w:sz w:val="19"/>
          <w:szCs w:val="19"/>
          <w:color w:val="auto"/>
        </w:rPr>
        <w:t>.</w:t>
      </w:r>
    </w:p>
    <w:p>
      <w:pPr>
        <w:spacing w:after="0" w:line="38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reconciliation of our net (loss) income to EBITDA and Adjusted EBITDA and of our net (loss) income attributable to common shareholders to FFO and AFFO for the three and six months ended June 30, 2021 and 2020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5"/>
              </w:rPr>
              <w:t>Three Months Ended June 30,</w:t>
            </w:r>
          </w:p>
        </w:tc>
        <w:tc>
          <w:tcPr>
            <w:tcW w:w="280" w:type="dxa"/>
            <w:vAlign w:val="bottom"/>
          </w:tcPr>
          <w:p>
            <w:pPr>
              <w:spacing w:after="0"/>
              <w:rPr>
                <w:sz w:val="20"/>
                <w:szCs w:val="20"/>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49,639</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(598,329)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45,137</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(678,595)</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69,671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84,969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140,635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171,090</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106,388</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107,243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246,969</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285,636</w:t>
            </w: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(5,875)</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(10,451)</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230,782</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(411,992)</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435,268</w:t>
            </w:r>
          </w:p>
        </w:tc>
        <w:tc>
          <w:tcPr>
            <w:tcW w:w="3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7,105</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34,528</w:t>
            </w: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Settlement expense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operations</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(28,143)</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(28,143)</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(63,818)</w:t>
            </w: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(442)</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(63,818)</w:t>
            </w: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8,779</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10,097</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9,088</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4"/>
              </w:rPr>
              <w:t>Adjustments for equity in earnings from unconsolidated entities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215,734</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202,869</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429,982</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5"/>
              </w:rPr>
              <w:t>Three Months Ended June 30,</w:t>
            </w:r>
          </w:p>
        </w:tc>
        <w:tc>
          <w:tcPr>
            <w:tcW w:w="280" w:type="dxa"/>
            <w:vAlign w:val="bottom"/>
          </w:tcPr>
          <w:p>
            <w:pPr>
              <w:spacing w:after="0"/>
              <w:rPr>
                <w:sz w:val="20"/>
                <w:szCs w:val="20"/>
                <w:color w:val="auto"/>
              </w:rPr>
            </w:pPr>
          </w:p>
        </w:tc>
        <w:tc>
          <w:tcPr>
            <w:tcW w:w="28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23"/>
        </w:trPr>
        <w:tc>
          <w:tcPr>
            <w:tcW w:w="47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Net income (loss) attributable to common shareholders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(588,169)</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(667,225)</w:t>
            </w: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52,178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62,107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105,555</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126,059</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 assets, net of tax</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(442)</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(63,818)</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(442)</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(63,818)</w:t>
            </w: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FFO</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(681)</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(406)</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(1,025)</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(606)</w:t>
            </w:r>
          </w:p>
        </w:tc>
      </w:tr>
      <w:tr>
        <w:trPr>
          <w:trHeight w:val="215"/>
        </w:trPr>
        <w:tc>
          <w:tcPr>
            <w:tcW w:w="4740" w:type="dxa"/>
            <w:vAlign w:val="bottom"/>
          </w:tcPr>
          <w:p>
            <w:pPr>
              <w:ind w:left="140"/>
              <w:spacing w:after="0"/>
              <w:rPr>
                <w:sz w:val="20"/>
                <w:szCs w:val="20"/>
                <w:color w:val="auto"/>
              </w:rPr>
            </w:pPr>
            <w:r>
              <w:rPr>
                <w:rFonts w:ascii="Arial" w:cs="Arial" w:eastAsia="Arial" w:hAnsi="Arial"/>
                <w:sz w:val="18"/>
                <w:szCs w:val="18"/>
                <w:color w:val="auto"/>
                <w:w w:val="91"/>
              </w:rPr>
              <w:t>Real estate depreciation and amortization from unconsolidated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entities</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(771)</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(1,567)</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(1,102)</w:t>
            </w: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99,803</w:t>
            </w:r>
          </w:p>
        </w:tc>
        <w:tc>
          <w:tcPr>
            <w:tcW w:w="3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(589,832)</w:t>
            </w:r>
          </w:p>
        </w:tc>
        <w:tc>
          <w:tcPr>
            <w:tcW w:w="3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148,215</w:t>
            </w:r>
          </w:p>
        </w:tc>
        <w:tc>
          <w:tcPr>
            <w:tcW w:w="30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(606,068)</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Transaction related and other costs</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34,528</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Amortization of deferred financing costs and debt discount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8,958</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9,371</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18,666</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Write off of deferred financing costs and debt discount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22,828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73,952</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Costs related to the early repayment of debt</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28,485</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6,797</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7,105</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operations</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(28,143)</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(28,143)</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Non-real estate depreciation and amortization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17,493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22,862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35,080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45,031</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Settlement expense</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Straight-line revenues</w:t>
            </w: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(7,309)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(14,215)</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(2,408)</w:t>
            </w:r>
          </w:p>
        </w:tc>
        <w:tc>
          <w:tcPr>
            <w:tcW w:w="3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(2,253)</w:t>
            </w: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(4,384)</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(3,361)</w:t>
            </w: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(11,356)</w:t>
            </w: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(2,009)</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(21,810)</w:t>
            </w:r>
          </w:p>
        </w:tc>
      </w:tr>
      <w:tr>
        <w:trPr>
          <w:trHeight w:val="230"/>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1"/>
              </w:rPr>
              <w:t>Adjustments for equity in earnings from unconsolidated entities</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2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(12,317)</w:t>
            </w: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(870)</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(14,339)</w:t>
            </w: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103,249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93,975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206,351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to make $490.1 million of cash payments to Windstream in equal installments over 20 consecutive quarters beginning in October 2020 and to reimburse Windstream for up to an aggregate of $1.75 billion for Growth Capital Improvements in long-term fiber and related assets made by Windstream through 2029.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our combined total obligation to fund Growth Capital Improvements may exceed $250 million to the extent of any unfunded excess amounts from calendar year</w:t>
      </w:r>
    </w:p>
    <w:p>
      <w:pPr>
        <w:ind w:right="180"/>
        <w:spacing w:after="0" w:line="260" w:lineRule="auto"/>
        <w:rPr>
          <w:sz w:val="20"/>
          <w:szCs w:val="20"/>
          <w:color w:val="auto"/>
        </w:rPr>
      </w:pPr>
      <w:r>
        <w:rPr>
          <w:rFonts w:ascii="Arial" w:cs="Arial" w:eastAsia="Arial" w:hAnsi="Arial"/>
          <w:sz w:val="18"/>
          <w:szCs w:val="18"/>
          <w:color w:val="auto"/>
        </w:rPr>
        <w:t>2020. Accordingly, because we funded $84.7 million of the $125 million limit in 2020, we are committed to fund up to $265.3 million of Growth Capital Improvements in 2021.</w:t>
      </w:r>
    </w:p>
    <w:p>
      <w:pPr>
        <w:spacing w:after="0" w:line="1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and lenders party thereto and Bank of America, N.A., as administrative agent and collateral agent (the “Credit Agreement”), and proceeds from the issuance of debt and equity securities.</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As of June 30, 2021, we had cash and cash equivalents of $108.5 million and approximately $465.5 million of borrowing availability under our Revolving Credit Facility. Subsequent to June 30, 2021, other than $11.8 million of Growth Capital Improvements (see </w:t>
      </w:r>
      <w:r>
        <w:rPr>
          <w:rFonts w:ascii="Arial" w:cs="Arial" w:eastAsia="Arial" w:hAnsi="Arial"/>
          <w:sz w:val="18"/>
          <w:szCs w:val="18"/>
          <w:i w:val="1"/>
          <w:iCs w:val="1"/>
          <w:color w:val="auto"/>
        </w:rPr>
        <w:t>“Result of Operations—Revenues”</w:t>
      </w:r>
      <w:r>
        <w:rPr>
          <w:rFonts w:ascii="Arial" w:cs="Arial" w:eastAsia="Arial" w:hAnsi="Arial"/>
          <w:sz w:val="18"/>
          <w:szCs w:val="18"/>
          <w:color w:val="auto"/>
        </w:rPr>
        <w:t xml:space="preserve"> above), there have been no material outlays of funds outside of our scheduled interest and dividend payments. Availability under our Revolving Credit Facility is subject to various conditions, including a maximum secured leverage ratio of 5.0:1. In addition, if we incur debt under our Revolving Credit Facility or otherwise such that our total leverage ratio exceeds 6.5:1, our Revolving Credit Facility would impose significant restrictions on our ability to pay dividends. See “—Dividends.”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318,477</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226,281</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jc w:val="both"/>
        <w:ind w:right="680"/>
        <w:spacing w:after="0" w:line="277" w:lineRule="auto"/>
        <w:rPr>
          <w:sz w:val="20"/>
          <w:szCs w:val="20"/>
          <w:color w:val="auto"/>
        </w:rPr>
      </w:pPr>
      <w:r>
        <w:rPr>
          <w:rFonts w:ascii="Arial" w:cs="Arial" w:eastAsia="Arial" w:hAnsi="Arial"/>
          <w:sz w:val="18"/>
          <w:szCs w:val="18"/>
          <w:color w:val="auto"/>
        </w:rPr>
        <w:t>Cash provided by operating activities was $318.5 million and $226.3 million for the six months ended June 30, 2021 and 2020, respectively. Cash provided by operating activities is primarily attributable to our leasing activities.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46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60"/>
              <w:spacing w:after="0"/>
              <w:rPr>
                <w:sz w:val="20"/>
                <w:szCs w:val="20"/>
                <w:color w:val="auto"/>
              </w:rPr>
            </w:pPr>
            <w:r>
              <w:rPr>
                <w:rFonts w:ascii="Arial" w:cs="Arial" w:eastAsia="Arial" w:hAnsi="Arial"/>
                <w:sz w:val="18"/>
                <w:szCs w:val="18"/>
                <w:color w:val="auto"/>
              </w:rPr>
              <w:t>Proceeds from sale of other equipment</w:t>
            </w:r>
          </w:p>
        </w:tc>
        <w:tc>
          <w:tcPr>
            <w:tcW w:w="3040" w:type="dxa"/>
            <w:vAlign w:val="bottom"/>
            <w:gridSpan w:val="3"/>
          </w:tcPr>
          <w:p>
            <w:pPr>
              <w:jc w:val="right"/>
              <w:ind w:right="22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9"/>
                <w:szCs w:val="19"/>
                <w:color w:val="auto"/>
              </w:rPr>
            </w:pP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real estate, net of cash</w:t>
            </w:r>
          </w:p>
        </w:tc>
        <w:tc>
          <w:tcPr>
            <w:tcW w:w="2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60"/>
              <w:spacing w:after="0"/>
              <w:rPr>
                <w:sz w:val="20"/>
                <w:szCs w:val="20"/>
                <w:color w:val="auto"/>
              </w:rPr>
            </w:pPr>
            <w:r>
              <w:rPr>
                <w:rFonts w:ascii="Arial" w:cs="Arial" w:eastAsia="Arial" w:hAnsi="Arial"/>
                <w:sz w:val="18"/>
                <w:szCs w:val="18"/>
                <w:color w:val="auto"/>
              </w:rPr>
              <w:t>Proceeds from sale of operations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capital expenditures</w:t>
            </w:r>
          </w:p>
        </w:tc>
        <w:tc>
          <w:tcPr>
            <w:tcW w:w="2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(177,934)</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(134,035)</w:t>
            </w:r>
          </w:p>
        </w:tc>
        <w:tc>
          <w:tcPr>
            <w:tcW w:w="0" w:type="dxa"/>
            <w:vAlign w:val="bottom"/>
          </w:tcPr>
          <w:p>
            <w:pPr>
              <w:spacing w:after="0"/>
              <w:rPr>
                <w:sz w:val="1"/>
                <w:szCs w:val="1"/>
                <w:color w:val="auto"/>
              </w:rPr>
            </w:pPr>
          </w:p>
        </w:tc>
      </w:tr>
      <w:tr>
        <w:trPr>
          <w:trHeight w:val="223"/>
        </w:trPr>
        <w:tc>
          <w:tcPr>
            <w:tcW w:w="4760" w:type="dxa"/>
            <w:vAlign w:val="bottom"/>
          </w:tcPr>
          <w:p>
            <w:pPr>
              <w:ind w:left="380"/>
              <w:spacing w:after="0"/>
              <w:rPr>
                <w:sz w:val="20"/>
                <w:szCs w:val="20"/>
                <w:color w:val="auto"/>
              </w:rPr>
            </w:pPr>
            <w:r>
              <w:rPr>
                <w:rFonts w:ascii="Arial" w:cs="Arial" w:eastAsia="Arial" w:hAnsi="Arial"/>
                <w:sz w:val="18"/>
                <w:szCs w:val="18"/>
                <w:color w:val="auto"/>
              </w:rPr>
              <w:t>Net cash (used in) provided by investing activities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460" w:type="dxa"/>
            <w:vAlign w:val="bottom"/>
            <w:vMerge w:val="restart"/>
          </w:tcPr>
          <w:p>
            <w:pPr>
              <w:jc w:val="right"/>
              <w:ind w:right="141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Cash used in investing activities was $114.4 million for the six months ended June 30, 2021 and is driven by capital expenditures, primarily related to our Uniti Fiber and Uniti Leasing business for deployment of network assets, partially offset by proceeds from the sale of the Uniti Fiber Northeast operations to Everstream ($62.1 million)</w:t>
      </w:r>
      <w:r>
        <w:rPr>
          <w:rFonts w:ascii="Arial" w:cs="Arial" w:eastAsia="Arial" w:hAnsi="Arial"/>
          <w:sz w:val="18"/>
          <w:szCs w:val="18"/>
          <w:color w:val="212529"/>
        </w:rPr>
        <w:t>.</w:t>
      </w:r>
      <w:r>
        <w:rPr>
          <w:rFonts w:ascii="Arial" w:cs="Arial" w:eastAsia="Arial" w:hAnsi="Arial"/>
          <w:sz w:val="18"/>
          <w:szCs w:val="18"/>
          <w:color w:val="auto"/>
        </w:rPr>
        <w:t xml:space="preserve"> Cash provided by investing activities for the six months ended June 30, 2020 was $91.1 million, which was driven by proceeds from the sale of our U.S. tower business ($225.0 million), partially offset by capital expenditures ($134.0 million), primarily related to our Uniti Fiber and Uniti Leasing businesses for the deployment of network assets.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4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7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Repayment of debt</w:t>
            </w:r>
          </w:p>
        </w:tc>
        <w:tc>
          <w:tcPr>
            <w:tcW w:w="5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(1,660,000)</w:t>
            </w:r>
          </w:p>
        </w:tc>
        <w:tc>
          <w:tcPr>
            <w:tcW w:w="50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(2,044,728)</w:t>
            </w: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notes</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2,250,000</w:t>
            </w:r>
          </w:p>
        </w:tc>
        <w:tc>
          <w:tcPr>
            <w:tcW w:w="120" w:type="dxa"/>
            <w:vAlign w:val="bottom"/>
            <w:shd w:val="clear" w:color="auto" w:fill="CFF0FC"/>
          </w:tcPr>
          <w:p>
            <w:pPr>
              <w:spacing w:after="0"/>
              <w:rPr>
                <w:sz w:val="19"/>
                <w:szCs w:val="19"/>
                <w:color w:val="auto"/>
              </w:rPr>
            </w:pP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(70,386)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(71,645)</w:t>
            </w: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settlement obligation</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(49,011)</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Payments of contingent consideration</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(7,086)</w:t>
            </w:r>
          </w:p>
        </w:tc>
      </w:tr>
      <w:tr>
        <w:trPr>
          <w:trHeight w:val="230"/>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Distributions paid to noncontrolling interest</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(1,039)</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(1,282)</w:t>
            </w: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(220,000)</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(456,700)</w:t>
            </w: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Finance lease payments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(1,979)</w:t>
            </w: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financing costs</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(25,156)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(47,775)</w:t>
            </w:r>
          </w:p>
        </w:tc>
      </w:tr>
      <w:tr>
        <w:trPr>
          <w:trHeight w:val="230"/>
        </w:trPr>
        <w:tc>
          <w:tcPr>
            <w:tcW w:w="7220" w:type="dxa"/>
            <w:vAlign w:val="bottom"/>
          </w:tcPr>
          <w:p>
            <w:pPr>
              <w:ind w:left="260"/>
              <w:spacing w:after="0"/>
              <w:rPr>
                <w:sz w:val="20"/>
                <w:szCs w:val="20"/>
                <w:color w:val="auto"/>
              </w:rPr>
            </w:pPr>
            <w:r>
              <w:rPr>
                <w:rFonts w:ascii="Arial" w:cs="Arial" w:eastAsia="Arial" w:hAnsi="Arial"/>
                <w:sz w:val="18"/>
                <w:szCs w:val="18"/>
                <w:color w:val="auto"/>
              </w:rPr>
              <w:t>Costs related to the early repayment of debt</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(25,800)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9"/>
        </w:trPr>
        <w:tc>
          <w:tcPr>
            <w:tcW w:w="7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program</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FF0FC"/>
          </w:tcPr>
          <w:p>
            <w:pPr>
              <w:spacing w:after="0"/>
              <w:rPr>
                <w:sz w:val="19"/>
                <w:szCs w:val="19"/>
                <w:color w:val="auto"/>
              </w:rPr>
            </w:pPr>
          </w:p>
        </w:tc>
      </w:tr>
      <w:tr>
        <w:trPr>
          <w:trHeight w:val="229"/>
        </w:trPr>
        <w:tc>
          <w:tcPr>
            <w:tcW w:w="7220" w:type="dxa"/>
            <w:vAlign w:val="bottom"/>
          </w:tcPr>
          <w:p>
            <w:pPr>
              <w:ind w:left="260"/>
              <w:spacing w:after="0"/>
              <w:rPr>
                <w:sz w:val="20"/>
                <w:szCs w:val="20"/>
                <w:color w:val="auto"/>
              </w:rPr>
            </w:pPr>
            <w:r>
              <w:rPr>
                <w:rFonts w:ascii="Arial" w:cs="Arial" w:eastAsia="Arial" w:hAnsi="Arial"/>
                <w:sz w:val="18"/>
                <w:szCs w:val="18"/>
                <w:color w:val="auto"/>
              </w:rPr>
              <w:t>Payments related to tax withholding for stock-based compensation</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(1,050)</w:t>
            </w:r>
          </w:p>
        </w:tc>
      </w:tr>
      <w:tr>
        <w:trPr>
          <w:trHeight w:val="223"/>
        </w:trPr>
        <w:tc>
          <w:tcPr>
            <w:tcW w:w="722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(173,087)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(371,939)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Cash used in financing activities was $173.1 million for the six months ended June 30, 2021, which was </w:t>
      </w:r>
      <w:r>
        <w:rPr>
          <w:rFonts w:ascii="Arial" w:cs="Arial" w:eastAsia="Arial" w:hAnsi="Arial"/>
          <w:sz w:val="18"/>
          <w:szCs w:val="18"/>
          <w:color w:val="212529"/>
        </w:rPr>
        <w:t>primarily driven by the repayment of the 2023</w:t>
      </w:r>
      <w:r>
        <w:rPr>
          <w:rFonts w:ascii="Arial" w:cs="Arial" w:eastAsia="Arial" w:hAnsi="Arial"/>
          <w:sz w:val="18"/>
          <w:szCs w:val="18"/>
          <w:color w:val="auto"/>
        </w:rPr>
        <w:t xml:space="preserve"> </w:t>
      </w:r>
      <w:r>
        <w:rPr>
          <w:rFonts w:ascii="Arial" w:cs="Arial" w:eastAsia="Arial" w:hAnsi="Arial"/>
          <w:sz w:val="18"/>
          <w:szCs w:val="18"/>
          <w:color w:val="212529"/>
        </w:rPr>
        <w:t>Notes and 2023 Secured Notes (</w:t>
      </w:r>
      <w:r>
        <w:rPr>
          <w:rFonts w:ascii="Arial" w:cs="Arial" w:eastAsia="Arial" w:hAnsi="Arial"/>
          <w:sz w:val="18"/>
          <w:szCs w:val="18"/>
          <w:color w:val="000000"/>
        </w:rPr>
        <w:t>$1.66</w:t>
      </w:r>
      <w:r>
        <w:rPr>
          <w:rFonts w:ascii="Arial" w:cs="Arial" w:eastAsia="Arial" w:hAnsi="Arial"/>
          <w:sz w:val="18"/>
          <w:szCs w:val="18"/>
          <w:color w:val="212529"/>
        </w:rPr>
        <w:t xml:space="preserve"> billion), net payments under the Revolving Credit Facility (</w:t>
      </w:r>
      <w:r>
        <w:rPr>
          <w:rFonts w:ascii="Arial" w:cs="Arial" w:eastAsia="Arial" w:hAnsi="Arial"/>
          <w:sz w:val="18"/>
          <w:szCs w:val="18"/>
          <w:color w:val="000000"/>
        </w:rPr>
        <w:t>$15.0</w:t>
      </w:r>
      <w:r>
        <w:rPr>
          <w:rFonts w:ascii="Arial" w:cs="Arial" w:eastAsia="Arial" w:hAnsi="Arial"/>
          <w:sz w:val="18"/>
          <w:szCs w:val="18"/>
          <w:color w:val="212529"/>
        </w:rPr>
        <w:t xml:space="preserve"> million), dividend payments (</w:t>
      </w:r>
      <w:r>
        <w:rPr>
          <w:rFonts w:ascii="Arial" w:cs="Arial" w:eastAsia="Arial" w:hAnsi="Arial"/>
          <w:sz w:val="18"/>
          <w:szCs w:val="18"/>
          <w:color w:val="000000"/>
        </w:rPr>
        <w:t>$70.4</w:t>
      </w:r>
      <w:r>
        <w:rPr>
          <w:rFonts w:ascii="Arial" w:cs="Arial" w:eastAsia="Arial" w:hAnsi="Arial"/>
          <w:sz w:val="18"/>
          <w:szCs w:val="18"/>
          <w:color w:val="212529"/>
        </w:rPr>
        <w:t xml:space="preserve"> million), payments for financing costs (</w:t>
      </w:r>
      <w:r>
        <w:rPr>
          <w:rFonts w:ascii="Arial" w:cs="Arial" w:eastAsia="Arial" w:hAnsi="Arial"/>
          <w:sz w:val="18"/>
          <w:szCs w:val="18"/>
          <w:color w:val="000000"/>
        </w:rPr>
        <w:t>$25.2</w:t>
      </w:r>
      <w:r>
        <w:rPr>
          <w:rFonts w:ascii="Arial" w:cs="Arial" w:eastAsia="Arial" w:hAnsi="Arial"/>
          <w:sz w:val="18"/>
          <w:szCs w:val="18"/>
          <w:color w:val="212529"/>
        </w:rPr>
        <w:t xml:space="preserve"> million), payment of settlement obligation (</w:t>
      </w:r>
      <w:r>
        <w:rPr>
          <w:rFonts w:ascii="Arial" w:cs="Arial" w:eastAsia="Arial" w:hAnsi="Arial"/>
          <w:sz w:val="18"/>
          <w:szCs w:val="18"/>
          <w:color w:val="000000"/>
        </w:rPr>
        <w:t>$49.0</w:t>
      </w:r>
      <w:r>
        <w:rPr>
          <w:rFonts w:ascii="Arial" w:cs="Arial" w:eastAsia="Arial" w:hAnsi="Arial"/>
          <w:sz w:val="18"/>
          <w:szCs w:val="18"/>
          <w:color w:val="212529"/>
        </w:rPr>
        <w:t xml:space="preserve"> million), 2023 Notes tender premium payment (</w:t>
      </w:r>
      <w:r>
        <w:rPr>
          <w:rFonts w:ascii="Arial" w:cs="Arial" w:eastAsia="Arial" w:hAnsi="Arial"/>
          <w:sz w:val="18"/>
          <w:szCs w:val="18"/>
          <w:color w:val="000000"/>
        </w:rPr>
        <w:t>$17.6</w:t>
      </w:r>
      <w:r>
        <w:rPr>
          <w:rFonts w:ascii="Arial" w:cs="Arial" w:eastAsia="Arial" w:hAnsi="Arial"/>
          <w:sz w:val="18"/>
          <w:szCs w:val="18"/>
          <w:color w:val="212529"/>
        </w:rPr>
        <w:t xml:space="preserve"> million), 2023 Secured Notes early redemption payment ($8.3 million) and contingent consideration payments (</w:t>
      </w:r>
      <w:r>
        <w:rPr>
          <w:rFonts w:ascii="Arial" w:cs="Arial" w:eastAsia="Arial" w:hAnsi="Arial"/>
          <w:sz w:val="18"/>
          <w:szCs w:val="18"/>
          <w:color w:val="000000"/>
        </w:rPr>
        <w:t>$3.0</w:t>
      </w:r>
      <w:r>
        <w:rPr>
          <w:rFonts w:ascii="Arial" w:cs="Arial" w:eastAsia="Arial" w:hAnsi="Arial"/>
          <w:sz w:val="18"/>
          <w:szCs w:val="18"/>
          <w:color w:val="212529"/>
        </w:rPr>
        <w:t xml:space="preserve"> million), partially offset by proceeds from the issuance of the 2029 Notes and 2028 Secured Notes (</w:t>
      </w:r>
      <w:r>
        <w:rPr>
          <w:rFonts w:ascii="Arial" w:cs="Arial" w:eastAsia="Arial" w:hAnsi="Arial"/>
          <w:sz w:val="18"/>
          <w:szCs w:val="18"/>
          <w:color w:val="000000"/>
        </w:rPr>
        <w:t>$1.68</w:t>
      </w:r>
      <w:r>
        <w:rPr>
          <w:rFonts w:ascii="Arial" w:cs="Arial" w:eastAsia="Arial" w:hAnsi="Arial"/>
          <w:sz w:val="18"/>
          <w:szCs w:val="18"/>
          <w:color w:val="212529"/>
        </w:rPr>
        <w:t xml:space="preserve"> billion). </w:t>
      </w:r>
      <w:r>
        <w:rPr>
          <w:rFonts w:ascii="Arial" w:cs="Arial" w:eastAsia="Arial" w:hAnsi="Arial"/>
          <w:sz w:val="18"/>
          <w:szCs w:val="18"/>
          <w:color w:val="000000"/>
        </w:rPr>
        <w:t>Cash used in financing activities was $371.9 million for the six months ended June 30,</w:t>
      </w:r>
      <w:r>
        <w:rPr>
          <w:rFonts w:ascii="Arial" w:cs="Arial" w:eastAsia="Arial" w:hAnsi="Arial"/>
          <w:sz w:val="18"/>
          <w:szCs w:val="18"/>
          <w:color w:val="212529"/>
        </w:rPr>
        <w:t xml:space="preserve"> </w:t>
      </w:r>
      <w:r>
        <w:rPr>
          <w:rFonts w:ascii="Arial" w:cs="Arial" w:eastAsia="Arial" w:hAnsi="Arial"/>
          <w:sz w:val="18"/>
          <w:szCs w:val="18"/>
          <w:color w:val="000000"/>
        </w:rPr>
        <w:t xml:space="preserve">2020, which was </w:t>
      </w:r>
      <w:r>
        <w:rPr>
          <w:rFonts w:ascii="Arial" w:cs="Arial" w:eastAsia="Arial" w:hAnsi="Arial"/>
          <w:sz w:val="18"/>
          <w:szCs w:val="18"/>
          <w:color w:val="212529"/>
        </w:rPr>
        <w:t>primarily driven by the repayment of senior secured term loan B ($2.04 billion), net payments under the Revolving Credit Facility ($446.7</w:t>
      </w:r>
      <w:r>
        <w:rPr>
          <w:rFonts w:ascii="Arial" w:cs="Arial" w:eastAsia="Arial" w:hAnsi="Arial"/>
          <w:sz w:val="18"/>
          <w:szCs w:val="18"/>
          <w:color w:val="000000"/>
        </w:rPr>
        <w:t xml:space="preserve"> </w:t>
      </w:r>
      <w:r>
        <w:rPr>
          <w:rFonts w:ascii="Arial" w:cs="Arial" w:eastAsia="Arial" w:hAnsi="Arial"/>
          <w:sz w:val="18"/>
          <w:szCs w:val="18"/>
          <w:color w:val="212529"/>
        </w:rPr>
        <w:t>million), dividend payments ($71.6 million) and payments for financing costs ($47.8 million)</w:t>
      </w:r>
      <w:r>
        <w:rPr>
          <w:rFonts w:ascii="Arial" w:cs="Arial" w:eastAsia="Arial" w:hAnsi="Arial"/>
          <w:sz w:val="18"/>
          <w:szCs w:val="18"/>
          <w:color w:val="000000"/>
        </w:rPr>
        <w:t>, partially offset by</w:t>
      </w:r>
      <w:r>
        <w:rPr>
          <w:rFonts w:ascii="Arial" w:cs="Arial" w:eastAsia="Arial" w:hAnsi="Arial"/>
          <w:sz w:val="18"/>
          <w:szCs w:val="18"/>
          <w:color w:val="212529"/>
        </w:rPr>
        <w:t xml:space="preserve"> the proceeds from the issuance of the 2025 Secured Notes ($2.25 billion).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Notes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February 2, 2021, Uniti Group LP, Uniti Group Finance 2019 Inc. and CSL Capital, LLC (the “Issuers”), as co-issuers, issued $1.11 billion aggregate principal of the 2029 Notes (the “2029 Notes”) and used the net proceeds to fund the tender offer of substantially all $1.11 billion principal amount of their 2023 Notes, of which $58.8 million remained outstanding as of March 31, 2021. On April 15, 2021, the Issuers redeemed the remaining outstanding principal amount of the 2023 Notes.</w:t>
      </w:r>
    </w:p>
    <w:p>
      <w:pPr>
        <w:spacing w:after="0" w:line="187"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2029 Notes were issued at an issue price of 100% of their principal amount pursuant to an indenture, dated as of February 2, 2021, among the Issuers, the guarantors named therein and Deutsche Bank Trust Company Americas, as trustee. The 2029 Notes mature on February 15, 2029 and bear interest at a rate of 6.500% per year. Interest on the 2029 Notes is payable on February 15 and August 15 of each year, beginning on August 15, 2021.</w:t>
      </w:r>
    </w:p>
    <w:p>
      <w:pPr>
        <w:spacing w:after="0" w:line="14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April 20, 2021, the Issuers issued the 2028 Secured Notes and used the net proceeds from the offering to fund the redemption in full of their outstanding 2023 Secured Notes on May 6, 2021. On April 20, 2021, the Issuers deposited amounts sufficient to fund the redemption of the 2023 Secured Notes with the trustee and satisfied and discharged their respective obligations under the indenture governing the 2023 Secured Notes.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additional information, see Note 11 to our accompanying Condensed Consolidated Financial Statements contained in Part 1, Item 1 of this Quarterly Report on Form 10-Q.</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Common Stock Offering Program</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having an aggregate offering price of up to $250 million. During the three and six months ended June 30, 2021, we did not make any sales under the ATM Program. This program is intended to provide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anticipate continuing to invest in our network infrastructure across our Uniti Leasing and Uniti Fiber portfolios. We anticipate that we will partially finance these needs, as well as operating expenses (including our debt service obligations), from our cash on hand and cash flows provided by operating activities. As of June 30, 2021, we had $465.5 million in borrowing availability under our Revolving Credit Facility,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may also issue equity securities to repay debt and reduce our leverage ratio to be below 5.75 to 1.0 to obtain additional flexibility under our debt covenants, as described under “—Dividends.” In light of the COVID-19 pandemic and its effects on the global economy and capital markets, we are closely monitoring the equity and debt markets and may seek to access them promptly if and when we determine market conditions are appropriate. Our debt covenants currently do not permit us to incur material additional debt.</w:t>
      </w:r>
    </w:p>
    <w:p>
      <w:pPr>
        <w:spacing w:after="0" w:line="18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amount, nature and timing of any capital markets transactions will depend on: the impact the COVID-19 pandemic has on the global economy and capital markets, our operating performance and other circumstances; our then-current commitments and obligations; the amount, nature and timing of our capital requirements; and any limitations imposed by our current credit arrangements.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9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circumstances warrant, we may take measures to conserve cash as we anticipate that it will be more difficult for us to access the capital markets at attractive rates until such uncertainty is clarified.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Non-</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04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Success Based</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Maintenance</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Integration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Network</w:t>
            </w:r>
          </w:p>
        </w:tc>
        <w:tc>
          <w:tcPr>
            <w:tcW w:w="12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Leasing</w:t>
            </w:r>
          </w:p>
        </w:tc>
        <w:tc>
          <w:tcPr>
            <w:tcW w:w="460" w:type="dxa"/>
            <w:vAlign w:val="bottom"/>
            <w:gridSpan w:val="2"/>
          </w:tcPr>
          <w:p>
            <w:pPr>
              <w:jc w:val="right"/>
              <w:ind w:right="15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9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Growth capital improvements</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92,145</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92,145</w:t>
            </w:r>
          </w:p>
        </w:tc>
        <w:tc>
          <w:tcPr>
            <w:tcW w:w="100" w:type="dxa"/>
            <w:vAlign w:val="bottom"/>
            <w:shd w:val="clear" w:color="auto" w:fill="CFF0FC"/>
          </w:tcPr>
          <w:p>
            <w:pPr>
              <w:spacing w:after="0"/>
              <w:rPr>
                <w:sz w:val="19"/>
                <w:szCs w:val="19"/>
                <w:color w:val="auto"/>
              </w:rPr>
            </w:pPr>
          </w:p>
        </w:tc>
      </w:tr>
      <w:tr>
        <w:trPr>
          <w:trHeight w:val="230"/>
        </w:trPr>
        <w:tc>
          <w:tcPr>
            <w:tcW w:w="5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79,165</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84,779</w:t>
            </w:r>
          </w:p>
        </w:tc>
        <w:tc>
          <w:tcPr>
            <w:tcW w:w="100" w:type="dxa"/>
            <w:vAlign w:val="bottom"/>
            <w:tcBorders>
              <w:bottom w:val="single" w:sz="8" w:color="CFF0FC"/>
            </w:tcBorders>
          </w:tcPr>
          <w:p>
            <w:pPr>
              <w:spacing w:after="0"/>
              <w:rPr>
                <w:sz w:val="19"/>
                <w:szCs w:val="19"/>
                <w:color w:val="auto"/>
              </w:rPr>
            </w:pPr>
          </w:p>
        </w:tc>
      </w:tr>
      <w:tr>
        <w:trPr>
          <w:trHeight w:val="223"/>
        </w:trPr>
        <w:tc>
          <w:tcPr>
            <w:tcW w:w="50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capital expenditures</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8"/>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172,320</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4,384</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177,934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and expect that cash on hand and cash flows provided by operating activities will be sufficient to support these investments. We have the right, but not the obligation (except for Growth Capital Improvements), to reimburse growth capital expenditures in certain of our lease arrangements where we are the lessor.</w:t>
      </w:r>
    </w:p>
    <w:p>
      <w:pPr>
        <w:spacing w:after="0" w:line="18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Uniti’s total annual reimbursement commitments to Windstream for the Growth Capital Improvements under the Windstream Leases (and under separate equipment loan facilities) are limited to $225 million per year in 2021 through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except that, during calendar year 2021, our combined total obligation to fund Growth Capital Improvements may exceed $250 million to the extent of any unfunded excess amounts from calendar year 2020. Accordingly, because we funded $84.7 million of the $125 million limit in 2020, we are committed to fund up to $265.3 million of Growth Capital Improvements in 2021.</w:t>
      </w:r>
    </w:p>
    <w:p>
      <w:pPr>
        <w:spacing w:after="0" w:line="16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success-based capital expenditures. We continually assess our capital expenditure plans in light of developments the impact COVID-19 has on our business and that of our tenants and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Subject to the restrictions imposed by our 7.875% senior secured notes due 2025 (the “2025 Secured Notes”),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Period</w:t>
            </w:r>
          </w:p>
        </w:tc>
        <w:tc>
          <w:tcPr>
            <w:tcW w:w="2240" w:type="dxa"/>
            <w:vAlign w:val="bottom"/>
          </w:tcPr>
          <w:p>
            <w:pPr>
              <w:jc w:val="center"/>
              <w:spacing w:after="0"/>
              <w:rPr>
                <w:sz w:val="20"/>
                <w:szCs w:val="20"/>
                <w:color w:val="auto"/>
              </w:rPr>
            </w:pPr>
            <w:r>
              <w:rPr>
                <w:rFonts w:ascii="Arial" w:cs="Arial" w:eastAsia="Arial" w:hAnsi="Arial"/>
                <w:sz w:val="18"/>
                <w:szCs w:val="18"/>
                <w:color w:val="auto"/>
                <w:w w:val="87"/>
              </w:rPr>
              <w:t>Payment Date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ind w:left="40"/>
              <w:spacing w:after="0"/>
              <w:rPr>
                <w:sz w:val="20"/>
                <w:szCs w:val="20"/>
                <w:color w:val="auto"/>
              </w:rPr>
            </w:pPr>
            <w:r>
              <w:rPr>
                <w:rFonts w:ascii="Arial" w:cs="Arial" w:eastAsia="Arial" w:hAnsi="Arial"/>
                <w:sz w:val="18"/>
                <w:szCs w:val="18"/>
                <w:color w:val="auto"/>
              </w:rPr>
              <w:t>Cash Dividend Per Share</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Record Date</w:t>
            </w:r>
          </w:p>
        </w:tc>
      </w:tr>
      <w:tr>
        <w:trPr>
          <w:trHeight w:val="223"/>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2020 - December 31, 2020</w:t>
            </w:r>
          </w:p>
        </w:tc>
        <w:tc>
          <w:tcPr>
            <w:tcW w:w="120" w:type="dxa"/>
            <w:vAlign w:val="bottom"/>
            <w:tcBorders>
              <w:top w:val="single" w:sz="8" w:color="CFF0FC"/>
            </w:tcBorders>
            <w:shd w:val="clear" w:color="auto" w:fill="CFF0FC"/>
          </w:tcPr>
          <w:p>
            <w:pPr>
              <w:spacing w:after="0"/>
              <w:rPr>
                <w:sz w:val="19"/>
                <w:szCs w:val="19"/>
                <w:color w:val="auto"/>
              </w:rPr>
            </w:pPr>
          </w:p>
        </w:tc>
        <w:tc>
          <w:tcPr>
            <w:tcW w:w="22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January 4, 2021</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December 15, 2020</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January 1, 2021 - March 31, 2021</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16, 2021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4"/>
              </w:rPr>
              <w:t>April 1, 2021</w:t>
            </w:r>
          </w:p>
        </w:tc>
      </w:tr>
      <w:tr>
        <w:trPr>
          <w:trHeight w:val="230"/>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2021 - June 30, 2021</w:t>
            </w:r>
          </w:p>
        </w:tc>
        <w:tc>
          <w:tcPr>
            <w:tcW w:w="2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July 2, 2021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FF0FC"/>
          </w:tcPr>
          <w:p>
            <w:pPr>
              <w:spacing w:after="0"/>
              <w:rPr>
                <w:sz w:val="19"/>
                <w:szCs w:val="19"/>
                <w:color w:val="auto"/>
              </w:rPr>
            </w:pP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18, 2021</w:t>
            </w:r>
          </w:p>
        </w:tc>
      </w:tr>
    </w:tbl>
    <w:p>
      <w:pPr>
        <w:spacing w:after="0" w:line="20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the ongoing COVID-19 pandemic, we may take further measures to conserve cash, which may include a suspension, delay or reduction in our dividend. In addition, until such time our consolidated net leverage ratio (as defined in the indenture governing the 2025 Secured Notes) is no greater than 5.75 to 1.0, our 2025 Secured Notes generally limit our ability to pay cash dividends in excess of 90% of our REIT taxable income, determined without regard to the dividends paid deduction and excluding any net capital gains.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impairment and business combinations as critical accounting estimates, as they are the most important to our financial statement presentation and require difficult, subjective and complex judgments.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As of June 30, 2021, there has been no material change to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 - Debt with Conversion and Other Options (Subtopic 470- 20) and Derivatives and Hedging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Accounting for Convertible Instruments and Contracts in an Entity’s Own Equity </w:t>
      </w:r>
      <w:r>
        <w:rPr>
          <w:rFonts w:ascii="Arial" w:cs="Arial" w:eastAsia="Arial" w:hAnsi="Arial"/>
          <w:sz w:val="17"/>
          <w:szCs w:val="17"/>
          <w:color w:val="auto"/>
        </w:rPr>
        <w:t>(“ASU 2020-06”),</w:t>
      </w:r>
      <w:r>
        <w:rPr>
          <w:rFonts w:ascii="Arial" w:cs="Arial" w:eastAsia="Arial" w:hAnsi="Arial"/>
          <w:sz w:val="17"/>
          <w:szCs w:val="17"/>
          <w:i w:val="1"/>
          <w:iCs w:val="1"/>
          <w:color w:val="auto"/>
        </w:rPr>
        <w:t xml:space="preserve"> </w:t>
      </w:r>
      <w:r>
        <w:rPr>
          <w:rFonts w:ascii="Arial" w:cs="Arial" w:eastAsia="Arial" w:hAnsi="Arial"/>
          <w:sz w:val="17"/>
          <w:szCs w:val="17"/>
          <w:color w:val="auto"/>
        </w:rPr>
        <w:t>which simplifies the accounting for certain financial instruments with characteristics of liabilities and equity. ASU 2020-06 (1)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(2) revises the scope exception from derivative accounting in ASC 815-40 for freestanding financial instruments and embedded features that are both indexed to the issuer’s own stock and classified in stockholders’ equity, by removing certain criteria required for equity classification; and (3) revises the guidance in ASC 260, Earnings Per Share, to require entities to calculate diluted earnings per share (“EPS”) for convertible instruments by using the if-converted method.</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entities must presume share settlement for purposes of calculating diluted EPS when an instrument may be settled in cash or shares. ASU 2020-06 is effective for fiscal years beginning after December 15, 2021, and interim periods within those fiscal years, with early adoption permitted. The Company elected to early adopt the guidance ASU 2020-06 as of January 1, 2021 using the modified retrospective transition method. Pursuant to the transition guidance, the Company is required to apply the guidance to all impacted financial instruments that were outstanding as of January 1, 2021 with the cumulative effect recognized as an adjustment to the opening balance of retained earnings.</w:t>
      </w:r>
    </w:p>
    <w:p>
      <w:pPr>
        <w:spacing w:after="0" w:line="17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As a result of early adopting ASU 2020-06, the Company made certain adjustments to its accounting for the outstanding exchangeable senior unsecured notes. The adoption of ASU 2020-06 resulted in the re-combination of the liability and equity components of these notes into a single liability instrument. The carrying value as of December 31, 2020, totaled approximately $275.4 million and as a result of the adoption increased by $61.1 million to $336.5 million as of January 1, 2021. Because of this adoption, the effective interest rate on the exchangeable senior unsecured notes went from 11.1% to</w:t>
      </w:r>
    </w:p>
    <w:p>
      <w:pPr>
        <w:spacing w:after="0" w:line="1"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4.8%. Additional paid-in-capital was reduced by $59.9 million and deferred tax liabilities were reduced by $15.8 million. Approximately $14.6 million of cumulative effect of adoption was recognized to the opening balance of retained earnings as of January 1,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information reported under Item 7A of our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June 30, 2021, and based on this evaluation, our principal executive officer and principal financial officer concluded that our disclosure controls and procedures were not effective as of June 30, 2021, due to the material weakness in our internal control over financial reporting that was disclosed in our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disclosed in “</w:t>
      </w:r>
      <w:r>
        <w:rPr>
          <w:rFonts w:ascii="Arial" w:cs="Arial" w:eastAsia="Arial" w:hAnsi="Arial"/>
          <w:sz w:val="18"/>
          <w:szCs w:val="18"/>
          <w:i w:val="1"/>
          <w:iCs w:val="1"/>
          <w:color w:val="auto"/>
        </w:rPr>
        <w:t>Part II. Item 9A. Controls and Procedures</w:t>
      </w:r>
      <w:r>
        <w:rPr>
          <w:rFonts w:ascii="Arial" w:cs="Arial" w:eastAsia="Arial" w:hAnsi="Arial"/>
          <w:sz w:val="18"/>
          <w:szCs w:val="18"/>
          <w:color w:val="auto"/>
        </w:rPr>
        <w:t>” in our Annual Report, during the fourth quarter of 2020, we identified a material weakness in our internal control over financial reporting due to ineffective controls over the annual goodwill impairment assessment, specifically, the control activities over the determination of the carrying value to be used in the assessment of goodwill impairment did not operate effectively due to an insufficient complement of qualified personnel. As of June 30, 2021, management is continuing to implement the remediation plan as disclosed in “</w:t>
      </w:r>
      <w:r>
        <w:rPr>
          <w:rFonts w:ascii="Arial" w:cs="Arial" w:eastAsia="Arial" w:hAnsi="Arial"/>
          <w:sz w:val="18"/>
          <w:szCs w:val="18"/>
          <w:i w:val="1"/>
          <w:iCs w:val="1"/>
          <w:color w:val="auto"/>
        </w:rPr>
        <w:t>Part II. Item 9A.</w:t>
      </w:r>
      <w:r>
        <w:rPr>
          <w:rFonts w:ascii="Arial" w:cs="Arial" w:eastAsia="Arial" w:hAnsi="Arial"/>
          <w:sz w:val="18"/>
          <w:szCs w:val="18"/>
          <w:color w:val="auto"/>
        </w:rPr>
        <w:t xml:space="preserve"> </w:t>
      </w:r>
      <w:r>
        <w:rPr>
          <w:rFonts w:ascii="Arial" w:cs="Arial" w:eastAsia="Arial" w:hAnsi="Arial"/>
          <w:sz w:val="18"/>
          <w:szCs w:val="18"/>
          <w:i w:val="1"/>
          <w:iCs w:val="1"/>
          <w:color w:val="auto"/>
        </w:rPr>
        <w:t>Controls and Procedures</w:t>
      </w:r>
      <w:r>
        <w:rPr>
          <w:rFonts w:ascii="Arial" w:cs="Arial" w:eastAsia="Arial" w:hAnsi="Arial"/>
          <w:sz w:val="18"/>
          <w:szCs w:val="18"/>
          <w:color w:val="auto"/>
        </w:rPr>
        <w:t>” in our Annual Report, which is described below.</w:t>
      </w:r>
    </w:p>
    <w:p>
      <w:pPr>
        <w:spacing w:after="0" w:line="18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condensed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such term is defined in Rule 13a-15(f) under the Exchange Act, that occurred during the quarter ended June 30, 2021 that has materially affected, or is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Management is continuing to implement the remediation plan as disclosed in “</w:t>
      </w:r>
      <w:r>
        <w:rPr>
          <w:rFonts w:ascii="Arial" w:cs="Arial" w:eastAsia="Arial" w:hAnsi="Arial"/>
          <w:sz w:val="17"/>
          <w:szCs w:val="17"/>
          <w:i w:val="1"/>
          <w:iCs w:val="1"/>
          <w:color w:val="auto"/>
        </w:rPr>
        <w:t>Part II. Item 9A. Controls and Procedures</w:t>
      </w:r>
      <w:r>
        <w:rPr>
          <w:rFonts w:ascii="Arial" w:cs="Arial" w:eastAsia="Arial" w:hAnsi="Arial"/>
          <w:sz w:val="17"/>
          <w:szCs w:val="17"/>
          <w:color w:val="auto"/>
        </w:rPr>
        <w:t>” in our Annual Report, to ensure that the deficiency contributing to the material weakness is remediated such that this control will operate effectively. We believe that these actions, and the improvements we expect to achieve as a result, will effectively remediate the material weakness. However, the material weakness in our internal control over financial reporting will not be considered remediated until management has concluded, through testing, that this control is designed effectively. We expect that the remediation of this material weakness will be completed later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description of legal proceedings can be found in Note 14 - Commitments and Contingencies to our Condensed Consolidated Financial Statements, included in this report at Part I, Item 1-Financial Statements, and is incorporated by reference into this Item 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affecting our business that were discussed in Part I, “Item 1A. Risk Factors” in our Annual Report.</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jc w:val="both"/>
        <w:ind w:right="300"/>
        <w:spacing w:after="0" w:line="271" w:lineRule="auto"/>
        <w:rPr>
          <w:sz w:val="20"/>
          <w:szCs w:val="20"/>
          <w:color w:val="auto"/>
        </w:rPr>
      </w:pPr>
      <w:r>
        <w:rPr>
          <w:rFonts w:ascii="Arial" w:cs="Arial" w:eastAsia="Arial" w:hAnsi="Arial"/>
          <w:sz w:val="17"/>
          <w:szCs w:val="17"/>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39"/>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Maximum Number of</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Average Price Paid per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20" w:type="dxa"/>
            <w:vAlign w:val="bottom"/>
          </w:tcPr>
          <w:p>
            <w:pPr>
              <w:spacing w:after="0"/>
              <w:rPr>
                <w:sz w:val="12"/>
                <w:szCs w:val="12"/>
                <w:color w:val="auto"/>
              </w:rPr>
            </w:pPr>
          </w:p>
        </w:tc>
        <w:tc>
          <w:tcPr>
            <w:tcW w:w="1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50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(1)</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20" w:type="dxa"/>
            <w:vAlign w:val="bottom"/>
          </w:tcPr>
          <w:p>
            <w:pPr>
              <w:spacing w:after="0"/>
              <w:rPr>
                <w:sz w:val="14"/>
                <w:szCs w:val="14"/>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1, 2021 to April 30, 2021</w:t>
            </w:r>
          </w:p>
        </w:tc>
        <w:tc>
          <w:tcPr>
            <w:tcW w:w="1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59,444</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ind w:left="15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May 1, 2021 to May 31, 2021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8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1, 2021 to June 30, 2021</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59,444</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86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0" w:firstLine="8"/>
        <w:spacing w:after="0" w:line="297" w:lineRule="auto"/>
        <w:tabs>
          <w:tab w:leader="none" w:pos="166" w:val="left"/>
        </w:tabs>
        <w:numPr>
          <w:ilvl w:val="0"/>
          <w:numId w:val="8"/>
        </w:numPr>
        <w:rPr>
          <w:rFonts w:ascii="Arial" w:cs="Arial" w:eastAsia="Arial" w:hAnsi="Arial"/>
          <w:sz w:val="19"/>
          <w:szCs w:val="19"/>
          <w:color w:val="auto"/>
          <w:vertAlign w:val="superscript"/>
        </w:rPr>
      </w:pPr>
      <w:r>
        <w:rPr>
          <w:rFonts w:ascii="Arial" w:cs="Arial" w:eastAsia="Arial" w:hAnsi="Arial"/>
          <w:sz w:val="16"/>
          <w:szCs w:val="16"/>
          <w:color w:val="auto"/>
        </w:rPr>
        <w:t>The average price paid per share is the weighted average of the fair market prices at which we calculated the number of shares withheld to cover tax withholdings for the employees.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tcPr>
          <w:p>
            <w:pPr>
              <w:spacing w:after="0"/>
              <w:rPr>
                <w:sz w:val="14"/>
                <w:szCs w:val="14"/>
                <w:color w:val="auto"/>
              </w:rPr>
            </w:pPr>
          </w:p>
        </w:tc>
        <w:tc>
          <w:tcPr>
            <w:tcW w:w="6540" w:type="dxa"/>
            <w:vAlign w:val="bottom"/>
            <w:gridSpan w:val="5"/>
            <w:vMerge w:val="restart"/>
          </w:tcPr>
          <w:p>
            <w:pPr>
              <w:ind w:left="11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60" w:type="dxa"/>
            <w:vAlign w:val="bottom"/>
          </w:tcPr>
          <w:p>
            <w:pPr>
              <w:spacing w:after="0"/>
              <w:rPr>
                <w:sz w:val="14"/>
                <w:szCs w:val="14"/>
                <w:color w:val="auto"/>
              </w:rPr>
            </w:pPr>
          </w:p>
        </w:tc>
        <w:tc>
          <w:tcPr>
            <w:tcW w:w="65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9620" w:type="dxa"/>
            <w:vAlign w:val="bottom"/>
            <w:tcBorders>
              <w:top w:val="single" w:sz="8" w:color="auto"/>
              <w:bottom w:val="single" w:sz="8" w:color="0000EE"/>
            </w:tcBorders>
            <w:gridSpan w:val="4"/>
          </w:tcPr>
          <w:p>
            <w:pPr>
              <w:ind w:left="20"/>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Indenture, dated April 20, 2021, by and among Uniti Group LP, Uniti Group Finance 2019 Inc. and CSL Capital, LLC, as Issuers, the</w:t>
              </w:r>
            </w:hyperlink>
          </w:p>
        </w:tc>
        <w:tc>
          <w:tcPr>
            <w:tcW w:w="38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6"/>
          </w:tcPr>
          <w:p>
            <w:pPr>
              <w:ind w:left="20"/>
              <w:spacing w:after="0" w:line="196" w:lineRule="exact"/>
              <w:rPr>
                <w:rFonts w:ascii="Arial" w:cs="Arial" w:eastAsia="Arial" w:hAnsi="Arial"/>
                <w:sz w:val="18"/>
                <w:szCs w:val="18"/>
                <w:color w:val="0000EE"/>
                <w:w w:val="94"/>
              </w:rPr>
            </w:pPr>
            <w:hyperlink r:id="rId134">
              <w:r>
                <w:rPr>
                  <w:rFonts w:ascii="Arial" w:cs="Arial" w:eastAsia="Arial" w:hAnsi="Arial"/>
                  <w:sz w:val="18"/>
                  <w:szCs w:val="18"/>
                  <w:color w:val="0000EE"/>
                  <w:w w:val="94"/>
                </w:rPr>
                <w:t>guarantors party thereto and Deutsche Bank Trust Company Americas, as trustee and collateral agent, governing the 4.750% Senior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6"/>
          </w:tcPr>
          <w:p>
            <w:pPr>
              <w:ind w:left="20"/>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Secured Notes due 2028. (incorporated by reference to Exhibit 4.1 to the Company’s Current Report on Form 8-K dated and filed with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60" w:type="dxa"/>
            <w:vAlign w:val="bottom"/>
            <w:tcBorders>
              <w:top w:val="single" w:sz="8" w:color="0000EE"/>
            </w:tcBorders>
            <w:gridSpan w:val="5"/>
          </w:tcPr>
          <w:p>
            <w:pPr>
              <w:ind w:left="20"/>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SEC as of April 20, 2021 (File No. 001-36708))</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9620" w:type="dxa"/>
            <w:vAlign w:val="bottom"/>
            <w:tcBorders>
              <w:bottom w:val="single" w:sz="8" w:color="0000EE"/>
            </w:tcBorders>
            <w:gridSpan w:val="4"/>
          </w:tcPr>
          <w:p>
            <w:pPr>
              <w:ind w:left="20"/>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Form of 4.750% Senior Secured Notes due 2028 (included in Exhibit 4.1) (incorporated by reference to Exhibit 4.2 to the Company’s</w:t>
              </w:r>
            </w:hyperlink>
          </w:p>
        </w:tc>
        <w:tc>
          <w:tcPr>
            <w:tcW w:w="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6"/>
          </w:tcPr>
          <w:p>
            <w:pPr>
              <w:ind w:left="20"/>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Current Report on Form 8-K dated and filed with the SEC as of April 20, 2021 (File No. 001-36708))</w:t>
              </w:r>
            </w:hyperlink>
          </w:p>
        </w:tc>
        <w:tc>
          <w:tcPr>
            <w:tcW w:w="0" w:type="dxa"/>
            <w:vAlign w:val="bottom"/>
          </w:tcPr>
          <w:p>
            <w:pPr>
              <w:spacing w:after="0"/>
              <w:rPr>
                <w:sz w:val="1"/>
                <w:szCs w:val="1"/>
                <w:color w:val="auto"/>
              </w:rPr>
            </w:pPr>
          </w:p>
        </w:tc>
      </w:tr>
      <w:tr>
        <w:trPr>
          <w:trHeight w:val="817"/>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20" w:type="dxa"/>
            <w:vAlign w:val="bottom"/>
            <w:tcBorders>
              <w:top w:val="single" w:sz="8" w:color="0000EE"/>
            </w:tcBorders>
            <w:gridSpan w:val="2"/>
          </w:tcPr>
          <w:p>
            <w:pPr>
              <w:ind w:left="4300"/>
              <w:spacing w:after="0"/>
              <w:rPr>
                <w:sz w:val="20"/>
                <w:szCs w:val="20"/>
                <w:color w:val="auto"/>
              </w:rPr>
            </w:pPr>
            <w:r>
              <w:rPr>
                <w:rFonts w:ascii="Arial" w:cs="Arial" w:eastAsia="Arial" w:hAnsi="Arial"/>
                <w:sz w:val="18"/>
                <w:szCs w:val="18"/>
                <w:color w:val="auto"/>
              </w:rPr>
              <w:t>61</w:t>
            </w: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9640" w:type="dxa"/>
            <w:vAlign w:val="bottom"/>
            <w:tcBorders>
              <w:bottom w:val="single" w:sz="8" w:color="0000EE"/>
            </w:tcBorders>
            <w:gridSpan w:val="6"/>
          </w:tcPr>
          <w:p>
            <w:pPr>
              <w:ind w:left="20"/>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2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500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Adopted Pursuant to Section 302 of the Sarbanes-Oxley Act of 2002.</w:t>
              </w:r>
            </w:hyperlink>
          </w:p>
        </w:tc>
        <w:tc>
          <w:tcPr>
            <w:tcW w:w="4860" w:type="dxa"/>
            <w:vAlign w:val="bottom"/>
            <w:gridSpan w:val="5"/>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EE"/>
            </w:tcBorders>
            <w:gridSpan w:val="4"/>
          </w:tcPr>
          <w:p>
            <w:pPr>
              <w:ind w:left="20"/>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28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500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Adopted Pursuant to Section 302 of the Sarbanes-Oxley Act of 2002.</w:t>
              </w:r>
            </w:hyperlink>
          </w:p>
        </w:tc>
        <w:tc>
          <w:tcPr>
            <w:tcW w:w="4860" w:type="dxa"/>
            <w:vAlign w:val="bottom"/>
            <w:gridSpan w:val="5"/>
          </w:tcPr>
          <w:p>
            <w:pPr>
              <w:spacing w:after="0"/>
              <w:rPr>
                <w:sz w:val="17"/>
                <w:szCs w:val="17"/>
                <w:color w:val="auto"/>
              </w:rPr>
            </w:pPr>
          </w:p>
        </w:tc>
      </w:tr>
      <w:tr>
        <w:trPr>
          <w:trHeight w:val="318"/>
        </w:trPr>
        <w:tc>
          <w:tcPr>
            <w:tcW w:w="1240" w:type="dxa"/>
            <w:vAlign w:val="bottom"/>
          </w:tcPr>
          <w:p>
            <w:pPr>
              <w:spacing w:after="0"/>
              <w:rPr>
                <w:sz w:val="20"/>
                <w:szCs w:val="20"/>
                <w:color w:val="auto"/>
              </w:rPr>
            </w:pPr>
            <w:r>
              <w:rPr>
                <w:rFonts w:ascii="Arial" w:cs="Arial" w:eastAsia="Arial" w:hAnsi="Arial"/>
                <w:sz w:val="18"/>
                <w:szCs w:val="18"/>
                <w:color w:val="auto"/>
              </w:rPr>
              <w:t>32.1*</w:t>
            </w:r>
          </w:p>
        </w:tc>
        <w:tc>
          <w:tcPr>
            <w:tcW w:w="9620" w:type="dxa"/>
            <w:vAlign w:val="bottom"/>
            <w:tcBorders>
              <w:bottom w:val="single" w:sz="8" w:color="0000EE"/>
            </w:tcBorders>
            <w:gridSpan w:val="5"/>
          </w:tcPr>
          <w:p>
            <w:pPr>
              <w:ind w:left="20"/>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Certification of Principal Executive Officer Pursuant to 18 U.S.C. Section 1350, as Adopted Pursuant to Section 906 of the Sarbanes-</w:t>
              </w:r>
            </w:hyperlink>
          </w:p>
        </w:tc>
        <w:tc>
          <w:tcPr>
            <w:tcW w:w="24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400" w:type="dxa"/>
            <w:vAlign w:val="bottom"/>
            <w:tcBorders>
              <w:bottom w:val="single" w:sz="8" w:color="0000EE"/>
            </w:tcBorders>
          </w:tcPr>
          <w:p>
            <w:pPr>
              <w:ind w:left="20"/>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Oxley Act of 2002.</w:t>
              </w:r>
            </w:hyperlink>
          </w:p>
        </w:tc>
        <w:tc>
          <w:tcPr>
            <w:tcW w:w="8460" w:type="dxa"/>
            <w:vAlign w:val="bottom"/>
            <w:gridSpan w:val="6"/>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32.2*</w:t>
            </w:r>
          </w:p>
        </w:tc>
        <w:tc>
          <w:tcPr>
            <w:tcW w:w="9860" w:type="dxa"/>
            <w:vAlign w:val="bottom"/>
            <w:gridSpan w:val="7"/>
          </w:tcPr>
          <w:p>
            <w:pPr>
              <w:ind w:left="20"/>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Certification of Principal Financial Officer Pursuant to 18 U.S.C. Section 1350, as Adopted Pursuant to Section 906 of the Sarbanes-</w:t>
              </w:r>
            </w:hyperlink>
          </w:p>
        </w:tc>
      </w:tr>
      <w:tr>
        <w:trPr>
          <w:trHeight w:val="196"/>
        </w:trPr>
        <w:tc>
          <w:tcPr>
            <w:tcW w:w="124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Oxley Act of 2002.</w:t>
              </w:r>
            </w:hyperlink>
          </w:p>
        </w:tc>
        <w:tc>
          <w:tcPr>
            <w:tcW w:w="8160" w:type="dxa"/>
            <w:vAlign w:val="bottom"/>
            <w:tcBorders>
              <w:top w:val="single" w:sz="8" w:color="0000EE"/>
            </w:tcBorders>
            <w:gridSpan w:val="2"/>
          </w:tcPr>
          <w:p>
            <w:pPr>
              <w:spacing w:after="0"/>
              <w:rPr>
                <w:sz w:val="17"/>
                <w:szCs w:val="17"/>
                <w:color w:val="auto"/>
              </w:rPr>
            </w:pPr>
          </w:p>
        </w:tc>
        <w:tc>
          <w:tcPr>
            <w:tcW w:w="300" w:type="dxa"/>
            <w:vAlign w:val="bottom"/>
            <w:gridSpan w:val="4"/>
          </w:tcPr>
          <w:p>
            <w:pPr>
              <w:spacing w:after="0"/>
              <w:rPr>
                <w:sz w:val="17"/>
                <w:szCs w:val="17"/>
                <w:color w:val="auto"/>
              </w:rPr>
            </w:pPr>
          </w:p>
        </w:tc>
      </w:tr>
      <w:tr>
        <w:trPr>
          <w:trHeight w:val="344"/>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r>
      <w:tr>
        <w:trPr>
          <w:trHeight w:val="230"/>
        </w:trPr>
        <w:tc>
          <w:tcPr>
            <w:tcW w:w="1240" w:type="dxa"/>
            <w:vAlign w:val="bottom"/>
          </w:tcPr>
          <w:p>
            <w:pPr>
              <w:spacing w:after="0"/>
              <w:rPr>
                <w:sz w:val="20"/>
                <w:szCs w:val="20"/>
                <w:color w:val="auto"/>
              </w:rPr>
            </w:pP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within the Inline XBRL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38"/>
        </w:trPr>
        <w:tc>
          <w:tcPr>
            <w:tcW w:w="124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7"/>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98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28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right w:val="single" w:sz="8" w:color="auto"/>
            </w:tcBorders>
          </w:tcPr>
          <w:p>
            <w:pPr>
              <w:spacing w:after="0"/>
              <w:rPr>
                <w:sz w:val="21"/>
                <w:szCs w:val="21"/>
                <w:color w:val="auto"/>
              </w:rPr>
            </w:pPr>
          </w:p>
        </w:tc>
        <w:tc>
          <w:tcPr>
            <w:tcW w:w="586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UNITI GROUP INC.</w:t>
            </w:r>
          </w:p>
        </w:tc>
      </w:tr>
      <w:tr>
        <w:trPr>
          <w:trHeight w:val="223"/>
        </w:trPr>
        <w:tc>
          <w:tcPr>
            <w:tcW w:w="980" w:type="dxa"/>
            <w:vAlign w:val="bottom"/>
            <w:tcBorders>
              <w:left w:val="single" w:sz="8" w:color="auto"/>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r>
      <w:tr>
        <w:trPr>
          <w:trHeight w:val="223"/>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August 5, 2021</w:t>
            </w:r>
          </w:p>
        </w:tc>
        <w:tc>
          <w:tcPr>
            <w:tcW w:w="80" w:type="dxa"/>
            <w:vAlign w:val="bottom"/>
            <w:tcBorders>
              <w:bottom w:val="single" w:sz="8" w:color="auto"/>
              <w:right w:val="single" w:sz="8" w:color="auto"/>
            </w:tcBorders>
          </w:tcPr>
          <w:p>
            <w:pPr>
              <w:spacing w:after="0"/>
              <w:rPr>
                <w:sz w:val="19"/>
                <w:szCs w:val="19"/>
                <w:color w:val="auto"/>
              </w:rPr>
            </w:pPr>
          </w:p>
        </w:tc>
        <w:tc>
          <w:tcPr>
            <w:tcW w:w="5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 Paul E. Bullington</w:t>
            </w:r>
          </w:p>
        </w:tc>
      </w:tr>
      <w:tr>
        <w:trPr>
          <w:trHeight w:val="205"/>
        </w:trPr>
        <w:tc>
          <w:tcPr>
            <w:tcW w:w="980" w:type="dxa"/>
            <w:vAlign w:val="bottom"/>
            <w:tcBorders>
              <w:left w:val="single" w:sz="8" w:color="auto"/>
              <w:right w:val="single" w:sz="8" w:color="auto"/>
            </w:tcBorders>
          </w:tcPr>
          <w:p>
            <w:pPr>
              <w:spacing w:after="0"/>
              <w:rPr>
                <w:sz w:val="17"/>
                <w:szCs w:val="17"/>
                <w:color w:val="auto"/>
              </w:rPr>
            </w:pPr>
          </w:p>
        </w:tc>
        <w:tc>
          <w:tcPr>
            <w:tcW w:w="428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5860" w:type="dxa"/>
            <w:vAlign w:val="bottom"/>
            <w:tcBorders>
              <w:right w:val="single" w:sz="8" w:color="auto"/>
            </w:tcBorders>
            <w:gridSpan w:val="2"/>
          </w:tcPr>
          <w:p>
            <w:pPr>
              <w:spacing w:after="0" w:line="205" w:lineRule="exact"/>
              <w:rPr>
                <w:sz w:val="20"/>
                <w:szCs w:val="20"/>
                <w:color w:val="auto"/>
              </w:rPr>
            </w:pPr>
            <w:r>
              <w:rPr>
                <w:rFonts w:ascii="Arial" w:cs="Arial" w:eastAsia="Arial" w:hAnsi="Arial"/>
                <w:sz w:val="18"/>
                <w:szCs w:val="18"/>
                <w:b w:val="1"/>
                <w:bCs w:val="1"/>
                <w:color w:val="auto"/>
              </w:rPr>
              <w:t>Paul E. Bullington</w:t>
            </w: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8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Senior Vice President – Interim Chief Financial Officer and Treasurer</w:t>
            </w:r>
          </w:p>
        </w:tc>
      </w:tr>
      <w:tr>
        <w:trPr>
          <w:trHeight w:val="234"/>
        </w:trPr>
        <w:tc>
          <w:tcPr>
            <w:tcW w:w="980" w:type="dxa"/>
            <w:vAlign w:val="bottom"/>
            <w:tcBorders>
              <w:left w:val="single" w:sz="8" w:color="auto"/>
              <w:right w:val="single" w:sz="8" w:color="auto"/>
            </w:tcBorders>
          </w:tcPr>
          <w:p>
            <w:pPr>
              <w:spacing w:after="0"/>
              <w:rPr>
                <w:sz w:val="20"/>
                <w:szCs w:val="20"/>
                <w:color w:val="auto"/>
              </w:rPr>
            </w:pPr>
          </w:p>
        </w:tc>
        <w:tc>
          <w:tcPr>
            <w:tcW w:w="4280" w:type="dxa"/>
            <w:vAlign w:val="bottom"/>
            <w:tcBorders>
              <w:right w:val="single" w:sz="8" w:color="auto"/>
            </w:tcBorders>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58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216"/>
        </w:trPr>
        <w:tc>
          <w:tcPr>
            <w:tcW w:w="980" w:type="dxa"/>
            <w:vAlign w:val="bottom"/>
            <w:tcBorders>
              <w:left w:val="single" w:sz="8" w:color="auto"/>
              <w:bottom w:val="single" w:sz="8" w:color="auto"/>
              <w:right w:val="single" w:sz="8" w:color="auto"/>
            </w:tcBorders>
          </w:tcPr>
          <w:p>
            <w:pPr>
              <w:spacing w:after="0"/>
              <w:rPr>
                <w:sz w:val="18"/>
                <w:szCs w:val="18"/>
                <w:color w:val="auto"/>
              </w:rPr>
            </w:pPr>
          </w:p>
        </w:tc>
        <w:tc>
          <w:tcPr>
            <w:tcW w:w="42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r>
      <w:tr>
        <w:trPr>
          <w:trHeight w:val="223"/>
        </w:trPr>
        <w:tc>
          <w:tcPr>
            <w:tcW w:w="980" w:type="dxa"/>
            <w:vAlign w:val="bottom"/>
            <w:tcBorders>
              <w:left w:val="single" w:sz="8" w:color="auto"/>
              <w:bottom w:val="single" w:sz="8" w:color="auto"/>
              <w:right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r>
      <w:tr>
        <w:trPr>
          <w:trHeight w:val="223"/>
        </w:trPr>
        <w:tc>
          <w:tcPr>
            <w:tcW w:w="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August 5, 2021</w:t>
            </w:r>
          </w:p>
        </w:tc>
        <w:tc>
          <w:tcPr>
            <w:tcW w:w="80" w:type="dxa"/>
            <w:vAlign w:val="bottom"/>
            <w:tcBorders>
              <w:bottom w:val="single" w:sz="8" w:color="auto"/>
              <w:right w:val="single" w:sz="8" w:color="auto"/>
            </w:tcBorders>
          </w:tcPr>
          <w:p>
            <w:pPr>
              <w:spacing w:after="0"/>
              <w:rPr>
                <w:sz w:val="19"/>
                <w:szCs w:val="19"/>
                <w:color w:val="auto"/>
              </w:rPr>
            </w:pPr>
          </w:p>
        </w:tc>
        <w:tc>
          <w:tcPr>
            <w:tcW w:w="5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/s/ Travis T. Black</w:t>
            </w:r>
          </w:p>
        </w:tc>
      </w:tr>
      <w:tr>
        <w:trPr>
          <w:trHeight w:val="191"/>
        </w:trPr>
        <w:tc>
          <w:tcPr>
            <w:tcW w:w="980" w:type="dxa"/>
            <w:vAlign w:val="bottom"/>
            <w:tcBorders>
              <w:left w:val="single" w:sz="8" w:color="auto"/>
              <w:right w:val="single" w:sz="8" w:color="auto"/>
            </w:tcBorders>
          </w:tcPr>
          <w:p>
            <w:pPr>
              <w:spacing w:after="0"/>
              <w:rPr>
                <w:sz w:val="16"/>
                <w:szCs w:val="16"/>
                <w:color w:val="auto"/>
              </w:rPr>
            </w:pPr>
          </w:p>
        </w:tc>
        <w:tc>
          <w:tcPr>
            <w:tcW w:w="42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5860" w:type="dxa"/>
            <w:vAlign w:val="bottom"/>
            <w:tcBorders>
              <w:right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Travis T. Black</w:t>
            </w:r>
          </w:p>
        </w:tc>
      </w:tr>
      <w:tr>
        <w:trPr>
          <w:trHeight w:val="216"/>
        </w:trPr>
        <w:tc>
          <w:tcPr>
            <w:tcW w:w="980" w:type="dxa"/>
            <w:vAlign w:val="bottom"/>
            <w:tcBorders>
              <w:left w:val="single" w:sz="8" w:color="auto"/>
              <w:right w:val="single" w:sz="8" w:color="auto"/>
            </w:tcBorders>
          </w:tcPr>
          <w:p>
            <w:pPr>
              <w:spacing w:after="0"/>
              <w:rPr>
                <w:sz w:val="18"/>
                <w:szCs w:val="18"/>
                <w:color w:val="auto"/>
              </w:rPr>
            </w:pPr>
          </w:p>
        </w:tc>
        <w:tc>
          <w:tcPr>
            <w:tcW w:w="42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586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Director of Accounting and SEC Reporting</w:t>
            </w:r>
          </w:p>
        </w:tc>
      </w:tr>
      <w:tr>
        <w:trPr>
          <w:trHeight w:val="234"/>
        </w:trPr>
        <w:tc>
          <w:tcPr>
            <w:tcW w:w="980" w:type="dxa"/>
            <w:vAlign w:val="bottom"/>
            <w:tcBorders>
              <w:left w:val="single" w:sz="8" w:color="auto"/>
              <w:bottom w:val="single" w:sz="8" w:color="auto"/>
              <w:right w:val="single" w:sz="8" w:color="auto"/>
            </w:tcBorders>
          </w:tcPr>
          <w:p>
            <w:pPr>
              <w:spacing w:after="0"/>
              <w:rPr>
                <w:sz w:val="20"/>
                <w:szCs w:val="20"/>
                <w:color w:val="auto"/>
              </w:rPr>
            </w:pPr>
          </w:p>
        </w:tc>
        <w:tc>
          <w:tcPr>
            <w:tcW w:w="428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5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320" w:top="125" w:right="37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800" w:hanging="792"/>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752"/>
        <w:spacing w:after="0" w:line="308" w:lineRule="auto"/>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3"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60" w:hanging="750"/>
        <w:spacing w:after="0" w:line="286" w:lineRule="auto"/>
        <w:tabs>
          <w:tab w:leader="none" w:pos="15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20" w:hanging="750"/>
        <w:spacing w:after="0" w:line="263"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right="20" w:hanging="750"/>
        <w:spacing w:after="0" w:line="342"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 w:hanging="750"/>
        <w:spacing w:after="0" w:line="263"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752"/>
        <w:spacing w:after="0" w:line="342" w:lineRule="auto"/>
        <w:tabs>
          <w:tab w:leader="none" w:pos="7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50"/>
        <w:spacing w:after="0" w:line="342"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40" w:hanging="750"/>
        <w:spacing w:after="0" w:line="277"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4800" w:val="left"/>
          <w:tab w:leader="none" w:pos="720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E. Bullington, certify that:</w:t>
      </w:r>
    </w:p>
    <w:p>
      <w:pPr>
        <w:spacing w:after="0" w:line="225"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752"/>
        <w:spacing w:after="0" w:line="308"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3"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60" w:hanging="750"/>
        <w:spacing w:after="0" w:line="286" w:lineRule="auto"/>
        <w:tabs>
          <w:tab w:leader="none" w:pos="15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20" w:hanging="750"/>
        <w:spacing w:after="0" w:line="263" w:lineRule="auto"/>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right="20" w:hanging="750"/>
        <w:spacing w:after="0" w:line="342" w:lineRule="auto"/>
        <w:tabs>
          <w:tab w:leader="none" w:pos="15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 w:hanging="750"/>
        <w:spacing w:after="0" w:line="263" w:lineRule="auto"/>
        <w:tabs>
          <w:tab w:leader="none" w:pos="15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752"/>
        <w:spacing w:after="0" w:line="342"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50"/>
        <w:spacing w:after="0" w:line="342" w:lineRule="auto"/>
        <w:tabs>
          <w:tab w:leader="none" w:pos="15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sz w:val="20"/>
          <w:szCs w:val="20"/>
          <w:color w:val="auto"/>
        </w:rPr>
      </w:pPr>
    </w:p>
    <w:p>
      <w:pPr>
        <w:ind w:left="1000" w:right="4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00" w:val="left"/>
          <w:tab w:leader="none" w:pos="736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Paul E. Bullington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Senior Vice President – Interim Chief Financial Officer</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35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June 30, 2021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1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June 30, 2021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36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Paul E. Bullington</w:t>
      </w:r>
    </w:p>
    <w:p>
      <w:pPr>
        <w:spacing w:after="0" w:line="32"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9090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Senior Vice President – Interim 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and Treasurer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lowerRoman"/>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lvl w:ilvl="1">
      <w:lvlJc w:val="left"/>
      <w:lvlText w:val="(%2)"/>
      <w:numFmt w:val="lowerLetter"/>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34" Type="http://schemas.openxmlformats.org/officeDocument/2006/relationships/hyperlink" Target="http://www.sec.gov/Archives/edgar/data/0001620280/000095010321005826/dp149654_ex0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2021-08-05T18:02:51Z</dcterms:created>
  <dcterms:modified xsi:type="dcterms:W3CDTF">2021-08-05T18:02:51Z</dcterms:modified>
</cp:coreProperties>
</file>