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9"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80" w:right="240" w:hanging="454"/>
        <w:spacing w:after="0" w:line="256" w:lineRule="auto"/>
        <w:tabs>
          <w:tab w:leader="none" w:pos="4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80" w:right="220" w:hanging="454"/>
        <w:spacing w:after="0" w:line="269" w:lineRule="auto"/>
        <w:tabs>
          <w:tab w:leader="none" w:pos="4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001-36708</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Uniti Group Inc.</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ectPr>
          <w:pgSz w:w="11900" w:h="16838" w:orient="portrait"/>
          <w:cols w:equalWidth="0" w:num="1">
            <w:col w:w="11220"/>
          </w:cols>
          <w:pgMar w:left="320" w:top="233" w:right="359" w:bottom="1440" w:gutter="0" w:footer="0" w:header="0"/>
        </w:sectPr>
      </w:pPr>
    </w:p>
    <w:p>
      <w:pPr>
        <w:spacing w:after="0" w:line="32" w:lineRule="exact"/>
        <w:rPr>
          <w:sz w:val="24"/>
          <w:szCs w:val="24"/>
          <w:color w:val="auto"/>
        </w:rPr>
      </w:pPr>
    </w:p>
    <w:p>
      <w:pPr>
        <w:ind w:left="24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46-5230630</w:t>
      </w:r>
    </w:p>
    <w:p>
      <w:pPr>
        <w:spacing w:after="0" w:line="68" w:lineRule="exact"/>
        <w:rPr>
          <w:sz w:val="24"/>
          <w:szCs w:val="24"/>
          <w:color w:val="auto"/>
        </w:rPr>
      </w:pPr>
    </w:p>
    <w:p>
      <w:pPr>
        <w:sectPr>
          <w:pgSz w:w="11900" w:h="16838" w:orient="portrait"/>
          <w:cols w:equalWidth="0" w:num="2">
            <w:col w:w="7280" w:space="720"/>
            <w:col w:w="3220"/>
          </w:cols>
          <w:pgMar w:left="320" w:top="233" w:right="35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8" w:lineRule="exact"/>
        <w:rPr>
          <w:sz w:val="24"/>
          <w:szCs w:val="24"/>
          <w:color w:val="auto"/>
        </w:rPr>
      </w:pPr>
    </w:p>
    <w:p>
      <w:pPr>
        <w:sectPr>
          <w:pgSz w:w="11900" w:h="16838" w:orient="portrait"/>
          <w:cols w:equalWidth="0" w:num="2">
            <w:col w:w="7140" w:space="720"/>
            <w:col w:w="3360"/>
          </w:cols>
          <w:pgMar w:left="320" w:top="233" w:right="35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2101 Riverfront Drive, Suite A</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Little Rock, Arkansas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72202</w:t>
      </w:r>
    </w:p>
    <w:p>
      <w:pPr>
        <w:spacing w:after="0" w:line="67" w:lineRule="exact"/>
        <w:rPr>
          <w:sz w:val="24"/>
          <w:szCs w:val="24"/>
          <w:color w:val="auto"/>
        </w:rPr>
      </w:pPr>
    </w:p>
    <w:p>
      <w:pPr>
        <w:sectPr>
          <w:pgSz w:w="11900" w:h="16838" w:orient="portrait"/>
          <w:cols w:equalWidth="0" w:num="2">
            <w:col w:w="7480" w:space="720"/>
            <w:col w:w="3020"/>
          </w:cols>
          <w:pgMar w:left="320" w:top="233" w:right="3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233" w:right="359" w:bottom="1440" w:gutter="0" w:footer="0" w:header="0"/>
          <w:type w:val="continuous"/>
        </w:sectPr>
      </w:pP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 (501) 850-0820</w:t>
      </w:r>
    </w:p>
    <w:p>
      <w:pPr>
        <w:spacing w:after="0" w:line="51"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58"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20"/>
          </w:cols>
          <w:pgMar w:left="320" w:top="233" w:right="359" w:bottom="1440" w:gutter="0" w:footer="0" w:header="0"/>
          <w:type w:val="continuous"/>
        </w:sectPr>
      </w:pPr>
    </w:p>
    <w:p>
      <w:pPr>
        <w:spacing w:after="0" w:line="86" w:lineRule="exact"/>
        <w:rPr>
          <w:sz w:val="24"/>
          <w:szCs w:val="24"/>
          <w:color w:val="auto"/>
        </w:rPr>
      </w:pPr>
    </w:p>
    <w:p>
      <w:pPr>
        <w:ind w:left="12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73" w:lineRule="exact"/>
        <w:rPr>
          <w:sz w:val="24"/>
          <w:szCs w:val="24"/>
          <w:color w:val="auto"/>
        </w:rPr>
      </w:pPr>
    </w:p>
    <w:p>
      <w:pPr>
        <w:sectPr>
          <w:pgSz w:w="11900" w:h="16838" w:orient="portrait"/>
          <w:cols w:equalWidth="0" w:num="3">
            <w:col w:w="4220" w:space="720"/>
            <w:col w:w="2100" w:space="720"/>
            <w:col w:w="3460"/>
          </w:cols>
          <w:pgMar w:left="320" w:top="233" w:right="35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UNIT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Select Market</w:t>
      </w:r>
    </w:p>
    <w:p>
      <w:pPr>
        <w:spacing w:after="0" w:line="207" w:lineRule="exact"/>
        <w:rPr>
          <w:sz w:val="24"/>
          <w:szCs w:val="24"/>
          <w:color w:val="auto"/>
        </w:rPr>
      </w:pPr>
    </w:p>
    <w:p>
      <w:pPr>
        <w:sectPr>
          <w:pgSz w:w="11900" w:h="16838" w:orient="portrait"/>
          <w:cols w:equalWidth="0" w:num="3">
            <w:col w:w="4680" w:space="720"/>
            <w:col w:w="1920" w:space="720"/>
            <w:col w:w="3180"/>
          </w:cols>
          <w:pgMar w:left="320" w:top="233" w:right="359" w:bottom="1440" w:gutter="0" w:footer="0" w:header="0"/>
          <w:type w:val="continuous"/>
        </w:sectPr>
      </w:pPr>
    </w:p>
    <w:p>
      <w:pPr>
        <w:ind w:right="40" w:firstLine="486"/>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5" w:lineRule="exact"/>
        <w:rPr>
          <w:sz w:val="24"/>
          <w:szCs w:val="24"/>
          <w:color w:val="auto"/>
        </w:rPr>
      </w:pPr>
    </w:p>
    <w:p>
      <w:pPr>
        <w:ind w:right="40" w:firstLine="486"/>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5" w:lineRule="exact"/>
        <w:rPr>
          <w:sz w:val="24"/>
          <w:szCs w:val="24"/>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560"/>
              <w:spacing w:after="0"/>
              <w:rPr>
                <w:sz w:val="20"/>
                <w:szCs w:val="20"/>
                <w:color w:val="auto"/>
              </w:rPr>
            </w:pPr>
            <w:r>
              <w:rPr>
                <w:rFonts w:ascii="Arial" w:cs="Arial" w:eastAsia="Arial" w:hAnsi="Arial"/>
                <w:sz w:val="18"/>
                <w:szCs w:val="18"/>
                <w:color w:val="auto"/>
              </w:rPr>
              <w:t>x</w:t>
            </w:r>
          </w:p>
        </w:tc>
        <w:tc>
          <w:tcPr>
            <w:tcW w:w="482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r>
        <w:trPr>
          <w:trHeight w:val="31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560"/>
              <w:spacing w:after="0"/>
              <w:rPr>
                <w:sz w:val="20"/>
                <w:szCs w:val="20"/>
                <w:color w:val="auto"/>
              </w:rPr>
            </w:pPr>
            <w:r>
              <w:rPr>
                <w:rFonts w:ascii="Arial" w:cs="Arial" w:eastAsia="Arial" w:hAnsi="Arial"/>
                <w:sz w:val="18"/>
                <w:szCs w:val="18"/>
                <w:color w:val="auto"/>
              </w:rPr>
              <w:t>o</w:t>
            </w:r>
          </w:p>
        </w:tc>
        <w:tc>
          <w:tcPr>
            <w:tcW w:w="482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820" w:type="dxa"/>
            <w:vAlign w:val="bottom"/>
          </w:tcPr>
          <w:p>
            <w:pPr>
              <w:ind w:left="224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bl>
    <w:p>
      <w:pPr>
        <w:spacing w:after="0" w:line="161" w:lineRule="exact"/>
        <w:rPr>
          <w:sz w:val="24"/>
          <w:szCs w:val="24"/>
          <w:color w:val="auto"/>
        </w:rPr>
      </w:pPr>
    </w:p>
    <w:p>
      <w:pPr>
        <w:ind w:firstLine="486"/>
        <w:spacing w:after="0" w:line="26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1640" w:firstLine="486"/>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As of October 26, 2023, the registrant had 238,672,102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expectations about our ability to maintain our status as a real estate investment trust (a “REIT”);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and expectations regarding the payment of dividends.</w:t>
      </w:r>
    </w:p>
    <w:p>
      <w:pPr>
        <w:spacing w:after="0" w:line="18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0"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7"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inflation and higher interest rates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300" w:hanging="644"/>
        <w:spacing w:after="0" w:line="286"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57" w:lineRule="exact"/>
        <w:rPr>
          <w:rFonts w:ascii="Arial" w:cs="Arial" w:eastAsia="Arial" w:hAnsi="Arial"/>
          <w:sz w:val="17"/>
          <w:szCs w:val="17"/>
          <w:color w:val="auto"/>
        </w:rPr>
      </w:pPr>
    </w:p>
    <w:p>
      <w:pPr>
        <w:ind w:left="1300" w:right="76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flows to service our outstanding indebtedness and fund our capital funding commitments;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cyber-attacks or terrorist attacks for which our insurance may not provide adequate coverage;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300" w:right="32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644"/>
        <w:spacing w:after="0" w:line="259"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as well as those described from time to time in our future reports filed with the U.S. Securities and Exchange Commission (the “SEC”).</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40" w:type="dxa"/>
            <w:vAlign w:val="bottom"/>
            <w:gridSpan w:val="9"/>
          </w:tcPr>
          <w:p>
            <w:pPr>
              <w:jc w:val="center"/>
              <w:ind w:right="3760"/>
              <w:spacing w:after="0"/>
              <w:rPr>
                <w:sz w:val="20"/>
                <w:szCs w:val="20"/>
                <w:color w:val="auto"/>
              </w:rPr>
            </w:pPr>
            <w:r>
              <w:rPr>
                <w:rFonts w:ascii="Arial" w:cs="Arial" w:eastAsia="Arial" w:hAnsi="Arial"/>
                <w:sz w:val="18"/>
                <w:szCs w:val="18"/>
                <w:b w:val="1"/>
                <w:bCs w:val="1"/>
                <w:color w:val="auto"/>
                <w:w w:val="94"/>
              </w:rPr>
              <w:t>Uniti Group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9"/>
          </w:tcPr>
          <w:p>
            <w:pPr>
              <w:jc w:val="center"/>
              <w:ind w:right="3760"/>
              <w:spacing w:after="0"/>
              <w:rPr>
                <w:sz w:val="20"/>
                <w:szCs w:val="20"/>
                <w:color w:val="auto"/>
              </w:rPr>
            </w:pPr>
            <w:r>
              <w:rPr>
                <w:rFonts w:ascii="Arial" w:cs="Arial" w:eastAsia="Arial" w:hAnsi="Arial"/>
                <w:sz w:val="18"/>
                <w:szCs w:val="18"/>
                <w:b w:val="1"/>
                <w:bCs w:val="1"/>
                <w:color w:val="auto"/>
                <w:w w:val="89"/>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840" w:type="dxa"/>
            <w:vAlign w:val="bottom"/>
            <w:gridSpan w:val="32"/>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gridSpan w:val="2"/>
            <w:vMerge w:val="continue"/>
          </w:tcPr>
          <w:p>
            <w:pPr>
              <w:spacing w:after="0"/>
              <w:rPr>
                <w:sz w:val="15"/>
                <w:szCs w:val="15"/>
                <w:color w:val="auto"/>
              </w:rPr>
            </w:pPr>
          </w:p>
        </w:tc>
        <w:tc>
          <w:tcPr>
            <w:tcW w:w="8840" w:type="dxa"/>
            <w:vAlign w:val="bottom"/>
            <w:gridSpan w:val="32"/>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Financial Statements (Unaudited)</w:t>
            </w:r>
          </w:p>
        </w:tc>
        <w:tc>
          <w:tcPr>
            <w:tcW w:w="6420" w:type="dxa"/>
            <w:vAlign w:val="bottom"/>
            <w:gridSpan w:val="1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40" w:type="dxa"/>
            <w:vAlign w:val="bottom"/>
            <w:gridSpan w:val="32"/>
          </w:tcPr>
          <w:p>
            <w:pPr>
              <w:spacing w:after="0"/>
              <w:rPr>
                <w:sz w:val="20"/>
                <w:szCs w:val="20"/>
                <w:color w:val="auto"/>
              </w:rPr>
            </w:pPr>
            <w:r>
              <w:rPr>
                <w:rFonts w:ascii="Arial" w:cs="Arial" w:eastAsia="Arial" w:hAnsi="Arial"/>
                <w:sz w:val="18"/>
                <w:szCs w:val="18"/>
                <w:b w:val="1"/>
                <w:bCs w:val="1"/>
                <w:color w:val="auto"/>
              </w:rPr>
              <w:t>Uniti Group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Arial" w:cs="Arial" w:eastAsia="Arial" w:hAnsi="Arial"/>
                <w:sz w:val="18"/>
                <w:szCs w:val="18"/>
                <w:color w:val="0000FF"/>
              </w:rPr>
              <w:t>Condensed Consolidated Balance Sheets</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spacing w:after="0"/>
              <w:rPr>
                <w:sz w:val="20"/>
                <w:szCs w:val="20"/>
                <w:color w:val="auto"/>
              </w:rPr>
            </w:pPr>
            <w:r>
              <w:rPr>
                <w:rFonts w:ascii="Arial" w:cs="Arial" w:eastAsia="Arial" w:hAnsi="Arial"/>
                <w:sz w:val="18"/>
                <w:szCs w:val="18"/>
                <w:color w:val="0000FF"/>
              </w:rPr>
              <w:t>Condensed Consolidated Statements of Loss</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88"/>
              </w:rPr>
              <w:t>Condensed Consolidated Statements of Comprehensive Loss</w:t>
            </w:r>
          </w:p>
        </w:tc>
        <w:tc>
          <w:tcPr>
            <w:tcW w:w="4460" w:type="dxa"/>
            <w:vAlign w:val="bottom"/>
            <w:gridSpan w:val="4"/>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spacing w:after="0"/>
              <w:rPr>
                <w:sz w:val="20"/>
                <w:szCs w:val="20"/>
                <w:color w:val="auto"/>
              </w:rPr>
            </w:pPr>
            <w:r>
              <w:rPr>
                <w:rFonts w:ascii="Arial" w:cs="Arial" w:eastAsia="Arial" w:hAnsi="Arial"/>
                <w:sz w:val="18"/>
                <w:szCs w:val="18"/>
                <w:color w:val="0000FF"/>
              </w:rPr>
              <w:t>Condensed Consolidated Statements of Shareholders’ Deficit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Borders>
              <w:top w:val="single" w:sz="8" w:color="0000FF"/>
              <w:bottom w:val="single" w:sz="8" w:color="0000FF"/>
            </w:tcBorders>
            <w:gridSpan w:val="24"/>
          </w:tcPr>
          <w:p>
            <w:pPr>
              <w:spacing w:after="0"/>
              <w:rPr>
                <w:sz w:val="20"/>
                <w:szCs w:val="20"/>
                <w:color w:val="auto"/>
              </w:rPr>
            </w:pPr>
            <w:r>
              <w:rPr>
                <w:rFonts w:ascii="Arial" w:cs="Arial" w:eastAsia="Arial" w:hAnsi="Arial"/>
                <w:sz w:val="18"/>
                <w:szCs w:val="18"/>
                <w:color w:val="0000FF"/>
                <w:w w:val="87"/>
              </w:rPr>
              <w:t>Condensed Consolidated Statements of Cash Flows</w:t>
            </w:r>
          </w:p>
        </w:tc>
        <w:tc>
          <w:tcPr>
            <w:tcW w:w="700" w:type="dxa"/>
            <w:vAlign w:val="bottom"/>
            <w:tcBorders>
              <w:top w:val="single" w:sz="8" w:color="0000FF"/>
            </w:tcBorders>
            <w:gridSpan w:val="5"/>
          </w:tcPr>
          <w:p>
            <w:pPr>
              <w:spacing w:after="0"/>
              <w:rPr>
                <w:sz w:val="20"/>
                <w:szCs w:val="20"/>
                <w:color w:val="auto"/>
              </w:rPr>
            </w:pPr>
          </w:p>
        </w:tc>
        <w:tc>
          <w:tcPr>
            <w:tcW w:w="4440" w:type="dxa"/>
            <w:vAlign w:val="bottom"/>
            <w:gridSpan w:val="3"/>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gridSpan w:val="32"/>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tcBorders>
              <w:top w:val="single" w:sz="8" w:color="0000FF"/>
            </w:tcBorders>
            <w:gridSpan w:val="25"/>
          </w:tcPr>
          <w:p>
            <w:pPr>
              <w:ind w:left="220"/>
              <w:spacing w:after="0"/>
              <w:rPr>
                <w:sz w:val="20"/>
                <w:szCs w:val="20"/>
                <w:color w:val="auto"/>
              </w:rPr>
            </w:pPr>
            <w:r>
              <w:rPr>
                <w:rFonts w:ascii="Arial" w:cs="Arial" w:eastAsia="Arial" w:hAnsi="Arial"/>
                <w:sz w:val="18"/>
                <w:szCs w:val="18"/>
                <w:color w:val="0000FF"/>
              </w:rPr>
              <w:t>1.Organization and Description of Business</w:t>
            </w:r>
          </w:p>
        </w:tc>
        <w:tc>
          <w:tcPr>
            <w:tcW w:w="4860" w:type="dxa"/>
            <w:vAlign w:val="bottom"/>
            <w:gridSpan w:val="7"/>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2.Basis of Presentation and Summary of Significant Accounting Policies</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3.Revenues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4.Leases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5.Investments in Unconsolidated Entities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6.Fair Value of Financial Instruments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7.Property, 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8.Derivative Instruments and Hedging Activities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9.Goodwill and Intangible Assets and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10.Notes and Other Debt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11.Earnings Per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12.Segment Information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13.Commitments and Contingencies</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Arial" w:cs="Arial" w:eastAsia="Arial" w:hAnsi="Arial"/>
                <w:sz w:val="18"/>
                <w:szCs w:val="18"/>
                <w:color w:val="0000FF"/>
              </w:rPr>
              <w:t>14.Accumulated Other Comprehensive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sz w:val="20"/>
                <w:szCs w:val="20"/>
                <w:color w:val="auto"/>
              </w:rPr>
            </w:pPr>
            <w:r>
              <w:rPr>
                <w:rFonts w:ascii="Arial" w:cs="Arial" w:eastAsia="Arial" w:hAnsi="Arial"/>
                <w:sz w:val="18"/>
                <w:szCs w:val="18"/>
                <w:color w:val="0000FF"/>
              </w:rPr>
              <w:t>1.Overview</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sz w:val="20"/>
                <w:szCs w:val="20"/>
                <w:color w:val="auto"/>
              </w:rPr>
            </w:pPr>
            <w:r>
              <w:rPr>
                <w:rFonts w:ascii="Arial" w:cs="Arial" w:eastAsia="Arial" w:hAnsi="Arial"/>
                <w:sz w:val="18"/>
                <w:szCs w:val="18"/>
                <w:color w:val="0000FF"/>
              </w:rPr>
              <w:t>2.Results of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sz w:val="20"/>
                <w:szCs w:val="20"/>
                <w:color w:val="auto"/>
              </w:rPr>
            </w:pPr>
            <w:r>
              <w:rPr>
                <w:rFonts w:ascii="Arial" w:cs="Arial" w:eastAsia="Arial" w:hAnsi="Arial"/>
                <w:sz w:val="18"/>
                <w:szCs w:val="18"/>
                <w:color w:val="0000FF"/>
              </w:rPr>
              <w:t>3.Non-GAAP Financial Measures</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sz w:val="20"/>
                <w:szCs w:val="20"/>
                <w:color w:val="auto"/>
              </w:rPr>
            </w:pPr>
            <w:r>
              <w:rPr>
                <w:rFonts w:ascii="Arial" w:cs="Arial" w:eastAsia="Arial" w:hAnsi="Arial"/>
                <w:sz w:val="18"/>
                <w:szCs w:val="18"/>
                <w:color w:val="0000FF"/>
              </w:rPr>
              <w:t>4.Liquidity and Capital Resources</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480" w:type="dxa"/>
            <w:vAlign w:val="bottom"/>
            <w:gridSpan w:val="5"/>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40" w:type="dxa"/>
            <w:vAlign w:val="bottom"/>
            <w:gridSpan w:val="32"/>
          </w:tcPr>
          <w:p>
            <w:pPr>
              <w:spacing w:after="0"/>
              <w:rPr>
                <w:sz w:val="20"/>
                <w:szCs w:val="20"/>
                <w:color w:val="auto"/>
              </w:rPr>
            </w:pPr>
            <w:r>
              <w:rPr>
                <w:rFonts w:ascii="Arial" w:cs="Arial" w:eastAsia="Arial" w:hAnsi="Arial"/>
                <w:sz w:val="18"/>
                <w:szCs w:val="18"/>
                <w:color w:val="0000FF"/>
              </w:rPr>
              <w:t>Controls and Procedures</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12"/>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b w:val="1"/>
                <w:bCs w:val="1"/>
                <w:color w:val="0000FF"/>
                <w:w w:val="99"/>
              </w:rPr>
              <w:t>OTHER INFORMATION</w:t>
            </w:r>
          </w:p>
        </w:tc>
        <w:tc>
          <w:tcPr>
            <w:tcW w:w="6860" w:type="dxa"/>
            <w:vAlign w:val="bottom"/>
            <w:gridSpan w:val="19"/>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32"/>
          </w:tcPr>
          <w:p>
            <w:pPr>
              <w:spacing w:after="0"/>
              <w:rPr>
                <w:sz w:val="20"/>
                <w:szCs w:val="20"/>
                <w:color w:val="auto"/>
              </w:rPr>
            </w:pPr>
            <w:r>
              <w:rPr>
                <w:rFonts w:ascii="Arial" w:cs="Arial" w:eastAsia="Arial" w:hAnsi="Arial"/>
                <w:sz w:val="18"/>
                <w:szCs w:val="18"/>
                <w:color w:val="0000FF"/>
              </w:rPr>
              <w:t>Legal Proceedings</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Risk Factors</w:t>
            </w:r>
          </w:p>
        </w:tc>
        <w:tc>
          <w:tcPr>
            <w:tcW w:w="7520" w:type="dxa"/>
            <w:vAlign w:val="bottom"/>
            <w:gridSpan w:val="22"/>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960" w:type="dxa"/>
            <w:vAlign w:val="bottom"/>
            <w:gridSpan w:val="12"/>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3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1"/>
              </w:rPr>
              <w:t>Defaults Upon Senior Securities</w:t>
            </w:r>
          </w:p>
        </w:tc>
        <w:tc>
          <w:tcPr>
            <w:tcW w:w="1960" w:type="dxa"/>
            <w:vAlign w:val="bottom"/>
            <w:tcBorders>
              <w:top w:val="single" w:sz="8" w:color="0000FF"/>
            </w:tcBorders>
            <w:gridSpan w:val="12"/>
          </w:tcPr>
          <w:p>
            <w:pPr>
              <w:spacing w:after="0"/>
              <w:rPr>
                <w:sz w:val="20"/>
                <w:szCs w:val="20"/>
                <w:color w:val="auto"/>
              </w:rPr>
            </w:pPr>
          </w:p>
        </w:tc>
        <w:tc>
          <w:tcPr>
            <w:tcW w:w="4500" w:type="dxa"/>
            <w:vAlign w:val="bottom"/>
            <w:gridSpan w:val="6"/>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4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Other Information</w:t>
            </w:r>
          </w:p>
        </w:tc>
        <w:tc>
          <w:tcPr>
            <w:tcW w:w="7080" w:type="dxa"/>
            <w:vAlign w:val="bottom"/>
            <w:gridSpan w:val="21"/>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Exhibits</w:t>
            </w:r>
          </w:p>
        </w:tc>
        <w:tc>
          <w:tcPr>
            <w:tcW w:w="7540" w:type="dxa"/>
            <w:vAlign w:val="bottom"/>
            <w:gridSpan w:val="23"/>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99"/>
        </w:trPr>
        <w:tc>
          <w:tcPr>
            <w:tcW w:w="13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(Thousands, except par value)</w:t>
            </w:r>
          </w:p>
        </w:tc>
        <w:tc>
          <w:tcPr>
            <w:tcW w:w="1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6"/>
        </w:trPr>
        <w:tc>
          <w:tcPr>
            <w:tcW w:w="7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3,962,436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3,754,547</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43,803</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46,824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42,631</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361,378</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312,541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334,846</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Straight-line revenue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68,595</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Operating lease right-of-use assets,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121,816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88,545</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77,597</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Investment in unconsolidated entities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37,686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38,656</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40,631</w:t>
            </w:r>
          </w:p>
        </w:tc>
        <w:tc>
          <w:tcPr>
            <w:tcW w:w="0" w:type="dxa"/>
            <w:vAlign w:val="bottom"/>
          </w:tcPr>
          <w:p>
            <w:pPr>
              <w:spacing w:after="0"/>
              <w:rPr>
                <w:sz w:val="1"/>
                <w:szCs w:val="1"/>
                <w:color w:val="auto"/>
              </w:rPr>
            </w:pPr>
          </w:p>
        </w:tc>
      </w:tr>
      <w:tr>
        <w:trPr>
          <w:trHeight w:val="203"/>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4,981,325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4,851,229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Borders>
              <w:bottom w:val="single" w:sz="8" w:color="CCEEFF"/>
            </w:tcBorders>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 and Shareholders'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accrued expenses and other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122,195</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Settlement payable (Note 13)</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185,855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251,098</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Intangible liabilities, net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167,092</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Accrued interest payable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50,778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121,316</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1,214,287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1,190,041</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Dividends payable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66,356</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Finance lease obligations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15,520</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Notes and other debt,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5,582,057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5,188,815</w:t>
            </w:r>
          </w:p>
        </w:tc>
        <w:tc>
          <w:tcPr>
            <w:tcW w:w="0" w:type="dxa"/>
            <w:vAlign w:val="bottom"/>
          </w:tcPr>
          <w:p>
            <w:pPr>
              <w:spacing w:after="0"/>
              <w:rPr>
                <w:sz w:val="1"/>
                <w:szCs w:val="1"/>
                <w:color w:val="auto"/>
              </w:rPr>
            </w:pPr>
          </w:p>
        </w:tc>
      </w:tr>
      <w:tr>
        <w:trPr>
          <w:trHeight w:val="203"/>
        </w:trPr>
        <w:tc>
          <w:tcPr>
            <w:tcW w:w="7740" w:type="dxa"/>
            <w:vAlign w:val="bottom"/>
            <w:gridSpan w:val="2"/>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7,425,765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7,122,435</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Shareholders' Deficit: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Preferred stock, $0.0001 par value, 50,000 shares authorized; no shares issued and outstanding</w:t>
            </w:r>
          </w:p>
        </w:tc>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Common stock, $0.0001 par value, 500,000 shares authorized; issued and outstanding: 236,540 shares at</w:t>
            </w: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September 30, 2023 and 235,829 at December 31, 2022</w:t>
            </w:r>
          </w:p>
        </w:tc>
        <w:tc>
          <w:tcPr>
            <w:tcW w:w="1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1,218,815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1,210,033</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Distributions in excess of accumulated earnings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(3,665,569)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(3,483,634)</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Uniti shareholders'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(2,446,730)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(2,273,577)</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Operating partnership units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193"/>
        </w:trPr>
        <w:tc>
          <w:tcPr>
            <w:tcW w:w="7740" w:type="dxa"/>
            <w:vAlign w:val="bottom"/>
            <w:gridSpan w:val="2"/>
          </w:tcPr>
          <w:p>
            <w:pPr>
              <w:ind w:left="360"/>
              <w:spacing w:after="0"/>
              <w:rPr>
                <w:sz w:val="20"/>
                <w:szCs w:val="20"/>
                <w:color w:val="auto"/>
              </w:rPr>
            </w:pPr>
            <w:r>
              <w:rPr>
                <w:rFonts w:ascii="Arial" w:cs="Arial" w:eastAsia="Arial" w:hAnsi="Arial"/>
                <w:sz w:val="16"/>
                <w:szCs w:val="16"/>
                <w:color w:val="auto"/>
              </w:rPr>
              <w:t>Cumulative non-voting convertible preferred stock, $0.01 par value, 6 shares authorized, 3 issued and</w:t>
            </w: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outstanding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 shareholders'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(2,444,440)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(2,271,206)</w:t>
            </w:r>
          </w:p>
        </w:tc>
        <w:tc>
          <w:tcPr>
            <w:tcW w:w="0" w:type="dxa"/>
            <w:vAlign w:val="bottom"/>
          </w:tcPr>
          <w:p>
            <w:pPr>
              <w:spacing w:after="0"/>
              <w:rPr>
                <w:sz w:val="1"/>
                <w:szCs w:val="1"/>
                <w:color w:val="auto"/>
              </w:rPr>
            </w:pPr>
          </w:p>
        </w:tc>
      </w:tr>
      <w:tr>
        <w:trPr>
          <w:trHeight w:val="203"/>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Liabilities and Shareholders' Deficit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4,981,325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4,851,229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57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180" w:type="dxa"/>
            <w:vAlign w:val="bottom"/>
          </w:tcPr>
          <w:p>
            <w:pPr>
              <w:spacing w:after="0"/>
              <w:rPr>
                <w:sz w:val="16"/>
                <w:szCs w:val="16"/>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6"/>
        </w:trPr>
        <w:tc>
          <w:tcPr>
            <w:tcW w:w="5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Uniti Leasing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214,588</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208,623</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637,849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618,878</w:t>
            </w:r>
          </w:p>
        </w:tc>
      </w:tr>
      <w:tr>
        <w:trPr>
          <w:trHeight w:val="263"/>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Uniti Fiber</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76,067</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74,480</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226,326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226,234</w:t>
            </w:r>
          </w:p>
        </w:tc>
      </w:tr>
      <w:tr>
        <w:trPr>
          <w:trHeight w:val="243"/>
        </w:trPr>
        <w:tc>
          <w:tcPr>
            <w:tcW w:w="5760" w:type="dxa"/>
            <w:vAlign w:val="bottom"/>
            <w:gridSpan w:val="2"/>
          </w:tcPr>
          <w:p>
            <w:pPr>
              <w:ind w:left="44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290,655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283,103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864,175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845,112</w:t>
            </w:r>
          </w:p>
        </w:tc>
      </w:tr>
      <w:tr>
        <w:trPr>
          <w:trHeight w:val="26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97,731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290,280</w:t>
            </w:r>
          </w:p>
        </w:tc>
      </w:tr>
      <w:tr>
        <w:trPr>
          <w:trHeight w:val="263"/>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217,276</w:t>
            </w:r>
          </w:p>
        </w:tc>
      </w:tr>
      <w:tr>
        <w:trPr>
          <w:trHeight w:val="25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75,818</w:t>
            </w:r>
          </w:p>
        </w:tc>
      </w:tr>
      <w:tr>
        <w:trPr>
          <w:trHeight w:val="263"/>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 (exclusive of depreciation and amortization)</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108,184</w:t>
            </w:r>
          </w:p>
        </w:tc>
      </w:tr>
      <w:tr>
        <w:trPr>
          <w:trHeight w:val="25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Goodwill impairment (Note 2)</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216,000</w:t>
            </w:r>
          </w:p>
        </w:tc>
      </w:tr>
      <w:tr>
        <w:trPr>
          <w:trHeight w:val="263"/>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r>
      <w:tr>
        <w:trPr>
          <w:trHeight w:val="25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63"/>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operations</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50"/>
        </w:trPr>
        <w:tc>
          <w:tcPr>
            <w:tcW w:w="5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r>
      <w:tr>
        <w:trPr>
          <w:trHeight w:val="250"/>
        </w:trPr>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415,353</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452,580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990,535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906,108</w:t>
            </w:r>
          </w:p>
        </w:tc>
      </w:tr>
      <w:tr>
        <w:trPr>
          <w:trHeight w:val="256"/>
        </w:trPr>
        <w:tc>
          <w:tcPr>
            <w:tcW w:w="5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1"/>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5"/>
              </w:rPr>
              <w:t>Loss before income taxes and equity in earnings from unconsolidated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8"/>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entities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(60,996)</w:t>
            </w:r>
          </w:p>
        </w:tc>
      </w:tr>
      <w:tr>
        <w:trPr>
          <w:trHeight w:val="25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(10,183)</w:t>
            </w:r>
          </w:p>
        </w:tc>
      </w:tr>
      <w:tr>
        <w:trPr>
          <w:trHeight w:val="263"/>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from unconsolidated entities</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(80,933)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(155,749)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(49,117)</w:t>
            </w:r>
          </w:p>
        </w:tc>
      </w:tr>
      <w:tr>
        <w:trPr>
          <w:trHeight w:val="26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attributable to shareholders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(155,679)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(49,252)</w:t>
            </w:r>
          </w:p>
        </w:tc>
      </w:tr>
      <w:tr>
        <w:trPr>
          <w:trHeight w:val="263"/>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Participating securities' share in earnings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50"/>
        </w:trPr>
        <w:tc>
          <w:tcPr>
            <w:tcW w:w="5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Dividends declared on convertible preferred stock</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5"/>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(155,910)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5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5"/>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5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236,533</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235,739</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235,483</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5"/>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236,533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235,739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235,483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57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6"/>
        </w:trPr>
        <w:tc>
          <w:tcPr>
            <w:tcW w:w="5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(49,117)</w:t>
            </w:r>
          </w:p>
        </w:tc>
      </w:tr>
      <w:tr>
        <w:trPr>
          <w:trHeight w:val="25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termination</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8,488</w:t>
            </w:r>
          </w:p>
        </w:tc>
      </w:tr>
      <w:tr>
        <w:trPr>
          <w:trHeight w:val="257"/>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(80,933)</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(152,920)</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(40,629)</w:t>
            </w:r>
          </w:p>
        </w:tc>
      </w:tr>
      <w:tr>
        <w:trPr>
          <w:trHeight w:val="250"/>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Comprehensive (loss) income attributable to noncontrolling interest</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75"/>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(152,851)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Condensed Consolidated Statements of Shareholders’ Deficit</w:t>
      </w:r>
    </w:p>
    <w:p>
      <w:pPr>
        <w:sectPr>
          <w:pgSz w:w="11900" w:h="16838" w:orient="portrait"/>
          <w:cols w:equalWidth="0" w:num="1">
            <w:col w:w="10139"/>
          </w:cols>
          <w:pgMar w:left="320" w:top="125"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6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4"/>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Distributions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Noncontrolling</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Accumulated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rPr>
              <w:t>in</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Interest - Non-</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rPr>
              <w:t>Additional</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Excess of</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Noncontrolling</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voting</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Paid-in</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Accumulated</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Interest - OP</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Preferred</w:t>
            </w: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Shareholders'</w:t>
            </w:r>
          </w:p>
        </w:tc>
      </w:tr>
      <w:tr>
        <w:trPr>
          <w:trHeight w:val="196"/>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(Thousands, except share data)</w:t>
            </w: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Preferred Stock</w:t>
            </w:r>
          </w:p>
        </w:tc>
        <w:tc>
          <w:tcPr>
            <w:tcW w:w="1560" w:type="dxa"/>
            <w:vAlign w:val="bottom"/>
            <w:gridSpan w:val="3"/>
          </w:tcPr>
          <w:p>
            <w:pPr>
              <w:jc w:val="right"/>
              <w:ind w:right="248"/>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Capital</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Loss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Earnings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rPr>
              <w:t>Units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color w:val="auto"/>
              </w:rPr>
              <w:t>Deficit</w:t>
            </w:r>
          </w:p>
        </w:tc>
      </w:tr>
      <w:tr>
        <w:trPr>
          <w:trHeight w:val="26"/>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Amount</w:t>
            </w:r>
          </w:p>
        </w:tc>
        <w:tc>
          <w:tcPr>
            <w:tcW w:w="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Amount</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84"/>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June 30, 2022</w:t>
            </w: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235,699,513</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1,224,427</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(3,298,455)</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2,072</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(2,075,198)</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(155,679)</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(155,749)</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2,828</w:t>
            </w:r>
          </w:p>
        </w:tc>
        <w:tc>
          <w:tcPr>
            <w:tcW w:w="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2,829</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dividends declared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($0.15 per share)</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(35,584)</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(35,584)</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declared</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3,151</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3,151</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 employee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purchase plan</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40,530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w:t>
            </w:r>
          </w:p>
        </w:tc>
      </w:tr>
      <w:tr>
        <w:trPr>
          <w:trHeight w:val="216"/>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September 30, 2022</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w w:val="97"/>
              </w:rPr>
              <w:t>235,741,244</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1,227,905</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(688)</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(3,489,718)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2,052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(2,260,175)</w:t>
            </w:r>
          </w:p>
        </w:tc>
      </w:tr>
      <w:tr>
        <w:trPr>
          <w:trHeight w:val="21"/>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236,430,752</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1,215,260</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(3,548,870)</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(2,331,244)</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(80,897)</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(80,933)</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dividends declared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($0.15 per share)</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(35,802)</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(35,802)</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declared</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3,227</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3,148</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3,148</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 employee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0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purchase plan</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105,737</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September 30, 2023</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236,539,716</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1,218,815</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(3,665,569)</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(2,444,440)</w:t>
            </w: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4"/>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Distributions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Noncontrolling</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Accumulated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rPr>
              <w:t>in</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Interest - Non-</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rPr>
              <w:t>Additional</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Excess of</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Noncontrolling</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voting</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Paid-in</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Accumulated</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Interest - OP</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Preferred</w:t>
            </w: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Shareholders'</w:t>
            </w:r>
          </w:p>
        </w:tc>
      </w:tr>
      <w:tr>
        <w:trPr>
          <w:trHeight w:val="196"/>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(Thousands, except share data)</w:t>
            </w: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Preferred Stock</w:t>
            </w:r>
          </w:p>
        </w:tc>
        <w:tc>
          <w:tcPr>
            <w:tcW w:w="1640" w:type="dxa"/>
            <w:vAlign w:val="bottom"/>
            <w:gridSpan w:val="4"/>
          </w:tcPr>
          <w:p>
            <w:pPr>
              <w:ind w:left="340"/>
              <w:spacing w:after="0"/>
              <w:rPr>
                <w:sz w:val="20"/>
                <w:szCs w:val="20"/>
                <w:color w:val="auto"/>
              </w:rPr>
            </w:pPr>
            <w:r>
              <w:rPr>
                <w:rFonts w:ascii="Arial" w:cs="Arial" w:eastAsia="Arial" w:hAnsi="Arial"/>
                <w:sz w:val="14"/>
                <w:szCs w:val="14"/>
                <w:color w:val="auto"/>
              </w:rPr>
              <w:t>Common Stock</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Capital</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Loss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Earnings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rPr>
              <w:t>Units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color w:val="auto"/>
              </w:rPr>
              <w:t>Deficit</w:t>
            </w:r>
          </w:p>
        </w:tc>
      </w:tr>
      <w:tr>
        <w:trPr>
          <w:trHeight w:val="25"/>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Amount</w:t>
            </w:r>
          </w:p>
        </w:tc>
        <w:tc>
          <w:tcPr>
            <w:tcW w:w="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Amount</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84"/>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December 31, 2021</w:t>
            </w: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234,779,247</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1,214,830</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(9,164)</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(3,333,481)</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13,893</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(2,113,774)</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(49,252)</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(49,117)</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8,476</w:t>
            </w:r>
          </w:p>
        </w:tc>
        <w:tc>
          <w:tcPr>
            <w:tcW w:w="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8,488</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dividends declared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($0.45 per share)</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(106,860)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(106,860)</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declared</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Cumulative non-voting convertible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Exchange of noncontrolling interest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244,682</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7,257</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(11,877)</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(4,620)</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(4,434)</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647,461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9,663</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9,664</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 employee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0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purchase plan</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69,854</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r>
      <w:tr>
        <w:trPr>
          <w:trHeight w:val="209"/>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September 30, 2022</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235,741,244</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1,227,905</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(3,489,718)</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2,052</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(2,260,175)</w:t>
            </w:r>
          </w:p>
        </w:tc>
      </w:tr>
      <w:tr>
        <w:trPr>
          <w:trHeight w:val="21"/>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6"/>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235,829,485</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1,210,033</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(3,483,634)</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(2,271,206)</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(74,473)</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(74,506)</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dividends declared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($0.45 per share)</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(107,462)</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(107,462)</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declared</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 for settlement of common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warrant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Termination of bond hedge option</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537,590</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9,408</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9,408</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 employee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0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purchase plan</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172,641</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w:t>
            </w:r>
          </w:p>
        </w:tc>
      </w:tr>
      <w:tr>
        <w:trPr>
          <w:trHeight w:val="209"/>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September 30, 2023</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236,539,716</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1,218,815</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(3,665,569)</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(2,444,440)</w:t>
            </w:r>
          </w:p>
        </w:tc>
      </w:tr>
      <w:tr>
        <w:trPr>
          <w:trHeight w:val="21"/>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69"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1" w:right="339" w:bottom="169"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511"/>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29"/>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7"/>
        </w:trPr>
        <w:tc>
          <w:tcPr>
            <w:tcW w:w="8180" w:type="dxa"/>
            <w:vAlign w:val="bottom"/>
            <w:gridSpan w:val="2"/>
          </w:tcPr>
          <w:p>
            <w:pPr>
              <w:ind w:left="20"/>
              <w:spacing w:after="0"/>
              <w:rPr>
                <w:sz w:val="20"/>
                <w:szCs w:val="20"/>
                <w:color w:val="auto"/>
              </w:rPr>
            </w:pPr>
            <w:r>
              <w:rPr>
                <w:rFonts w:ascii="Arial" w:cs="Arial" w:eastAsia="Arial" w:hAnsi="Arial"/>
                <w:sz w:val="13"/>
                <w:szCs w:val="13"/>
                <w:color w:val="auto"/>
              </w:rPr>
              <w:t>(Thousands)</w:t>
            </w:r>
          </w:p>
        </w:tc>
        <w:tc>
          <w:tcPr>
            <w:tcW w:w="340" w:type="dxa"/>
            <w:vAlign w:val="bottom"/>
          </w:tcPr>
          <w:p>
            <w:pPr>
              <w:spacing w:after="0"/>
              <w:rPr>
                <w:sz w:val="14"/>
                <w:szCs w:val="14"/>
                <w:color w:val="auto"/>
              </w:rPr>
            </w:pPr>
          </w:p>
        </w:tc>
        <w:tc>
          <w:tcPr>
            <w:tcW w:w="1140" w:type="dxa"/>
            <w:vAlign w:val="bottom"/>
          </w:tcPr>
          <w:p>
            <w:pPr>
              <w:jc w:val="right"/>
              <w:ind w:right="53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31"/>
              <w:spacing w:after="0"/>
              <w:rPr>
                <w:sz w:val="20"/>
                <w:szCs w:val="20"/>
                <w:color w:val="auto"/>
              </w:rPr>
            </w:pPr>
            <w:r>
              <w:rPr>
                <w:rFonts w:ascii="Arial" w:cs="Arial" w:eastAsia="Arial" w:hAnsi="Arial"/>
                <w:sz w:val="13"/>
                <w:szCs w:val="13"/>
                <w:b w:val="1"/>
                <w:bCs w:val="1"/>
                <w:color w:val="auto"/>
              </w:rPr>
              <w:t>2022</w:t>
            </w: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(74,506)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(49,117)</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217,276</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13,510</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Loss on extinguishment of debt,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termination</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(21,723)</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entities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Distributions of cumulative earnings from unconsolidated entities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2,959</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interest rate swap settlement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Straight-line revenues and amortization of below-market lease intangibles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(31,066)</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Goodwill impairment (see Note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216,000</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unconsolidated entity (see Note 5)</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Gain on sale of real estate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loss on asset disposals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Gain on sale of operations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Accretion of settlement obligation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(2,863)</w:t>
            </w:r>
          </w:p>
        </w:tc>
      </w:tr>
      <w:tr>
        <w:trPr>
          <w:trHeight w:val="263"/>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(75,556)</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285,107</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(368,264)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(292,666)</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Proceeds from sale of unconsolidated entity (see Note 5)</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32,527</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real estate, net cash</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Proceeds from sale of operations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other equipment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(258,685)</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(2,263,662)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notes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(107,362)</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of settlement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Distributions paid to noncontrolling interest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for exchange of noncontrolling interest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Borrowings under revolving credit facility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180,000</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under revolving credit facility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Finance lease payments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for financing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Payment for settlement of common stock warrant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79"/>
        </w:trPr>
        <w:tc>
          <w:tcPr>
            <w:tcW w:w="1280" w:type="dxa"/>
            <w:vAlign w:val="bottom"/>
            <w:tcBorders>
              <w:top w:val="single" w:sz="8" w:color="0000FF"/>
            </w:tcBorders>
          </w:tcPr>
          <w:p>
            <w:pPr>
              <w:spacing w:after="0"/>
              <w:rPr>
                <w:sz w:val="24"/>
                <w:szCs w:val="24"/>
                <w:color w:val="auto"/>
              </w:rPr>
            </w:pPr>
          </w:p>
        </w:tc>
        <w:tc>
          <w:tcPr>
            <w:tcW w:w="6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Termination of bond hedge option</w:t>
            </w: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Costs related to the early repayment of debt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program</w:t>
            </w: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Payments related to tax withholding for stock-based compensation</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164,894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(41,931)</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(15,509)</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34,119</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43,394</w:t>
            </w:r>
          </w:p>
        </w:tc>
      </w:tr>
      <w:tr>
        <w:trPr>
          <w:trHeight w:val="21"/>
        </w:trPr>
        <w:tc>
          <w:tcPr>
            <w:tcW w:w="128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69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acquired but not yet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12,751</w:t>
            </w:r>
          </w:p>
        </w:tc>
      </w:tr>
      <w:tr>
        <w:trPr>
          <w:trHeight w:val="243"/>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Tenant capital improvements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94,322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120,239</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September 30, 2023, we are the sole general partner of the Operating Partnership and own approximately 99.96% of the partnership interests in the Operating Partnership.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(the “FASB”), and with the applicable rules and regulations of the Securities and Exchange Commission (the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February 28, 2023, as amended by Amendment No. 1 thereto filed on Form 10-K/A with the SEC on March 29, 2023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1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consumer competitive local exchange carrier ("CLEC") operations. Revenue under the Windstream Leases provided 66.9% and 66.4% of our revenue for the nine months ended September 30, 2023 and 2022,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7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highlight w:val="white"/>
        </w:rPr>
        <w:t>—As of September 30, 2023 and December 31, 2022, all of our goodwill is included in our Uniti Fiber segment. Goodwill is recognized for the</w:t>
      </w:r>
      <w:r>
        <w:rPr>
          <w:rFonts w:ascii="Arial" w:cs="Arial" w:eastAsia="Arial" w:hAnsi="Arial"/>
          <w:sz w:val="17"/>
          <w:szCs w:val="17"/>
          <w:color w:val="auto"/>
        </w:rPr>
        <w:t xml:space="preserve"> excess of purchase price over the fair value of net assets of businesses acquired. Goodwill is reviewed for impairment on an annual basis during the fourth quarter. Application of the goodwill impairment test requires significant judgment, including: the identification of reporting units; assignment of assets and liabilities to reporting units; and assignment of goodwill to reporting units. In accordance with ASC 350-20,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we evaluate goodwill for impairment between annual impairment tests if an event occurs or circumstances change that would more likely than not reduce the fair value of a reporting unit below its carrying amount (a “Triggering Event”). On the occurrence of a Triggering Event, an entity has the option to first assess qualitative factors to determine whether a quantitative impairment test is necessary. If it is more likely than not that goodwill is impaired, the fair value of the reporting unit must be estimated and compared with its carrying value.</w:t>
      </w:r>
    </w:p>
    <w:p>
      <w:pPr>
        <w:spacing w:after="0" w:line="20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performing the quantitative assessment of goodwill, we estimate the fair value of our fiber reporting unit using a combination of an income approach based on the present value of estimated future cash flows and a market approach based on market data of comparable businesses, and acquisition multiples paid in recent transactions. Inherent in our preparation of cash flow projections are significant assumptions and estimates derived from a review of our operating results and business plans, which include expected revenue and expense growth rates, capital expenditure plans and discount rate.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interest rates, impacting our discount rate.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Loss not to exceed the carrying amount of goodwill.</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connection with the preparation of the Condensed Consolidated Financial Statements for the three and nine months ended September 30, 2023, the Company identified a Triggering Event and, therefore, performed a qualitative and quantitative goodwill impairment test. The Triggering Event was a result of macroeconomic and financial market factors, specifically the continuing rise in interest rates, impacting our discount rate. As a result of the interim assessment of goodwill, we concluded that the fair value of the Uniti Fiber segment, estimated using a combination of the income approach and market approach, is less than its carrying amount. Accordingly, we recorded a $153.0 million ($113.9 million net of tax) goodwill impairment charge in the Uniti Fiber segment during the three months ended September 30, 2023.</w:t>
      </w:r>
    </w:p>
    <w:p>
      <w:pPr>
        <w:spacing w:after="0" w:line="21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connection with the preparation of the Condensed Consolidated Financial Statements for the three and nine months ended September 30, 2022, the Company identified a Triggering Event and, therefore, performed a qualitative and quantitative goodwill impairment test. The Triggering Event was a result of macroeconomic and financial market factors, specifically increased interest rates, impacting our discount rate. As a result of this interim assessment of goodwill, we concluded that the fair value of the Uniti Fiber segment, estimated using a combination of the income approach and market approach, is less than its carrying amount. Accordingly, we recorded a $216.0 million ($205.7 million net of tax) goodwill impairment charge in the Uniti Fiber segment during the three months ended September 30,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March 2022, the FASB issued Accounting Standards Update ("ASU") 2022-02,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Troubled Debt Restructurings and Vintage Disclosures ("ASU 2022-02"), which eliminates the accounting guidance for troubled debt restructurings and requires the disclosure of current-period gross write-offs of financing receivables and net investment in leases by year of origination. The Company adopted ASU 2022-02 on January 1, 2023, and the adoption had no impact on the Company's consolidated financial statements.</w:t>
      </w:r>
    </w:p>
    <w:p>
      <w:pPr>
        <w:spacing w:after="0" w:line="17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 xml:space="preserve">In December 2022, the FASB issued ASU 2022-06,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Deferral of the Sunset Date of Topic 848 ("ASU 2022-06"), which provides additional relief for contract modifications completed after the December 31, 2022 LIBOR sunset date. The amendment allows for a deferral until December 31, 2024. The Company adopted ASU 2022-06 at issuance, and the adoption had no impact on the Company's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86"/>
        </w:trPr>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6"/>
                <w:szCs w:val="16"/>
                <w:color w:val="auto"/>
              </w:rPr>
            </w:pPr>
          </w:p>
        </w:tc>
      </w:tr>
      <w:tr>
        <w:trPr>
          <w:trHeight w:val="25"/>
        </w:trPr>
        <w:tc>
          <w:tcPr>
            <w:tcW w:w="49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ind w:right="592"/>
              <w:spacing w:after="0"/>
              <w:rPr>
                <w:sz w:val="20"/>
                <w:szCs w:val="20"/>
                <w:color w:val="auto"/>
              </w:rPr>
            </w:pPr>
            <w:r>
              <w:rPr>
                <w:rFonts w:ascii="Arial" w:cs="Arial" w:eastAsia="Arial" w:hAnsi="Arial"/>
                <w:sz w:val="14"/>
                <w:szCs w:val="14"/>
                <w:b w:val="1"/>
                <w:bCs w:val="1"/>
                <w:color w:val="auto"/>
                <w:w w:val="89"/>
              </w:rPr>
              <w:t>2022</w:t>
            </w:r>
          </w:p>
        </w:tc>
      </w:tr>
      <w:tr>
        <w:trPr>
          <w:trHeight w:val="25"/>
        </w:trPr>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Revenue disaggregated by revenue stream</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5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Revenue from contracts with customers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Uniti Fiber</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4980" w:type="dxa"/>
            <w:vAlign w:val="bottom"/>
            <w:gridSpan w:val="2"/>
          </w:tcPr>
          <w:p>
            <w:pPr>
              <w:ind w:left="360"/>
              <w:spacing w:after="0"/>
              <w:rPr>
                <w:sz w:val="20"/>
                <w:szCs w:val="20"/>
                <w:color w:val="auto"/>
              </w:rPr>
            </w:pPr>
            <w:r>
              <w:rPr>
                <w:rFonts w:ascii="Arial" w:cs="Arial" w:eastAsia="Arial" w:hAnsi="Arial"/>
                <w:sz w:val="18"/>
                <w:szCs w:val="18"/>
                <w:color w:val="auto"/>
              </w:rPr>
              <w:t>Lit backhaul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18,246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19,969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57,221</w:t>
            </w:r>
          </w:p>
        </w:tc>
        <w:tc>
          <w:tcPr>
            <w:tcW w:w="16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59,344</w:t>
            </w:r>
          </w:p>
        </w:tc>
      </w:tr>
      <w:tr>
        <w:trPr>
          <w:trHeight w:val="263"/>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Enterprise and wholesale</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70,144</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63,359</w:t>
            </w:r>
          </w:p>
        </w:tc>
      </w:tr>
      <w:tr>
        <w:trPr>
          <w:trHeight w:val="250"/>
        </w:trPr>
        <w:tc>
          <w:tcPr>
            <w:tcW w:w="4980" w:type="dxa"/>
            <w:vAlign w:val="bottom"/>
            <w:gridSpan w:val="2"/>
          </w:tcPr>
          <w:p>
            <w:pPr>
              <w:ind w:left="360"/>
              <w:spacing w:after="0"/>
              <w:rPr>
                <w:sz w:val="20"/>
                <w:szCs w:val="20"/>
                <w:color w:val="auto"/>
              </w:rPr>
            </w:pPr>
            <w:r>
              <w:rPr>
                <w:rFonts w:ascii="Arial" w:cs="Arial" w:eastAsia="Arial" w:hAnsi="Arial"/>
                <w:sz w:val="18"/>
                <w:szCs w:val="18"/>
                <w:color w:val="auto"/>
              </w:rPr>
              <w:t>E-Rate and government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43,947</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48,026</w:t>
            </w:r>
          </w:p>
        </w:tc>
      </w:tr>
      <w:tr>
        <w:trPr>
          <w:trHeight w:val="263"/>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6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r>
      <w:tr>
        <w:trPr>
          <w:trHeight w:val="243"/>
        </w:trPr>
        <w:tc>
          <w:tcPr>
            <w:tcW w:w="4980" w:type="dxa"/>
            <w:vAlign w:val="bottom"/>
            <w:gridSpan w:val="2"/>
          </w:tcPr>
          <w:p>
            <w:pPr>
              <w:ind w:left="100"/>
              <w:spacing w:after="0"/>
              <w:rPr>
                <w:sz w:val="20"/>
                <w:szCs w:val="20"/>
                <w:color w:val="auto"/>
              </w:rPr>
            </w:pPr>
            <w:r>
              <w:rPr>
                <w:rFonts w:ascii="Arial" w:cs="Arial" w:eastAsia="Arial" w:hAnsi="Arial"/>
                <w:sz w:val="18"/>
                <w:szCs w:val="18"/>
                <w:color w:val="auto"/>
              </w:rPr>
              <w:t>Uniti Fiber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59,154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57,340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173,576</w:t>
            </w:r>
          </w:p>
        </w:tc>
        <w:tc>
          <w:tcPr>
            <w:tcW w:w="16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172,805</w:t>
            </w:r>
          </w:p>
        </w:tc>
      </w:tr>
      <w:tr>
        <w:trPr>
          <w:trHeight w:val="263"/>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Uniti Leasing</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6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178,718</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176,358</w:t>
            </w:r>
          </w:p>
        </w:tc>
      </w:tr>
      <w:tr>
        <w:trPr>
          <w:trHeight w:val="26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accounted for under leasing guidance</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4980" w:type="dxa"/>
            <w:vAlign w:val="bottom"/>
            <w:gridSpan w:val="2"/>
          </w:tcPr>
          <w:p>
            <w:pPr>
              <w:ind w:left="100"/>
              <w:spacing w:after="0"/>
              <w:rPr>
                <w:sz w:val="20"/>
                <w:szCs w:val="20"/>
                <w:color w:val="auto"/>
              </w:rPr>
            </w:pPr>
            <w:r>
              <w:rPr>
                <w:rFonts w:ascii="Arial" w:cs="Arial" w:eastAsia="Arial" w:hAnsi="Arial"/>
                <w:sz w:val="18"/>
                <w:szCs w:val="18"/>
                <w:color w:val="auto"/>
              </w:rPr>
              <w:t>Uniti Leasing</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212,720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207,422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632,707</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615,325</w:t>
            </w:r>
          </w:p>
        </w:tc>
      </w:tr>
      <w:tr>
        <w:trPr>
          <w:trHeight w:val="263"/>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Uniti Fiber</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16,913</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16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53,429</w:t>
            </w:r>
          </w:p>
        </w:tc>
      </w:tr>
      <w:tr>
        <w:trPr>
          <w:trHeight w:val="243"/>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 accounted for under leasing guidance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229,633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685,457</w:t>
            </w:r>
          </w:p>
        </w:tc>
        <w:tc>
          <w:tcPr>
            <w:tcW w:w="16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668,754</w:t>
            </w:r>
          </w:p>
        </w:tc>
      </w:tr>
      <w:tr>
        <w:trPr>
          <w:trHeight w:val="275"/>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290,655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864,175</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845,112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885"/>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59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September 30, 2023 and December 31, 2022, lease receivables were $20.9 million and $26.2 million, respectively, and receivables from contracts with customers were $16.4 million and $16.1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obligations.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nine months ended September 30, 2023, we recognized revenues of $0.9 million and $3.5 million which was included in the December 31, 2022 contract liabilities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ASC 606.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Contract Assets</w:t>
            </w:r>
          </w:p>
        </w:tc>
        <w:tc>
          <w:tcPr>
            <w:tcW w:w="120" w:type="dxa"/>
            <w:vAlign w:val="bottom"/>
          </w:tcPr>
          <w:p>
            <w:pPr>
              <w:spacing w:after="0"/>
              <w:rPr>
                <w:sz w:val="16"/>
                <w:szCs w:val="16"/>
                <w:color w:val="auto"/>
              </w:rPr>
            </w:pPr>
          </w:p>
        </w:tc>
        <w:tc>
          <w:tcPr>
            <w:tcW w:w="136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Contract Liabilities</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September 30, 2023, our future revenues (i.e., transaction price related to remaining performance obligations) under contracts accounted for under ASC 606 totaled $646.1 million, of which $584.9 million is related to contracts that are currently being invoiced and have an average remaining contract term of 3.4 years, while $61.2 million represents our backlog for sales bookings</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which have yet to be installed and have an average contract term of 5.0 years. We do not disclose the value of unsatisfied performance obligations for contracts that have an original expected duration of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We lease communications towers, ground space, colocation space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w:t>
      </w:r>
    </w:p>
    <w:p>
      <w:pPr>
        <w:spacing w:after="0" w:line="2"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months</w:t>
      </w:r>
      <w:r>
        <w:rPr>
          <w:rFonts w:ascii="Arial" w:cs="Arial" w:eastAsia="Arial" w:hAnsi="Arial"/>
          <w:sz w:val="21"/>
          <w:szCs w:val="21"/>
          <w:color w:val="auto"/>
        </w:rPr>
        <w:t>.</w:t>
      </w:r>
      <w:r>
        <w:rPr>
          <w:rFonts w:ascii="Arial" w:cs="Arial" w:eastAsia="Arial" w:hAnsi="Arial"/>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and nine months ended September 30, 2023 and 2022, respectively, are as follows:</w:t>
      </w: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5"/>
        </w:trPr>
        <w:tc>
          <w:tcPr>
            <w:tcW w:w="47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6"/>
                <w:szCs w:val="16"/>
                <w:color w:val="auto"/>
              </w:rPr>
            </w:pPr>
          </w:p>
        </w:tc>
        <w:tc>
          <w:tcPr>
            <w:tcW w:w="12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5"/>
        </w:trPr>
        <w:tc>
          <w:tcPr>
            <w:tcW w:w="4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income - operating leases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229,633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685,457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668,754</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September 30, 2023 are as follows:</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42"/>
        </w:trPr>
        <w:tc>
          <w:tcPr>
            <w:tcW w:w="94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480" w:type="dxa"/>
            <w:vAlign w:val="bottom"/>
            <w:gridSpan w:val="2"/>
          </w:tcPr>
          <w:p>
            <w:pPr>
              <w:jc w:val="right"/>
              <w:spacing w:after="0" w:line="161" w:lineRule="exact"/>
              <w:rPr>
                <w:sz w:val="20"/>
                <w:szCs w:val="20"/>
                <w:color w:val="auto"/>
              </w:rPr>
            </w:pPr>
            <w:r>
              <w:rPr>
                <w:rFonts w:ascii="Arial" w:cs="Arial" w:eastAsia="Arial" w:hAnsi="Arial"/>
                <w:sz w:val="14"/>
                <w:szCs w:val="14"/>
                <w:b w:val="1"/>
                <w:bCs w:val="1"/>
                <w:color w:val="auto"/>
                <w:w w:val="97"/>
              </w:rPr>
              <w:t>September 30, 2023</w:t>
            </w:r>
            <w:r>
              <w:rPr>
                <w:rFonts w:ascii="MS PGothic" w:cs="MS PGothic" w:eastAsia="MS PGothic" w:hAnsi="MS PGothic"/>
                <w:sz w:val="14"/>
                <w:szCs w:val="14"/>
                <w:color w:val="auto"/>
                <w:w w:val="97"/>
              </w:rPr>
              <w:t>⁽</w:t>
            </w:r>
            <w:r>
              <w:rPr>
                <w:rFonts w:ascii="Arial" w:cs="Arial" w:eastAsia="Arial" w:hAnsi="Arial"/>
                <w:sz w:val="14"/>
                <w:szCs w:val="14"/>
                <w:b w:val="1"/>
                <w:bCs w:val="1"/>
                <w:color w:val="auto"/>
                <w:w w:val="97"/>
              </w:rPr>
              <w:t>¹</w:t>
            </w:r>
            <w:r>
              <w:rPr>
                <w:rFonts w:ascii="MS PGothic" w:cs="MS PGothic" w:eastAsia="MS PGothic" w:hAnsi="MS PGothic"/>
                <w:sz w:val="14"/>
                <w:szCs w:val="14"/>
                <w:color w:val="auto"/>
                <w:w w:val="97"/>
              </w:rPr>
              <w:t>⁾</w:t>
            </w:r>
          </w:p>
        </w:tc>
      </w:tr>
      <w:tr>
        <w:trPr>
          <w:trHeight w:val="251"/>
        </w:trPr>
        <w:tc>
          <w:tcPr>
            <w:tcW w:w="9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196,452</w:t>
            </w:r>
          </w:p>
        </w:tc>
      </w:tr>
      <w:tr>
        <w:trPr>
          <w:trHeight w:val="250"/>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804,866</w:t>
            </w:r>
          </w:p>
        </w:tc>
      </w:tr>
      <w:tr>
        <w:trPr>
          <w:trHeight w:val="26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813,967</w:t>
            </w:r>
          </w:p>
        </w:tc>
      </w:tr>
      <w:tr>
        <w:trPr>
          <w:trHeight w:val="250"/>
        </w:trPr>
        <w:tc>
          <w:tcPr>
            <w:tcW w:w="93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815,516</w:t>
            </w:r>
          </w:p>
        </w:tc>
      </w:tr>
      <w:tr>
        <w:trPr>
          <w:trHeight w:val="26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816,453</w:t>
            </w:r>
          </w:p>
        </w:tc>
      </w:tr>
      <w:tr>
        <w:trPr>
          <w:trHeight w:val="250"/>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2,351,694</w:t>
            </w:r>
          </w:p>
        </w:tc>
      </w:tr>
      <w:tr>
        <w:trPr>
          <w:trHeight w:val="275"/>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receivables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5,798,948</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6889115</wp:posOffset>
            </wp:positionH>
            <wp:positionV relativeFrom="paragraph">
              <wp:posOffset>-1318895</wp:posOffset>
            </wp:positionV>
            <wp:extent cx="94615" cy="74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ind w:left="380" w:hanging="179"/>
        <w:spacing w:after="0" w:line="228" w:lineRule="auto"/>
        <w:tabs>
          <w:tab w:leader="none" w:pos="3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future minimum lease payments to be received include $4.9 billion relating to the Windstream Leases.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December 31, 2022</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26,549</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347,002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346,093</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296,941</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Fiber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3,802,120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3,529,835</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Copper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3,978,336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3,964,439</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Conduit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Tower assets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10,434</w:t>
            </w:r>
          </w:p>
        </w:tc>
      </w:tr>
      <w:tr>
        <w:trPr>
          <w:trHeight w:val="257"/>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8,568,506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8,294,214</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(5,660,717)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(5,542,726)</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Underlying assets under operating leases,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2,907,789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2,751,488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and nine months ended September 30, 2023 and 2022, respectively, is summarized as follows: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5"/>
        </w:trPr>
        <w:tc>
          <w:tcPr>
            <w:tcW w:w="50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5"/>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Depreciation expense for underlying assets under operating leases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136,640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commitments under operating leases for communications towers, ground space, colocation space, dark fiber and buildings. We also have finance leases for dark fiber and automobiles. Our leases have initial lease terms ranging from less than one year to 30 years, most of which include options to</w:t>
      </w:r>
    </w:p>
    <w:p>
      <w:pPr>
        <w:ind w:right="120"/>
        <w:spacing w:after="0" w:line="239" w:lineRule="auto"/>
        <w:rPr>
          <w:sz w:val="20"/>
          <w:szCs w:val="20"/>
          <w:color w:val="auto"/>
        </w:rPr>
      </w:pPr>
      <w:r>
        <w:rPr>
          <w:rFonts w:ascii="Arial" w:cs="Arial" w:eastAsia="Arial" w:hAnsi="Arial"/>
          <w:sz w:val="18"/>
          <w:szCs w:val="18"/>
          <w:color w:val="auto"/>
        </w:rPr>
        <w:t>extend or renew the leases for less than one year to 20 years</w:t>
      </w:r>
      <w:r>
        <w:rPr>
          <w:rFonts w:ascii="Arial" w:cs="Arial" w:eastAsia="Arial" w:hAnsi="Arial"/>
          <w:sz w:val="21"/>
          <w:szCs w:val="21"/>
          <w:color w:val="auto"/>
        </w:rPr>
        <w:t>,</w:t>
      </w:r>
      <w:r>
        <w:rPr>
          <w:rFonts w:ascii="Arial" w:cs="Arial" w:eastAsia="Arial" w:hAnsi="Arial"/>
          <w:sz w:val="18"/>
          <w:szCs w:val="18"/>
          <w:color w:val="auto"/>
        </w:rPr>
        <w:t xml:space="preserve"> and some of which may include options to terminate the leases within one to six months</w:t>
      </w:r>
      <w:r>
        <w:rPr>
          <w:rFonts w:ascii="Arial" w:cs="Arial" w:eastAsia="Arial" w:hAnsi="Arial"/>
          <w:sz w:val="21"/>
          <w:szCs w:val="21"/>
          <w:color w:val="auto"/>
        </w:rPr>
        <w:t>.</w:t>
      </w:r>
      <w:r>
        <w:rPr>
          <w:rFonts w:ascii="Arial" w:cs="Arial" w:eastAsia="Arial" w:hAnsi="Arial"/>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have short term lease commitments amounting to approximately $3.40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non-cancellable leases as of September 30, 2023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Finance Leases</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50"/>
        </w:trPr>
        <w:tc>
          <w:tcPr>
            <w:tcW w:w="80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3,521</w:t>
            </w:r>
          </w:p>
        </w:tc>
      </w:tr>
      <w:tr>
        <w:trPr>
          <w:trHeight w:val="26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r>
      <w:tr>
        <w:trPr>
          <w:trHeight w:val="250"/>
        </w:trPr>
        <w:tc>
          <w:tcPr>
            <w:tcW w:w="808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3,335</w:t>
            </w:r>
          </w:p>
        </w:tc>
      </w:tr>
      <w:tr>
        <w:trPr>
          <w:trHeight w:val="26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12,934</w:t>
            </w: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27,146</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(8,758)</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12529"/>
        </w:rPr>
        <w:t>BB Fiber Holdings LLC (</w:t>
      </w:r>
      <w:r>
        <w:rPr>
          <w:rFonts w:ascii="Arial" w:cs="Arial" w:eastAsia="Arial" w:hAnsi="Arial"/>
          <w:sz w:val="17"/>
          <w:szCs w:val="17"/>
          <w:color w:val="000000"/>
        </w:rPr>
        <w:t>“Fiber Holdings”</w:t>
      </w:r>
      <w:r>
        <w:rPr>
          <w:rFonts w:ascii="Arial" w:cs="Arial" w:eastAsia="Arial" w:hAnsi="Arial"/>
          <w:sz w:val="17"/>
          <w:szCs w:val="17"/>
          <w:color w:val="212529"/>
        </w:rPr>
        <w:t xml:space="preserve">) </w:t>
      </w:r>
      <w:r>
        <w:rPr>
          <w:rFonts w:ascii="Arial" w:cs="Arial" w:eastAsia="Arial" w:hAnsi="Arial"/>
          <w:sz w:val="17"/>
          <w:szCs w:val="17"/>
          <w:color w:val="000000"/>
        </w:rPr>
        <w:t>was primarily established to develop fiber networks as real estate property for long-term investment. On</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July 1, 2020, the Company completed the sale of an ownership stake in the entity that controls the Company’s Midwest fiber network assets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8"/>
          <w:szCs w:val="18"/>
          <w:color w:val="212529"/>
        </w:rPr>
        <w:t>Fiber Holdings, an equity method unconsolidated entity,</w:t>
      </w:r>
      <w:r>
        <w:rPr>
          <w:rFonts w:ascii="Arial" w:cs="Arial" w:eastAsia="Arial" w:hAnsi="Arial"/>
          <w:sz w:val="18"/>
          <w:szCs w:val="18"/>
          <w:color w:val="auto"/>
        </w:rPr>
        <w:t xml:space="preserve"> was approximately $37.7 million as of September 30, 2023. The Company has not provided financial support to </w:t>
      </w:r>
      <w:r>
        <w:rPr>
          <w:rFonts w:ascii="Arial" w:cs="Arial" w:eastAsia="Arial" w:hAnsi="Arial"/>
          <w:sz w:val="18"/>
          <w:szCs w:val="18"/>
          <w:color w:val="212529"/>
        </w:rPr>
        <w:t>Fiber 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212529"/>
        </w:rPr>
        <w:t>On June 21, 2022, the Company completed the sale of its investment in Harmoni Towers LP to Palistar Communications Infrastructure GP LLC, our partner in the investment, for total cash consideration of $32.5 million. As a result of the transaction, during the second quarter of 2022 we recorded a pre-tax gain of $7.9 million within other expense (income), net and $6.7 million of income tax expense within our Consolidated Statements of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8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our outstanding notes and other debt, settlement payable, interest and dividends payable.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September 30, 2023 and December 31,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Prices with Other</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Prices with</w:t>
            </w: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Unobservable</w:t>
            </w: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Inputs (Level 3)</w:t>
            </w: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September 30, 2023</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notes - 10.50%, due February 15, 2028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2,530,476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460,130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unsecured notes - 6.00%, due January 15, 2030</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unsecured notes - 6.50%, due February 15, 2029</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723,720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723,720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Convertible senior notes - 7.50% due December 1, 2027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263,535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revolving credit facility, variable rate, due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4"/>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September 24, 2027</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270,973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Settlement payable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174,075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4,982,734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4,982,734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9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Prices with Other</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Prices with</w:t>
            </w:r>
          </w:p>
        </w:tc>
      </w:tr>
      <w:tr>
        <w:trPr>
          <w:trHeight w:val="166"/>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Unobservable</w:t>
            </w:r>
          </w:p>
        </w:tc>
      </w:tr>
      <w:tr>
        <w:trPr>
          <w:trHeight w:val="200"/>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7"/>
                <w:szCs w:val="17"/>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Inputs (Level 3)</w:t>
            </w: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December 31, 2022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notes - 7.875%, due February 15, 2025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469,740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unsecured notes - 6.00%, due January 15, 2030</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unsecured notes - 6.50% , due February 15, 2029</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759,917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759,917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Convertible senior notes - 7.50%, due December 1, 2027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297,765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2"/>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revolving credit facility, variable rate, due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4"/>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December 10, 2024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Settlement payable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232,350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7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4,750,497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jc w:val="both"/>
        <w:ind w:right="700"/>
        <w:spacing w:after="0" w:line="286" w:lineRule="auto"/>
        <w:rPr>
          <w:sz w:val="20"/>
          <w:szCs w:val="20"/>
          <w:color w:val="auto"/>
        </w:rPr>
      </w:pPr>
      <w:r>
        <w:rPr>
          <w:rFonts w:ascii="Arial" w:cs="Arial" w:eastAsia="Arial" w:hAnsi="Arial"/>
          <w:sz w:val="17"/>
          <w:szCs w:val="17"/>
          <w:color w:val="auto"/>
        </w:rPr>
        <w:t>The total principal balance of our outstanding notes and other debt was $5.68 billion at September 30, 2023, with a fair value of $4.98 billion. The estimated fair value of our outstanding notes and other debt was based on available external pricing data and current market rates for similar debt instruments, among other factors, which are classified as Level 2 inputs within the fair value hierarchy.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Uniti is required to make $490.1 million of cash payments to Windstream in equal installments over 20 consecutive quarters beginning October 2020 (the “Settlement Payable”). </w:t>
      </w:r>
      <w:r>
        <w:rPr>
          <w:rFonts w:ascii="Arial" w:cs="Arial" w:eastAsia="Arial" w:hAnsi="Arial"/>
          <w:sz w:val="18"/>
          <w:szCs w:val="18"/>
          <w:u w:val="single" w:color="auto"/>
          <w:color w:val="0000FF"/>
        </w:rPr>
        <w:t>See Note 13</w:t>
      </w:r>
      <w:r>
        <w:rPr>
          <w:rFonts w:ascii="Arial" w:cs="Arial" w:eastAsia="Arial" w:hAnsi="Arial"/>
          <w:sz w:val="18"/>
          <w:szCs w:val="18"/>
          <w:color w:val="auto"/>
        </w:rPr>
        <w:t>. The Settlement Payable was initially recorded at fair value, using the present value of future cash flows. The future cash flows are discounted using discount rate inputs based on observable market data. Accordingly, we classify inputs used as Level 2 in the fair value hierarchy. As of September 30, 2023, the remaining Settlement Payable is $185.9 million. There have been no changes in the valuation methodologies used since the initial recording.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property, plant and equipment is as follows: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7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Depreciable Lives</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Indefinite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Building and improvements</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3 - 40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364,714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363,077</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296,941</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Fiber</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30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4,763,091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4,434,506</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5 - 7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399,473</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Copper</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20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3,978,336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3,964,439</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Conduit</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Tower assets</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20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5,619</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73,487</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15 - 20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10,436</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assets</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3 - 7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46,508</w:t>
            </w:r>
          </w:p>
        </w:tc>
      </w:tr>
      <w:tr>
        <w:trPr>
          <w:trHeight w:val="256"/>
        </w:trPr>
        <w:tc>
          <w:tcPr>
            <w:tcW w:w="6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10,127,906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9,728,177</w:t>
            </w: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(6,165,470)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(5,973,630)</w:t>
            </w:r>
          </w:p>
        </w:tc>
      </w:tr>
      <w:tr>
        <w:trPr>
          <w:trHeight w:val="27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property, plant and equipment</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3,962,436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3,754,547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our Annual Report for property, plant and equipment accounting policies.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expense for the three and nine months ended September 30, 2023 was $69.9 million and $209.1 million, respectively. Depreciation expense for the three and nine months ended September 30, 2022 was $66.1 million and $194.9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June 25, 2019, concurrently with the pricing of the 4.00% Exchangeable Notes due June 15, 2024 (the "Exchangeable Notes"), and on June 27, 2019, concurrently with the exercise by the initial purchasers involved in the offering of the Exchangeable Notes (the “Initial Purchasers”) of their option to purchase additional Exchangeable Notes, Uniti Fiber Holdings Inc.,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Holdings Inc.is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Note Hedge Transactions are separate transactions, entered into by Uniti Fiber Holdings Inc.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Transactions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initial maximum number of shares of the Company’s common stock that could be issued pursuant to the Warrants was approximately 55.5 million. The maximum number of shares of the Company's common stock that could be issued pursuant to the Warrants has subsequently decreased due to the partial unwind agreements that the Company entered into with the Counterparties in connection with each repurchase of Exchangeable Notes.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occurring during the nine months ended September 30, 2023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Uniti Fiber</w:t>
            </w:r>
          </w:p>
        </w:tc>
        <w:tc>
          <w:tcPr>
            <w:tcW w:w="34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9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at December 31, 2022</w:t>
            </w:r>
          </w:p>
        </w:tc>
        <w:tc>
          <w:tcPr>
            <w:tcW w:w="3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9"/>
              </w:rPr>
              <w:t>672,878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9"/>
              </w:rPr>
              <w:t>672,878</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charges as of December 31, 2022</w:t>
            </w:r>
          </w:p>
        </w:tc>
        <w:tc>
          <w:tcPr>
            <w:tcW w:w="3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w w:val="90"/>
              </w:rPr>
              <w:t>(311,500)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color w:val="auto"/>
                <w:w w:val="90"/>
              </w:rPr>
              <w:t>(311,500)</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9"/>
              </w:rPr>
              <w:t>361,378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9"/>
              </w:rPr>
              <w:t>361,378</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(Note 2)</w:t>
            </w:r>
          </w:p>
        </w:tc>
        <w:tc>
          <w:tcPr>
            <w:tcW w:w="3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3"/>
              </w:rPr>
              <w:t>(153,000)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3"/>
              </w:rPr>
              <w:t>(153,000)</w:t>
            </w:r>
          </w:p>
        </w:tc>
        <w:tc>
          <w:tcPr>
            <w:tcW w:w="0" w:type="dxa"/>
            <w:vAlign w:val="bottom"/>
          </w:tcPr>
          <w:p>
            <w:pPr>
              <w:spacing w:after="0"/>
              <w:rPr>
                <w:sz w:val="1"/>
                <w:szCs w:val="1"/>
                <w:color w:val="auto"/>
              </w:rPr>
            </w:pPr>
          </w:p>
        </w:tc>
      </w:tr>
      <w:tr>
        <w:trPr>
          <w:trHeight w:val="257"/>
        </w:trPr>
        <w:tc>
          <w:tcPr>
            <w:tcW w:w="494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3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412"/>
              <w:spacing w:after="0"/>
              <w:rPr>
                <w:sz w:val="20"/>
                <w:szCs w:val="20"/>
                <w:color w:val="auto"/>
              </w:rPr>
            </w:pPr>
            <w:r>
              <w:rPr>
                <w:rFonts w:ascii="Arial" w:cs="Arial" w:eastAsia="Arial" w:hAnsi="Arial"/>
                <w:sz w:val="18"/>
                <w:szCs w:val="18"/>
                <w:color w:val="auto"/>
                <w:w w:val="89"/>
              </w:rPr>
              <w:t>208,378</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312"/>
              <w:spacing w:after="0"/>
              <w:rPr>
                <w:sz w:val="20"/>
                <w:szCs w:val="20"/>
                <w:color w:val="auto"/>
              </w:rPr>
            </w:pPr>
            <w:r>
              <w:rPr>
                <w:rFonts w:ascii="Arial" w:cs="Arial" w:eastAsia="Arial" w:hAnsi="Arial"/>
                <w:sz w:val="18"/>
                <w:szCs w:val="18"/>
                <w:color w:val="auto"/>
                <w:w w:val="89"/>
              </w:rPr>
              <w:t>208,378</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940" w:type="dxa"/>
            <w:vAlign w:val="bottom"/>
          </w:tcPr>
          <w:p>
            <w:pPr>
              <w:ind w:left="20"/>
              <w:spacing w:after="0"/>
              <w:rPr>
                <w:sz w:val="20"/>
                <w:szCs w:val="20"/>
                <w:color w:val="auto"/>
              </w:rPr>
            </w:pPr>
            <w:r>
              <w:rPr>
                <w:rFonts w:ascii="Arial" w:cs="Arial" w:eastAsia="Arial" w:hAnsi="Arial"/>
                <w:sz w:val="18"/>
                <w:szCs w:val="18"/>
                <w:color w:val="auto"/>
              </w:rPr>
              <w:t>Goodwill at September 30, 2023</w:t>
            </w:r>
          </w:p>
        </w:tc>
        <w:tc>
          <w:tcPr>
            <w:tcW w:w="3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412"/>
              <w:spacing w:after="0"/>
              <w:rPr>
                <w:sz w:val="20"/>
                <w:szCs w:val="20"/>
                <w:color w:val="auto"/>
              </w:rPr>
            </w:pPr>
            <w:r>
              <w:rPr>
                <w:rFonts w:ascii="Arial" w:cs="Arial" w:eastAsia="Arial" w:hAnsi="Arial"/>
                <w:sz w:val="18"/>
                <w:szCs w:val="18"/>
                <w:color w:val="auto"/>
                <w:w w:val="89"/>
              </w:rPr>
              <w:t>672,878</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312"/>
              <w:spacing w:after="0"/>
              <w:rPr>
                <w:sz w:val="20"/>
                <w:szCs w:val="20"/>
                <w:color w:val="auto"/>
              </w:rPr>
            </w:pPr>
            <w:r>
              <w:rPr>
                <w:rFonts w:ascii="Arial" w:cs="Arial" w:eastAsia="Arial" w:hAnsi="Arial"/>
                <w:sz w:val="18"/>
                <w:szCs w:val="18"/>
                <w:color w:val="auto"/>
                <w:w w:val="89"/>
              </w:rPr>
              <w:t>672,878</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charges as of September 30, 2023</w:t>
            </w:r>
          </w:p>
        </w:tc>
        <w:tc>
          <w:tcPr>
            <w:tcW w:w="3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3"/>
              </w:rPr>
              <w:t>(464,500)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93"/>
              </w:rPr>
              <w:t>(464,500)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w w:val="89"/>
              </w:rPr>
              <w:t>208,378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color w:val="auto"/>
                <w:w w:val="89"/>
              </w:rPr>
              <w:t>208,378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140" w:type="dxa"/>
            <w:vAlign w:val="bottom"/>
            <w:vMerge w:val="restart"/>
          </w:tcPr>
          <w:p>
            <w:pPr>
              <w:jc w:val="right"/>
              <w:ind w:right="22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Carrying value of intangible assets and liabilities at September 30, 2023 and December 31, 2022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2760" w:type="dxa"/>
            <w:vAlign w:val="bottom"/>
            <w:gridSpan w:val="4"/>
          </w:tcPr>
          <w:p>
            <w:pPr>
              <w:jc w:val="right"/>
              <w:ind w:right="836"/>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Original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Original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 life intangible assets: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Customer lists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416,104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(145,845)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416,104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(128,728)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Underlying Rights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479,137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312,541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334,846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Finite life intangible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Below-market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(24,062)</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 life intangible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Below-market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191,154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liabilities,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remaining weighted average amortization period of the Company’s intangible assets was 13.6 years.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Amortization expense for the three and nine months ended September 30, 2023 was $7.4 million and $22.3 million, respectively. Amortization expense for the three and nine months ended September 30, 2022 was $7.5 million and $22.3 million, respectively. Amortization expense is estimated to be $29.8 million for the full year of 2023, $29.7 million in 2024, $29.7 million in 2025, $29.7 million in 2026, and $29.7 million for 2027.</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recognize the amortization of below-market leases in revenue. Revenue related to the amortization of the below-market leases for the three and nine months ended September 30, 2023 was $2.7 million and $8.0 million. Revenue related to the amortization of the below-market leases for the three and nine months ended September 30, 2022, was $2.7 million and $8.0 million. As of September 30, 2023, the remaining weighted average amortization period of the Company’s intangible liabilities was 16.3 years. Revenue due to the amortization of the below-market leases is estimated to be $10.7 million for the full year of 2023, $10.7 million in 2024, $10.7 million in 2025, $10.7 million in 2026, and $10.7 million in 2027.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5,680,442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5,262,373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unamortized discount, premium and debt issuance costs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(98,385)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5,582,057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5,188,815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8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September 30, 2023 and December 31, 2022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278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7"/>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Unamortized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Unamortized</w:t>
            </w:r>
          </w:p>
        </w:tc>
      </w:tr>
      <w:tr>
        <w:trPr>
          <w:trHeight w:val="186"/>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Discount,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Discount,</w:t>
            </w:r>
          </w:p>
        </w:tc>
      </w:tr>
      <w:tr>
        <w:trPr>
          <w:trHeight w:val="178"/>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Premium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Premium and</w:t>
            </w:r>
          </w:p>
        </w:tc>
      </w:tr>
      <w:tr>
        <w:trPr>
          <w:trHeight w:val="176"/>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Debt Issuance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Debt Issuance</w:t>
            </w: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Costs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87"/>
              </w:rPr>
              <w:t>Costs</w:t>
            </w:r>
          </w:p>
        </w:tc>
      </w:tr>
      <w:tr>
        <w:trPr>
          <w:trHeight w:val="26"/>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5"/>
        </w:trPr>
        <w:tc>
          <w:tcPr>
            <w:tcW w:w="50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Senior secured notes - 7.875% due February 15, 2025</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8.38%)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(22,239)</w:t>
            </w:r>
          </w:p>
        </w:tc>
      </w:tr>
      <w:tr>
        <w:trPr>
          <w:trHeight w:val="215"/>
        </w:trPr>
        <w:tc>
          <w:tcPr>
            <w:tcW w:w="5040" w:type="dxa"/>
            <w:vAlign w:val="bottom"/>
          </w:tcPr>
          <w:p>
            <w:pPr>
              <w:ind w:left="20"/>
              <w:spacing w:after="0"/>
              <w:rPr>
                <w:sz w:val="20"/>
                <w:szCs w:val="20"/>
                <w:color w:val="auto"/>
              </w:rPr>
            </w:pPr>
            <w:r>
              <w:rPr>
                <w:rFonts w:ascii="Arial" w:cs="Arial" w:eastAsia="Arial" w:hAnsi="Arial"/>
                <w:sz w:val="18"/>
                <w:szCs w:val="18"/>
                <w:color w:val="auto"/>
              </w:rPr>
              <w:t>Senior secured notes - 10.50% due February 15, 2028</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1"/>
        </w:trPr>
        <w:tc>
          <w:tcPr>
            <w:tcW w:w="5040" w:type="dxa"/>
            <w:vAlign w:val="bottom"/>
          </w:tcPr>
          <w:p>
            <w:pPr>
              <w:ind w:left="20"/>
              <w:spacing w:after="0"/>
              <w:rPr>
                <w:sz w:val="20"/>
                <w:szCs w:val="20"/>
                <w:color w:val="auto"/>
              </w:rPr>
            </w:pPr>
            <w:r>
              <w:rPr>
                <w:rFonts w:ascii="Arial" w:cs="Arial" w:eastAsia="Arial" w:hAnsi="Arial"/>
                <w:sz w:val="18"/>
                <w:szCs w:val="18"/>
                <w:color w:val="auto"/>
              </w:rPr>
              <w:t>(discount is based on imputed interest rate of 11.06%)</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- 4.75%, due April 15, 2028</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5.04%)</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r>
      <w:tr>
        <w:trPr>
          <w:trHeight w:val="242"/>
        </w:trPr>
        <w:tc>
          <w:tcPr>
            <w:tcW w:w="5040" w:type="dxa"/>
            <w:vAlign w:val="bottom"/>
          </w:tcPr>
          <w:p>
            <w:pPr>
              <w:ind w:left="20"/>
              <w:spacing w:after="0"/>
              <w:rPr>
                <w:sz w:val="20"/>
                <w:szCs w:val="20"/>
                <w:color w:val="auto"/>
              </w:rPr>
            </w:pPr>
            <w:r>
              <w:rPr>
                <w:rFonts w:ascii="Arial" w:cs="Arial" w:eastAsia="Arial" w:hAnsi="Arial"/>
                <w:sz w:val="18"/>
                <w:szCs w:val="18"/>
                <w:color w:val="auto"/>
              </w:rPr>
              <w:t>Senior unsecured notes - 6.00% due January 15, 2030</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1"/>
        </w:trPr>
        <w:tc>
          <w:tcPr>
            <w:tcW w:w="5040" w:type="dxa"/>
            <w:vAlign w:val="bottom"/>
          </w:tcPr>
          <w:p>
            <w:pPr>
              <w:ind w:left="20"/>
              <w:spacing w:after="0"/>
              <w:rPr>
                <w:sz w:val="20"/>
                <w:szCs w:val="20"/>
                <w:color w:val="auto"/>
              </w:rPr>
            </w:pPr>
            <w:r>
              <w:rPr>
                <w:rFonts w:ascii="Arial" w:cs="Arial" w:eastAsia="Arial" w:hAnsi="Arial"/>
                <w:sz w:val="18"/>
                <w:szCs w:val="18"/>
                <w:color w:val="auto"/>
              </w:rPr>
              <w:t>(discount is based on imputed interest rate of 6.27%)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(10,535)</w:t>
            </w:r>
          </w:p>
        </w:tc>
      </w:tr>
      <w:tr>
        <w:trPr>
          <w:trHeight w:val="24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- 6.50%, due February 15, 2029</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6.83%)</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r>
      <w:tr>
        <w:trPr>
          <w:trHeight w:val="242"/>
        </w:trPr>
        <w:tc>
          <w:tcPr>
            <w:tcW w:w="5040" w:type="dxa"/>
            <w:vAlign w:val="bottom"/>
          </w:tcPr>
          <w:p>
            <w:pPr>
              <w:ind w:left="20"/>
              <w:spacing w:after="0"/>
              <w:rPr>
                <w:sz w:val="20"/>
                <w:szCs w:val="20"/>
                <w:color w:val="auto"/>
              </w:rPr>
            </w:pPr>
            <w:r>
              <w:rPr>
                <w:rFonts w:ascii="Arial" w:cs="Arial" w:eastAsia="Arial" w:hAnsi="Arial"/>
                <w:sz w:val="18"/>
                <w:szCs w:val="18"/>
                <w:color w:val="auto"/>
              </w:rPr>
              <w:t>Exchangeable senior notes - 4.00%, due June 15, 2024</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1"/>
        </w:trPr>
        <w:tc>
          <w:tcPr>
            <w:tcW w:w="5040" w:type="dxa"/>
            <w:vAlign w:val="bottom"/>
          </w:tcPr>
          <w:p>
            <w:pPr>
              <w:ind w:left="20"/>
              <w:spacing w:after="0"/>
              <w:rPr>
                <w:sz w:val="20"/>
                <w:szCs w:val="20"/>
                <w:color w:val="auto"/>
              </w:rPr>
            </w:pPr>
            <w:r>
              <w:rPr>
                <w:rFonts w:ascii="Arial" w:cs="Arial" w:eastAsia="Arial" w:hAnsi="Arial"/>
                <w:sz w:val="18"/>
                <w:szCs w:val="18"/>
                <w:color w:val="auto"/>
              </w:rPr>
              <w:t>(discount is based on imputed interest rate of 4.77%)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122,942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22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- 7.50%, due December 1, 2027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8.29%)</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r>
      <w:tr>
        <w:trPr>
          <w:trHeight w:val="215"/>
        </w:trPr>
        <w:tc>
          <w:tcPr>
            <w:tcW w:w="5040" w:type="dxa"/>
            <w:vAlign w:val="bottom"/>
          </w:tcPr>
          <w:p>
            <w:pPr>
              <w:ind w:left="20"/>
              <w:spacing w:after="0"/>
              <w:rPr>
                <w:sz w:val="20"/>
                <w:szCs w:val="20"/>
                <w:color w:val="auto"/>
              </w:rPr>
            </w:pPr>
            <w:r>
              <w:rPr>
                <w:rFonts w:ascii="Arial" w:cs="Arial" w:eastAsia="Arial" w:hAnsi="Arial"/>
                <w:sz w:val="18"/>
                <w:szCs w:val="18"/>
                <w:color w:val="auto"/>
              </w:rPr>
              <w:t>Senior secured revolving credit facility, variable rate, due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September 24, 2027</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271,000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5,680,442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5,262,373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At September 30, 2023, notes and other debt included the following: (i) $271.0 million under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issuer and certain other lenders named therein (the “Credit Agreement”); (ii) $2.6 billion aggregate principal amount of 10.50% Senior Secured Notes due February 15, 2028 (the “February 2028 Secured Notes”); (iii) $570 million aggregate principal amount of 4.75% Senior Secured Notes due April 15, 2028 (the “April 2028 Secured Notes”); (iv) $1.1 billion aggregate principal amount of 6.50% Senior Unsecured Notes due February 15, 2029 (the “2029 Notes”); (v) $122.9 million aggregate principal amount of the Exchangeable Notes; (vi) $700 million aggregate principal amount of 6.00% Senior Unsecured Notes due January 15, 2030 (the “2030 Notes”); and (vii) $306.5 million aggregate principal amount of 7.50% Convertible Senior Notes due December 1, 2027 (the "Convertible 2027 Notes" and, together with the February 2028 Secured Notes, April 2028 Secured Notes, 2029 Notes, 2030 Notes and the Exchangeable Notes, the "Notes"). The terms of the Notes are as described in the Company’s Annual Report on Form 10-K for the year ended December 31,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24, 2023, the Borrowers, each a subsidiary of Uniti Group Inc., entered into Amendment No. 8 (the “Amendment”) to the Credit Agreement.</w:t>
      </w:r>
    </w:p>
    <w:p>
      <w:pPr>
        <w:spacing w:after="0" w:line="23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Following the receipt of certain routine regulatory approvals on July 25, 2023, the Amendment extended the maturity of the $500 million revolving credit facility to September 24, 2027 (the “Revolving Credit Facility”). The Amendment also transitioned the Revolving Credit Facility from LIBOR to Term SOFR, and in connection with that change, set the credit spread adjustment to ten basis points for all interest periods.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2023, the Borrowers were in compliance with all of the covenants under the Credit Agreement.</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Secured Notes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14, 2023, the Operating Partnership, CSL Capital, LLC, Uniti Group Finance 2019 Inc. and Uniti Fiber Holdings Inc. (collectively, the “Issuers”) issued $2.6 billion aggregate principal amount of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On February 14, 2023, the Issuers deposited the full redemption price for the 2025 Secured Notes with the trustee and satisfied and discharged their respective obligations with respect to the indenture governing the 2025 Secured Notes at such time. During the first quarter of 2023, we recorded $32.3 million of loss on the extinguishment of the 2025 Secured Notes within interest expense, net on the Condensed Consolidated Statements of Income, which included $10.3 million of non-cash interest expense for the write off of the unamortized discount and deferred financing costs and $22.0 million of cash interest expense for the redemption premium.</w:t>
      </w:r>
    </w:p>
    <w:p>
      <w:pPr>
        <w:spacing w:after="0" w:line="192"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The February 2028 Secured Notes were issued at an issue price of 100% of their principal amount pursuant to an indenture, dated as of February 14, 2023 (the “February 2028 Secured Notes Indenture”), among the Issuers, the guarantors named therein (collectively, the “Guarantors”) and Deutsche Bank Trust Company Americas, as trustee and as collateral agent. The February 2028 Secured Notes mature on February 15, 2028 and bear interest at a rate of 10.50% per year. Interest on the February 2028 Secured Notes is payable on March 15 and September 15 of each year, beginning on September 15, 2023.</w:t>
      </w:r>
    </w:p>
    <w:p>
      <w:pPr>
        <w:spacing w:after="0" w:line="177" w:lineRule="exact"/>
        <w:rPr>
          <w:sz w:val="20"/>
          <w:szCs w:val="20"/>
          <w:color w:val="auto"/>
        </w:rPr>
      </w:pPr>
    </w:p>
    <w:p>
      <w:pPr>
        <w:jc w:val="both"/>
        <w:ind w:right="400"/>
        <w:spacing w:after="0" w:line="278" w:lineRule="auto"/>
        <w:rPr>
          <w:sz w:val="20"/>
          <w:szCs w:val="20"/>
          <w:color w:val="auto"/>
        </w:rPr>
      </w:pPr>
      <w:r>
        <w:rPr>
          <w:rFonts w:ascii="Arial" w:cs="Arial" w:eastAsia="Arial" w:hAnsi="Arial"/>
          <w:sz w:val="17"/>
          <w:szCs w:val="17"/>
          <w:color w:val="auto"/>
        </w:rPr>
        <w:t>The Issuers may redeem the February 2028 Secured Notes, in whole or in part, at any time prior to September 15, 2025 at a redemption price equal to 100% of the principal amount of the February 2028 Secured Notes redeemed plus accrued and unpaid interest thereon, if any, to, but not including, the redemption date, plus an applicable “make whole” premium described in the February 2028 Secured Notes Indenture.</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Thereafter, the Issuers may redeem the February 2028 Secured Notes in whole or in part, at the redemption prices set forth in the February 2028 Secured Notes Indenture. In addition, prior to February 15, 2025, the Issuers may, on one or more occasions, redeem up to 10% of the aggregate principal amount of the February 2028 Secured Notes in any twelve month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period at a redemption price equal to 103% of the principal amount thereof plus accrued and unpaid interest thereon, if any, to, but not including, the applicable redemption date. Notwithstanding the foregoing, the Issuers may not use the proceeds of any offering of Additional Notes (as defined in the February 2028 Secured Notes Indenture) with a price to investors equal to or in excess of 103% to finance any such optional redemption. Further, at any time on or prior to September 15, 2025, up to 40% of the aggregate principal amount of the February 2028 Secured Notes may be redeemed with the net cash proceeds of certain equity offerings at a redemption price of 110.50% of the principal amount plus accrued and unpaid interest, if any, to, but not including, the applicable redemption date; provided that at least 60% of aggregate principal amount of the originally issued February 2028 Secured Notes remains outstanding. If certain changes of control of the Operating Partnership occur, holders of the February 2028 Secured Notes will have the right to require the Issuers to offer to repurchase their Notes at 101% of their principal amount plus accrued and unpaid interest, if any, to, but not including, the repurchase date.</w:t>
      </w:r>
    </w:p>
    <w:p>
      <w:pPr>
        <w:spacing w:after="0" w:line="20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February 2028 Secured Notes are fully and unconditionally guaranteed, jointly and severally, on a senior unsecured basis by the Company and on a senior secured basis by each of the Operating Partnership’s existing and future domestic restricted subsidiaries (other than the Issuers) that guarantees indebtedness under the Company’s senior secured credit facilities and existing secured notes (the “Subsidiary Guarantors”). In addition, the Issuers will use commercially reasonable efforts to obtain necessary regulatory approval to allow certain non-guarantor subsidiaries of the Company to guarantee the February 2028 Secured Notes, including by making filings to obtain such approval within 60 days of the issuance of the February 2028 Secured Notes. The guarantees are subject to release under specified circumstances, including certain circumstances in which such guarantees may be automatically released without the consent of the holders of the February 2028 Secured Notes.</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February 2028 Secured Notes and the related guarantees are the Issuers’ and the Subsidiary Guarantors’ senior secured obligations and rank equal in right of payment with all of the Issuers’ and the Subsidiary Guarantors’ existing and future unsubordinated obligations; effectively senior to all unsecured indebtedness of the Issuers and the Subsidiary Guarantors, including the Company’s existing senior unsecured notes, to the extent of the value of the collateral securing the February 2028 Secured Notes; effectively equal with all of the Issuers’ and the Subsidiary Guarantors’ existing and future indebtedness that is secured by first-priority liens on the collateral (including indebtedness under the Company’s senior secured credit facilities and existing secured notes); senior in right of payment to any of the Issuers’ and Subsidiary Guarantors’ subordinated indebtedness; and structurally subordinated to all existing and future liabilities (including trade payables) of the Company’s subsidiaries (other than the Issuers) that do not guarantee the February 2028 Secured Notes.</w:t>
      </w:r>
    </w:p>
    <w:p>
      <w:pPr>
        <w:spacing w:after="0" w:line="21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February 2028 Secured Notes Indenture contains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February 2028 Secured Notes Indenture also contains customary events of default.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Exchangeable Notes</w:t>
      </w:r>
    </w:p>
    <w:p>
      <w:pPr>
        <w:spacing w:after="0" w:line="22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On March 21, 2023, the Company repurchased approximately $15.0 million of the Exchangeable Notes for total cash consideration of $13.7 million. During the first quarter of 2023, we recorded $1.1 million of gain on extinguishment of debt, net within interest expense on our Condensed Consolidated Statements of Income, which included $0.1 million of non-cash interest expense for the write off of the unamortized discount and deferred financing costs. In connection with these repurchases, the Company entered into partial unwind agreements with the Counterparties to unwind a portion of the Note Hedge Transactions and the Warrants described above (see </w:t>
      </w:r>
      <w:r>
        <w:rPr>
          <w:rFonts w:ascii="Arial" w:cs="Arial" w:eastAsia="Arial" w:hAnsi="Arial"/>
          <w:sz w:val="18"/>
          <w:szCs w:val="18"/>
          <w:u w:val="single" w:color="auto"/>
          <w:color w:val="0000FF"/>
        </w:rPr>
        <w:t>Note 8</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For the three and nine months ended September 30, 2023, we recognized $4.4 million and $13.6 million, respectively, of non-cash interest expense related to the amortization of deferred financing costs. For the three and nine months ended September 30, 2022, we recognized $4.4 million and $13.0 million, respectively, of non-cash interest expense related to the amortization of deferred financing costs.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4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dilutive effect of the Exchangeable Notes and the Convertible 2027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r>
        <w:rPr>
          <w:rFonts w:ascii="Arial" w:cs="Arial" w:eastAsia="Arial" w:hAnsi="Arial"/>
          <w:sz w:val="16"/>
          <w:szCs w:val="16"/>
          <w:u w:val="single" w:color="auto"/>
          <w:color w:val="0000FF"/>
        </w:rPr>
        <w:t>see Note 8</w:t>
      </w:r>
      <w:r>
        <w:rPr>
          <w:rFonts w:ascii="Arial" w:cs="Arial" w:eastAsia="Arial" w:hAnsi="Arial"/>
          <w:sz w:val="16"/>
          <w:szCs w:val="16"/>
          <w:color w:val="auto"/>
        </w:rPr>
        <w:t>) is calculated using the treasury-stock method. During the three and nine months ended September 30, 2023 and 2022, the Warrants were excluded from diluted shares outstanding because the exercise price exceeded the average market price of our common stock for the reporting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0" w:type="dxa"/>
            <w:vAlign w:val="bottom"/>
          </w:tcPr>
          <w:p>
            <w:pPr>
              <w:spacing w:after="0"/>
              <w:rPr>
                <w:sz w:val="2"/>
                <w:szCs w:val="2"/>
                <w:color w:val="auto"/>
              </w:rPr>
            </w:pPr>
          </w:p>
        </w:tc>
        <w:tc>
          <w:tcPr>
            <w:tcW w:w="4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40" w:type="dxa"/>
            <w:vAlign w:val="bottom"/>
          </w:tcPr>
          <w:p>
            <w:pPr>
              <w:spacing w:after="0"/>
              <w:rPr>
                <w:sz w:val="16"/>
                <w:szCs w:val="16"/>
                <w:color w:val="auto"/>
              </w:rPr>
            </w:pPr>
          </w:p>
        </w:tc>
        <w:tc>
          <w:tcPr>
            <w:tcW w:w="4980" w:type="dxa"/>
            <w:vAlign w:val="bottom"/>
            <w:gridSpan w:val="3"/>
          </w:tcPr>
          <w:p>
            <w:pPr>
              <w:ind w:left="20"/>
              <w:spacing w:after="0"/>
              <w:rPr>
                <w:sz w:val="20"/>
                <w:szCs w:val="20"/>
                <w:color w:val="auto"/>
              </w:rPr>
            </w:pPr>
            <w:r>
              <w:rPr>
                <w:rFonts w:ascii="Arial" w:cs="Arial" w:eastAsia="Arial" w:hAnsi="Arial"/>
                <w:sz w:val="14"/>
                <w:szCs w:val="14"/>
                <w:color w:val="auto"/>
              </w:rPr>
              <w:t>(Thousands, except per share data)</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r>
      <w:tr>
        <w:trPr>
          <w:trHeight w:val="26"/>
        </w:trPr>
        <w:tc>
          <w:tcPr>
            <w:tcW w:w="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loss per share:</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Numerator:</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4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loss attributable to shareholders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(74,473)</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(49,252)</w:t>
            </w:r>
          </w:p>
        </w:tc>
        <w:tc>
          <w:tcPr>
            <w:tcW w:w="4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Less: Income allocated to participating securities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4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Dividends declared on convertible preferred stock</w:t>
            </w:r>
          </w:p>
        </w:tc>
        <w:tc>
          <w:tcPr>
            <w:tcW w:w="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980" w:type="dxa"/>
            <w:vAlign w:val="bottom"/>
            <w:gridSpan w:val="3"/>
          </w:tcPr>
          <w:p>
            <w:pPr>
              <w:ind w:left="180"/>
              <w:spacing w:after="0"/>
              <w:rPr>
                <w:sz w:val="20"/>
                <w:szCs w:val="20"/>
                <w:color w:val="auto"/>
              </w:rPr>
            </w:pPr>
            <w:r>
              <w:rPr>
                <w:rFonts w:ascii="Arial" w:cs="Arial" w:eastAsia="Arial" w:hAnsi="Arial"/>
                <w:sz w:val="18"/>
                <w:szCs w:val="18"/>
                <w:color w:val="auto"/>
              </w:rPr>
              <w:t>Net loss attributable to common shares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(81,223)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(155,910)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(75,378)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(50,164)</w:t>
            </w:r>
          </w:p>
        </w:tc>
        <w:tc>
          <w:tcPr>
            <w:tcW w:w="4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9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236,533</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235,739</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236,352</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235,483</w:t>
            </w:r>
          </w:p>
        </w:tc>
        <w:tc>
          <w:tcPr>
            <w:tcW w:w="40" w:type="dxa"/>
            <w:vAlign w:val="bottom"/>
          </w:tcPr>
          <w:p>
            <w:pPr>
              <w:spacing w:after="0"/>
              <w:rPr>
                <w:sz w:val="21"/>
                <w:szCs w:val="21"/>
                <w:color w:val="auto"/>
              </w:rPr>
            </w:pPr>
          </w:p>
        </w:tc>
      </w:tr>
      <w:tr>
        <w:trPr>
          <w:trHeight w:val="275"/>
        </w:trPr>
        <w:tc>
          <w:tcPr>
            <w:tcW w:w="40" w:type="dxa"/>
            <w:vAlign w:val="bottom"/>
          </w:tcPr>
          <w:p>
            <w:pPr>
              <w:spacing w:after="0"/>
              <w:rPr>
                <w:sz w:val="23"/>
                <w:szCs w:val="23"/>
                <w:color w:val="auto"/>
              </w:rPr>
            </w:pPr>
          </w:p>
        </w:tc>
        <w:tc>
          <w:tcPr>
            <w:tcW w:w="4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loss per common share</w:t>
            </w:r>
          </w:p>
        </w:tc>
        <w:tc>
          <w:tcPr>
            <w:tcW w:w="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8"/>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8"/>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7"/>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0" w:type="dxa"/>
            <w:vAlign w:val="bottom"/>
          </w:tcPr>
          <w:p>
            <w:pPr>
              <w:spacing w:after="0"/>
              <w:rPr>
                <w:sz w:val="2"/>
                <w:szCs w:val="2"/>
                <w:color w:val="auto"/>
              </w:rPr>
            </w:pPr>
          </w:p>
        </w:tc>
        <w:tc>
          <w:tcPr>
            <w:tcW w:w="4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40" w:type="dxa"/>
            <w:vAlign w:val="bottom"/>
          </w:tcPr>
          <w:p>
            <w:pPr>
              <w:spacing w:after="0"/>
              <w:rPr>
                <w:sz w:val="16"/>
                <w:szCs w:val="16"/>
                <w:color w:val="auto"/>
              </w:rPr>
            </w:pPr>
          </w:p>
        </w:tc>
        <w:tc>
          <w:tcPr>
            <w:tcW w:w="498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49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loss attributable to shareholders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(80,897)</w:t>
            </w: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(155,679)</w:t>
            </w:r>
          </w:p>
        </w:tc>
        <w:tc>
          <w:tcPr>
            <w:tcW w:w="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(74,473)</w:t>
            </w:r>
          </w:p>
        </w:tc>
        <w:tc>
          <w:tcPr>
            <w:tcW w:w="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(49,252)</w:t>
            </w:r>
          </w:p>
        </w:tc>
        <w:tc>
          <w:tcPr>
            <w:tcW w:w="40" w:type="dxa"/>
            <w:vAlign w:val="bottom"/>
            <w:tcBorders>
              <w:left w:val="single" w:sz="8" w:color="CCEEFF"/>
            </w:tcBorders>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Less: Income allocated to participating securities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21"/>
                <w:szCs w:val="2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4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Dividends declared on convertible preferred stock</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left w:val="single" w:sz="8" w:color="CCEEFF"/>
            </w:tcBorders>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980" w:type="dxa"/>
            <w:vAlign w:val="bottom"/>
            <w:tcBorders>
              <w:bottom w:val="single" w:sz="8" w:color="CCEEFF"/>
            </w:tcBorders>
            <w:gridSpan w:val="3"/>
          </w:tcPr>
          <w:p>
            <w:pPr>
              <w:ind w:left="560"/>
              <w:spacing w:after="0"/>
              <w:rPr>
                <w:sz w:val="20"/>
                <w:szCs w:val="20"/>
                <w:color w:val="auto"/>
              </w:rPr>
            </w:pPr>
            <w:r>
              <w:rPr>
                <w:rFonts w:ascii="Arial" w:cs="Arial" w:eastAsia="Arial" w:hAnsi="Arial"/>
                <w:sz w:val="18"/>
                <w:szCs w:val="18"/>
                <w:color w:val="auto"/>
              </w:rPr>
              <w:t>Impact on if-converted dilutive securities</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56"/>
        </w:trPr>
        <w:tc>
          <w:tcPr>
            <w:tcW w:w="40" w:type="dxa"/>
            <w:vAlign w:val="bottom"/>
            <w:tcBorders>
              <w:right w:val="single" w:sz="8" w:color="CCEEFF"/>
            </w:tcBorders>
          </w:tcPr>
          <w:p>
            <w:pPr>
              <w:spacing w:after="0"/>
              <w:rPr>
                <w:sz w:val="22"/>
                <w:szCs w:val="22"/>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loss attributable to common shares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(81,223)</w:t>
            </w: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(155,910)</w:t>
            </w:r>
          </w:p>
        </w:tc>
        <w:tc>
          <w:tcPr>
            <w:tcW w:w="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(75,378)</w:t>
            </w:r>
          </w:p>
        </w:tc>
        <w:tc>
          <w:tcPr>
            <w:tcW w:w="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(50,164)</w:t>
            </w:r>
          </w:p>
        </w:tc>
        <w:tc>
          <w:tcPr>
            <w:tcW w:w="40" w:type="dxa"/>
            <w:vAlign w:val="bottom"/>
            <w:tcBorders>
              <w:left w:val="single" w:sz="8" w:color="CCEEFF"/>
            </w:tcBorders>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Denominator:</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 weighted-average common shares outstanding</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236,533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235,483</w:t>
            </w:r>
          </w:p>
        </w:tc>
        <w:tc>
          <w:tcPr>
            <w:tcW w:w="40" w:type="dxa"/>
            <w:vAlign w:val="bottom"/>
            <w:tcBorders>
              <w:left w:val="single" w:sz="8" w:color="CCEEFF"/>
            </w:tcBorders>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Effect of dilutive non-participating securities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63"/>
        </w:trPr>
        <w:tc>
          <w:tcPr>
            <w:tcW w:w="40" w:type="dxa"/>
            <w:vAlign w:val="bottom"/>
            <w:tcBorders>
              <w:right w:val="single" w:sz="8" w:color="CCEEFF"/>
            </w:tcBorders>
          </w:tcPr>
          <w:p>
            <w:pPr>
              <w:spacing w:after="0"/>
              <w:rPr>
                <w:sz w:val="22"/>
                <w:szCs w:val="22"/>
                <w:color w:val="auto"/>
              </w:rPr>
            </w:pPr>
          </w:p>
        </w:tc>
        <w:tc>
          <w:tcPr>
            <w:tcW w:w="4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Impact on if-converted dilutive securities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left w:val="single" w:sz="8" w:color="CCEEFF"/>
            </w:tcBorders>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w w:val="98"/>
              </w:rPr>
              <w:t>Weighted-average shares for dilutive loss per common share</w:t>
            </w: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236,533</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235,739</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236,352</w:t>
            </w:r>
          </w:p>
        </w:tc>
        <w:tc>
          <w:tcPr>
            <w:tcW w:w="40" w:type="dxa"/>
            <w:vAlign w:val="bottom"/>
            <w:tcBorders>
              <w:top w:val="single" w:sz="8" w:color="auto"/>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235,483</w:t>
            </w:r>
          </w:p>
        </w:tc>
        <w:tc>
          <w:tcPr>
            <w:tcW w:w="40" w:type="dxa"/>
            <w:vAlign w:val="bottom"/>
          </w:tcPr>
          <w:p>
            <w:pPr>
              <w:spacing w:after="0"/>
              <w:rPr>
                <w:sz w:val="21"/>
                <w:szCs w:val="2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loss per common share</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 w:type="dxa"/>
            <w:vAlign w:val="bottom"/>
            <w:tcBorders>
              <w:left w:val="single" w:sz="8" w:color="CCEEFF"/>
            </w:tcBorders>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5"/>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693"/>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40" w:type="dxa"/>
            <w:vAlign w:val="bottom"/>
            <w:tcBorders>
              <w:bottom w:val="single" w:sz="8" w:color="9A9A9A"/>
            </w:tcBorders>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nine months ended September 30, 2023, 1,053,189 non-participating securities were excluded from the computation of earnings per share, as their effect would have been anti-dilutive. For the three and nine months ended September 30, 2023, we excluded 53,427,833 and 53,836,845 potential common shares related to the Exchangeable Notes and the Convertible Notes, respectively, from the computation of earnings per share, as their effect would have been anti-dilutive.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two reportable segments, in addition to our corporate operations, which include: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color w:val="auto"/>
        </w:rPr>
        <w:t>: Represents the operations of our fiber business, Uniti Fiber, which is a leading provider of infrastructure solutions, including cell site backhaul</w:t>
      </w:r>
      <w:r>
        <w:rPr>
          <w:rFonts w:ascii="Arial" w:cs="Arial" w:eastAsia="Arial" w:hAnsi="Arial"/>
          <w:sz w:val="18"/>
          <w:szCs w:val="18"/>
          <w:i w:val="1"/>
          <w:iCs w:val="1"/>
          <w:color w:val="auto"/>
        </w:rPr>
        <w:t xml:space="preserve"> </w:t>
      </w:r>
      <w:r>
        <w:rPr>
          <w:rFonts w:ascii="Arial" w:cs="Arial" w:eastAsia="Arial" w:hAnsi="Arial"/>
          <w:sz w:val="18"/>
          <w:szCs w:val="18"/>
          <w:color w:val="auto"/>
        </w:rPr>
        <w:t>and dark fiber, to the telecommunications industry.</w:t>
      </w:r>
    </w:p>
    <w:p>
      <w:pPr>
        <w:spacing w:after="0" w:line="1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our corporate office and shared service functions. Certain costs and expenses, primarily related to headcount,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fees and similar charges, that are directly attributable to operations of our business segments are allocated to the respective segments.</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nine months ended September 30, 2023 and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 2023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Uniti Leasing</w:t>
            </w:r>
          </w:p>
        </w:tc>
        <w:tc>
          <w:tcPr>
            <w:tcW w:w="18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290,655</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(5,408)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120,691</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77,337</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(43,095)</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Three Months Ended September 30, 2022</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Uniti Leasing</w:t>
            </w:r>
          </w:p>
        </w:tc>
        <w:tc>
          <w:tcPr>
            <w:tcW w:w="18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5"/>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283,103</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(6,742)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225,053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97,731</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73,516</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sale of operations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71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Uniti Leasing</w:t>
            </w:r>
          </w:p>
        </w:tc>
        <w:tc>
          <w:tcPr>
            <w:tcW w:w="20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864,175</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(16,413)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692,378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389,243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133,617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97,719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231,379</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23,073</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(49,864)</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Nine Months Ended September 30, 2022</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Uniti Leasing</w:t>
            </w:r>
          </w:p>
        </w:tc>
        <w:tc>
          <w:tcPr>
            <w:tcW w:w="20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226,234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845,112</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(19,153)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677,006</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290,280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89,440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217,276</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sale of operations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714"/>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Commitments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As of September 30, 2023, the Company has made payments totaling $288.9 million.</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Further, beginning in October 2020, we became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per year in 2023 and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nine months ended September 30, 2023, Uniti reimbursed $233.5 million of Growth Capital Improvements, of which $35.1 million, as allowed for under the Settlement, represented the reimbursement of capital improvements completed in 2022 that were previously classified as tenant funded capital improvements. As of the date of this Quarterly Report on Form 10-Q, we have reimbursed a total of $794.2 million of Growth Capital Improvements.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$0.7 million and reported within other assets on our Condensed Consolidated Balance Sheets as of September 30, 2023, will be amortized as a reduction to revenue over the initial term of the Windstream Leases.</w:t>
      </w:r>
    </w:p>
    <w:p>
      <w:pPr>
        <w:spacing w:after="0" w:line="18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sole property of Windstream; however, Uniti will receive a first-lien security interest in the equipment purchased with the loans. No loans have been made under the Equipment Loan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3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 xml:space="preserve">Beginning on October 25, 2019, shareholders filed class action lawsuits that were consolidated into one case under the caption </w:t>
      </w:r>
      <w:r>
        <w:rPr>
          <w:rFonts w:ascii="Arial" w:cs="Arial" w:eastAsia="Arial" w:hAnsi="Arial"/>
          <w:sz w:val="17"/>
          <w:szCs w:val="17"/>
          <w:i w:val="1"/>
          <w:iCs w:val="1"/>
          <w:color w:val="auto"/>
        </w:rPr>
        <w:t>In re Uniti Group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Litigation </w:t>
      </w:r>
      <w:r>
        <w:rPr>
          <w:rFonts w:ascii="Arial" w:cs="Arial" w:eastAsia="Arial" w:hAnsi="Arial"/>
          <w:sz w:val="17"/>
          <w:szCs w:val="17"/>
          <w:color w:val="auto"/>
        </w:rPr>
        <w:t>(the "Class Action") in the U.S. District Court for the Eastern District of Arkansas against the Company and certain of our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alleging violations of the federal securities laws based on claims that the defendants improperly failed to disclose the risk that our spin-off from Windstream (the "Spin-Off") and entry into the Master Lease violated certain debt covenants of Windstream. The Class Action sought class certification, unspecified monetary damages, costs and attorneys’ fees and other relief. On March 25, 2022, the parties reached an agreement to settle the Class Action for $38.9 million, to be funded entirely by the Company’s insurance carriers, which was approved by the court on November 7, 2022. In accordance with ASC 450, we recorded $38.9 million of settlement expense within general and administrative expense within our Condensed Consolidated Statements of Income during the first quarter of 2022 and accounts payable, accrued expenses and other liabilities, net within our Condensed Consolidated Balance Sheets as of June 30, 2022. Additionally, we recorded the probable insurance recovery of $38.9 million as a reduction to general and administrative expense during the three months ended June 30, 2022 within our Condensed Consolidated Statements of Income, and other assets within the Condensed Consolidated Balance Sheets as of June 30, 2022. The probable insurance recovery remains in other assets within the Condensed Consolidated Balance Sheets as of September 30, 2023.</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August 17, 2021, shareholders filed a derivative action on behalf of the Company in the Circuit Court for Baltimore City, Maryland, under the caption </w:t>
      </w:r>
      <w:r>
        <w:rPr>
          <w:rFonts w:ascii="Arial" w:cs="Arial" w:eastAsia="Arial" w:hAnsi="Arial"/>
          <w:sz w:val="16"/>
          <w:szCs w:val="16"/>
          <w:i w:val="1"/>
          <w:iCs w:val="1"/>
          <w:color w:val="auto"/>
        </w:rPr>
        <w:t xml:space="preserve">Mayer et al. v. Gunderman et al. </w:t>
      </w:r>
      <w:r>
        <w:rPr>
          <w:rFonts w:ascii="Arial" w:cs="Arial" w:eastAsia="Arial" w:hAnsi="Arial"/>
          <w:sz w:val="16"/>
          <w:szCs w:val="16"/>
          <w:color w:val="auto"/>
        </w:rPr>
        <w:t>(the “Mayer Derivative Action”). On February 11, 2022, a shareholder filed a derivative action on behalf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federal District Court for the District of Maryland, under the caption </w:t>
      </w:r>
      <w:r>
        <w:rPr>
          <w:rFonts w:ascii="Arial" w:cs="Arial" w:eastAsia="Arial" w:hAnsi="Arial"/>
          <w:sz w:val="16"/>
          <w:szCs w:val="16"/>
          <w:i w:val="1"/>
          <w:iCs w:val="1"/>
          <w:color w:val="auto"/>
        </w:rPr>
        <w:t>Guzzo et al. v. Gunderman et al.</w:t>
      </w:r>
      <w:r>
        <w:rPr>
          <w:rFonts w:ascii="Arial" w:cs="Arial" w:eastAsia="Arial" w:hAnsi="Arial"/>
          <w:sz w:val="16"/>
          <w:szCs w:val="16"/>
          <w:color w:val="auto"/>
        </w:rPr>
        <w:t xml:space="preserve"> (the “Guzzo Derivative Action” and together, with the Mayer Derivative Action, the "Derivative Actions"). Various members of the Company's board of directors and management team were named as defendants in the Derivative Actions. The allegations in the Derivative Actions are similar to those in the Class Action, and both sought unspecified damages, equity relief and related costs and fees. On March 3, 2023, the parties to the Derivative Actions signed a stipulation of settlement agreeing to settle the actions in exchange for non-monetary damages, and also agreeing to an award of attorney’s fees and expenses to plaintiffs’ counsel in both</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actions in the amount of $0.8 million. The court in the Mayer Derivative Action granted final approval to the settlement on May 9, 2023 and dismissed the action. On May 11, 2023, the parties to the Guzzo Derivative Action filed a stipulation and order of dismissal in the action based on the final approval of the settlement in the Mayer Derivative Action, which was entered on May 25, 2023.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maintain insurance policies that would provide coverage to various degrees for potential liabilities arising from the legal proceedings described above.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2" w:name="page33"/>
    <w:bookmarkEnd w:id="32"/>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by component is as follows for the three and nine months ended September 30, 2023 and 2022:</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6"/>
        </w:trPr>
        <w:tc>
          <w:tcPr>
            <w:tcW w:w="4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 changes in fair value: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4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Balance at beginning of period attributable to shareholders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r>
      <w:tr>
        <w:trPr>
          <w:trHeight w:val="257"/>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at end of period attributable to shareholders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r>
      <w:tr>
        <w:trPr>
          <w:trHeight w:val="250"/>
        </w:trPr>
        <w:tc>
          <w:tcPr>
            <w:tcW w:w="4960" w:type="dxa"/>
            <w:vAlign w:val="bottom"/>
          </w:tcPr>
          <w:p>
            <w:pPr>
              <w:ind w:left="20"/>
              <w:spacing w:after="0"/>
              <w:rPr>
                <w:sz w:val="20"/>
                <w:szCs w:val="20"/>
                <w:color w:val="auto"/>
              </w:rPr>
            </w:pPr>
            <w:r>
              <w:rPr>
                <w:rFonts w:ascii="Arial" w:cs="Arial" w:eastAsia="Arial" w:hAnsi="Arial"/>
                <w:sz w:val="18"/>
                <w:szCs w:val="18"/>
                <w:color w:val="auto"/>
              </w:rPr>
              <w:t>Interest rate swap termination:</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at beginning of period attributable to shareholders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r>
      <w:tr>
        <w:trPr>
          <w:trHeight w:val="215"/>
        </w:trPr>
        <w:tc>
          <w:tcPr>
            <w:tcW w:w="4960" w:type="dxa"/>
            <w:vAlign w:val="bottom"/>
          </w:tcPr>
          <w:p>
            <w:pPr>
              <w:ind w:left="100"/>
              <w:spacing w:after="0"/>
              <w:rPr>
                <w:sz w:val="20"/>
                <w:szCs w:val="20"/>
                <w:color w:val="auto"/>
              </w:rPr>
            </w:pPr>
            <w:r>
              <w:rPr>
                <w:rFonts w:ascii="Arial" w:cs="Arial" w:eastAsia="Arial" w:hAnsi="Arial"/>
                <w:sz w:val="18"/>
                <w:szCs w:val="18"/>
                <w:color w:val="auto"/>
                <w:w w:val="99"/>
              </w:rPr>
              <w:t>Amounts reclassified from accumulated other comprehensive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4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r>
      <w:tr>
        <w:trPr>
          <w:trHeight w:val="257"/>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at end of period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29,677</w:t>
            </w:r>
          </w:p>
        </w:tc>
      </w:tr>
      <w:tr>
        <w:trPr>
          <w:trHeight w:val="215"/>
        </w:trPr>
        <w:tc>
          <w:tcPr>
            <w:tcW w:w="4960" w:type="dxa"/>
            <w:vAlign w:val="bottom"/>
          </w:tcPr>
          <w:p>
            <w:pPr>
              <w:ind w:left="100"/>
              <w:spacing w:after="0"/>
              <w:rPr>
                <w:sz w:val="20"/>
                <w:szCs w:val="20"/>
                <w:color w:val="auto"/>
              </w:rPr>
            </w:pPr>
            <w:r>
              <w:rPr>
                <w:rFonts w:ascii="Arial" w:cs="Arial" w:eastAsia="Arial" w:hAnsi="Arial"/>
                <w:sz w:val="18"/>
                <w:szCs w:val="18"/>
                <w:color w:val="auto"/>
                <w:w w:val="94"/>
              </w:rPr>
              <w:t>Less: Other comprehensive income attributable to noncontrolling</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496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49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at end of period attributable to shareholders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29,665</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Accumulated other comprehensive loss at end of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49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2023.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February 28, 2023, as amended by Amendment No. 1 thereto filed on Form 10-K/A with the SEC on March 29, 2023 (the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leasing business, Uniti Leasing, certain aspects of our former towers business, and Talk America Services, LLC, which operated our former Consumer CLEC Business, as taxable REIT subsidiaries (“TRSs”). TRSs enable us to engage in activities that result in income that does not constitute qualifying income for a REIT. Our TRSs are subject to U.S. federal, state and local corporate income taxes.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September 30, 2023, we are the sole general partner of the Operating Partnership and own approximately 99.96% of the partnership interests in the Operating Partnership. In addition, we have undertaken a series of transactions to permit us to hold certain assets through subsidiaries that are taxed as REITs, which may also facilitate future acquisition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right="80" w:firstLine="8"/>
        <w:spacing w:after="0" w:line="252"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ectPr>
          <w:pgSz w:w="11900" w:h="16914" w:orient="portrait"/>
          <w:cols w:equalWidth="0" w:num="1">
            <w:col w:w="11240"/>
          </w:cols>
          <w:pgMar w:left="320" w:top="125" w:right="33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two reportable business segments, in addition to our corporate operations, which include: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also operated through TRSs.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color w:val="auto"/>
        </w:rPr>
        <w:t>: Represents the operations of our fiber business, Uniti Fiber, which is a leading provider of infrastructure solutions, including cell site backhaul</w:t>
      </w:r>
      <w:r>
        <w:rPr>
          <w:rFonts w:ascii="Arial" w:cs="Arial" w:eastAsia="Arial" w:hAnsi="Arial"/>
          <w:sz w:val="18"/>
          <w:szCs w:val="18"/>
          <w:i w:val="1"/>
          <w:iCs w:val="1"/>
          <w:color w:val="auto"/>
        </w:rPr>
        <w:t xml:space="preserve"> </w:t>
      </w:r>
      <w:r>
        <w:rPr>
          <w:rFonts w:ascii="Arial" w:cs="Arial" w:eastAsia="Arial" w:hAnsi="Arial"/>
          <w:sz w:val="18"/>
          <w:szCs w:val="18"/>
          <w:color w:val="auto"/>
        </w:rPr>
        <w:t>and dark fiber, to the telecommunications industry.</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u w:val="single" w:color="auto"/>
          <w:color w:val="auto"/>
        </w:rPr>
        <w:t>Corporate</w:t>
      </w:r>
      <w:r>
        <w:rPr>
          <w:rFonts w:ascii="Arial" w:cs="Arial" w:eastAsia="Arial" w:hAnsi="Arial"/>
          <w:sz w:val="18"/>
          <w:szCs w:val="18"/>
          <w:color w:val="auto"/>
        </w:rPr>
        <w:t>: Represents our corporate office and shared service functions. Certain costs and expenses, primarily related to headcount,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12 to our accompanying Condensed Consolidated Financial Statements contained in Part I, Item 1 of this Quarterly Report on Form 10-Q.</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September 30,</w:t>
            </w:r>
          </w:p>
        </w:tc>
        <w:tc>
          <w:tcPr>
            <w:tcW w:w="128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r>
      <w:tr>
        <w:trPr>
          <w:trHeight w:val="26"/>
        </w:trPr>
        <w:tc>
          <w:tcPr>
            <w:tcW w:w="51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4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Revenues</w:t>
            </w:r>
          </w:p>
        </w:tc>
        <w:tc>
          <w:tcPr>
            <w:tcW w:w="300" w:type="dxa"/>
            <w:vAlign w:val="bottom"/>
          </w:tcPr>
          <w:p>
            <w:pPr>
              <w:spacing w:after="0"/>
              <w:rPr>
                <w:sz w:val="16"/>
                <w:szCs w:val="16"/>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 of Revenues</w:t>
            </w:r>
          </w:p>
        </w:tc>
      </w:tr>
      <w:tr>
        <w:trPr>
          <w:trHeight w:val="26"/>
        </w:trPr>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Uniti 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73.8%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73.7%</w:t>
            </w: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0"/>
              </w:rPr>
              <w:t>26.2%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0"/>
              </w:rPr>
              <w:t>26.3%</w:t>
            </w:r>
          </w:p>
        </w:tc>
      </w:tr>
      <w:tr>
        <w:trPr>
          <w:trHeight w:val="223"/>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88"/>
              </w:rPr>
              <w:t>100.0%</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41.5%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34.5%</w:t>
            </w: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26.6%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26.1%</w:t>
            </w: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9.5%</w:t>
            </w: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Operating expense (exclusive of depreciation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12.9%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12.8%</w:t>
            </w:r>
          </w:p>
        </w:tc>
      </w:tr>
      <w:tr>
        <w:trPr>
          <w:trHeight w:val="257"/>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52.6%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76.3%</w:t>
            </w:r>
          </w:p>
        </w:tc>
      </w:tr>
      <w:tr>
        <w:trPr>
          <w:trHeight w:val="257"/>
        </w:trPr>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2"/>
              </w:rPr>
              <w:t>0.5%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2"/>
              </w:rPr>
              <w:t>0.8%</w:t>
            </w:r>
          </w:p>
        </w:tc>
      </w:tr>
      <w:tr>
        <w:trPr>
          <w:trHeight w:val="257"/>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4"/>
              </w:rPr>
              <w:t>(0.5)%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0.0%</w:t>
            </w:r>
          </w:p>
        </w:tc>
      </w:tr>
      <w:tr>
        <w:trPr>
          <w:trHeight w:val="257"/>
        </w:trPr>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4"/>
              </w:rPr>
              <w:t>(0.1)%</w:t>
            </w:r>
          </w:p>
        </w:tc>
      </w:tr>
      <w:tr>
        <w:trPr>
          <w:trHeight w:val="229"/>
        </w:trPr>
        <w:tc>
          <w:tcPr>
            <w:tcW w:w="5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2"/>
              </w:rPr>
              <w:t>0.5%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2"/>
              </w:rPr>
              <w:t>0.0%</w:t>
            </w:r>
          </w:p>
        </w:tc>
      </w:tr>
      <w:tr>
        <w:trPr>
          <w:trHeight w:val="223"/>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2"/>
              <w:spacing w:after="0"/>
              <w:rPr>
                <w:sz w:val="20"/>
                <w:szCs w:val="20"/>
                <w:color w:val="auto"/>
              </w:rPr>
            </w:pPr>
            <w:r>
              <w:rPr>
                <w:rFonts w:ascii="Arial" w:cs="Arial" w:eastAsia="Arial" w:hAnsi="Arial"/>
                <w:sz w:val="18"/>
                <w:szCs w:val="18"/>
                <w:color w:val="auto"/>
                <w:w w:val="91"/>
              </w:rPr>
              <w:t>142.9%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88"/>
              </w:rPr>
              <w:t>159.9%</w:t>
            </w:r>
          </w:p>
        </w:tc>
      </w:tr>
      <w:tr>
        <w:trPr>
          <w:trHeight w:val="155"/>
        </w:trPr>
        <w:tc>
          <w:tcPr>
            <w:tcW w:w="512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Loss before income taxes and equity in earnings from</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unconsolidated entities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(124,698)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1"/>
              </w:rPr>
              <w:t>(42.9)%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1"/>
              </w:rPr>
              <w:t>(59.8)%</w:t>
            </w: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1"/>
              </w:rPr>
              <w:t>(14.9%)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4"/>
              </w:rPr>
              <w:t>(4.6%)</w:t>
            </w:r>
          </w:p>
        </w:tc>
      </w:tr>
      <w:tr>
        <w:trPr>
          <w:trHeight w:val="230"/>
        </w:trPr>
        <w:tc>
          <w:tcPr>
            <w:tcW w:w="5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4"/>
              </w:rPr>
              <w:t>(0.2%)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4"/>
              </w:rPr>
              <w:t>(0.2%)</w:t>
            </w:r>
          </w:p>
        </w:tc>
      </w:tr>
      <w:tr>
        <w:trPr>
          <w:trHeight w:val="22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1"/>
              </w:rPr>
              <w:t>(27.8%)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1"/>
              </w:rPr>
              <w:t>(55.0%)</w:t>
            </w:r>
          </w:p>
        </w:tc>
      </w:tr>
      <w:tr>
        <w:trPr>
          <w:trHeight w:val="230"/>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4"/>
              </w:rPr>
              <w:t>(0.0)%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2"/>
              </w:rPr>
              <w:t>0.0%</w:t>
            </w:r>
          </w:p>
        </w:tc>
      </w:tr>
      <w:tr>
        <w:trPr>
          <w:trHeight w:val="22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shareholders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1"/>
              </w:rPr>
              <w:t>(27.8)%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1"/>
              </w:rPr>
              <w:t>(55.0%)</w:t>
            </w: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4"/>
              </w:rPr>
              <w:t>(0.1%)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4"/>
              </w:rPr>
              <w:t>(0.1%)</w:t>
            </w: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4"/>
              </w:rPr>
              <w:t>(0.0%)</w:t>
            </w: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1"/>
              </w:rPr>
              <w:t>(27.9)%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(155,910)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1"/>
              </w:rPr>
              <w:t>(55.1)%</w:t>
            </w: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set forth revenues, Adjusted EBITDA and net income of our reportable segments for the three months ended September 30,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 2023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4"/>
              </w:rPr>
              <w:t>Subtotal of Reportable</w:t>
            </w: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Uniti Leasing</w:t>
            </w:r>
          </w:p>
        </w:tc>
        <w:tc>
          <w:tcPr>
            <w:tcW w:w="18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71"/>
              <w:spacing w:after="0"/>
              <w:rPr>
                <w:sz w:val="20"/>
                <w:szCs w:val="20"/>
                <w:color w:val="auto"/>
              </w:rPr>
            </w:pPr>
            <w:r>
              <w:rPr>
                <w:rFonts w:ascii="Arial" w:cs="Arial" w:eastAsia="Arial" w:hAnsi="Arial"/>
                <w:sz w:val="14"/>
                <w:szCs w:val="14"/>
                <w:b w:val="1"/>
                <w:bCs w:val="1"/>
                <w:color w:val="auto"/>
              </w:rPr>
              <w:t>Segments</w:t>
            </w:r>
          </w:p>
        </w:tc>
      </w:tr>
      <w:tr>
        <w:trPr>
          <w:trHeight w:val="25"/>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290,655</w:t>
            </w: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233,010</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120,691</w:t>
            </w: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32,570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77,337</w:t>
            </w: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153,000</w:t>
            </w: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real estate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2,091</w:t>
            </w: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(43,095)</w:t>
            </w: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(80,933)</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41"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4"/>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Uniti Leasing</w:t>
            </w:r>
          </w:p>
        </w:tc>
        <w:tc>
          <w:tcPr>
            <w:tcW w:w="140" w:type="dxa"/>
            <w:vAlign w:val="bottom"/>
          </w:tcPr>
          <w:p>
            <w:pPr>
              <w:spacing w:after="0"/>
              <w:rPr>
                <w:sz w:val="16"/>
                <w:szCs w:val="16"/>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Uniti Fiber</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6"/>
                <w:szCs w:val="16"/>
                <w:color w:val="auto"/>
              </w:rPr>
            </w:pPr>
          </w:p>
        </w:tc>
        <w:tc>
          <w:tcPr>
            <w:tcW w:w="1340" w:type="dxa"/>
            <w:vAlign w:val="bottom"/>
          </w:tcPr>
          <w:p>
            <w:pPr>
              <w:jc w:val="center"/>
              <w:ind w:right="74"/>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283,103</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225,053</w:t>
            </w:r>
          </w:p>
        </w:tc>
        <w:tc>
          <w:tcPr>
            <w:tcW w:w="0" w:type="dxa"/>
            <w:vAlign w:val="bottom"/>
          </w:tcPr>
          <w:p>
            <w:pPr>
              <w:spacing w:after="0"/>
              <w:rPr>
                <w:sz w:val="1"/>
                <w:szCs w:val="1"/>
                <w:color w:val="auto"/>
              </w:rPr>
            </w:pPr>
          </w:p>
        </w:tc>
      </w:tr>
      <w:tr>
        <w:trPr>
          <w:trHeight w:val="250"/>
        </w:trPr>
        <w:tc>
          <w:tcPr>
            <w:tcW w:w="5060" w:type="dxa"/>
            <w:vAlign w:val="bottom"/>
            <w:gridSpan w:val="4"/>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97,731</w:t>
            </w:r>
          </w:p>
        </w:tc>
        <w:tc>
          <w:tcPr>
            <w:tcW w:w="0" w:type="dxa"/>
            <w:vAlign w:val="bottom"/>
          </w:tcPr>
          <w:p>
            <w:pPr>
              <w:spacing w:after="0"/>
              <w:rPr>
                <w:sz w:val="1"/>
                <w:szCs w:val="1"/>
                <w:color w:val="auto"/>
              </w:rPr>
            </w:pPr>
          </w:p>
        </w:tc>
      </w:tr>
      <w:tr>
        <w:trPr>
          <w:trHeight w:val="256"/>
        </w:trPr>
        <w:tc>
          <w:tcPr>
            <w:tcW w:w="506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73,516</w:t>
            </w: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57"/>
        </w:trPr>
        <w:tc>
          <w:tcPr>
            <w:tcW w:w="5060" w:type="dxa"/>
            <w:vAlign w:val="bottom"/>
            <w:gridSpan w:val="4"/>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Gain on sale of real estate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5060" w:type="dxa"/>
            <w:vAlign w:val="bottom"/>
            <w:gridSpan w:val="4"/>
          </w:tcPr>
          <w:p>
            <w:pPr>
              <w:ind w:left="180"/>
              <w:spacing w:after="0"/>
              <w:rPr>
                <w:sz w:val="20"/>
                <w:szCs w:val="20"/>
                <w:color w:val="auto"/>
              </w:rPr>
            </w:pPr>
            <w:r>
              <w:rPr>
                <w:rFonts w:ascii="Arial" w:cs="Arial" w:eastAsia="Arial" w:hAnsi="Arial"/>
                <w:sz w:val="18"/>
                <w:szCs w:val="18"/>
                <w:color w:val="auto"/>
              </w:rPr>
              <w:t>Gain on sale of operations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6"/>
        </w:trPr>
        <w:tc>
          <w:tcPr>
            <w:tcW w:w="5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7"/>
        </w:trPr>
        <w:tc>
          <w:tcPr>
            <w:tcW w:w="5060" w:type="dxa"/>
            <w:vAlign w:val="bottom"/>
            <w:gridSpan w:val="4"/>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i w:val="1"/>
                <w:iCs w:val="1"/>
                <w:color w:val="auto"/>
              </w:rPr>
              <w:t>Summary of Operating Metrics</w:t>
            </w: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Operating Metrics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4"/>
              <w:spacing w:after="0" w:line="129" w:lineRule="exact"/>
              <w:rPr>
                <w:sz w:val="20"/>
                <w:szCs w:val="20"/>
                <w:color w:val="auto"/>
              </w:rPr>
            </w:pPr>
            <w:r>
              <w:rPr>
                <w:rFonts w:ascii="Arial" w:cs="Arial" w:eastAsia="Arial" w:hAnsi="Arial"/>
                <w:sz w:val="14"/>
                <w:szCs w:val="14"/>
                <w:b w:val="1"/>
                <w:bCs w:val="1"/>
                <w:color w:val="auto"/>
                <w:w w:val="93"/>
              </w:rPr>
              <w:t>% Increase /</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metrics: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gridSpan w:val="4"/>
          </w:tcPr>
          <w:p>
            <w:pPr>
              <w:ind w:left="260"/>
              <w:spacing w:after="0"/>
              <w:rPr>
                <w:sz w:val="20"/>
                <w:szCs w:val="20"/>
                <w:color w:val="auto"/>
              </w:rPr>
            </w:pPr>
            <w:r>
              <w:rPr>
                <w:rFonts w:ascii="Arial" w:cs="Arial" w:eastAsia="Arial" w:hAnsi="Arial"/>
                <w:sz w:val="18"/>
                <w:szCs w:val="18"/>
                <w:color w:val="auto"/>
              </w:rPr>
              <w:t>Uniti Leasing:</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Fiber strand miles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87"/>
              </w:rPr>
              <w:t>6.2%</w:t>
            </w:r>
          </w:p>
        </w:tc>
        <w:tc>
          <w:tcPr>
            <w:tcW w:w="0" w:type="dxa"/>
            <w:vAlign w:val="bottom"/>
          </w:tcPr>
          <w:p>
            <w:pPr>
              <w:spacing w:after="0"/>
              <w:rPr>
                <w:sz w:val="1"/>
                <w:szCs w:val="1"/>
                <w:color w:val="auto"/>
              </w:rPr>
            </w:pPr>
          </w:p>
        </w:tc>
      </w:tr>
      <w:tr>
        <w:trPr>
          <w:trHeight w:val="230"/>
        </w:trPr>
        <w:tc>
          <w:tcPr>
            <w:tcW w:w="5060" w:type="dxa"/>
            <w:vAlign w:val="bottom"/>
            <w:gridSpan w:val="4"/>
          </w:tcPr>
          <w:p>
            <w:pPr>
              <w:ind w:left="600"/>
              <w:spacing w:after="0"/>
              <w:rPr>
                <w:sz w:val="20"/>
                <w:szCs w:val="20"/>
                <w:color w:val="auto"/>
              </w:rPr>
            </w:pPr>
            <w:r>
              <w:rPr>
                <w:rFonts w:ascii="Arial" w:cs="Arial" w:eastAsia="Arial" w:hAnsi="Arial"/>
                <w:sz w:val="18"/>
                <w:szCs w:val="18"/>
                <w:color w:val="auto"/>
              </w:rPr>
              <w:t>Copper strand miles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4"/>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30"/>
        </w:trPr>
        <w:tc>
          <w:tcPr>
            <w:tcW w:w="50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Uniti Fiber:</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4"/>
          </w:tcPr>
          <w:p>
            <w:pPr>
              <w:ind w:left="600"/>
              <w:spacing w:after="0"/>
              <w:rPr>
                <w:sz w:val="20"/>
                <w:szCs w:val="20"/>
                <w:color w:val="auto"/>
              </w:rPr>
            </w:pPr>
            <w:r>
              <w:rPr>
                <w:rFonts w:ascii="Arial" w:cs="Arial" w:eastAsia="Arial" w:hAnsi="Arial"/>
                <w:sz w:val="18"/>
                <w:szCs w:val="18"/>
                <w:color w:val="auto"/>
              </w:rPr>
              <w:t>Fiber strand miles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4"/>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30"/>
        </w:trPr>
        <w:tc>
          <w:tcPr>
            <w:tcW w:w="506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Customer connections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513"/>
        </w:trPr>
        <w:tc>
          <w:tcPr>
            <w:tcW w:w="50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60" w:type="dxa"/>
            <w:vAlign w:val="bottom"/>
            <w:gridSpan w:val="4"/>
            <w:vMerge w:val="restart"/>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1"/>
                <w:szCs w:val="11"/>
                <w:color w:val="auto"/>
              </w:rPr>
            </w:pPr>
          </w:p>
        </w:tc>
        <w:tc>
          <w:tcPr>
            <w:tcW w:w="13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1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3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92"/>
        </w:trPr>
        <w:tc>
          <w:tcPr>
            <w:tcW w:w="50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4"/>
          </w:tcPr>
          <w:p>
            <w:pPr>
              <w:ind w:left="260"/>
              <w:spacing w:after="0"/>
              <w:rPr>
                <w:sz w:val="20"/>
                <w:szCs w:val="20"/>
                <w:color w:val="auto"/>
              </w:rPr>
            </w:pPr>
            <w:r>
              <w:rPr>
                <w:rFonts w:ascii="Arial" w:cs="Arial" w:eastAsia="Arial" w:hAnsi="Arial"/>
                <w:sz w:val="18"/>
                <w:szCs w:val="18"/>
                <w:color w:val="auto"/>
              </w:rPr>
              <w:t>Uniti Leasing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214,588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57"/>
              <w:spacing w:after="0"/>
              <w:rPr>
                <w:sz w:val="20"/>
                <w:szCs w:val="20"/>
                <w:color w:val="auto"/>
              </w:rPr>
            </w:pPr>
            <w:r>
              <w:rPr>
                <w:rFonts w:ascii="Arial" w:cs="Arial" w:eastAsia="Arial" w:hAnsi="Arial"/>
                <w:sz w:val="18"/>
                <w:szCs w:val="18"/>
                <w:color w:val="auto"/>
                <w:w w:val="90"/>
              </w:rPr>
              <w:t>73.8%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208,623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4"/>
              <w:spacing w:after="0"/>
              <w:rPr>
                <w:sz w:val="20"/>
                <w:szCs w:val="20"/>
                <w:color w:val="auto"/>
              </w:rPr>
            </w:pPr>
            <w:r>
              <w:rPr>
                <w:rFonts w:ascii="Arial" w:cs="Arial" w:eastAsia="Arial" w:hAnsi="Arial"/>
                <w:sz w:val="18"/>
                <w:szCs w:val="18"/>
                <w:color w:val="auto"/>
                <w:w w:val="90"/>
              </w:rPr>
              <w:t>73.7%</w:t>
            </w:r>
          </w:p>
        </w:tc>
        <w:tc>
          <w:tcPr>
            <w:tcW w:w="0" w:type="dxa"/>
            <w:vAlign w:val="bottom"/>
          </w:tcPr>
          <w:p>
            <w:pPr>
              <w:spacing w:after="0"/>
              <w:rPr>
                <w:sz w:val="1"/>
                <w:szCs w:val="1"/>
                <w:color w:val="auto"/>
              </w:rPr>
            </w:pPr>
          </w:p>
        </w:tc>
      </w:tr>
      <w:tr>
        <w:trPr>
          <w:trHeight w:val="230"/>
        </w:trPr>
        <w:tc>
          <w:tcPr>
            <w:tcW w:w="5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Uniti Fiber</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8"/>
                <w:szCs w:val="18"/>
                <w:color w:val="auto"/>
                <w:w w:val="90"/>
              </w:rPr>
              <w:t>26.2%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90"/>
              </w:rPr>
              <w:t>26.3%</w:t>
            </w:r>
          </w:p>
        </w:tc>
        <w:tc>
          <w:tcPr>
            <w:tcW w:w="0" w:type="dxa"/>
            <w:vAlign w:val="bottom"/>
          </w:tcPr>
          <w:p>
            <w:pPr>
              <w:spacing w:after="0"/>
              <w:rPr>
                <w:sz w:val="1"/>
                <w:szCs w:val="1"/>
                <w:color w:val="auto"/>
              </w:rPr>
            </w:pPr>
          </w:p>
        </w:tc>
      </w:tr>
      <w:tr>
        <w:trPr>
          <w:trHeight w:val="223"/>
        </w:trPr>
        <w:tc>
          <w:tcPr>
            <w:tcW w:w="5060" w:type="dxa"/>
            <w:vAlign w:val="bottom"/>
            <w:gridSpan w:val="4"/>
          </w:tcPr>
          <w:p>
            <w:pPr>
              <w:ind w:left="36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290,655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57"/>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4"/>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u w:val="single" w:color="auto"/>
          <w:color w:val="auto"/>
        </w:rPr>
        <w:t>Uniti 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Uniti Leasing revenues are primarily attributable to rental revenue from leasing our Distribution Systems to Windstream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Windstream 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2023 is $672.2 million and is subject to annual escalation at a rate of 0.5%. For a description of the Windstream Leases, see “Liquidity and Capital Resources— Windstream Leases” below.</w:t>
      </w:r>
    </w:p>
    <w:p>
      <w:pPr>
        <w:spacing w:after="0" w:line="1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Leases.”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Starting on the first anniversary of each installment of reimbursement for a Growth Capital Improvement, the rent payable by Windstream under the</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w:t>
      </w:r>
    </w:p>
    <w:p>
      <w:pPr>
        <w:spacing w:after="0" w:line="19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w:t>
      </w:r>
    </w:p>
    <w:p>
      <w:pPr>
        <w:sectPr>
          <w:pgSz w:w="11900" w:h="16838" w:orient="portrait"/>
          <w:cols w:equalWidth="0" w:num="1">
            <w:col w:w="11240"/>
          </w:cols>
          <w:pgMar w:left="320" w:top="157" w:right="339" w:bottom="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amounts will thereafter be treated as if Uniti had reimbursed them).</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TCIs exclude Growth Capital Improvements as and when reimbursed by Uniti.</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114"/>
              <w:spacing w:after="0" w:line="133" w:lineRule="exact"/>
              <w:rPr>
                <w:sz w:val="20"/>
                <w:szCs w:val="20"/>
                <w:color w:val="auto"/>
              </w:rPr>
            </w:pPr>
            <w:r>
              <w:rPr>
                <w:rFonts w:ascii="Arial" w:cs="Arial" w:eastAsia="Arial" w:hAnsi="Arial"/>
                <w:sz w:val="14"/>
                <w:szCs w:val="14"/>
                <w:b w:val="1"/>
                <w:bCs w:val="1"/>
                <w:color w:val="auto"/>
                <w:w w:val="95"/>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3"/>
              <w:spacing w:after="0" w:line="133"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92"/>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Uniti 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Cash 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78.5%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80.3%</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GCI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1.9%</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cash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82.4%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171,414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82.2%</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87"/>
              </w:rPr>
              <w:t>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7"/>
              </w:rPr>
              <w:t>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87"/>
              </w:rPr>
              <w:t>0.7%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8.0%</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90.6%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188,218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90.2%</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9.4%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9.8%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Total Uniti Leasing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214,588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208,623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increase in TCI revenue is attributable to continued investment by Windstream. As of September 30, 2023 and 2022, the total amount invested in TCIs by Windstream since the inception of the Windstream Leases and Master Lease was $1.1 billion and $1.1 billion, respectively.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GCI revenue is attributable to Uniti’s continued reimbursement of Growth Capital Improvements. During the three months ended September 30, 2023, Uniti reimbursed $74.7 million of Growth Capital Improvements. Subsequent to September 30, 2023, Windstream requested, and we reimbursed $16.5 million of qualifying Growth Capital Improvements. As of the date of this Quarterly Report on Form 10-Q, we have reimbursed a total of $794.2 million of Growth Capital Improvements.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recognized $20.3 million and $20.4 million of revenues from other services including non-Windstream triple-net leasing and dark fiber indefeasible rights of use (“IRU”) arrangements for the three months ended September 30, 2023 and 2022, respectively.</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the date of this Quarterly Report on Form 10-Q, Windstream is current on all lease payments. Moody's Investor Service's current corporate family rating for Windstream is B3 with a stable outlook. S&amp;P Global Ratings' current issuer rating for Windstream is B- with a stable outlook. In addition, in order to assist us in our continuing assessment of Windstream’s creditworthiness, we periodically receive certain confidential financial information and metrics from Windstream.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i w:val="1"/>
          <w:iCs w:val="1"/>
          <w:color w:val="auto"/>
        </w:rPr>
        <w:t xml:space="preserve"> </w:t>
      </w:r>
      <w:r>
        <w:rPr>
          <w:rFonts w:ascii="Arial" w:cs="Arial" w:eastAsia="Arial" w:hAnsi="Arial"/>
          <w:sz w:val="18"/>
          <w:szCs w:val="18"/>
          <w:color w:val="auto"/>
        </w:rPr>
        <w:t>– Uniti Fiber revenues for the three months ended September 30, 2023 and 2022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116"/>
              <w:spacing w:after="0" w:line="129" w:lineRule="exact"/>
              <w:rPr>
                <w:sz w:val="20"/>
                <w:szCs w:val="20"/>
                <w:color w:val="auto"/>
              </w:rPr>
            </w:pPr>
            <w:r>
              <w:rPr>
                <w:rFonts w:ascii="Arial" w:cs="Arial" w:eastAsia="Arial" w:hAnsi="Arial"/>
                <w:sz w:val="14"/>
                <w:szCs w:val="14"/>
                <w:b w:val="1"/>
                <w:bCs w:val="1"/>
                <w:color w:val="auto"/>
                <w:w w:val="95"/>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135"/>
              <w:spacing w:after="0" w:line="129"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30"/>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Uniti Fiber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Arial" w:cs="Arial" w:eastAsia="Arial" w:hAnsi="Arial"/>
                <w:sz w:val="18"/>
                <w:szCs w:val="18"/>
                <w:color w:val="auto"/>
                <w:w w:val="93"/>
              </w:rPr>
              <w:t>24.0%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Arial" w:cs="Arial" w:eastAsia="Arial" w:hAnsi="Arial"/>
                <w:sz w:val="18"/>
                <w:szCs w:val="18"/>
                <w:color w:val="auto"/>
                <w:w w:val="90"/>
              </w:rPr>
              <w:t>26.8%</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Enterprise and wholesale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3"/>
              </w:rPr>
              <w:t>31.9%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0"/>
              </w:rPr>
              <w:t>28.8%</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Arial" w:cs="Arial" w:eastAsia="Arial" w:hAnsi="Arial"/>
                <w:sz w:val="18"/>
                <w:szCs w:val="18"/>
                <w:color w:val="auto"/>
                <w:w w:val="93"/>
              </w:rPr>
              <w:t>20.9%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Arial" w:cs="Arial" w:eastAsia="Arial" w:hAnsi="Arial"/>
                <w:sz w:val="18"/>
                <w:szCs w:val="18"/>
                <w:color w:val="auto"/>
                <w:w w:val="90"/>
              </w:rPr>
              <w:t>20.5%</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Dark fiber and small cells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3"/>
              </w:rPr>
              <w:t>22.2%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0"/>
              </w:rPr>
              <w:t>23.0%</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8"/>
                <w:szCs w:val="18"/>
                <w:color w:val="auto"/>
                <w:w w:val="87"/>
              </w:rPr>
              <w:t>1.0%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Uniti Fiber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8"/>
                <w:szCs w:val="18"/>
                <w:color w:val="auto"/>
                <w:w w:val="91"/>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For the three months ended September 30, 2023, Uniti Fiber revenues totaled $76.1 million as compared to $74.5 million for the three months ended September 30, 2022. The increase in Uniti Fiber revenues of $1.6 million is primarily due to an increase in Enterprise and wholesale revenues of $2.8 million, driven primarily by increased internet services, and an increase in E-Rate and government revenues of $0.7 million, driven primarily by increased equipment and installation sales, partially offset by a decrease in Lit backhaul services revenues of $1.7 million, driven primarily by decreased one-time unsplicing and cancellation fees.</w:t>
      </w:r>
    </w:p>
    <w:p>
      <w:pPr>
        <w:sectPr>
          <w:pgSz w:w="11900" w:h="16838" w:orient="portrait"/>
          <w:cols w:equalWidth="0" w:num="1">
            <w:col w:w="11240"/>
          </w:cols>
          <w:pgMar w:left="320" w:top="125" w:right="339" w:bottom="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right"/>
              <w:ind w:right="1132"/>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66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Increase / (Decrease)</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notes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23,953</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3,526</w:t>
            </w: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Interest rate swap termination</w:t>
            </w: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23"/>
        </w:trPr>
        <w:tc>
          <w:tcPr>
            <w:tcW w:w="6600" w:type="dxa"/>
            <w:vAlign w:val="bottom"/>
            <w:gridSpan w:val="2"/>
          </w:tcPr>
          <w:p>
            <w:pPr>
              <w:ind w:left="680"/>
              <w:spacing w:after="0"/>
              <w:rPr>
                <w:sz w:val="20"/>
                <w:szCs w:val="20"/>
                <w:color w:val="auto"/>
              </w:rPr>
            </w:pPr>
            <w:r>
              <w:rPr>
                <w:rFonts w:ascii="Arial" w:cs="Arial" w:eastAsia="Arial" w:hAnsi="Arial"/>
                <w:sz w:val="18"/>
                <w:szCs w:val="18"/>
                <w:color w:val="auto"/>
              </w:rPr>
              <w:t>Total cash interest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23,685</w:t>
            </w:r>
          </w:p>
        </w:tc>
      </w:tr>
      <w:tr>
        <w:trPr>
          <w:trHeight w:val="229"/>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Non-cash: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66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6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non-cash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3"/>
        </w:trPr>
        <w:tc>
          <w:tcPr>
            <w:tcW w:w="6600" w:type="dxa"/>
            <w:vAlign w:val="bottom"/>
            <w:gridSpan w:val="2"/>
          </w:tcPr>
          <w:p>
            <w:pPr>
              <w:ind w:left="76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97,731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22,960</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Interest expense for the three months ended September 30, 2023 increased by $23.0 million compared to the three months ended September 30, 2022. The increase is primarily due to higher cash interest on our secured and unsecured notes of $27.5 million, partially offset by a $2.8 million decrease in interest rate swap termination interest which ceased October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right"/>
              <w:ind w:right="1132"/>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66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Increase / (Decrease)</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Uniti Leasing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30"/>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Uniti Fiber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29"/>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Total 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3,841</w:t>
            </w: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Uniti Leasing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Uniti Fiber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Uniti Leasing depreciation expense increased $1.6 million for the three months ended September 30, 2023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The increase is primarily due to asset additions since September 30, 2022.</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i w:val="1"/>
          <w:iCs w:val="1"/>
          <w:color w:val="auto"/>
        </w:rPr>
        <w:t xml:space="preserve"> </w:t>
      </w:r>
      <w:r>
        <w:rPr>
          <w:rFonts w:ascii="Arial" w:cs="Arial" w:eastAsia="Arial" w:hAnsi="Arial"/>
          <w:sz w:val="18"/>
          <w:szCs w:val="18"/>
          <w:color w:val="auto"/>
        </w:rPr>
        <w:t>– Uniti Fiber depreciation expense increased $2.2 million for the three months ended September 30, 2023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increase is primarily due to asset additions since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 includes compensation costs, including stock-based compensation awards, professional and legal services, corporate office costs and other costs associated with administrative activities of our segments.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8"/>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92"/>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Uniti 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8"/>
              <w:spacing w:after="0"/>
              <w:rPr>
                <w:sz w:val="20"/>
                <w:szCs w:val="20"/>
                <w:color w:val="auto"/>
              </w:rPr>
            </w:pPr>
            <w:r>
              <w:rPr>
                <w:rFonts w:ascii="Arial" w:cs="Arial" w:eastAsia="Arial" w:hAnsi="Arial"/>
                <w:sz w:val="18"/>
                <w:szCs w:val="18"/>
                <w:color w:val="auto"/>
                <w:w w:val="92"/>
              </w:rPr>
              <w:t>1.0%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6"/>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Uniti Fiber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58"/>
              <w:spacing w:after="0"/>
              <w:rPr>
                <w:sz w:val="20"/>
                <w:szCs w:val="20"/>
                <w:color w:val="auto"/>
              </w:rPr>
            </w:pPr>
            <w:r>
              <w:rPr>
                <w:rFonts w:ascii="Arial" w:cs="Arial" w:eastAsia="Arial" w:hAnsi="Arial"/>
                <w:sz w:val="18"/>
                <w:szCs w:val="18"/>
                <w:color w:val="auto"/>
                <w:w w:val="92"/>
              </w:rPr>
              <w:t>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8"/>
                <w:szCs w:val="18"/>
                <w:color w:val="auto"/>
                <w:w w:val="92"/>
              </w:rPr>
              <w:t>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58"/>
              <w:spacing w:after="0"/>
              <w:rPr>
                <w:sz w:val="20"/>
                <w:szCs w:val="20"/>
                <w:color w:val="auto"/>
              </w:rPr>
            </w:pPr>
            <w:r>
              <w:rPr>
                <w:rFonts w:ascii="Arial" w:cs="Arial" w:eastAsia="Arial" w:hAnsi="Arial"/>
                <w:sz w:val="18"/>
                <w:szCs w:val="18"/>
                <w:color w:val="auto"/>
                <w:w w:val="92"/>
              </w:rPr>
              <w:t>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8"/>
                <w:szCs w:val="18"/>
                <w:color w:val="auto"/>
                <w:w w:val="87"/>
              </w:rPr>
              <w:t>9.5%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Uniti Leasing general and administrative expense decreased $0.7 million for the three months ended September 30, 2023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2022, which is primarily due to a decrease in personnel expense of $0.5 million.</w:t>
      </w:r>
    </w:p>
    <w:p>
      <w:pPr>
        <w:spacing w:after="0" w:line="17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i w:val="1"/>
          <w:iCs w:val="1"/>
          <w:u w:val="single" w:color="auto"/>
          <w:color w:val="auto"/>
        </w:rPr>
        <w:t>Uniti Fiber</w:t>
      </w:r>
      <w:r>
        <w:rPr>
          <w:rFonts w:ascii="Arial" w:cs="Arial" w:eastAsia="Arial" w:hAnsi="Arial"/>
          <w:sz w:val="16"/>
          <w:szCs w:val="16"/>
          <w:i w:val="1"/>
          <w:iCs w:val="1"/>
          <w:color w:val="auto"/>
        </w:rPr>
        <w:t xml:space="preserve"> </w:t>
      </w:r>
      <w:r>
        <w:rPr>
          <w:rFonts w:ascii="Arial" w:cs="Arial" w:eastAsia="Arial" w:hAnsi="Arial"/>
          <w:sz w:val="16"/>
          <w:szCs w:val="16"/>
          <w:color w:val="auto"/>
        </w:rPr>
        <w:t>– Uniti Fiber general and administrative expense increased $0.8 million for the three months ended September 30, 2023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2022, which is primarily due to an increase in personnel expense of $0.7 million and insurance expense of $0.3 million.</w:t>
      </w:r>
    </w:p>
    <w:p>
      <w:pPr>
        <w:spacing w:after="0" w:line="12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 Corporate general and administrative expense decreased $1.5 million for the three months ended September 30, 2023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2022, which is primarily due to decreases in legal fees, professional fees, and insurance expense of $1.3 million.</w:t>
      </w:r>
    </w:p>
    <w:p>
      <w:pPr>
        <w:sectPr>
          <w:pgSz w:w="11900" w:h="16838" w:orient="portrait"/>
          <w:cols w:equalWidth="0" w:num="1">
            <w:col w:w="11240"/>
          </w:cols>
          <w:pgMar w:left="320" w:top="125" w:right="339" w:bottom="73"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w:t>
      </w:r>
    </w:p>
    <w:p>
      <w:pPr>
        <w:sectPr>
          <w:pgSz w:w="11900" w:h="16838" w:orient="portrait"/>
          <w:cols w:equalWidth="0" w:num="1">
            <w:col w:w="11240"/>
          </w:cols>
          <w:pgMar w:left="320" w:top="125" w:right="339" w:bottom="73" w:gutter="0" w:footer="0" w:header="0"/>
          <w:type w:val="continuous"/>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auto"/>
        </w:rPr>
        <w:t>Operating expense consists of network related costs, such as dark fiber and tower rents, lit service and maintenance expense and costs associated with our construction activities.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92"/>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Uniti 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8"/>
                <w:szCs w:val="18"/>
                <w:color w:val="auto"/>
                <w:w w:val="92"/>
              </w:rPr>
              <w:t>2.1%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8"/>
                <w:szCs w:val="18"/>
                <w:color w:val="auto"/>
                <w:w w:val="90"/>
              </w:rPr>
              <w:t>10.8%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11.1%</w:t>
            </w:r>
          </w:p>
        </w:tc>
        <w:tc>
          <w:tcPr>
            <w:tcW w:w="0" w:type="dxa"/>
            <w:vAlign w:val="bottom"/>
          </w:tcPr>
          <w:p>
            <w:pPr>
              <w:spacing w:after="0"/>
              <w:rPr>
                <w:sz w:val="1"/>
                <w:szCs w:val="1"/>
                <w:color w:val="auto"/>
              </w:rPr>
            </w:pPr>
          </w:p>
        </w:tc>
      </w:tr>
      <w:tr>
        <w:trPr>
          <w:trHeight w:val="22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8"/>
                <w:szCs w:val="18"/>
                <w:color w:val="auto"/>
                <w:w w:val="90"/>
              </w:rPr>
              <w:t>12.9%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color w:val="auto"/>
                <w:w w:val="90"/>
              </w:rPr>
              <w:t>12.8%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Uniti Leasing operating expense increased $1.4 million for the three months ended September 30, 2023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which is primarily due to increased leased asset costs of $1.1 million.</w:t>
      </w:r>
    </w:p>
    <w:p>
      <w:pPr>
        <w:spacing w:after="0" w:line="177"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i w:val="1"/>
          <w:iCs w:val="1"/>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Uniti Fiber operating expenses decreased $0.3 million for the three months ended September 30, 2023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which is primarily due to decreased personnel expense of $1.4 million, partially offset by increased maintenance and repairs of $1.3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a result of macroeconomic and financial market factors, specifically increased interest rates impacting our discount rate, we concluded that it was more likely than not that the fair value of the Uniti Fiber segment, estimated using a combination of the income approach and market approach, is less that its carrying amount. Accordingly, we recorded a $153.0 million</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($113.9 million net of tax) goodwill impairment in Uniti Fiber segment during the three months ended September 30, 2023 as compared to a $216.0 million ($205.7 million net of tax) goodwill impairment in the Uniti Fiber segment during the three months ended September 30, 2022. See Note 2 of Notes to Condensed Consolidated Financial Statements in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Transaction related and other costs during the three months ended September 30, 2023 and 2022 included acquisition, pursuit, transaction, and integration costs (including unsuccessful acquisition pursuit costs). For the three months ended September 30, 2023, we incurred $1.4 million of transaction related and other costs, compared to $2.4 million of such costs during the three months ended September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recorded for the three months ended September 30, 2023 and 2022, respectively, is related to the tax impact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9"/>
              </w:rPr>
              <w:t>Three Months Ended September 30,</w:t>
            </w:r>
          </w:p>
        </w:tc>
      </w:tr>
      <w:tr>
        <w:trPr>
          <w:trHeight w:val="25"/>
        </w:trPr>
        <w:tc>
          <w:tcPr>
            <w:tcW w:w="81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Pre-tax loss (Uniti Fiber)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(43,487)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(14,555)</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REIT state and local taxes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Total income tax benefit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(13,056)</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4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Revenues</w:t>
            </w:r>
          </w:p>
        </w:tc>
        <w:tc>
          <w:tcPr>
            <w:tcW w:w="280" w:type="dxa"/>
            <w:vAlign w:val="bottom"/>
          </w:tcPr>
          <w:p>
            <w:pPr>
              <w:spacing w:after="0"/>
              <w:rPr>
                <w:sz w:val="16"/>
                <w:szCs w:val="16"/>
                <w:color w:val="auto"/>
              </w:rPr>
            </w:pPr>
          </w:p>
        </w:tc>
        <w:tc>
          <w:tcPr>
            <w:tcW w:w="14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 of Revenues</w:t>
            </w:r>
          </w:p>
        </w:tc>
        <w:tc>
          <w:tcPr>
            <w:tcW w:w="0" w:type="dxa"/>
            <w:vAlign w:val="bottom"/>
          </w:tcPr>
          <w:p>
            <w:pPr>
              <w:spacing w:after="0"/>
              <w:rPr>
                <w:sz w:val="1"/>
                <w:szCs w:val="1"/>
                <w:color w:val="auto"/>
              </w:rPr>
            </w:pPr>
          </w:p>
        </w:tc>
      </w:tr>
      <w:tr>
        <w:trPr>
          <w:trHeight w:val="26"/>
        </w:trPr>
        <w:tc>
          <w:tcPr>
            <w:tcW w:w="47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Uniti 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637,849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618,878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73.2 %</w:t>
            </w:r>
          </w:p>
        </w:tc>
        <w:tc>
          <w:tcPr>
            <w:tcW w:w="0" w:type="dxa"/>
            <w:vAlign w:val="bottom"/>
          </w:tcPr>
          <w:p>
            <w:pPr>
              <w:spacing w:after="0"/>
              <w:rPr>
                <w:sz w:val="1"/>
                <w:szCs w:val="1"/>
                <w:color w:val="auto"/>
              </w:rPr>
            </w:pPr>
          </w:p>
        </w:tc>
      </w:tr>
      <w:tr>
        <w:trPr>
          <w:trHeight w:val="257"/>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Uniti Fiber</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226,326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226,234</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50"/>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864,175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845,112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389,243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290,280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57"/>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217,276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57"/>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175"/>
        </w:trPr>
        <w:tc>
          <w:tcPr>
            <w:tcW w:w="502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Operating expense (exclusive of depreciation and</w:t>
            </w:r>
          </w:p>
        </w:tc>
        <w:tc>
          <w:tcPr>
            <w:tcW w:w="3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109,878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108,184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43"/>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56"/>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57"/>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57"/>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990,535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906,108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107.2 %</w:t>
            </w:r>
          </w:p>
        </w:tc>
        <w:tc>
          <w:tcPr>
            <w:tcW w:w="0" w:type="dxa"/>
            <w:vAlign w:val="bottom"/>
          </w:tcPr>
          <w:p>
            <w:pPr>
              <w:spacing w:after="0"/>
              <w:rPr>
                <w:sz w:val="1"/>
                <w:szCs w:val="1"/>
                <w:color w:val="auto"/>
              </w:rPr>
            </w:pPr>
          </w:p>
        </w:tc>
      </w:tr>
      <w:tr>
        <w:trPr>
          <w:trHeight w:val="155"/>
        </w:trPr>
        <w:tc>
          <w:tcPr>
            <w:tcW w:w="502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Loss before income taxes and equity in earnings from</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(126,360)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(60,996)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9"/>
        </w:trPr>
        <w:tc>
          <w:tcPr>
            <w:tcW w:w="5020" w:type="dxa"/>
            <w:vAlign w:val="bottom"/>
            <w:gridSpan w:val="2"/>
          </w:tcPr>
          <w:p>
            <w:pPr>
              <w:ind w:left="20"/>
              <w:spacing w:after="0"/>
              <w:rPr>
                <w:sz w:val="20"/>
                <w:szCs w:val="20"/>
                <w:color w:val="auto"/>
              </w:rPr>
            </w:pPr>
            <w:r>
              <w:rPr>
                <w:rFonts w:ascii="Arial" w:cs="Arial" w:eastAsia="Arial" w:hAnsi="Arial"/>
                <w:sz w:val="18"/>
                <w:szCs w:val="18"/>
                <w:b w:val="1"/>
                <w:bCs w:val="1"/>
                <w:color w:val="auto"/>
              </w:rPr>
              <w:t>unconsolidated entities</w:t>
            </w:r>
          </w:p>
        </w:tc>
        <w:tc>
          <w:tcPr>
            <w:tcW w:w="3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Equity in earnings from unconsolidated entities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5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shareholders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6"/>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0"/>
        </w:trPr>
        <w:tc>
          <w:tcPr>
            <w:tcW w:w="5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(50,164)</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set forth revenues, Adjusted EBITDA and net income of our reportable segments for the nine months ended September 30, 2023 and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Uniti Leasing</w:t>
            </w:r>
          </w:p>
        </w:tc>
        <w:tc>
          <w:tcPr>
            <w:tcW w:w="20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864,175</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(16,413)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692,378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389,243</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133,617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97,719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231,379</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23,073</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(49,864)</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Nine Months Ended September 30, 2022</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Uniti Leasing</w:t>
            </w:r>
          </w:p>
        </w:tc>
        <w:tc>
          <w:tcPr>
            <w:tcW w:w="20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226,234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845,112</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(19,153)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677,006</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290,280</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127,738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89,440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217,276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operations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714"/>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92"/>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Uniti 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637,849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8"/>
                <w:szCs w:val="18"/>
                <w:color w:val="auto"/>
                <w:w w:val="90"/>
              </w:rPr>
              <w:t>73.8%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618,878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7"/>
              <w:spacing w:after="0"/>
              <w:rPr>
                <w:sz w:val="20"/>
                <w:szCs w:val="20"/>
                <w:color w:val="auto"/>
              </w:rPr>
            </w:pPr>
            <w:r>
              <w:rPr>
                <w:rFonts w:ascii="Arial" w:cs="Arial" w:eastAsia="Arial" w:hAnsi="Arial"/>
                <w:sz w:val="18"/>
                <w:szCs w:val="18"/>
                <w:color w:val="auto"/>
                <w:w w:val="90"/>
              </w:rPr>
              <w:t>73.2%</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226,326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8"/>
                <w:szCs w:val="18"/>
                <w:color w:val="auto"/>
                <w:w w:val="90"/>
              </w:rPr>
              <w:t>26.2%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26.8%</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864,175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Uniti Leasing revenues for the nine months ended September 30, 2023 and 2022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3"/>
              <w:spacing w:after="0" w:line="129"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Uniti 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Cash 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503,897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79.0%</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501,390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81.0%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GCI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cash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82.5%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82.4%</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87"/>
              </w:rPr>
              <w:t>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7"/>
              </w:rPr>
              <w:t>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87"/>
              </w:rPr>
              <w:t>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8.2%</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90.7%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561,057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90.7%</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9.3%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Total Uniti Leasing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637,849</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618,878</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increase in TCI revenue is attributable to continued investment by Windstream. As of September 30, 2023 and 2022, the total amount invested in TCIs by Windstream since the inception of the Windstream Leases and Master Lease was $1.1 billion and $1.1 billion, respectively.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GCI revenue is attributable to Uniti’s continued reimbursement of Growth Capital Improvements. During the nine months ended September 30, 2023, Uniti reimbursed $233.5 million of Growth Capital Improvements. Subsequent to September 30, 2023, Windstream requested, and we reimbursed $16.5 million of qualifying Growth Capital Improvements. As of the date of this Quarterly Report on Form 10-Q, we have reimbursed a total of $794.2 million of Growth Capital Improvements.</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recognized $59.6 million and $57.8 million of revenues from non-Windstream triple-net leasing, dark fiber IRU arrangements, and other services for the nine months ended September 30, 2023 and 2022, respectively. The increase is primarily due to revenues from new customer arrangements.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i w:val="1"/>
          <w:iCs w:val="1"/>
          <w:color w:val="auto"/>
        </w:rPr>
        <w:t xml:space="preserve"> </w:t>
      </w:r>
      <w:r>
        <w:rPr>
          <w:rFonts w:ascii="Arial" w:cs="Arial" w:eastAsia="Arial" w:hAnsi="Arial"/>
          <w:sz w:val="18"/>
          <w:szCs w:val="18"/>
          <w:color w:val="auto"/>
        </w:rPr>
        <w:t>– Uniti Fiber revenues for the nine months ended September 30, 2023 and 2022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ind w:left="100"/>
              <w:spacing w:after="0" w:line="133" w:lineRule="exact"/>
              <w:rPr>
                <w:sz w:val="20"/>
                <w:szCs w:val="20"/>
                <w:color w:val="auto"/>
              </w:rPr>
            </w:pPr>
            <w:r>
              <w:rPr>
                <w:rFonts w:ascii="Arial" w:cs="Arial" w:eastAsia="Arial" w:hAnsi="Arial"/>
                <w:sz w:val="14"/>
                <w:szCs w:val="14"/>
                <w:b w:val="1"/>
                <w:bCs w:val="1"/>
                <w:color w:val="auto"/>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92"/>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Uniti Fiber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Arial" w:cs="Arial" w:eastAsia="Arial" w:hAnsi="Arial"/>
                <w:sz w:val="18"/>
                <w:szCs w:val="18"/>
                <w:color w:val="auto"/>
                <w:w w:val="93"/>
              </w:rPr>
              <w:t>25.3%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59,344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8"/>
                <w:szCs w:val="18"/>
                <w:color w:val="auto"/>
                <w:w w:val="90"/>
              </w:rPr>
              <w:t>26.3%</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Enterprise and wholesale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3"/>
              </w:rPr>
              <w:t>31.0%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28.0%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Arial" w:cs="Arial" w:eastAsia="Arial" w:hAnsi="Arial"/>
                <w:sz w:val="18"/>
                <w:szCs w:val="18"/>
                <w:color w:val="auto"/>
                <w:w w:val="93"/>
              </w:rPr>
              <w:t>19.4%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8"/>
                <w:szCs w:val="18"/>
                <w:color w:val="auto"/>
                <w:w w:val="90"/>
              </w:rPr>
              <w:t>21.2%</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Dark fiber and small cells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3"/>
              </w:rPr>
              <w:t>23.3%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23.6%</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8"/>
                <w:szCs w:val="18"/>
                <w:color w:val="auto"/>
                <w:w w:val="87"/>
              </w:rPr>
              <w:t>1.0%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Uniti Fiber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8"/>
                <w:szCs w:val="18"/>
                <w:color w:val="auto"/>
                <w:w w:val="91"/>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For the nine months ended September 30, 2023, Uniti Fiber revenues totaled $226.3 million as compared to $226.2 million for the nine months ended September 30, 2022. The increase in revenues of $0.1 million is primarily due to an increase in Enterprise and wholesale revenues of $6.8 million, driven primarily by increased internet services, partially offset by a decrease in E-Rate and government revenues of $4.1 million, driven primarily by decreased equipment and installation sales, and a decrease in Lit backhaul services revenues of $2.1 million, driven primarily by decreased one-time unsplicing and cancellation fees.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right"/>
              <w:ind w:right="115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66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Increase / (Decrease)</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90,028</w:t>
            </w:r>
          </w:p>
        </w:tc>
      </w:tr>
      <w:tr>
        <w:trPr>
          <w:trHeight w:val="230"/>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10,711</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Interest rate swap termination</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(8,488)</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3"/>
        </w:trPr>
        <w:tc>
          <w:tcPr>
            <w:tcW w:w="6600" w:type="dxa"/>
            <w:vAlign w:val="bottom"/>
            <w:gridSpan w:val="2"/>
          </w:tcPr>
          <w:p>
            <w:pPr>
              <w:ind w:left="680"/>
              <w:spacing w:after="0"/>
              <w:rPr>
                <w:sz w:val="20"/>
                <w:szCs w:val="20"/>
                <w:color w:val="auto"/>
              </w:rPr>
            </w:pPr>
            <w:r>
              <w:rPr>
                <w:rFonts w:ascii="Arial" w:cs="Arial" w:eastAsia="Arial" w:hAnsi="Arial"/>
                <w:sz w:val="18"/>
                <w:szCs w:val="18"/>
                <w:color w:val="auto"/>
              </w:rPr>
              <w:t>Total cash interest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268,331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90,470</w:t>
            </w:r>
          </w:p>
        </w:tc>
      </w:tr>
      <w:tr>
        <w:trPr>
          <w:trHeight w:val="230"/>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Non-cash: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Write off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Accretion of settlement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Gain on extinguishment of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30"/>
        </w:trPr>
        <w:tc>
          <w:tcPr>
            <w:tcW w:w="6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223"/>
        </w:trPr>
        <w:tc>
          <w:tcPr>
            <w:tcW w:w="6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non-cash interest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290,280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98,963</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Interest expense for the nine months ended September 30, 2023 increased $99.0 million compared to the nine months ended September 30, 2022. The increase is primarily due to a loss on extinguishment of debt of $32.3 million on the 7.875% senior secured notes due 2025 (the "2025 Secured Notes"), which included $10.3 million of non-cash interest expense for the write off of unamortized discount and deferred financing costs and $22.0 million of cash interest expense for the redemption premium, and an increase in cash interest on secured and unsecured notes of $78.7 million, partially offset by a decrease in interest rate swap termination interest of $8.5 million that ceased October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right"/>
              <w:ind w:right="1152"/>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66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Increase / (Decrease)</w:t>
            </w:r>
          </w:p>
        </w:tc>
      </w:tr>
      <w:tr>
        <w:trPr>
          <w:trHeight w:val="25"/>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Uniti Leasing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r>
      <w:tr>
        <w:trPr>
          <w:trHeight w:val="230"/>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Uniti Fiber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8,311</w:t>
            </w: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Total 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194,938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14,136</w:t>
            </w: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Uniti Leasing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Uniti Fiber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Uniti Leasing depreciation expense increased $5.9 million for the nine months ended September 30, 2023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The increase is primarily due to asset additions since September 30,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i w:val="1"/>
          <w:iCs w:val="1"/>
          <w:color w:val="auto"/>
        </w:rPr>
        <w:t xml:space="preserve"> </w:t>
      </w:r>
      <w:r>
        <w:rPr>
          <w:rFonts w:ascii="Arial" w:cs="Arial" w:eastAsia="Arial" w:hAnsi="Arial"/>
          <w:sz w:val="18"/>
          <w:szCs w:val="18"/>
          <w:color w:val="auto"/>
        </w:rPr>
        <w:t>– Uniti Fiber depreciation expense increased $8.3 million for the nine months ended September 30, 2023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increase is primarily due to asset additions since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84"/>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3"/>
          </w:tcPr>
          <w:p>
            <w:pPr>
              <w:jc w:val="right"/>
              <w:ind w:right="1344"/>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3"/>
          </w:tcPr>
          <w:p>
            <w:pPr>
              <w:jc w:val="right"/>
              <w:ind w:right="1342"/>
              <w:spacing w:after="0"/>
              <w:rPr>
                <w:sz w:val="20"/>
                <w:szCs w:val="20"/>
                <w:color w:val="auto"/>
              </w:rPr>
            </w:pPr>
            <w:r>
              <w:rPr>
                <w:rFonts w:ascii="Arial" w:cs="Arial" w:eastAsia="Arial" w:hAnsi="Arial"/>
                <w:sz w:val="14"/>
                <w:szCs w:val="14"/>
                <w:b w:val="1"/>
                <w:bCs w:val="1"/>
                <w:color w:val="auto"/>
                <w:w w:val="96"/>
              </w:rPr>
              <w:t>2022</w:t>
            </w: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60"/>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3"/>
              </w:rPr>
              <w:t>% of Consolidated</w:t>
            </w: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162"/>
              <w:spacing w:after="0" w:line="160" w:lineRule="exact"/>
              <w:rPr>
                <w:sz w:val="20"/>
                <w:szCs w:val="20"/>
                <w:color w:val="auto"/>
              </w:rPr>
            </w:pPr>
            <w:r>
              <w:rPr>
                <w:rFonts w:ascii="Arial" w:cs="Arial" w:eastAsia="Arial" w:hAnsi="Arial"/>
                <w:sz w:val="14"/>
                <w:szCs w:val="14"/>
                <w:b w:val="1"/>
                <w:bCs w:val="1"/>
                <w:color w:val="auto"/>
              </w:rPr>
              <w:t>% of Consolidated</w:t>
            </w:r>
          </w:p>
        </w:tc>
      </w:tr>
      <w:tr>
        <w:trPr>
          <w:trHeight w:val="186"/>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6"/>
                <w:szCs w:val="16"/>
                <w:color w:val="auto"/>
              </w:rPr>
            </w:pPr>
          </w:p>
        </w:tc>
        <w:tc>
          <w:tcPr>
            <w:tcW w:w="112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442"/>
              <w:spacing w:after="0"/>
              <w:rPr>
                <w:sz w:val="20"/>
                <w:szCs w:val="20"/>
                <w:color w:val="auto"/>
              </w:rPr>
            </w:pPr>
            <w:r>
              <w:rPr>
                <w:rFonts w:ascii="Arial" w:cs="Arial" w:eastAsia="Arial" w:hAnsi="Arial"/>
                <w:sz w:val="14"/>
                <w:szCs w:val="14"/>
                <w:b w:val="1"/>
                <w:bCs w:val="1"/>
                <w:color w:val="auto"/>
              </w:rPr>
              <w:t>Revenues</w:t>
            </w:r>
          </w:p>
        </w:tc>
      </w:tr>
      <w:tr>
        <w:trPr>
          <w:trHeight w:val="26"/>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General and administrative expense by segment: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Uniti 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8,713</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9,907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Uniti Fiber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46,692</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40,603</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21,926</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3.0 %</w:t>
            </w: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Uniti Leasing general and administrative expense decreased $1.2 million for the nine months ended September 30, 2023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2022, which is primarily due to decreased personnel costs of $0.8 million.</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i w:val="1"/>
          <w:iCs w:val="1"/>
          <w:color w:val="auto"/>
        </w:rPr>
        <w:t xml:space="preserve"> </w:t>
      </w:r>
      <w:r>
        <w:rPr>
          <w:rFonts w:ascii="Arial" w:cs="Arial" w:eastAsia="Arial" w:hAnsi="Arial"/>
          <w:sz w:val="18"/>
          <w:szCs w:val="18"/>
          <w:color w:val="auto"/>
        </w:rPr>
        <w:t>– Uniti Fiber general and administrative expense increased $6.1 million for the nine months ended September 30, 2023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which is primarily due to increases in personnel expense of $3.3 million, insurance expense of $1.0 million, and regulatory expense, driven predominantly by universal service fees, of $0.8 million.</w:t>
      </w:r>
    </w:p>
    <w:p>
      <w:pPr>
        <w:spacing w:after="0" w:line="18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i w:val="1"/>
          <w:iCs w:val="1"/>
          <w:u w:val="single" w:color="auto"/>
          <w:color w:val="auto"/>
        </w:rPr>
        <w:t>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 Corporate general and administrative expense decreased $3.4 million for the nine months ended September 30, 2023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which is primarily due to decreases in legal fees, professional fees, and insurance expense of $4.7 million, partially offset by an increase in personnel costs of $1.3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expense consists of network related costs, such as dark fiber and tower rents, lit service and maintenance expense and costs associated with our construction activities.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30"/>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Uniti 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8"/>
                <w:szCs w:val="18"/>
                <w:color w:val="auto"/>
                <w:w w:val="92"/>
              </w:rPr>
              <w:t>2.0%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8"/>
                <w:szCs w:val="18"/>
                <w:color w:val="auto"/>
                <w:w w:val="90"/>
              </w:rPr>
              <w:t>10.7%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11.1%</w:t>
            </w:r>
          </w:p>
        </w:tc>
        <w:tc>
          <w:tcPr>
            <w:tcW w:w="0" w:type="dxa"/>
            <w:vAlign w:val="bottom"/>
          </w:tcPr>
          <w:p>
            <w:pPr>
              <w:spacing w:after="0"/>
              <w:rPr>
                <w:sz w:val="1"/>
                <w:szCs w:val="1"/>
                <w:color w:val="auto"/>
              </w:rPr>
            </w:pPr>
          </w:p>
        </w:tc>
      </w:tr>
      <w:tr>
        <w:trPr>
          <w:trHeight w:val="22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109,878</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8"/>
                <w:szCs w:val="18"/>
                <w:color w:val="auto"/>
                <w:w w:val="90"/>
              </w:rPr>
              <w:t>12.7%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color w:val="auto"/>
                <w:w w:val="90"/>
              </w:rPr>
              <w:t>12.8%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u w:val="single" w:color="auto"/>
          <w:color w:val="auto"/>
        </w:rPr>
        <w:t>Uniti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Uniti Leasing operating expense increased $2.7 million for the nine months ended September 30, 2023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increase is primarily due to increased leased asset cost of $2.6 million and other network related charges of $0.6 million, partially offset by decreased personnel expense of $0.4 million.</w:t>
      </w:r>
    </w:p>
    <w:p>
      <w:pPr>
        <w:spacing w:after="0" w:line="190"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i w:val="1"/>
          <w:iCs w:val="1"/>
          <w:u w:val="single" w:color="auto"/>
          <w:color w:val="auto"/>
        </w:rPr>
        <w:t>Uniti Fiber</w:t>
      </w:r>
      <w:r>
        <w:rPr>
          <w:rFonts w:ascii="Arial" w:cs="Arial" w:eastAsia="Arial" w:hAnsi="Arial"/>
          <w:sz w:val="18"/>
          <w:szCs w:val="18"/>
          <w:i w:val="1"/>
          <w:iCs w:val="1"/>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Uniti Fiber operating expenses decreased $1.0 million for the nine months ended September 30, 2023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decrease is primarily due to decreased dark fiber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-332105</wp:posOffset>
            </wp:positionV>
            <wp:extent cx="13716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termination fees of $2.6 million and non-recurring equipment and installation costs of $2.2 million, partially offset by increased maintenance and repairs of $4.0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a result of macroeconomic and financial market factors, specifically increased interest rates impacting our discount rate, we concluded that it was more likely than not that the fair value of the Unit Fiber segment, estimated using a combination of the income approach and market approach, is less that its carrying amount. Accordingly, we recorded a $153.0 million ($113.9 million net of tax) goodwill impairment in the Uniti Fiber segment during the nine months ended September 30, 2023 as compared to a $216.0 million ($205.7 million net of tax) goodwill impairment in the Uniti Fiber segment during the nine months ended September 30, 2022. See Note 2 of Notes to Condensed Consolidated Financial Statements in Part I Item 1 of this Quarterly Report 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Transaction related and other costs during the nine months ended September 30, 2023 and 2022 included acquisition, pursuit, transaction and integration costs (including unsuccessful acquisition pursuit costs). For the nine months ended September 30, 2023, we incurred $9.8 million of transaction related and other costs, compared to $7.3 million of such costs during the nine months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w:t>
      </w:r>
      <w:r>
        <w:rPr>
          <w:rFonts w:ascii="Arial" w:cs="Arial" w:eastAsia="Arial" w:hAnsi="Arial"/>
          <w:sz w:val="18"/>
          <w:szCs w:val="18"/>
          <w:color w:val="auto"/>
        </w:rPr>
        <w:t>t</w:t>
      </w:r>
    </w:p>
    <w:p>
      <w:pPr>
        <w:spacing w:after="0" w:line="2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Other expense for the nine months ended September 30, 2023 totaled $21.3 million, which included $20.6 million of costs related to the issuance of the February 2028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recorded for the nine months ended September 30, 2023 and 2022, respectively, is related to the tax impact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5"/>
        </w:trPr>
        <w:tc>
          <w:tcPr>
            <w:tcW w:w="81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Pre-tax loss (Uniti Fiber)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(51,042)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(21,798)</w:t>
            </w:r>
          </w:p>
        </w:tc>
      </w:tr>
      <w:tr>
        <w:trPr>
          <w:trHeight w:val="230"/>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sale of unconsolidated entity</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3,229</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REIT state and local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income tax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2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income as defined by GAAP and should not be considered an alternative to those measures in evaluating our liquidity or operating performance</w:t>
      </w:r>
      <w:r>
        <w:rPr>
          <w:rFonts w:ascii="Arial" w:cs="Arial" w:eastAsia="Arial" w:hAnsi="Arial"/>
          <w:sz w:val="20"/>
          <w:szCs w:val="20"/>
          <w:color w:val="auto"/>
        </w:rPr>
        <w:t>.</w:t>
      </w:r>
    </w:p>
    <w:p>
      <w:pPr>
        <w:spacing w:after="0" w:line="22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The reconciliation of our net loss to EBITDA and Adjusted EBITDA and of our net loss attributable to common shareholders to FFO and AFFO attributable to common shareholders for the three and nine months ended September 30, 2023 and 2022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8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40" w:type="dxa"/>
            <w:vAlign w:val="bottom"/>
          </w:tcPr>
          <w:p>
            <w:pPr>
              <w:spacing w:after="0"/>
              <w:rPr>
                <w:sz w:val="16"/>
                <w:szCs w:val="16"/>
                <w:color w:val="auto"/>
              </w:rPr>
            </w:pPr>
          </w:p>
        </w:tc>
        <w:tc>
          <w:tcPr>
            <w:tcW w:w="49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r>
      <w:tr>
        <w:trPr>
          <w:trHeight w:val="26"/>
        </w:trPr>
        <w:tc>
          <w:tcPr>
            <w:tcW w:w="4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(49,117)</w:t>
            </w:r>
          </w:p>
        </w:tc>
        <w:tc>
          <w:tcPr>
            <w:tcW w:w="4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231,379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217,276</w:t>
            </w:r>
          </w:p>
        </w:tc>
        <w:tc>
          <w:tcPr>
            <w:tcW w:w="4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290,280</w:t>
            </w:r>
          </w:p>
        </w:tc>
        <w:tc>
          <w:tcPr>
            <w:tcW w:w="40" w:type="dxa"/>
            <w:vAlign w:val="bottom"/>
          </w:tcPr>
          <w:p>
            <w:pPr>
              <w:spacing w:after="0"/>
              <w:rPr>
                <w:sz w:val="22"/>
                <w:szCs w:val="22"/>
                <w:color w:val="auto"/>
              </w:rPr>
            </w:pPr>
          </w:p>
        </w:tc>
      </w:tr>
      <w:tr>
        <w:trPr>
          <w:trHeight w:val="256"/>
        </w:trPr>
        <w:tc>
          <w:tcPr>
            <w:tcW w:w="40" w:type="dxa"/>
            <w:vAlign w:val="bottom"/>
          </w:tcPr>
          <w:p>
            <w:pPr>
              <w:spacing w:after="0"/>
              <w:rPr>
                <w:sz w:val="22"/>
                <w:szCs w:val="22"/>
                <w:color w:val="auto"/>
              </w:rPr>
            </w:pPr>
          </w:p>
        </w:tc>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w:t>
            </w:r>
          </w:p>
        </w:tc>
        <w:tc>
          <w:tcPr>
            <w:tcW w:w="4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448,256</w:t>
            </w:r>
          </w:p>
        </w:tc>
        <w:tc>
          <w:tcPr>
            <w:tcW w:w="4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9,664</w:t>
            </w:r>
          </w:p>
        </w:tc>
        <w:tc>
          <w:tcPr>
            <w:tcW w:w="4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4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Gain on sale of operations</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real estate</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2"/>
                <w:szCs w:val="22"/>
                <w:color w:val="auto"/>
              </w:rPr>
            </w:pPr>
          </w:p>
        </w:tc>
      </w:tr>
      <w:tr>
        <w:trPr>
          <w:trHeight w:val="256"/>
        </w:trPr>
        <w:tc>
          <w:tcPr>
            <w:tcW w:w="40" w:type="dxa"/>
            <w:vAlign w:val="bottom"/>
          </w:tcPr>
          <w:p>
            <w:pPr>
              <w:spacing w:after="0"/>
              <w:rPr>
                <w:sz w:val="22"/>
                <w:szCs w:val="22"/>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216,000</w:t>
            </w:r>
          </w:p>
        </w:tc>
        <w:tc>
          <w:tcPr>
            <w:tcW w:w="4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4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5"/>
              </w:rPr>
              <w:t>Adjustments for equity in earnings from unconsolidated entities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40" w:type="dxa"/>
            <w:vAlign w:val="bottom"/>
          </w:tcPr>
          <w:p>
            <w:pPr>
              <w:spacing w:after="0"/>
              <w:rPr>
                <w:sz w:val="22"/>
                <w:szCs w:val="22"/>
                <w:color w:val="auto"/>
              </w:rPr>
            </w:pPr>
          </w:p>
        </w:tc>
      </w:tr>
      <w:tr>
        <w:trPr>
          <w:trHeight w:val="275"/>
        </w:trPr>
        <w:tc>
          <w:tcPr>
            <w:tcW w:w="40" w:type="dxa"/>
            <w:vAlign w:val="bottom"/>
          </w:tcPr>
          <w:p>
            <w:pPr>
              <w:spacing w:after="0"/>
              <w:rPr>
                <w:sz w:val="23"/>
                <w:szCs w:val="23"/>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677,006</w:t>
            </w:r>
          </w:p>
        </w:tc>
        <w:tc>
          <w:tcPr>
            <w:tcW w:w="4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6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6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6"/>
                <w:szCs w:val="16"/>
                <w:color w:val="auto"/>
              </w:rPr>
            </w:pPr>
          </w:p>
        </w:tc>
        <w:tc>
          <w:tcPr>
            <w:tcW w:w="12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56"/>
        </w:trPr>
        <w:tc>
          <w:tcPr>
            <w:tcW w:w="4960" w:type="dxa"/>
            <w:vAlign w:val="bottom"/>
          </w:tcPr>
          <w:p>
            <w:pPr>
              <w:ind w:left="180"/>
              <w:spacing w:after="0"/>
              <w:rPr>
                <w:sz w:val="20"/>
                <w:szCs w:val="20"/>
                <w:color w:val="auto"/>
              </w:rPr>
            </w:pPr>
            <w:r>
              <w:rPr>
                <w:rFonts w:ascii="Arial" w:cs="Arial" w:eastAsia="Arial" w:hAnsi="Arial"/>
                <w:sz w:val="18"/>
                <w:szCs w:val="18"/>
                <w:color w:val="auto"/>
              </w:rPr>
              <w:t>Real estate depreciation and amortization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55,405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157,436</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real estate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57"/>
        </w:trPr>
        <w:tc>
          <w:tcPr>
            <w:tcW w:w="4960" w:type="dxa"/>
            <w:vAlign w:val="bottom"/>
          </w:tcPr>
          <w:p>
            <w:pPr>
              <w:ind w:left="180"/>
              <w:spacing w:after="0"/>
              <w:rPr>
                <w:sz w:val="20"/>
                <w:szCs w:val="20"/>
                <w:color w:val="auto"/>
              </w:rPr>
            </w:pPr>
            <w:r>
              <w:rPr>
                <w:rFonts w:ascii="Arial" w:cs="Arial" w:eastAsia="Arial" w:hAnsi="Arial"/>
                <w:sz w:val="18"/>
                <w:szCs w:val="18"/>
                <w:color w:val="auto"/>
              </w:rPr>
              <w:t>Participating securities share in earnings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Participating securities share in FFO</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175"/>
        </w:trPr>
        <w:tc>
          <w:tcPr>
            <w:tcW w:w="4960" w:type="dxa"/>
            <w:vAlign w:val="bottom"/>
          </w:tcPr>
          <w:p>
            <w:pPr>
              <w:ind w:left="180"/>
              <w:spacing w:after="0" w:line="176" w:lineRule="exact"/>
              <w:rPr>
                <w:sz w:val="20"/>
                <w:szCs w:val="20"/>
                <w:color w:val="auto"/>
              </w:rPr>
            </w:pPr>
            <w:r>
              <w:rPr>
                <w:rFonts w:ascii="Arial" w:cs="Arial" w:eastAsia="Arial" w:hAnsi="Arial"/>
                <w:sz w:val="18"/>
                <w:szCs w:val="18"/>
                <w:color w:val="auto"/>
                <w:w w:val="95"/>
              </w:rPr>
              <w:t>Real estate depreciation and amortization from unconsolidated</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entities</w:t>
            </w:r>
          </w:p>
        </w:tc>
        <w:tc>
          <w:tcPr>
            <w:tcW w:w="2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for 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FFO attributable to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(26,831)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(102,474)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89,004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107,733</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57"/>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13,510</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 off of deferred financing costs and debt discount</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60" w:type="dxa"/>
            <w:vAlign w:val="bottom"/>
          </w:tcPr>
          <w:p>
            <w:pPr>
              <w:ind w:left="180"/>
              <w:spacing w:after="0"/>
              <w:rPr>
                <w:sz w:val="20"/>
                <w:szCs w:val="20"/>
                <w:color w:val="auto"/>
              </w:rPr>
            </w:pPr>
            <w:r>
              <w:rPr>
                <w:rFonts w:ascii="Arial" w:cs="Arial" w:eastAsia="Arial" w:hAnsi="Arial"/>
                <w:sz w:val="18"/>
                <w:szCs w:val="18"/>
                <w:color w:val="auto"/>
              </w:rPr>
              <w:t>Costs related to the early repayment of debt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56"/>
        </w:trPr>
        <w:tc>
          <w:tcPr>
            <w:tcW w:w="4960" w:type="dxa"/>
            <w:vAlign w:val="bottom"/>
          </w:tcPr>
          <w:p>
            <w:pPr>
              <w:ind w:left="240"/>
              <w:spacing w:after="0"/>
              <w:rPr>
                <w:sz w:val="20"/>
                <w:szCs w:val="20"/>
                <w:color w:val="auto"/>
              </w:rPr>
            </w:pPr>
            <w:r>
              <w:rPr>
                <w:rFonts w:ascii="Arial" w:cs="Arial" w:eastAsia="Arial" w:hAnsi="Arial"/>
                <w:sz w:val="18"/>
                <w:szCs w:val="18"/>
                <w:color w:val="auto"/>
              </w:rPr>
              <w:t>Gain on sale of unconsolidated entity, net of tax</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operations</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7"/>
        </w:trPr>
        <w:tc>
          <w:tcPr>
            <w:tcW w:w="4960" w:type="dxa"/>
            <w:vAlign w:val="bottom"/>
          </w:tcPr>
          <w:p>
            <w:pPr>
              <w:ind w:left="180"/>
              <w:spacing w:after="0"/>
              <w:rPr>
                <w:sz w:val="20"/>
                <w:szCs w:val="20"/>
                <w:color w:val="auto"/>
              </w:rPr>
            </w:pPr>
            <w:r>
              <w:rPr>
                <w:rFonts w:ascii="Arial" w:cs="Arial" w:eastAsia="Arial" w:hAnsi="Arial"/>
                <w:sz w:val="18"/>
                <w:szCs w:val="18"/>
                <w:color w:val="auto"/>
              </w:rPr>
              <w:t>Non-real estate depreciation and amortization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21,932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59,840</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175"/>
        </w:trPr>
        <w:tc>
          <w:tcPr>
            <w:tcW w:w="4960" w:type="dxa"/>
            <w:vAlign w:val="bottom"/>
          </w:tcPr>
          <w:p>
            <w:pPr>
              <w:ind w:left="180"/>
              <w:spacing w:after="0" w:line="176" w:lineRule="exact"/>
              <w:rPr>
                <w:sz w:val="20"/>
                <w:szCs w:val="20"/>
                <w:color w:val="auto"/>
              </w:rPr>
            </w:pPr>
            <w:r>
              <w:rPr>
                <w:rFonts w:ascii="Arial" w:cs="Arial" w:eastAsia="Arial" w:hAnsi="Arial"/>
                <w:sz w:val="18"/>
                <w:szCs w:val="18"/>
                <w:color w:val="auto"/>
                <w:w w:val="96"/>
              </w:rPr>
              <w:t>Straight-line revenues and amortization of below-market lease</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(9,579)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(9,918)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(28,795)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(31,066)</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57"/>
        </w:trPr>
        <w:tc>
          <w:tcPr>
            <w:tcW w:w="49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(50,963)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(35,412)</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Adjustments for equity in earnings from unconsolidated entities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Adjustments for noncontrolling interests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AFFO attributable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339,819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$288.9 million of the $490.1 million due to Windstream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per year in 2023 and 2024; $175 million per year in 2025 and 2026; and $125 million per year in 2027 through 2029.</w:t>
      </w:r>
    </w:p>
    <w:p>
      <w:pPr>
        <w:spacing w:after="0" w:line="16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 "Credit Agreement"), and proceeds from the issuance of debt and equity securities.</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As of September 30, 2023, we had cash and cash equivalents of $34.1 million and approximately $229.0 million of borrowing availability under our Revolving Credit Facility under the Credit Agreement (subject to customary borrowing conditions). Subsequent to September 30, 2023, other than $16.5 million of Growth Capital Improvements (see </w:t>
      </w:r>
      <w:r>
        <w:rPr>
          <w:rFonts w:ascii="Arial" w:cs="Arial" w:eastAsia="Arial" w:hAnsi="Arial"/>
          <w:sz w:val="17"/>
          <w:szCs w:val="17"/>
          <w:i w:val="1"/>
          <w:iCs w:val="1"/>
          <w:color w:val="auto"/>
        </w:rPr>
        <w:t>“Results of Operations—Revenues”</w:t>
      </w:r>
      <w:r>
        <w:rPr>
          <w:rFonts w:ascii="Arial" w:cs="Arial" w:eastAsia="Arial" w:hAnsi="Arial"/>
          <w:sz w:val="17"/>
          <w:szCs w:val="17"/>
          <w:color w:val="auto"/>
        </w:rPr>
        <w:t xml:space="preserve"> above), 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81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
              <w:spacing w:after="0"/>
              <w:rPr>
                <w:sz w:val="20"/>
                <w:szCs w:val="20"/>
                <w:color w:val="auto"/>
              </w:rPr>
            </w:pPr>
            <w:r>
              <w:rPr>
                <w:rFonts w:ascii="Arial" w:cs="Arial" w:eastAsia="Arial" w:hAnsi="Arial"/>
                <w:sz w:val="18"/>
                <w:szCs w:val="18"/>
                <w:color w:val="auto"/>
              </w:rPr>
              <w:t>190,575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285,107</w:t>
            </w:r>
          </w:p>
        </w:tc>
      </w:tr>
    </w:tbl>
    <w:p>
      <w:pPr>
        <w:spacing w:after="0" w:line="2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$190.6 million and $285.1 million for the nine months ended September 30, 2023 and 2022, respectively. The decrease in net cash provided by operating activities during the nine months ended September 30, 2023 is primarily attributable to increases in cash interest expense, related to the issuance of the February 2028 Secured Notes, and changes in working capital, including the timing of interest payments associated with debt activities occurring in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81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(368,264)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(292,666)</w:t>
            </w:r>
          </w:p>
        </w:tc>
      </w:tr>
      <w:tr>
        <w:trPr>
          <w:trHeight w:val="175"/>
        </w:trPr>
        <w:tc>
          <w:tcPr>
            <w:tcW w:w="818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w w:val="95"/>
              </w:rPr>
              <w:t>Proceeds from sale of unconsolidated entity (see Note 5 of Notes to Condensed Consolidated Financial</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Statements in Part I Item 1 of this Quarterly Report on Form 10-Q)</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w:t>
            </w:r>
          </w:p>
        </w:tc>
      </w:tr>
      <w:tr>
        <w:trPr>
          <w:trHeight w:val="257"/>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Proceeds from sale of real estate, net of cash</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sale of operations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57"/>
        </w:trPr>
        <w:tc>
          <w:tcPr>
            <w:tcW w:w="81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Proceeds from sale of other equipment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(258,685)</w:t>
            </w:r>
          </w:p>
        </w:tc>
      </w:tr>
    </w:tbl>
    <w:p>
      <w:pPr>
        <w:spacing w:after="0" w:line="283"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Net cash used in investing activities increased $106.5 million for the nine months ended September 30, 2023 compared to the nine months ended September 30, 2023, primarily driven by an increase in Growth Capital Improvements of $75.4 million, which we classify as success-based capital expenditures. Additionally, net cash used in investing activities for the nine months ended September 30, 2022 was partially offset by proceeds from the sale of an unconsolidated entity, which was not repeated in the current period. Capital expenditures are primarily related to our Uniti Fiber and Uniti Leasing businesses for deployment of network assets, as described below under “—Capital Expenditures.”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81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Repayment of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(2,263,662)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issuance of notes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(107,362)</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Payments of settlement payable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Distributions paid to noncontrolling interest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 for exchange of noncontrolling interest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180,000</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Finance lease payments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29"/>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 for financing costs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Payment for settlement of common stock warrant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Termination of bond hedge option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Costs related to the early repayment of debt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Employee stock purchase program</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Payments related to tax withholding for stock-based compensation</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r>
        <w:trPr>
          <w:trHeight w:val="223"/>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(41,931)</w:t>
            </w:r>
          </w:p>
        </w:tc>
      </w:tr>
    </w:tbl>
    <w:p>
      <w:pPr>
        <w:spacing w:after="0" w:line="2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Net cash provided by financing activities was $164.9 million for the nine months ended September 30, 2023, while net cash used in financing activities was $41.9 million for the nine months ended September 30, 2022. The change is primarily related to proceeds from the issuance of the February 2028 Secured Notes of $2.6 billion, offset by the repayment of the 2025 Secured Notes of $2.3 billion, repayment of the settlement payable of $73.5 million, costs related to the early repayment of the 2025 Secured Notes of $44.3 million, payments for financing costs related to the February 2028 Secured Notes of $27.0 million, </w:t>
      </w:r>
      <w:r>
        <w:rPr>
          <w:rFonts w:ascii="Arial" w:cs="Arial" w:eastAsia="Arial" w:hAnsi="Arial"/>
          <w:sz w:val="18"/>
          <w:szCs w:val="18"/>
          <w:color w:val="212529"/>
        </w:rPr>
        <w:t>and net borrowings under the Revolving Credit Facility of $83.0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Leases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Beginning in October 2020, pursuant to the Windstream Leases, Windstream (or any successor tenant under a Windstream Lease) has the right to cause Uniti to reimburse up to an aggregate $1.75 billion of Growth Capital Improvements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in 2023 and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September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UPREIT Operating Partnership Units</w:t>
      </w:r>
    </w:p>
    <w:p>
      <w:pPr>
        <w:spacing w:after="0" w:line="225"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September 30, 2023, we had $229.0 million in borrowing availability under our Revolving Credit Facility (subject to customary borrowing conditions),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are closely monitoring the equity and debt markets and may seek to access them promptly if and when we determine market conditions are appropriate.</w:t>
      </w:r>
    </w:p>
    <w:p>
      <w:pPr>
        <w:spacing w:after="0" w:line="19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61"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2023</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Success Based</w:t>
            </w:r>
          </w:p>
        </w:tc>
        <w:tc>
          <w:tcPr>
            <w:tcW w:w="20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Maintenance</w:t>
            </w: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Non-Network</w:t>
            </w:r>
          </w:p>
        </w:tc>
        <w:tc>
          <w:tcPr>
            <w:tcW w:w="34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Uniti Leasing, excluding growth capital</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20,657</w:t>
            </w:r>
          </w:p>
        </w:tc>
        <w:tc>
          <w:tcPr>
            <w:tcW w:w="0" w:type="dxa"/>
            <w:vAlign w:val="bottom"/>
          </w:tcPr>
          <w:p>
            <w:pPr>
              <w:spacing w:after="0"/>
              <w:rPr>
                <w:sz w:val="1"/>
                <w:szCs w:val="1"/>
                <w:color w:val="auto"/>
              </w:rPr>
            </w:pPr>
          </w:p>
        </w:tc>
      </w:tr>
      <w:tr>
        <w:trPr>
          <w:trHeight w:val="237"/>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improvements</w:t>
            </w:r>
          </w:p>
        </w:tc>
        <w:tc>
          <w:tcPr>
            <w:tcW w:w="2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Growth capital improvements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233,465</w:t>
            </w:r>
          </w:p>
        </w:tc>
        <w:tc>
          <w:tcPr>
            <w:tcW w:w="0" w:type="dxa"/>
            <w:vAlign w:val="bottom"/>
          </w:tcPr>
          <w:p>
            <w:pPr>
              <w:spacing w:after="0"/>
              <w:rPr>
                <w:sz w:val="1"/>
                <w:szCs w:val="1"/>
                <w:color w:val="auto"/>
              </w:rPr>
            </w:pPr>
          </w:p>
        </w:tc>
      </w:tr>
      <w:tr>
        <w:trPr>
          <w:trHeight w:val="257"/>
        </w:trPr>
        <w:tc>
          <w:tcPr>
            <w:tcW w:w="3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Uniti Fiber</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114,142</w:t>
            </w:r>
          </w:p>
        </w:tc>
        <w:tc>
          <w:tcPr>
            <w:tcW w:w="0" w:type="dxa"/>
            <w:vAlign w:val="bottom"/>
          </w:tcPr>
          <w:p>
            <w:pPr>
              <w:spacing w:after="0"/>
              <w:rPr>
                <w:sz w:val="1"/>
                <w:szCs w:val="1"/>
                <w:color w:val="auto"/>
              </w:rPr>
            </w:pPr>
          </w:p>
        </w:tc>
      </w:tr>
      <w:tr>
        <w:trPr>
          <w:trHeight w:val="275"/>
        </w:trPr>
        <w:tc>
          <w:tcPr>
            <w:tcW w:w="3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capital expenditures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368,264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categorize our capital expenditures as either (i) success-based, (ii) maintenance, or (iii) corporate and non-network. We define success-based capital expenditures as those related to installing existing or anticipated contractual customer service orders. Maintenance capital expenditures are those necessary to keep existing network elements fully operational.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9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Uniti’s total annual reimbursement commitments to Windstream for the Growth Capital Improvements is discussed above in this Part I, Item 2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spacing w:after="0" w:line="1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details regarding our cash dividends on our common stock:</w:t>
      </w:r>
    </w:p>
    <w:p>
      <w:pPr>
        <w:spacing w:after="0" w:line="26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Period</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Payment Date</w:t>
            </w:r>
          </w:p>
        </w:tc>
        <w:tc>
          <w:tcPr>
            <w:tcW w:w="200" w:type="dxa"/>
            <w:vAlign w:val="bottom"/>
          </w:tcPr>
          <w:p>
            <w:pPr>
              <w:spacing w:after="0"/>
              <w:rPr>
                <w:sz w:val="15"/>
                <w:szCs w:val="15"/>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color w:val="auto"/>
              </w:rPr>
              <w:t>Cash Dividend Per Share</w:t>
            </w:r>
          </w:p>
        </w:tc>
        <w:tc>
          <w:tcPr>
            <w:tcW w:w="2680" w:type="dxa"/>
            <w:vAlign w:val="bottom"/>
          </w:tcPr>
          <w:p>
            <w:pPr>
              <w:jc w:val="center"/>
              <w:spacing w:after="0"/>
              <w:rPr>
                <w:sz w:val="20"/>
                <w:szCs w:val="20"/>
                <w:color w:val="auto"/>
              </w:rPr>
            </w:pPr>
            <w:r>
              <w:rPr>
                <w:rFonts w:ascii="Arial" w:cs="Arial" w:eastAsia="Arial" w:hAnsi="Arial"/>
                <w:sz w:val="14"/>
                <w:szCs w:val="14"/>
                <w:color w:val="auto"/>
                <w:w w:val="91"/>
              </w:rPr>
              <w:t>Record Date</w:t>
            </w:r>
          </w:p>
        </w:tc>
      </w:tr>
      <w:tr>
        <w:trPr>
          <w:trHeight w:val="25"/>
        </w:trPr>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2023 - March 31, 2023</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14, 2023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31, 2023</w:t>
            </w: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April 1, 2023 - June 30, 2023</w:t>
            </w: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30, 2023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7"/>
              </w:rPr>
              <w:t>June 16, 2023</w:t>
            </w: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2023 - September 30, 2023</w:t>
            </w: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22, 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8, 2023</w:t>
            </w:r>
          </w:p>
        </w:tc>
      </w:tr>
    </w:tbl>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dividends must be declared by the Board,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the Board may decide, in its absolute discretion, at any time and for any reason, not to pay dividends or to change the amount paid as dividends.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Goodwill—As of September 30, 2023 and December 31, 2022, all of our goodwill is included in our Uniti Fiber segment. Goodwill is recognized for the excess of purchase price over the fair value of net assets of businesses acquired. Goodwill is reviewed for impairment on an annual basis during the fourth quarter. Application of the goodwill impairment test requires significant judgment, including: the identification of reporting units; assignment of assets and liabilities to reporting units; and assignment of goodwill to reporting units. In accordance with ASC 350-20, Intangibles-Goodwill and Other, we evaluate goodwill for impairment between annual impairment tests if an event occurs or circumstances change that would more likely than not reduce the fair value of a reporting unit below its carrying amount (a “Triggering Event”). On the occurrence of a Triggering Event, an entity has the option to first assess qualitative factors to determine whether a quantitative impairment test is necessary. If it is more likely than not that goodwill is impaired, the fair value of the reporting unit must be estimated and compared with its carrying value.</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performing the quantitative assessment of goodwill, we estimate the fair value of our fiber reporting unit using a combination of an income approach based on the present value of estimated future cash flows and a market approach based on market data of comparable businesses, and acquisition multiples paid in recent transactions. Inherent in our preparation of cash flow projections are significant assumptions and estimates derived from a review of our operating results and business plans, which include expected revenue and expense growth rates, capital expenditure plans and discount rate.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interest rates, impacting our discount rate.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Loss not to exceed the carrying amount of goodwill.</w:t>
      </w:r>
    </w:p>
    <w:p>
      <w:pPr>
        <w:spacing w:after="0" w:line="15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connection with the preparation of the Condensed Consolidated Financial Statements for the three and nine months ended September 30, 2023, the Company identified a Triggering Event and, therefore, performed a qualitative and quantitative goodwill impairment test. The Triggering Event was a result of macroeconomic and financial market factors, specifically the continuing rise in interest rates, impacting our discount rate. As a result of the interim assessment of goodwill, we concluded that the fair value of the Uniti Fiber segment, estimated using a combination of the income approach and market approach, is less than its carrying amount. Accordingly, we recorded a $153.0 million ($113.9 million net of tax) goodwill impairment charge in the Uniti Fiber segment during the three months ended September 30, 2023.</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connection with the preparation of the Condensed Consolidated Financial Statements for the three and nine months ended September 30, 2022, the Company identified a Triggering Event and, therefore, performed a qualitative and quantitative goodwill impairment test. The Triggering Event was a result of macroeconomic and financial market factors, specifically increased interest rates, impacting our discount rate. As a result of this interim assessment of goodwill, we concluded that the fair value of the Uniti Fiber segment, estimated using a combination of the income approach and market approach, is less than its carrying amount. Accordingly, we recorded a $216.0 million ($205.7 million net of tax) goodwill impairment charge in the Uniti Fiber segment during the three months ended September 30, 2022.</w:t>
      </w:r>
    </w:p>
    <w:p>
      <w:pPr>
        <w:spacing w:after="0" w:line="2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September 30, 2023, there has been no material change to these estimates other than discussions above on goodwill.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See Note 2 of Notes to Condensed Consolidated Financial Statements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information reported under Item 7A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September 30, 2023, and based on this evaluation, our principal executive officer and principal financial officer concluded that our disclosure controls and procedures were effective as of September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that occurred during the quarter ended September 30, 2023 that has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description of legal proceedings can be found in Note 13 - Commitments and Contingencies to our Condensed Consolidated Financial Statements, included in this report at Part I, Item 1- Financial Statements, and is incorporated by reference into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affecting our business that were discussed in Part I, “Item 1A. Risk Factors” in our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2"/>
                <w:szCs w:val="12"/>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Average Price Paid per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203"/>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Period</w:t>
            </w:r>
          </w:p>
        </w:tc>
        <w:tc>
          <w:tcPr>
            <w:tcW w:w="1480" w:type="dxa"/>
            <w:vAlign w:val="bottom"/>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2023 to July 31, 2023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August 1, 2023 to August 31, 2023</w:t>
            </w:r>
          </w:p>
        </w:tc>
        <w:tc>
          <w:tcPr>
            <w:tcW w:w="1480" w:type="dxa"/>
            <w:vAlign w:val="bottom"/>
          </w:tcPr>
          <w:p>
            <w:pPr>
              <w:jc w:val="right"/>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480" w:type="dxa"/>
            <w:vAlign w:val="bottom"/>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2023 to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360" w:firstLine="8"/>
        <w:spacing w:after="0" w:line="232" w:lineRule="auto"/>
        <w:tabs>
          <w:tab w:leader="none" w:pos="208"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The average price paid per share is the weighted average of the fair market prices at which we calculated the number of shares withheld to cover tax withholdings for the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 On November 1, 2023, the Board approved an amendment (the “Amendment”) to the Company’s Amended and Restated Bylaws (the “Bylaws”) to</w:t>
      </w:r>
    </w:p>
    <w:p>
      <w:pPr>
        <w:spacing w:after="0" w:line="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address Rule 14a-19 promulgated by the SEC under the Exchange Act regarding the use of universal proxy cards. The Amendment, which became effective immediately upon adoption, revised the advance notice provisions in Article II, Section 6 of the Bylaws to, among other things: (i) require that a stockholder delivering a notice for the nomination of individuals for election to the Board must comply with Rule 14a-19; (ii) require stockholders to provide evidence and certification of compliance with Rule 14a-19; (iii) provide that the Company will disregard a stockholder nomination if the nominating stockholder fails to comply with Rule 14a-19 or the nominating stockholder (or its qualified representative) fails to appear and present a nomination at the applicable stockholder meeting; and (iv) specify that any stockholder directly or indirectly soliciting proxies from other stockholders must use a proxy card color other than white.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complete text of the Bylaws, as amended, is attached hereto as Exhibit 3.1 and is incorporated herein by reference. The foregoing description of the Amendment does not purport to be complete and is qualified in its entirety by Exhibit 3.1.</w:t>
      </w:r>
    </w:p>
    <w:p>
      <w:pPr>
        <w:spacing w:after="0" w:line="19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rFonts w:ascii="Arial" w:cs="Arial" w:eastAsia="Arial" w:hAnsi="Arial"/>
          <w:sz w:val="18"/>
          <w:szCs w:val="18"/>
          <w:color w:val="auto"/>
        </w:rPr>
      </w:pPr>
    </w:p>
    <w:p>
      <w:pPr>
        <w:jc w:val="both"/>
        <w:ind w:firstLine="8"/>
        <w:spacing w:after="0" w:line="248" w:lineRule="auto"/>
        <w:tabs>
          <w:tab w:leader="none" w:pos="244"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three months ended September 30, 2023, none of the Company’s directors or officers (as defined in Rule 16a-1(f) under the Exchange Act) adopted or terminated a Rule 10b5-1 trading arrangement or non-Rule 10b5-1 trading arrangement (as such terms are defined in Item 408 of Regulation 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380" w:type="dxa"/>
            <w:vAlign w:val="bottom"/>
            <w:gridSpan w:val="7"/>
          </w:tcPr>
          <w:p>
            <w:pPr>
              <w:ind w:left="3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8"/>
          </w:tcPr>
          <w:p>
            <w:pPr>
              <w:spacing w:after="0" w:line="196" w:lineRule="exact"/>
              <w:rPr>
                <w:sz w:val="20"/>
                <w:szCs w:val="20"/>
                <w:color w:val="auto"/>
              </w:rPr>
            </w:pPr>
            <w:r>
              <w:rPr>
                <w:rFonts w:ascii="Arial" w:cs="Arial" w:eastAsia="Arial" w:hAnsi="Arial"/>
                <w:sz w:val="18"/>
                <w:szCs w:val="18"/>
                <w:color w:val="0000FF"/>
              </w:rPr>
              <w:t>Amended and Restated Bylaws of Uniti Group Inc., as amended November 1, 2023.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0000EE"/>
                <w:w w:val="92"/>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0"/>
              </w:rPr>
              <w:t>Adopted Pursuant to Section 302 of the Sarbanes-Oxley Act of 2002.</w:t>
            </w:r>
          </w:p>
        </w:tc>
        <w:tc>
          <w:tcPr>
            <w:tcW w:w="4640" w:type="dxa"/>
            <w:vAlign w:val="bottom"/>
            <w:tcBorders>
              <w:top w:val="single" w:sz="8" w:color="0000EE"/>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0000EE"/>
                <w:w w:val="92"/>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0"/>
              </w:rPr>
              <w:t>Adopted Pursuant to Section 302 of the Sarbanes-Oxley Act of 2002.</w:t>
            </w:r>
          </w:p>
        </w:tc>
        <w:tc>
          <w:tcPr>
            <w:tcW w:w="458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0000EE"/>
                <w:w w:val="92"/>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2"/>
              </w:rPr>
              <w:t>Oxley Act of 2002.</w:t>
            </w:r>
          </w:p>
        </w:tc>
        <w:tc>
          <w:tcPr>
            <w:tcW w:w="8220" w:type="dxa"/>
            <w:vAlign w:val="bottom"/>
            <w:tcBorders>
              <w:top w:val="single" w:sz="8" w:color="0000EE"/>
            </w:tcBorders>
            <w:gridSpan w:val="5"/>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13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0000EE"/>
                <w:w w:val="92"/>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2"/>
              </w:rPr>
              <w:t>Oxley Act of 2002.</w:t>
            </w:r>
          </w:p>
        </w:tc>
        <w:tc>
          <w:tcPr>
            <w:tcW w:w="8160" w:type="dxa"/>
            <w:vAlign w:val="bottom"/>
            <w:tcBorders>
              <w:top w:val="single" w:sz="8" w:color="0000EE"/>
            </w:tcBorders>
            <w:gridSpan w:val="3"/>
          </w:tcPr>
          <w:p>
            <w:pPr>
              <w:spacing w:after="0"/>
              <w:rPr>
                <w:sz w:val="15"/>
                <w:szCs w:val="15"/>
                <w:color w:val="auto"/>
              </w:rPr>
            </w:pPr>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60" w:type="dxa"/>
            <w:vAlign w:val="bottom"/>
            <w:gridSpan w:val="8"/>
            <w:vMerge w:val="restart"/>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UNITI GROUP INC.</w:t>
      </w:r>
    </w:p>
    <w:p>
      <w:pPr>
        <w:spacing w:after="0" w:line="297" w:lineRule="exact"/>
        <w:rPr>
          <w:sz w:val="20"/>
          <w:szCs w:val="20"/>
          <w:color w:val="auto"/>
        </w:rPr>
      </w:pPr>
    </w:p>
    <w:p>
      <w:pPr>
        <w:ind w:left="20"/>
        <w:spacing w:after="0"/>
        <w:tabs>
          <w:tab w:leader="none" w:pos="90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2023</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14605</wp:posOffset>
            </wp:positionV>
            <wp:extent cx="4071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Paul E. Bullington</w:t>
      </w:r>
    </w:p>
    <w:p>
      <w:pPr>
        <w:ind w:left="4840"/>
        <w:spacing w:after="0" w:line="219" w:lineRule="auto"/>
        <w:rPr>
          <w:sz w:val="20"/>
          <w:szCs w:val="20"/>
          <w:color w:val="auto"/>
        </w:rPr>
      </w:pPr>
      <w:r>
        <w:rPr>
          <w:rFonts w:ascii="Arial" w:cs="Arial" w:eastAsia="Arial" w:hAnsi="Arial"/>
          <w:sz w:val="18"/>
          <w:szCs w:val="18"/>
          <w:b w:val="1"/>
          <w:bCs w:val="1"/>
          <w:color w:val="auto"/>
        </w:rPr>
        <w:t>Senior Vice President – Chief Financial Officer and Treasurer</w:t>
      </w:r>
    </w:p>
    <w:p>
      <w:pPr>
        <w:ind w:left="4840"/>
        <w:spacing w:after="0"/>
        <w:rPr>
          <w:sz w:val="20"/>
          <w:szCs w:val="20"/>
          <w:color w:val="auto"/>
        </w:rPr>
      </w:pPr>
      <w:r>
        <w:rPr>
          <w:rFonts w:ascii="Arial" w:cs="Arial" w:eastAsia="Arial" w:hAnsi="Arial"/>
          <w:sz w:val="18"/>
          <w:szCs w:val="18"/>
          <w:b w:val="1"/>
          <w:bCs w:val="1"/>
          <w:color w:val="auto"/>
        </w:rPr>
        <w:t>(Principal Financial Officer)</w:t>
      </w:r>
    </w:p>
    <w:p>
      <w:pPr>
        <w:spacing w:after="0" w:line="277" w:lineRule="exact"/>
        <w:rPr>
          <w:sz w:val="20"/>
          <w:szCs w:val="20"/>
          <w:color w:val="auto"/>
        </w:rPr>
      </w:pPr>
    </w:p>
    <w:p>
      <w:pPr>
        <w:ind w:left="20"/>
        <w:spacing w:after="0"/>
        <w:tabs>
          <w:tab w:leader="none" w:pos="90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2023</w:t>
      </w:r>
      <w:r>
        <w:rPr>
          <w:sz w:val="20"/>
          <w:szCs w:val="20"/>
          <w:color w:val="auto"/>
        </w:rPr>
        <w:tab/>
      </w:r>
      <w:r>
        <w:rPr>
          <w:rFonts w:ascii="Arial" w:cs="Arial" w:eastAsia="Arial" w:hAnsi="Arial"/>
          <w:sz w:val="16"/>
          <w:szCs w:val="16"/>
          <w:color w:val="auto"/>
        </w:rPr>
        <w:t>/s/ Travis T.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14605</wp:posOffset>
            </wp:positionV>
            <wp:extent cx="4071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Travis T. Black</w:t>
      </w:r>
    </w:p>
    <w:p>
      <w:pPr>
        <w:ind w:left="4840"/>
        <w:spacing w:after="0" w:line="219" w:lineRule="auto"/>
        <w:rPr>
          <w:sz w:val="20"/>
          <w:szCs w:val="20"/>
          <w:color w:val="auto"/>
        </w:rPr>
      </w:pPr>
      <w:r>
        <w:rPr>
          <w:rFonts w:ascii="Arial" w:cs="Arial" w:eastAsia="Arial" w:hAnsi="Arial"/>
          <w:sz w:val="18"/>
          <w:szCs w:val="18"/>
          <w:b w:val="1"/>
          <w:bCs w:val="1"/>
          <w:color w:val="auto"/>
        </w:rPr>
        <w:t>Vice President – Chief Accounting Officer</w:t>
      </w:r>
    </w:p>
    <w:p>
      <w:pPr>
        <w:ind w:left="484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341" w:right="379" w:bottom="1440" w:gutter="0" w:footer="0" w:header="0"/>
        </w:sectPr>
      </w:pPr>
    </w:p>
    <w:bookmarkStart w:id="58" w:name="page59"/>
    <w:bookmarkEnd w:id="58"/>
    <w:p>
      <w:pPr>
        <w:spacing w:after="0" w:line="169" w:lineRule="exact"/>
        <w:rPr>
          <w:sz w:val="20"/>
          <w:szCs w:val="20"/>
          <w:color w:val="auto"/>
        </w:rPr>
      </w:pPr>
    </w:p>
    <w:p>
      <w:pPr>
        <w:ind w:left="4800"/>
        <w:spacing w:after="0"/>
        <w:rPr>
          <w:sz w:val="20"/>
          <w:szCs w:val="20"/>
          <w:color w:val="auto"/>
        </w:rPr>
      </w:pPr>
      <w:r>
        <w:rPr>
          <w:rFonts w:ascii="Arial" w:cs="Arial" w:eastAsia="Arial" w:hAnsi="Arial"/>
          <w:sz w:val="18"/>
          <w:szCs w:val="18"/>
          <w:b w:val="1"/>
          <w:bCs w:val="1"/>
          <w:u w:val="single" w:color="auto"/>
          <w:color w:val="auto"/>
        </w:rPr>
        <w:t>UNITI GROUP INC.</w:t>
      </w:r>
    </w:p>
    <w:p>
      <w:pPr>
        <w:ind w:left="4860"/>
        <w:spacing w:after="0"/>
        <w:rPr>
          <w:sz w:val="20"/>
          <w:szCs w:val="20"/>
          <w:color w:val="auto"/>
        </w:rPr>
      </w:pPr>
      <w:r>
        <w:rPr>
          <w:rFonts w:ascii="Arial" w:cs="Arial" w:eastAsia="Arial" w:hAnsi="Arial"/>
          <w:sz w:val="18"/>
          <w:szCs w:val="18"/>
          <w:b w:val="1"/>
          <w:bCs w:val="1"/>
          <w:u w:val="single" w:color="auto"/>
          <w:color w:val="auto"/>
        </w:rPr>
        <w:t>(the “Corporation”)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BYLAWS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202" w:lineRule="exact"/>
        <w:rPr>
          <w:sz w:val="20"/>
          <w:szCs w:val="20"/>
          <w:color w:val="auto"/>
        </w:rPr>
      </w:pPr>
    </w:p>
    <w:p>
      <w:pPr>
        <w:ind w:right="600" w:firstLine="310"/>
        <w:spacing w:after="0" w:line="23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of the Corporation (the “Board of Directors”) may designate.</w:t>
      </w:r>
    </w:p>
    <w:p>
      <w:pPr>
        <w:spacing w:after="0" w:line="162" w:lineRule="exact"/>
        <w:rPr>
          <w:sz w:val="20"/>
          <w:szCs w:val="20"/>
          <w:color w:val="auto"/>
        </w:rPr>
      </w:pPr>
    </w:p>
    <w:p>
      <w:pPr>
        <w:ind w:right="120" w:firstLine="310"/>
        <w:spacing w:after="0" w:line="24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MEETINGS OF STOCKHOLDERS</w:t>
      </w:r>
    </w:p>
    <w:p>
      <w:pPr>
        <w:spacing w:after="0" w:line="202" w:lineRule="exact"/>
        <w:rPr>
          <w:sz w:val="20"/>
          <w:szCs w:val="20"/>
          <w:color w:val="auto"/>
        </w:rPr>
      </w:pPr>
    </w:p>
    <w:p>
      <w:pPr>
        <w:ind w:right="140" w:firstLine="310"/>
        <w:spacing w:after="0" w:line="23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either within or without the State of Maryland, and stated in the notice of the meeting.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ANNUAL MEETING</w:t>
      </w:r>
      <w:r>
        <w:rPr>
          <w:rFonts w:ascii="Arial" w:cs="Arial" w:eastAsia="Arial" w:hAnsi="Arial"/>
          <w:sz w:val="17"/>
          <w:szCs w:val="17"/>
          <w:color w:val="auto"/>
        </w:rPr>
        <w:t>. An annual meeting of the stockholders for the election of directors and the transaction of any business within the</w:t>
      </w:r>
    </w:p>
    <w:p>
      <w:pPr>
        <w:spacing w:after="0" w:line="10"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powers of the Corporation shall be held on a date and at the time set by the Board of Directors, beginning in the year 2016. Any proper business may be transacted at the annual meeting of stockholders.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SPECIAL MEETINGS</w:t>
      </w:r>
      <w:r>
        <w:rPr>
          <w:rFonts w:ascii="Arial" w:cs="Arial" w:eastAsia="Arial" w:hAnsi="Arial"/>
          <w:sz w:val="17"/>
          <w:szCs w:val="17"/>
          <w:color w:val="auto"/>
        </w:rPr>
        <w:t>. The Chairman of the Board, President, Chief Executive Officer, or a majority of the Board of Directors may call</w:t>
      </w:r>
    </w:p>
    <w:p>
      <w:pPr>
        <w:spacing w:after="0" w:line="10"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special meetings of the stockholders. Special meetings of stockholders shall also be called by the Secretary upon the written request of the holders of shares entitled to cast not less than twenty percent of all the votes entitled to be cast at such meeting. Such written request shall state the purpose of such meeting and the matters proposed to be acted on at such meeting. The Secretary shall inform such stockholders of the reasonably estimated cost of preparing and</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mailing notice of the meeting and, upon payment to the Corporation by such stockholders of such costs, the Secretary shall give notice to each stockholder entitled to notice of the meeting. Any requesting stockholder may revoke his, her, or its request for a special meeting at any time by written revocation delivered to the Secretary. Upon receipt of any written revocations, the Secretary may refrain from sending out a notice if the result is that holders entitled</w:t>
      </w:r>
    </w:p>
    <w:p>
      <w:pPr>
        <w:spacing w:after="0" w:line="2"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to cast not less than a majority of all votes entitled to be cast at such meeting no longer have requested a special meeting. In such event, if the notice has already been delivered to the stockholders, either the Secretary may revoke the notice of the meeting by written notice to the stockholders or the chairman of the meeting may call the meeting to order and adjourn the meeting without any action on the matter.</w:t>
      </w:r>
    </w:p>
    <w:p>
      <w:pPr>
        <w:spacing w:after="0" w:line="176" w:lineRule="exact"/>
        <w:rPr>
          <w:sz w:val="20"/>
          <w:szCs w:val="20"/>
          <w:color w:val="auto"/>
        </w:rPr>
      </w:pPr>
    </w:p>
    <w:p>
      <w:pPr>
        <w:ind w:right="60" w:firstLine="310"/>
        <w:spacing w:after="0" w:line="24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w:t>
      </w:r>
      <w:r>
        <w:rPr>
          <w:rFonts w:ascii="Arial" w:cs="Arial" w:eastAsia="Arial" w:hAnsi="Arial"/>
          <w:sz w:val="16"/>
          <w:szCs w:val="16"/>
          <w:color w:val="auto"/>
        </w:rPr>
        <w:t>. Subject to Section 6, not less than ten nor more than 90 days before each special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w:t>
      </w:r>
    </w:p>
    <w:p>
      <w:pPr>
        <w:spacing w:after="0" w:line="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meeting is called, either by mail, by presenting it to such stockholder personally, by leaving it at the stockholder’s residence or usual place of business or by any other means permitted by the laws of the State of Maryland. If mailed, such notice shall be deemed to be given when deposited in the United States mail addressed to the stockholder at the stockholder’s address as it appears on the records of the Corporation, with postage thereon prepaid.</w:t>
      </w:r>
    </w:p>
    <w:p>
      <w:pPr>
        <w:spacing w:after="0" w:line="170" w:lineRule="exact"/>
        <w:rPr>
          <w:sz w:val="20"/>
          <w:szCs w:val="20"/>
          <w:color w:val="auto"/>
        </w:rPr>
      </w:pPr>
    </w:p>
    <w:p>
      <w:pPr>
        <w:ind w:right="300" w:firstLine="310"/>
        <w:spacing w:after="0" w:line="224" w:lineRule="auto"/>
        <w:rPr>
          <w:sz w:val="20"/>
          <w:szCs w:val="20"/>
          <w:color w:val="auto"/>
        </w:rPr>
      </w:pPr>
      <w:r>
        <w:rPr>
          <w:rFonts w:ascii="Arial" w:cs="Arial" w:eastAsia="Arial" w:hAnsi="Arial"/>
          <w:sz w:val="18"/>
          <w:szCs w:val="18"/>
          <w:color w:val="auto"/>
        </w:rPr>
        <w:t>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136" w:lineRule="exact"/>
        <w:rPr>
          <w:sz w:val="20"/>
          <w:szCs w:val="20"/>
          <w:color w:val="auto"/>
        </w:rPr>
      </w:pPr>
    </w:p>
    <w:p>
      <w:pPr>
        <w:jc w:val="both"/>
        <w:ind w:right="40" w:firstLine="180"/>
        <w:spacing w:after="0" w:line="25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or, in the case of a vacancy in the office or absence of the Chairman of the Board, by one of the following officers present at the meeting: the Vice Chairman of the Board, if there be one,</w:t>
      </w:r>
    </w:p>
    <w:p>
      <w:pPr>
        <w:sectPr>
          <w:pgSz w:w="11900" w:h="16838" w:orient="portrait"/>
          <w:cols w:equalWidth="0" w:num="1">
            <w:col w:w="11220"/>
          </w:cols>
          <w:pgMar w:left="320" w:top="1440" w:right="359" w:bottom="1440" w:gutter="0" w:footer="0" w:header="0"/>
        </w:sectPr>
      </w:pPr>
    </w:p>
    <w:bookmarkStart w:id="59" w:name="page60"/>
    <w:bookmarkEnd w:id="59"/>
    <w:p>
      <w:pPr>
        <w:ind w:right="60"/>
        <w:spacing w:after="0" w:line="248" w:lineRule="auto"/>
        <w:rPr>
          <w:sz w:val="20"/>
          <w:szCs w:val="20"/>
          <w:color w:val="auto"/>
        </w:rPr>
      </w:pPr>
      <w:r>
        <w:rPr>
          <w:rFonts w:ascii="Arial" w:cs="Arial" w:eastAsia="Arial" w:hAnsi="Arial"/>
          <w:sz w:val="16"/>
          <w:szCs w:val="16"/>
          <w:color w:val="auto"/>
        </w:rPr>
        <w:t>the President, the Vice Presidents in their order of rank and seniority, or, in the absence of such officers, a chairman chosen by the stockholders by the vote of a majority of the votes cast by stockholders present in person or by proxy. The Secretary, or, in the Secretary’s absence, an Assistant Secretary, or in the</w:t>
      </w:r>
    </w:p>
    <w:p>
      <w:pPr>
        <w:ind w:right="360"/>
        <w:spacing w:after="0" w:line="234" w:lineRule="auto"/>
        <w:rPr>
          <w:sz w:val="20"/>
          <w:szCs w:val="20"/>
          <w:color w:val="auto"/>
        </w:rPr>
      </w:pPr>
      <w:r>
        <w:rPr>
          <w:rFonts w:ascii="Arial" w:cs="Arial" w:eastAsia="Arial" w:hAnsi="Arial"/>
          <w:sz w:val="16"/>
          <w:szCs w:val="16"/>
          <w:color w:val="auto"/>
        </w:rPr>
        <w:t>absence of both the Secretary and Assistant Secretaries, a person appointed by the Board of Directors or, in the absence of such appointment, a person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and other such individuals as the chairman of the meeting may determine; (d) limiting the time allotted to</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questions or comments by participants; (e) maintaining order and security at the meeting; (f) removing any stockholder or any other individual who refuses to comply with meeting procedures, rules or guidelines as set forth by the chairman of the meeting; and (g) recessing or adjourning the meeting to a later date and time and place announced at the meeting. Unless otherwise determined by the chairman of the meeting, meetings of stockholders shall not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held in accordance with the rules of parliamentary procedure.</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ADVANCE NOTICE OF STOCKHOLDER NOMINEES FOR DIRECTOR AND OTHER STOCKHOLDER PROPOSALS.</w:t>
      </w:r>
    </w:p>
    <w:p>
      <w:pPr>
        <w:spacing w:after="0" w:line="185" w:lineRule="exact"/>
        <w:rPr>
          <w:sz w:val="20"/>
          <w:szCs w:val="20"/>
          <w:color w:val="auto"/>
        </w:rPr>
      </w:pPr>
    </w:p>
    <w:p>
      <w:pPr>
        <w:ind w:left="560" w:hanging="242"/>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firstLine="629"/>
        <w:spacing w:after="0" w:line="226" w:lineRule="auto"/>
        <w:tabs>
          <w:tab w:leader="none" w:pos="876"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6(a) and at the time of the annual meeting, who is entitled to vote at the meeting in the election of each individual so nominated or on any such other business and who has complied with this Section 6(a). </w:t>
      </w:r>
      <w:r>
        <w:rPr>
          <w:rFonts w:ascii="Arial" w:cs="Arial" w:eastAsia="Arial" w:hAnsi="Arial"/>
          <w:sz w:val="17"/>
          <w:szCs w:val="17"/>
          <w:u w:val="single" w:color="auto"/>
          <w:color w:val="auto"/>
        </w:rPr>
        <w:t>For the avoidance of doubt, the foregoing clause (iii) shall be the sole and exclusive means for</w:t>
      </w:r>
      <w:r>
        <w:rPr>
          <w:rFonts w:ascii="Arial" w:cs="Arial" w:eastAsia="Arial" w:hAnsi="Arial"/>
          <w:sz w:val="17"/>
          <w:szCs w:val="17"/>
          <w:color w:val="auto"/>
        </w:rPr>
        <w:t xml:space="preserve"> </w:t>
      </w:r>
      <w:r>
        <w:rPr>
          <w:rFonts w:ascii="Arial" w:cs="Arial" w:eastAsia="Arial" w:hAnsi="Arial"/>
          <w:sz w:val="17"/>
          <w:szCs w:val="17"/>
          <w:u w:val="single" w:color="auto"/>
          <w:color w:val="auto"/>
        </w:rPr>
        <w:t>a stockholder to make nominations or propose business (other than business included in the Corporation’s proxy materials pursuant to Rule 14a-8 under the Securities Exchange Act of 1934, as amended (such act, and the rules and regulations promulgated thereunder, the “Exchange Act”)), at an annual meeting of stockholders, and such stockholder must fully comply with the notice and other procedures set forth in this Section 6(a) to make such nominations or propose business before an annual meeting.</w:t>
      </w:r>
    </w:p>
    <w:p>
      <w:pPr>
        <w:spacing w:after="0" w:line="179" w:lineRule="exact"/>
        <w:rPr>
          <w:rFonts w:ascii="Arial" w:cs="Arial" w:eastAsia="Arial" w:hAnsi="Arial"/>
          <w:sz w:val="17"/>
          <w:szCs w:val="17"/>
          <w:color w:val="auto"/>
        </w:rPr>
      </w:pPr>
    </w:p>
    <w:p>
      <w:pPr>
        <w:ind w:right="20" w:firstLine="629"/>
        <w:spacing w:after="0" w:line="225" w:lineRule="auto"/>
        <w:tabs>
          <w:tab w:leader="none" w:pos="876"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For any nomination or other business to be properly brought before an annual meeting by a stockholder pursuant to </w:t>
      </w:r>
      <w:r>
        <w:rPr>
          <w:rFonts w:ascii="Arial" w:cs="Arial" w:eastAsia="Arial" w:hAnsi="Arial"/>
          <w:sz w:val="16"/>
          <w:szCs w:val="16"/>
          <w:color w:val="auto"/>
          <w:strike w:val="1"/>
        </w:rPr>
        <w:t>clause (iii) of paragraph</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(a)(1) of this Section 6</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6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shall be delivered to the Secretary at the principal executive office of the Corporation not earlier than the 150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nor later than 5:00 p.m., Central Time, on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the first anniversary of the date of the proxy statement (as defined in Section 6(c)(3)) for the preceding year’s annual meeting; provided, however, that in connection with the Corporation’s first annual meeting or</w:t>
      </w:r>
      <w:r>
        <w:rPr>
          <w:rFonts w:ascii="Arial" w:cs="Arial" w:eastAsia="Arial" w:hAnsi="Arial"/>
          <w:sz w:val="16"/>
          <w:szCs w:val="16"/>
          <w:u w:val="single" w:color="auto"/>
          <w:color w:val="auto"/>
        </w:rPr>
        <w:t>,</w:t>
      </w:r>
      <w:r>
        <w:rPr>
          <w:rFonts w:ascii="Arial" w:cs="Arial" w:eastAsia="Arial" w:hAnsi="Arial"/>
          <w:sz w:val="16"/>
          <w:szCs w:val="16"/>
          <w:color w:val="auto"/>
        </w:rPr>
        <w:t xml:space="preserve"> in the event that the date of the annual meeting is advanced or delayed by more than 30 days from the first anniversary of the date of the preceding year’s annual meeting, notice by the stockholder to be timely must be so delivered not earlier than the 150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the date of such annual meeting and not later than 5:00 p.m., Central Time, on the later of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the date of such annual meeting, as originally convened, or the tenth day following the day on which public announcement of the date of such meeting is first made</w:t>
      </w:r>
      <w:r>
        <w:rPr>
          <w:rFonts w:ascii="Arial" w:cs="Arial" w:eastAsia="Arial" w:hAnsi="Arial"/>
          <w:sz w:val="16"/>
          <w:szCs w:val="16"/>
          <w:color w:val="auto"/>
          <w:strike w:val="1"/>
        </w:rPr>
        <w:t>. The</w:t>
      </w:r>
      <w:r>
        <w:rPr>
          <w:rFonts w:ascii="Arial" w:cs="Arial" w:eastAsia="Arial" w:hAnsi="Arial"/>
          <w:sz w:val="16"/>
          <w:szCs w:val="16"/>
          <w:u w:val="single" w:color="auto"/>
          <w:color w:val="auto"/>
        </w:rPr>
        <w:t>, (ii) in the case of a proposal for the nomination of persons for election to the Board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 the stockholder shall have complied in all respects with the requirements of Section 14 of the Exchange Act, including, without limitation, if applicable, the requirements of Rule 14a-19 (as such rule and regulations may be amended from time to time by the Securities and Exchange Commission, including any Securities and Exchange Commission Staff interpretations relating thereto) and (iii) in the case of a proposal for the nomination of persons for election to the Board of Directors, the Board of Directors or an executive officer designated thereby shall have determined that the stockholder has satisfied the requirements of this Section 6. In no event shall a postponement, adjournment or rescheduling (or the</w:t>
      </w:r>
      <w:r>
        <w:rPr>
          <w:rFonts w:ascii="Arial" w:cs="Arial" w:eastAsia="Arial" w:hAnsi="Arial"/>
          <w:sz w:val="16"/>
          <w:szCs w:val="16"/>
          <w:color w:val="auto"/>
        </w:rPr>
        <w:t xml:space="preserve"> public announcement </w:t>
      </w:r>
      <w:r>
        <w:rPr>
          <w:rFonts w:ascii="Arial" w:cs="Arial" w:eastAsia="Arial" w:hAnsi="Arial"/>
          <w:sz w:val="16"/>
          <w:szCs w:val="16"/>
          <w:color w:val="auto"/>
          <w:strike w:val="1"/>
        </w:rPr>
        <w:t>of a postponement</w:t>
      </w:r>
      <w:r>
        <w:rPr>
          <w:rFonts w:ascii="Arial" w:cs="Arial" w:eastAsia="Arial" w:hAnsi="Arial"/>
          <w:sz w:val="16"/>
          <w:szCs w:val="16"/>
          <w:color w:val="auto"/>
        </w:rPr>
        <w:t xml:space="preserve"> </w:t>
      </w:r>
      <w:r>
        <w:rPr>
          <w:rFonts w:ascii="Arial" w:cs="Arial" w:eastAsia="Arial" w:hAnsi="Arial"/>
          <w:sz w:val="16"/>
          <w:szCs w:val="16"/>
          <w:color w:val="auto"/>
          <w:strike w:val="1"/>
        </w:rPr>
        <w:t>or adjournment</w:t>
      </w:r>
      <w:r>
        <w:rPr>
          <w:rFonts w:ascii="Arial" w:cs="Arial" w:eastAsia="Arial" w:hAnsi="Arial"/>
          <w:sz w:val="16"/>
          <w:szCs w:val="16"/>
          <w:u w:val="single" w:color="auto"/>
          <w:color w:val="auto"/>
        </w:rPr>
        <w:t>thereof)</w:t>
      </w:r>
      <w:r>
        <w:rPr>
          <w:rFonts w:ascii="Arial" w:cs="Arial" w:eastAsia="Arial" w:hAnsi="Arial"/>
          <w:sz w:val="16"/>
          <w:szCs w:val="16"/>
          <w:color w:val="auto"/>
        </w:rPr>
        <w:t xml:space="preserve"> of an annual meeting </w:t>
      </w:r>
      <w:r>
        <w:rPr>
          <w:rFonts w:ascii="Arial" w:cs="Arial" w:eastAsia="Arial" w:hAnsi="Arial"/>
          <w:sz w:val="16"/>
          <w:szCs w:val="16"/>
          <w:color w:val="auto"/>
          <w:strike w:val="1"/>
        </w:rPr>
        <w:t>shall not</w:t>
      </w:r>
      <w:r>
        <w:rPr>
          <w:rFonts w:ascii="Arial" w:cs="Arial" w:eastAsia="Arial" w:hAnsi="Arial"/>
          <w:sz w:val="16"/>
          <w:szCs w:val="16"/>
          <w:u w:val="single" w:color="auto"/>
          <w:color w:val="auto"/>
        </w:rPr>
        <w:t>for which notice has been given or a public announcement of the meeting date has been made</w:t>
      </w:r>
      <w:r>
        <w:rPr>
          <w:rFonts w:ascii="Arial" w:cs="Arial" w:eastAsia="Arial" w:hAnsi="Arial"/>
          <w:sz w:val="16"/>
          <w:szCs w:val="16"/>
          <w:color w:val="auto"/>
        </w:rPr>
        <w:t xml:space="preserve"> commence a new time period </w:t>
      </w:r>
      <w:r>
        <w:rPr>
          <w:rFonts w:ascii="Arial" w:cs="Arial" w:eastAsia="Arial" w:hAnsi="Arial"/>
          <w:sz w:val="16"/>
          <w:szCs w:val="16"/>
          <w:u w:val="single" w:color="auto"/>
          <w:color w:val="auto"/>
        </w:rPr>
        <w:t>(or extend any time period)</w:t>
      </w:r>
      <w:r>
        <w:rPr>
          <w:rFonts w:ascii="Arial" w:cs="Arial" w:eastAsia="Arial" w:hAnsi="Arial"/>
          <w:sz w:val="16"/>
          <w:szCs w:val="16"/>
          <w:color w:val="auto"/>
        </w:rPr>
        <w:t xml:space="preserve">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-1790065</wp:posOffset>
            </wp:positionV>
            <wp:extent cx="774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065" cy="825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-1336040</wp:posOffset>
            </wp:positionV>
            <wp:extent cx="2769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0" w:name="page61"/>
    <w:bookmarkEnd w:id="60"/>
    <w:p>
      <w:pPr>
        <w:spacing w:after="0" w:line="184" w:lineRule="exact"/>
        <w:rPr>
          <w:sz w:val="20"/>
          <w:szCs w:val="20"/>
          <w:color w:val="auto"/>
        </w:rPr>
      </w:pPr>
    </w:p>
    <w:p>
      <w:pPr>
        <w:ind w:left="260" w:hanging="251"/>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stockholder’s notice shall set forth:</w:t>
      </w:r>
    </w:p>
    <w:p>
      <w:pPr>
        <w:spacing w:after="0" w:line="76" w:lineRule="exact"/>
        <w:rPr>
          <w:rFonts w:ascii="Arial" w:cs="Arial" w:eastAsia="Arial" w:hAnsi="Arial"/>
          <w:sz w:val="18"/>
          <w:szCs w:val="18"/>
          <w:color w:val="auto"/>
        </w:rPr>
      </w:pPr>
    </w:p>
    <w:p>
      <w:pPr>
        <w:ind w:right="100" w:firstLine="319"/>
        <w:spacing w:after="0" w:line="244" w:lineRule="auto"/>
        <w:tabs>
          <w:tab w:leader="none" w:pos="525"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as to each individual whom the stockholder proposes to nominate for election or reelection as a director (each, a “Proposed Nominee”),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w:t>
      </w:r>
      <w:r>
        <w:rPr>
          <w:rFonts w:ascii="Arial" w:cs="Arial" w:eastAsia="Arial" w:hAnsi="Arial"/>
          <w:sz w:val="16"/>
          <w:szCs w:val="16"/>
          <w:color w:val="auto"/>
          <w:strike w:val="1"/>
        </w:rPr>
        <w:t>Securities</w:t>
      </w:r>
      <w:r>
        <w:rPr>
          <w:rFonts w:ascii="Arial" w:cs="Arial" w:eastAsia="Arial" w:hAnsi="Arial"/>
          <w:sz w:val="16"/>
          <w:szCs w:val="16"/>
          <w:color w:val="auto"/>
        </w:rPr>
        <w:t xml:space="preserve"> Exchange Act </w:t>
      </w:r>
      <w:r>
        <w:rPr>
          <w:rFonts w:ascii="Arial" w:cs="Arial" w:eastAsia="Arial" w:hAnsi="Arial"/>
          <w:sz w:val="16"/>
          <w:szCs w:val="16"/>
          <w:color w:val="auto"/>
          <w:strike w:val="1"/>
        </w:rPr>
        <w:t>of</w:t>
      </w:r>
      <w:r>
        <w:rPr>
          <w:rFonts w:ascii="Arial" w:cs="Arial" w:eastAsia="Arial" w:hAnsi="Arial"/>
          <w:sz w:val="16"/>
          <w:szCs w:val="16"/>
          <w:color w:val="auto"/>
        </w:rPr>
        <w:t xml:space="preserve"> </w:t>
      </w:r>
      <w:r>
        <w:rPr>
          <w:rFonts w:ascii="Arial" w:cs="Arial" w:eastAsia="Arial" w:hAnsi="Arial"/>
          <w:sz w:val="16"/>
          <w:szCs w:val="16"/>
          <w:color w:val="auto"/>
          <w:strike w:val="1"/>
        </w:rPr>
        <w:t>1934, as amended (the “Exchange Act”),</w:t>
      </w:r>
      <w:r>
        <w:rPr>
          <w:rFonts w:ascii="Arial" w:cs="Arial" w:eastAsia="Arial" w:hAnsi="Arial"/>
          <w:sz w:val="16"/>
          <w:szCs w:val="16"/>
          <w:color w:val="auto"/>
        </w:rPr>
        <w:t xml:space="preserve"> and the rules thereunder</w:t>
      </w:r>
      <w:r>
        <w:rPr>
          <w:rFonts w:ascii="Arial" w:cs="Arial" w:eastAsia="Arial" w:hAnsi="Arial"/>
          <w:sz w:val="16"/>
          <w:szCs w:val="16"/>
          <w:color w:val="auto"/>
          <w:strike w:val="1"/>
        </w:rPr>
        <w:t>;</w:t>
      </w:r>
      <w:r>
        <w:rPr>
          <w:rFonts w:ascii="Arial" w:cs="Arial" w:eastAsia="Arial" w:hAnsi="Arial"/>
          <w:sz w:val="16"/>
          <w:szCs w:val="16"/>
          <w:u w:val="single" w:color="auto"/>
          <w:color w:val="auto"/>
        </w:rPr>
        <w:t>, and the Corporation may require any Proposed Nominee to furnish such 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67" w:lineRule="exact"/>
        <w:rPr>
          <w:rFonts w:ascii="Arial" w:cs="Arial" w:eastAsia="Arial" w:hAnsi="Arial"/>
          <w:sz w:val="16"/>
          <w:szCs w:val="16"/>
          <w:color w:val="auto"/>
        </w:rPr>
      </w:pPr>
    </w:p>
    <w:p>
      <w:pPr>
        <w:jc w:val="both"/>
        <w:ind w:firstLine="319"/>
        <w:spacing w:after="0" w:line="223" w:lineRule="auto"/>
        <w:tabs>
          <w:tab w:leader="none" w:pos="5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54"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to the stockholder giving the notice, any Proposed Nominee and any Stockholder Associated Person,</w:t>
      </w:r>
    </w:p>
    <w:p>
      <w:pPr>
        <w:spacing w:after="0" w:line="76" w:lineRule="exact"/>
        <w:rPr>
          <w:rFonts w:ascii="Arial" w:cs="Arial" w:eastAsia="Arial" w:hAnsi="Arial"/>
          <w:sz w:val="18"/>
          <w:szCs w:val="18"/>
          <w:color w:val="auto"/>
        </w:rPr>
      </w:pPr>
    </w:p>
    <w:p>
      <w:pPr>
        <w:ind w:left="700" w:right="40" w:firstLine="308"/>
        <w:spacing w:after="0" w:line="245" w:lineRule="auto"/>
        <w:tabs>
          <w:tab w:leader="none" w:pos="1305" w:val="left"/>
        </w:tabs>
        <w:numPr>
          <w:ilvl w:val="2"/>
          <w:numId w:val="12"/>
        </w:numPr>
        <w:rPr>
          <w:rFonts w:ascii="Arial" w:cs="Arial" w:eastAsia="Arial" w:hAnsi="Arial"/>
          <w:sz w:val="17"/>
          <w:szCs w:val="17"/>
          <w:color w:val="auto"/>
        </w:rPr>
      </w:pPr>
      <w:r>
        <w:rPr>
          <w:rFonts w:ascii="Arial" w:cs="Arial" w:eastAsia="Arial" w:hAnsi="Arial"/>
          <w:sz w:val="17"/>
          <w:szCs w:val="17"/>
          <w:color w:val="auto"/>
        </w:rPr>
        <w:t>the class, series and number of all shares of stock or other securities of the Corporation (collectively, the “Company Securities”), if any, which are owned (beneficially or of record) by such stockholder, Proposed Nominee or Stockholder Associated Person and the date on which each such Company Security was acquired and the investment intent of such acquisition and</w:t>
      </w:r>
    </w:p>
    <w:p>
      <w:pPr>
        <w:spacing w:after="0" w:line="49" w:lineRule="exact"/>
        <w:rPr>
          <w:rFonts w:ascii="Arial" w:cs="Arial" w:eastAsia="Arial" w:hAnsi="Arial"/>
          <w:sz w:val="17"/>
          <w:szCs w:val="17"/>
          <w:color w:val="auto"/>
        </w:rPr>
      </w:pPr>
    </w:p>
    <w:p>
      <w:pPr>
        <w:ind w:left="700" w:right="500" w:firstLine="308"/>
        <w:spacing w:after="0" w:line="246" w:lineRule="auto"/>
        <w:tabs>
          <w:tab w:leader="none" w:pos="1295"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nominee holder for, and number of, any Company Securities owned beneficially but not of record by such stockholder, Proposed Nominee or Stockholder Associated Person;</w:t>
      </w:r>
    </w:p>
    <w:p>
      <w:pPr>
        <w:spacing w:after="0" w:line="48" w:lineRule="exact"/>
        <w:rPr>
          <w:rFonts w:ascii="Arial" w:cs="Arial" w:eastAsia="Arial" w:hAnsi="Arial"/>
          <w:sz w:val="18"/>
          <w:szCs w:val="18"/>
          <w:color w:val="auto"/>
        </w:rPr>
      </w:pPr>
    </w:p>
    <w:p>
      <w:pPr>
        <w:ind w:left="620" w:hanging="301"/>
        <w:spacing w:after="0"/>
        <w:tabs>
          <w:tab w:leader="none" w:pos="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as to the stockholder giving the notice, any Stockholder Associated Person with an interest or ownership referred to in </w:t>
      </w:r>
      <w:r>
        <w:rPr>
          <w:rFonts w:ascii="Arial" w:cs="Arial" w:eastAsia="Arial" w:hAnsi="Arial"/>
          <w:sz w:val="16"/>
          <w:szCs w:val="16"/>
          <w:color w:val="auto"/>
          <w:strike w:val="1"/>
        </w:rPr>
        <w:t>clauses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6(a)</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(3)</w:t>
      </w:r>
      <w:r>
        <w:rPr>
          <w:rFonts w:ascii="Arial" w:cs="Arial" w:eastAsia="Arial" w:hAnsi="Arial"/>
          <w:sz w:val="18"/>
          <w:szCs w:val="18"/>
          <w:color w:val="auto"/>
        </w:rPr>
        <w:t xml:space="preserve">(ii) or (iii) </w:t>
      </w:r>
      <w:r>
        <w:rPr>
          <w:rFonts w:ascii="Arial" w:cs="Arial" w:eastAsia="Arial" w:hAnsi="Arial"/>
          <w:sz w:val="18"/>
          <w:szCs w:val="18"/>
          <w:color w:val="auto"/>
          <w:strike w:val="1"/>
        </w:rPr>
        <w:t>of this paragraph (3) of this Section 6(a)</w:t>
      </w:r>
      <w:r>
        <w:rPr>
          <w:rFonts w:ascii="Arial" w:cs="Arial" w:eastAsia="Arial" w:hAnsi="Arial"/>
          <w:sz w:val="18"/>
          <w:szCs w:val="18"/>
          <w:color w:val="auto"/>
        </w:rPr>
        <w:t xml:space="preserve"> and any Proposed Nominee,</w:t>
      </w:r>
    </w:p>
    <w:p>
      <w:pPr>
        <w:spacing w:after="0" w:line="74" w:lineRule="exact"/>
        <w:rPr>
          <w:rFonts w:ascii="Arial" w:cs="Arial" w:eastAsia="Arial" w:hAnsi="Arial"/>
          <w:sz w:val="16"/>
          <w:szCs w:val="16"/>
          <w:color w:val="auto"/>
        </w:rPr>
      </w:pPr>
    </w:p>
    <w:p>
      <w:pPr>
        <w:ind w:left="700" w:right="180" w:firstLine="308"/>
        <w:spacing w:after="0" w:line="235" w:lineRule="auto"/>
        <w:tabs>
          <w:tab w:leader="none" w:pos="1305"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stock ledger, and the current name and business address, if different, of each such Stockholder Associated Person and any Proposed Nominee and</w:t>
      </w:r>
    </w:p>
    <w:p>
      <w:pPr>
        <w:spacing w:after="0" w:line="53" w:lineRule="exact"/>
        <w:rPr>
          <w:rFonts w:ascii="Arial" w:cs="Arial" w:eastAsia="Arial" w:hAnsi="Arial"/>
          <w:sz w:val="18"/>
          <w:szCs w:val="18"/>
          <w:color w:val="auto"/>
        </w:rPr>
      </w:pPr>
    </w:p>
    <w:p>
      <w:pPr>
        <w:ind w:left="700" w:right="20" w:firstLine="308"/>
        <w:spacing w:after="0" w:line="229" w:lineRule="auto"/>
        <w:tabs>
          <w:tab w:leader="none" w:pos="1295"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 and</w:t>
      </w:r>
    </w:p>
    <w:p>
      <w:pPr>
        <w:spacing w:after="0" w:line="55" w:lineRule="exact"/>
        <w:rPr>
          <w:rFonts w:ascii="Arial" w:cs="Arial" w:eastAsia="Arial" w:hAnsi="Arial"/>
          <w:sz w:val="18"/>
          <w:szCs w:val="18"/>
          <w:color w:val="auto"/>
        </w:rPr>
      </w:pPr>
    </w:p>
    <w:p>
      <w:pPr>
        <w:ind w:right="540" w:firstLine="319"/>
        <w:spacing w:after="0" w:line="246" w:lineRule="auto"/>
        <w:tabs>
          <w:tab w:leader="none" w:pos="5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56" w:lineRule="exact"/>
        <w:rPr>
          <w:rFonts w:ascii="Arial" w:cs="Arial" w:eastAsia="Arial" w:hAnsi="Arial"/>
          <w:sz w:val="18"/>
          <w:szCs w:val="18"/>
          <w:color w:val="auto"/>
        </w:rPr>
      </w:pPr>
    </w:p>
    <w:p>
      <w:pPr>
        <w:ind w:left="-620" w:firstLine="629"/>
        <w:spacing w:after="0" w:line="238" w:lineRule="auto"/>
        <w:tabs>
          <w:tab w:leader="none" w:pos="2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Such stockholder’s notice shall, with respect to any Proposed Nominee, be accompanied by a certificate executed by the Proposed Nominee (i) </w:t>
      </w:r>
      <w:r>
        <w:rPr>
          <w:rFonts w:ascii="Arial" w:cs="Arial" w:eastAsia="Arial" w:hAnsi="Arial"/>
          <w:sz w:val="16"/>
          <w:szCs w:val="16"/>
          <w:u w:val="single" w:color="auto"/>
          <w:color w:val="auto"/>
        </w:rPr>
        <w:t>representing that such stockholder intends to solicit the holders of shares representing at least 67% of the voting power of the shares entitled to vote on the election of directors in support of director nominees other than the Corporation’s nominees in accordance with Rule 14a-19, and the name of each participant (as defined in Item 4 of Exchange Act Schedule 14A) in such solicitation; (ii)</w:t>
      </w:r>
      <w:r>
        <w:rPr>
          <w:rFonts w:ascii="Arial" w:cs="Arial" w:eastAsia="Arial" w:hAnsi="Arial"/>
          <w:sz w:val="16"/>
          <w:szCs w:val="16"/>
          <w:color w:val="auto"/>
        </w:rPr>
        <w:t xml:space="preserve"> certifying that such Proposed Nominee (</w:t>
      </w:r>
      <w:r>
        <w:rPr>
          <w:rFonts w:ascii="Arial" w:cs="Arial" w:eastAsia="Arial" w:hAnsi="Arial"/>
          <w:sz w:val="16"/>
          <w:szCs w:val="16"/>
          <w:color w:val="auto"/>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is not, and will not become a party to, any agreement, arrangement or understanding with any person or entity other than the Corporation in connection with service or action as a director that has not been disclosed to the Corporation and (</w:t>
      </w:r>
      <w:r>
        <w:rPr>
          <w:rFonts w:ascii="Arial" w:cs="Arial" w:eastAsia="Arial" w:hAnsi="Arial"/>
          <w:sz w:val="16"/>
          <w:szCs w:val="16"/>
          <w:color w:val="auto"/>
          <w:strike w:val="1"/>
        </w:rPr>
        <w:t>b</w:t>
      </w:r>
      <w:r>
        <w:rPr>
          <w:rFonts w:ascii="Arial" w:cs="Arial" w:eastAsia="Arial" w:hAnsi="Arial"/>
          <w:sz w:val="16"/>
          <w:szCs w:val="16"/>
          <w:u w:val="single" w:color="auto"/>
          <w:color w:val="auto"/>
        </w:rPr>
        <w:t>B</w:t>
      </w:r>
      <w:r>
        <w:rPr>
          <w:rFonts w:ascii="Arial" w:cs="Arial" w:eastAsia="Arial" w:hAnsi="Arial"/>
          <w:sz w:val="16"/>
          <w:szCs w:val="16"/>
          <w:color w:val="auto"/>
        </w:rPr>
        <w:t>) will serve as a director of the Corporation if elected; and (</w:t>
      </w:r>
      <w:r>
        <w:rPr>
          <w:rFonts w:ascii="Arial" w:cs="Arial" w:eastAsia="Arial" w:hAnsi="Arial"/>
          <w:sz w:val="16"/>
          <w:szCs w:val="16"/>
          <w:color w:val="auto"/>
          <w:strike w:val="1"/>
        </w:rPr>
        <w:t>ii</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 </w:t>
      </w:r>
      <w:r>
        <w:rPr>
          <w:rFonts w:ascii="Arial" w:cs="Arial" w:eastAsia="Arial" w:hAnsi="Arial"/>
          <w:sz w:val="16"/>
          <w:szCs w:val="16"/>
          <w:u w:val="single" w:color="auto"/>
          <w:color w:val="auto"/>
        </w:rPr>
        <w:t>Notwithstanding the foregoing, if a stockholder no longer plans to solicit proxies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accordance with its representation pursuant to Section 6(a)(4)(i), the stockholder shall inform the Corporation of this change by delivering a writing to the Secretary at the principal executive offices of the Corporation no later than two business days after the occurrence of such change. If a stockholder providing written notice required by this Section 6(a) fails to provide any written update in accordance with this Section 6(a), the</w:t>
      </w:r>
    </w:p>
    <w:p>
      <w:pPr>
        <w:sectPr>
          <w:pgSz w:w="11900" w:h="16838" w:orient="portrait"/>
          <w:cols w:equalWidth="0" w:num="1">
            <w:col w:w="10600"/>
          </w:cols>
          <w:pgMar w:left="940" w:top="1440" w:right="359" w:bottom="1440" w:gutter="0" w:footer="0" w:header="0"/>
        </w:sectPr>
      </w:pPr>
    </w:p>
    <w:bookmarkStart w:id="61" w:name="page62"/>
    <w:bookmarkEnd w:id="61"/>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as to which such written update relates may be deemed not to have been provided in accordance with these Bylaws.</w:t>
      </w:r>
    </w:p>
    <w:p>
      <w:pPr>
        <w:spacing w:after="0" w:line="158" w:lineRule="exact"/>
        <w:rPr>
          <w:sz w:val="20"/>
          <w:szCs w:val="20"/>
          <w:color w:val="auto"/>
        </w:rPr>
      </w:pPr>
    </w:p>
    <w:p>
      <w:pPr>
        <w:ind w:right="40" w:firstLine="629"/>
        <w:spacing w:after="0" w:line="216" w:lineRule="auto"/>
        <w:tabs>
          <w:tab w:leader="none" w:pos="8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color w:val="auto"/>
          <w:strike w:val="1"/>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(a) </w:t>
      </w:r>
      <w:r>
        <w:rPr>
          <w:rFonts w:ascii="Arial" w:cs="Arial" w:eastAsia="Arial" w:hAnsi="Arial"/>
          <w:sz w:val="18"/>
          <w:szCs w:val="18"/>
          <w:color w:val="auto"/>
          <w:strike w:val="1"/>
        </w:rPr>
        <w:t>of this Section 6</w:t>
      </w:r>
      <w:r>
        <w:rPr>
          <w:rFonts w:ascii="Arial" w:cs="Arial" w:eastAsia="Arial" w:hAnsi="Arial"/>
          <w:sz w:val="18"/>
          <w:szCs w:val="18"/>
          <w:color w:val="auto"/>
        </w:rPr>
        <w:t xml:space="preserve"> to the contrary, in the event that the number of directors to be elected to the Board of Directors is increased, and there is no public announcement of such action at least 130 days prior to the first anniversary of the date of the proxy statement (as defined in Section 6(c)(3)) for the preceding year’s annual meeting, a stockholder’s notice required by this Section 6(a) shall also be considered timely, but only with respect to nominees for any new positions created by such increase, if it shall be delivered to the Secretary at the principal executive office of the Corporation not later than 5:00 p.m., Central Time, on the tenth day following the day on which such public announcement is first made by the Corporation.</w:t>
      </w:r>
    </w:p>
    <w:p>
      <w:pPr>
        <w:spacing w:after="0" w:line="178" w:lineRule="exact"/>
        <w:rPr>
          <w:rFonts w:ascii="Arial" w:cs="Arial" w:eastAsia="Arial" w:hAnsi="Arial"/>
          <w:sz w:val="18"/>
          <w:szCs w:val="18"/>
          <w:color w:val="auto"/>
        </w:rPr>
      </w:pPr>
    </w:p>
    <w:p>
      <w:pPr>
        <w:ind w:right="220" w:firstLine="629"/>
        <w:spacing w:after="0" w:line="223" w:lineRule="auto"/>
        <w:tabs>
          <w:tab w:leader="none" w:pos="8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purposes of this Section 6,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is controlled by or is under common control with such stockholder or such Stockholder Associated Person.</w:t>
      </w:r>
    </w:p>
    <w:p>
      <w:pPr>
        <w:spacing w:after="0" w:line="162" w:lineRule="exact"/>
        <w:rPr>
          <w:rFonts w:ascii="Arial" w:cs="Arial" w:eastAsia="Arial" w:hAnsi="Arial"/>
          <w:sz w:val="18"/>
          <w:szCs w:val="18"/>
          <w:color w:val="auto"/>
        </w:rPr>
      </w:pPr>
    </w:p>
    <w:p>
      <w:pPr>
        <w:ind w:firstLine="318"/>
        <w:spacing w:after="0" w:line="235" w:lineRule="auto"/>
        <w:tabs>
          <w:tab w:leader="none" w:pos="56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w:t>
      </w:r>
      <w:r>
        <w:rPr>
          <w:rFonts w:ascii="Arial" w:cs="Arial" w:eastAsia="Arial" w:hAnsi="Arial"/>
          <w:sz w:val="16"/>
          <w:szCs w:val="16"/>
          <w:u w:val="single" w:color="auto"/>
          <w:color w:val="auto"/>
        </w:rPr>
        <w:t>,</w:t>
      </w:r>
      <w:r>
        <w:rPr>
          <w:rFonts w:ascii="Arial" w:cs="Arial" w:eastAsia="Arial" w:hAnsi="Arial"/>
          <w:sz w:val="16"/>
          <w:szCs w:val="16"/>
          <w:color w:val="auto"/>
        </w:rPr>
        <w:t xml:space="preserve"> or (ii) provided that the special meeting has been called in accordance with Section 3 for the purpose of electing directors, by such stockholders of the Corporation who are stockholders of record both at the time of giving of notice provided for in this Section 6 and at the time of the special meeting, who are entitled to vote at the meeting in the election of each individual so nominated, who have complied with the notice procedures set forth in this Section 6 and who provide the information required by Section 6(a)(3) and (4), as if such provisions were applicable to a special meeting of stockholders</w:t>
      </w:r>
      <w:r>
        <w:rPr>
          <w:rFonts w:ascii="Arial" w:cs="Arial" w:eastAsia="Arial" w:hAnsi="Arial"/>
          <w:sz w:val="16"/>
          <w:szCs w:val="16"/>
          <w:u w:val="single" w:color="auto"/>
          <w:color w:val="auto"/>
        </w:rPr>
        <w:t>, and (iii) the stockholder has complied in all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respects with the requirements of Section 14 of the Exchange Act, including, without limitation, if applicable, the requirements of Rule 14a-19 (as such rule and regulations may be amended from time to time by the Securities and Exchange Commission, including any Securities and Exchange Staff interpretations relating thereto), and (iv) the Board of Directors or an executive officer designated thereby has determined that the stockholder has satisfied the requirements of Section 6</w:t>
      </w:r>
      <w:r>
        <w:rPr>
          <w:rFonts w:ascii="Arial" w:cs="Arial" w:eastAsia="Arial" w:hAnsi="Arial"/>
          <w:sz w:val="16"/>
          <w:szCs w:val="16"/>
          <w:color w:val="auto"/>
        </w:rPr>
        <w:t xml:space="preserve">.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w:t>
      </w:r>
      <w:r>
        <w:rPr>
          <w:rFonts w:ascii="Arial" w:cs="Arial" w:eastAsia="Arial" w:hAnsi="Arial"/>
          <w:sz w:val="16"/>
          <w:szCs w:val="16"/>
          <w:color w:val="auto"/>
          <w:strike w:val="1"/>
        </w:rPr>
        <w:t>paragraph</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(a)(3) of this Section 6, is delivered to the Secretary at the principal executive office of the Corporation not earlier than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special meeting and not later than 5:00 p.m., Central Time on the later of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special meeting or the tenth day following the day on which public announcement is first made of the date of the special meeting and of the nominees proposed by the Board of Directors to be elected at such meeting. The </w:t>
      </w:r>
      <w:r>
        <w:rPr>
          <w:rFonts w:ascii="Arial" w:cs="Arial" w:eastAsia="Arial" w:hAnsi="Arial"/>
          <w:sz w:val="16"/>
          <w:szCs w:val="16"/>
          <w:color w:val="auto"/>
          <w:strike w:val="1"/>
        </w:rPr>
        <w:t>public announcement of a</w:t>
      </w:r>
      <w:r>
        <w:rPr>
          <w:rFonts w:ascii="Arial" w:cs="Arial" w:eastAsia="Arial" w:hAnsi="Arial"/>
          <w:sz w:val="16"/>
          <w:szCs w:val="16"/>
          <w:color w:val="auto"/>
        </w:rPr>
        <w:t xml:space="preserve"> </w:t>
      </w:r>
      <w:r>
        <w:rPr>
          <w:rFonts w:ascii="Arial" w:cs="Arial" w:eastAsia="Arial" w:hAnsi="Arial"/>
          <w:sz w:val="16"/>
          <w:szCs w:val="16"/>
          <w:color w:val="auto"/>
          <w:strike w:val="1"/>
        </w:rPr>
        <w:t>postponement or adjournment of a</w:t>
      </w:r>
      <w:r>
        <w:rPr>
          <w:rFonts w:ascii="Arial" w:cs="Arial" w:eastAsia="Arial" w:hAnsi="Arial"/>
          <w:sz w:val="16"/>
          <w:szCs w:val="16"/>
          <w:u w:val="single" w:color="auto"/>
          <w:color w:val="auto"/>
        </w:rPr>
        <w:t>postponement, adjournment or rescheduling of a</w:t>
      </w:r>
      <w:r>
        <w:rPr>
          <w:rFonts w:ascii="Arial" w:cs="Arial" w:eastAsia="Arial" w:hAnsi="Arial"/>
          <w:sz w:val="16"/>
          <w:szCs w:val="16"/>
          <w:color w:val="auto"/>
        </w:rPr>
        <w:t xml:space="preserve"> special meeting </w:t>
      </w:r>
      <w:r>
        <w:rPr>
          <w:rFonts w:ascii="Arial" w:cs="Arial" w:eastAsia="Arial" w:hAnsi="Arial"/>
          <w:sz w:val="16"/>
          <w:szCs w:val="16"/>
          <w:u w:val="single" w:color="auto"/>
          <w:color w:val="auto"/>
        </w:rPr>
        <w:t>(or the public announcement thereof)</w:t>
      </w:r>
      <w:r>
        <w:rPr>
          <w:rFonts w:ascii="Arial" w:cs="Arial" w:eastAsia="Arial" w:hAnsi="Arial"/>
          <w:sz w:val="16"/>
          <w:szCs w:val="16"/>
          <w:color w:val="auto"/>
        </w:rPr>
        <w:t xml:space="preserve"> shall not commence a new time period </w:t>
      </w:r>
      <w:r>
        <w:rPr>
          <w:rFonts w:ascii="Arial" w:cs="Arial" w:eastAsia="Arial" w:hAnsi="Arial"/>
          <w:sz w:val="16"/>
          <w:szCs w:val="16"/>
          <w:u w:val="single" w:color="auto"/>
          <w:color w:val="auto"/>
        </w:rPr>
        <w:t>(or extend any time period)</w:t>
      </w:r>
      <w:r>
        <w:rPr>
          <w:rFonts w:ascii="Arial" w:cs="Arial" w:eastAsia="Arial" w:hAnsi="Arial"/>
          <w:sz w:val="16"/>
          <w:szCs w:val="16"/>
          <w:color w:val="auto"/>
        </w:rPr>
        <w:t xml:space="preserve"> for the giving of a stockholder’s notice as described above.</w:t>
      </w:r>
    </w:p>
    <w:p>
      <w:pPr>
        <w:spacing w:after="0" w:line="168" w:lineRule="exact"/>
        <w:rPr>
          <w:rFonts w:ascii="Arial" w:cs="Arial" w:eastAsia="Arial" w:hAnsi="Arial"/>
          <w:sz w:val="16"/>
          <w:szCs w:val="16"/>
          <w:color w:val="auto"/>
        </w:rPr>
      </w:pPr>
    </w:p>
    <w:p>
      <w:pPr>
        <w:ind w:left="560" w:hanging="24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40" w:firstLine="629"/>
        <w:spacing w:after="0" w:line="225" w:lineRule="auto"/>
        <w:tabs>
          <w:tab w:leader="none" w:pos="876"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If information submitted pursuant to this Section 6 by any stockholder proposing a nominee for election as a director or any proposal for other business at a meeting of stockholders shall be inaccurate </w:t>
      </w:r>
      <w:r>
        <w:rPr>
          <w:rFonts w:ascii="Arial" w:cs="Arial" w:eastAsia="Arial" w:hAnsi="Arial"/>
          <w:sz w:val="17"/>
          <w:szCs w:val="17"/>
          <w:u w:val="single" w:color="auto"/>
          <w:color w:val="auto"/>
        </w:rPr>
        <w:t>or incomplete</w:t>
      </w:r>
      <w:r>
        <w:rPr>
          <w:rFonts w:ascii="Arial" w:cs="Arial" w:eastAsia="Arial" w:hAnsi="Arial"/>
          <w:sz w:val="17"/>
          <w:szCs w:val="17"/>
          <w:color w:val="auto"/>
        </w:rPr>
        <w:t xml:space="preserve"> in any material respect, such information may be deemed not to have been provided in accordance with this Section 6. Any such stockholder shall notify the Corporation of any inaccuracy or change (within two business days of becoming aware of such inaccuracy or change) in any such information. Upon written request by the Secretary or the Board of Directors, any such stockholder shall provide, within five business days of delivery of such request (or such other period as may be specified in such request), (i) written verification, satisfactory, in the discretion of the Board of Directors or any authorized officer of the Corporation, to demonstrate the accuracy of any information submitted by the stockholder pursuant to this Section 6 and (ii) a written update of any information (including, if requested by the Corporation, written confirmation by such stockholder that it continues to intend to bring such nomination or other business proposal before the meeting) submitted by the stockholder pursuant to this Section 6 as of an earlier date. If a stockholder fails to provide such written verification or written update within such period, the information as to which written verification or a written update was requested may be deemed not to have been provided in accordance with this Section 6. </w:t>
      </w:r>
      <w:r>
        <w:rPr>
          <w:rFonts w:ascii="Arial" w:cs="Arial" w:eastAsia="Arial" w:hAnsi="Arial"/>
          <w:sz w:val="17"/>
          <w:szCs w:val="17"/>
          <w:u w:val="single" w:color="auto"/>
          <w:color w:val="auto"/>
        </w:rPr>
        <w:t>For the avoidance of doubt, the obligation to update and supplement as set forth in this Section 6 or any other section of these Bylaws shall not</w:t>
      </w:r>
      <w:r>
        <w:rPr>
          <w:rFonts w:ascii="Arial" w:cs="Arial" w:eastAsia="Arial" w:hAnsi="Arial"/>
          <w:sz w:val="17"/>
          <w:szCs w:val="17"/>
          <w:color w:val="auto"/>
        </w:rPr>
        <w:t xml:space="preserve"> </w:t>
      </w:r>
      <w:r>
        <w:rPr>
          <w:rFonts w:ascii="Arial" w:cs="Arial" w:eastAsia="Arial" w:hAnsi="Arial"/>
          <w:sz w:val="17"/>
          <w:szCs w:val="17"/>
          <w:u w:val="single" w:color="auto"/>
          <w:color w:val="auto"/>
        </w:rPr>
        <w:t>limit the Corporation’s rights with respect to any deficiencies in any stockholder’s notice, extend any applicable deadlines under these Bylaws or enable or be deemed to permit a stockholder who has previously submitted a stockholder’s notice under these Bylaws to amend or update any proposal or to submit any new proposal, including by changing or adding nominees, matters, business and/or resolutions proposed to be brought before a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5735955</wp:posOffset>
            </wp:positionH>
            <wp:positionV relativeFrom="paragraph">
              <wp:posOffset>-2747645</wp:posOffset>
            </wp:positionV>
            <wp:extent cx="774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4" w:lineRule="exact"/>
        <w:rPr>
          <w:sz w:val="20"/>
          <w:szCs w:val="20"/>
          <w:color w:val="auto"/>
        </w:rPr>
      </w:pPr>
    </w:p>
    <w:p>
      <w:pPr>
        <w:ind w:right="40" w:firstLine="629"/>
        <w:spacing w:after="0" w:line="236" w:lineRule="auto"/>
        <w:tabs>
          <w:tab w:leader="none" w:pos="876"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Only such individuals who are nominated in accordance with this Section 6 shall be eligible for election by stockholders as directors, and only such business shall be conducted at a meeting of stockholders as shall have been brought before the meeting in accordance with this Section 6. The </w:t>
      </w:r>
      <w:r>
        <w:rPr>
          <w:rFonts w:ascii="Arial" w:cs="Arial" w:eastAsia="Arial" w:hAnsi="Arial"/>
          <w:sz w:val="16"/>
          <w:szCs w:val="16"/>
          <w:u w:val="single" w:color="auto"/>
          <w:color w:val="auto"/>
        </w:rPr>
        <w:t>number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nominees a stockholder may nominate for election at a meeting of stockholders (or in the case of a stockholder giving the notice on behalf of another proposing person, the number of nominees a stockholder may nominate for election at the meeting on behalf of such proposing person) shall not exceed the number of directors to be elected at such meeting. The</w:t>
      </w:r>
      <w:r>
        <w:rPr>
          <w:rFonts w:ascii="Arial" w:cs="Arial" w:eastAsia="Arial" w:hAnsi="Arial"/>
          <w:sz w:val="16"/>
          <w:szCs w:val="16"/>
          <w:color w:val="auto"/>
        </w:rPr>
        <w:t xml:space="preserve"> chairman of the meeting shall have the power to determine whether a nomination or any other business proposed to be brought before the meeting was made or proposed, as the case may be, in accordance with this Section 6</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(including satisfying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 requirements set forth herein with accurate and complete information) and, if any proposed nomination or business is not in compliance herewith, to declare that such defective proposal or nomination shall be disregarded (and any such nominee shall be disqualified), including that, unless otherwise required by law, if a stockholder provides notice pursuant to Rule 14a-19(b) promulgated under the Exchange Act with respect to any Proposed Nominee and subsequently fails to comply with the requirements of Rule 14a-19(a)(2) or Rule 14a-19(a)(3) promulgated under the Exchange Act, including the provision to the Corporation of notices required thereunder in a timely manner (or fails to timely provide reasonable evidence sufficient to satisfy the Corporation that such stockholder has met the requirements of Rule 14a-19(a)(3) under the Exchange Act in accordance with the following sentence), then any such Proposed Nominee shall be disqualified notwithstanding that the nominee is included as a nominee in the Corporation’s proxy statement, notice of meeting or other proxy materials for any meeting (or any supplement thereto) and notwithstanding that proxies or votes in respect of the election of the nominees may have been received by the Corporation (which proxies and votes shall be disregarded). Upon request by the Corporation, if any stockholder provides notice pursuant to Rule 14a-19(b) under the Exchange Act, such stockholder shall deliver to the Corporation, no later than five business days prior to the applicable meeting, reasonable evidence that it has met the requirements of Rule 14a-19(a)(3) under the Exchange Act.). To the extent Rule 14a-19 applies, then Rule 14a-19 will govern any inconsistency with this Section 6, and the applicable inconsistent provisions of this Section 6 will not apply; provided, however, in order for a stockholder’s notice to be considered timely, this Section 6 may require notice to be delivered to the Corporation prior to the applicable dates set forth under Rule 14a-19. Notwithstanding the foregoing provisions of this Section 6,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the Proposed Nominee or business is included in the Corporation’s proxy statement, notice of meeting or other proxy materials for any annual meeting (or any supplement thereto) and notwithstanding that proxies in respect of such vote may have been received by the Corporation. If a stockholder has given timely notice as required herein to make a nomination or bring a proposal of other business before any annual or special meeting of stockholders of the Corporation and intends to authorize a Qualified Representative to act for such stockholder as a proxy to present the nomination or proposal at such meeting, the stockholder shall give notice of such authorization in writing to the Secretary not less than three business days before the date of such meeting, including the name and contact information for such person. Notwithstanding the foregoing provisions of Section 6, unless otherwise required by law, no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w:t>
      </w:r>
    </w:p>
    <w:p>
      <w:pPr>
        <w:spacing w:after="0" w:line="156" w:lineRule="exact"/>
        <w:rPr>
          <w:rFonts w:ascii="Arial" w:cs="Arial" w:eastAsia="Arial" w:hAnsi="Arial"/>
          <w:sz w:val="16"/>
          <w:szCs w:val="16"/>
          <w:color w:val="auto"/>
        </w:rPr>
      </w:pPr>
    </w:p>
    <w:p>
      <w:pPr>
        <w:ind w:right="40" w:firstLine="188"/>
        <w:spacing w:after="0" w:line="225" w:lineRule="auto"/>
        <w:tabs>
          <w:tab w:leader="none" w:pos="4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For purposes of this Section 6, “the date of the proxy statement” shall have the same meaning as “the date of the company’s proxy statement released to shareholders” as used in Rule 14a-8(e) promulgated under the Exchange Act, as interpreted by the Securities and Exchange Commission from time to time. “Public announcement” shall mean disclosure (i) in a press release reported by the Dow Jones News Service, Associated Press, Business Wire, PR Newswire or other widely circulated news or wire service or (ii) in a document publicly filed by the Corporation with the Securities and Exchange Commission pursuant to the Exchange Act. </w:t>
      </w:r>
      <w:r>
        <w:rPr>
          <w:rFonts w:ascii="Arial" w:cs="Arial" w:eastAsia="Arial" w:hAnsi="Arial"/>
          <w:sz w:val="17"/>
          <w:szCs w:val="17"/>
          <w:u w:val="single" w:color="auto"/>
          <w:color w:val="auto"/>
        </w:rPr>
        <w:t>To be considered a “Qualified Representative” of a stockholder, a person must be a duly authorized officer,</w:t>
      </w:r>
      <w:r>
        <w:rPr>
          <w:rFonts w:ascii="Arial" w:cs="Arial" w:eastAsia="Arial" w:hAnsi="Arial"/>
          <w:sz w:val="17"/>
          <w:szCs w:val="17"/>
          <w:color w:val="auto"/>
        </w:rPr>
        <w:t xml:space="preserve"> </w:t>
      </w:r>
      <w:r>
        <w:rPr>
          <w:rFonts w:ascii="Arial" w:cs="Arial" w:eastAsia="Arial" w:hAnsi="Arial"/>
          <w:sz w:val="17"/>
          <w:szCs w:val="17"/>
          <w:u w:val="single" w:color="auto"/>
          <w:color w:val="auto"/>
        </w:rPr>
        <w:t>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78" w:lineRule="exact"/>
        <w:rPr>
          <w:rFonts w:ascii="Arial" w:cs="Arial" w:eastAsia="Arial" w:hAnsi="Arial"/>
          <w:sz w:val="17"/>
          <w:szCs w:val="17"/>
          <w:color w:val="auto"/>
        </w:rPr>
      </w:pPr>
    </w:p>
    <w:p>
      <w:pPr>
        <w:ind w:right="200" w:firstLine="629"/>
        <w:spacing w:after="0" w:line="235" w:lineRule="auto"/>
        <w:tabs>
          <w:tab w:leader="none" w:pos="876" w:val="left"/>
        </w:tabs>
        <w:numPr>
          <w:ilvl w:val="1"/>
          <w:numId w:val="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Any stockholder directly or indirectly soliciting proxies from other stockholders must use a proxy card color other than white, which shall be reserved for exclusive use by the Corporation.</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strike w:val="1"/>
        </w:rPr>
        <w:t>4</w:t>
      </w:r>
      <w:r>
        <w:rPr>
          <w:rFonts w:ascii="Arial" w:cs="Arial" w:eastAsia="Arial" w:hAnsi="Arial"/>
          <w:sz w:val="16"/>
          <w:szCs w:val="16"/>
          <w:u w:val="single" w:color="auto"/>
          <w:color w:val="auto"/>
        </w:rPr>
        <w:t>5</w:t>
      </w:r>
      <w:r>
        <w:rPr>
          <w:rFonts w:ascii="Arial" w:cs="Arial" w:eastAsia="Arial" w:hAnsi="Arial"/>
          <w:sz w:val="16"/>
          <w:szCs w:val="16"/>
          <w:color w:val="auto"/>
        </w:rPr>
        <w:t>) Notwithstanding the foregoing provisions of this Section 6, a stockholder shall also comply with all applicable requirements of state law and</w:t>
      </w:r>
    </w:p>
    <w:p>
      <w:pPr>
        <w:spacing w:after="0" w:line="2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of the Exchange Act and the rules and regulations thereunder with respect to the matters set forth in this Section 6</w:t>
      </w:r>
      <w:r>
        <w:rPr>
          <w:rFonts w:ascii="Arial" w:cs="Arial" w:eastAsia="Arial" w:hAnsi="Arial"/>
          <w:sz w:val="16"/>
          <w:szCs w:val="16"/>
          <w:u w:val="single" w:color="auto"/>
          <w:color w:val="auto"/>
        </w:rPr>
        <w:t>, for the avoidance of doubt including, but</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 limited to, Rule 14a-19 of the Exchange Act</w:t>
      </w:r>
      <w:r>
        <w:rPr>
          <w:rFonts w:ascii="Arial" w:cs="Arial" w:eastAsia="Arial" w:hAnsi="Arial"/>
          <w:sz w:val="16"/>
          <w:szCs w:val="16"/>
          <w:color w:val="auto"/>
        </w:rPr>
        <w:t>. Nothing in this Section 6 shall be deemed to affect any right of a stockholder to request inclusion of a</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8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proposal in, or the right of the Corporation to omit a proposal from, the Corporation’s proxy statement pursuant to Rule 14a-8 (or any successor provision) under the Exchange Act. Nothing in this Section 6 shall require disclosure of revocable proxies received by the stockholder or Stockholder Associated</w:t>
      </w:r>
    </w:p>
    <w:p>
      <w:pPr>
        <w:ind w:right="520"/>
        <w:spacing w:after="0" w:line="226" w:lineRule="auto"/>
        <w:rPr>
          <w:sz w:val="20"/>
          <w:szCs w:val="20"/>
          <w:color w:val="auto"/>
        </w:rPr>
      </w:pPr>
      <w:r>
        <w:rPr>
          <w:rFonts w:ascii="Arial" w:cs="Arial" w:eastAsia="Arial" w:hAnsi="Arial"/>
          <w:sz w:val="18"/>
          <w:szCs w:val="18"/>
          <w:color w:val="auto"/>
        </w:rPr>
        <w:t>Person pursuant to a solicitation of proxies after the filing of an effective Schedule 14A by such stockholder or Stockholder Associated Person under Section 14(a) of the Exchange Act.</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stockholders, the presence in person or by proxy of stockholders entitled to cast a majority of all the votes</w:t>
      </w:r>
    </w:p>
    <w:p>
      <w:pPr>
        <w:spacing w:after="0" w:line="2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entitled to be cast at such meeting shall constitute a quorum; but this section shall not affect any requirement under any statute or the charter of the Corporation (as may be amended, modified, supplemented or restated from time to time, the “Charter”) for the vote necessary for the adoption of any measure. If, however, such quorum shall not be present at any meeting of the stockholders, the chairman of the meeting shall have the power to adjourn the</w:t>
      </w:r>
    </w:p>
    <w:p>
      <w:pPr>
        <w:spacing w:after="0" w:line="2" w:lineRule="exact"/>
        <w:rPr>
          <w:sz w:val="20"/>
          <w:szCs w:val="20"/>
          <w:color w:val="auto"/>
        </w:rPr>
      </w:pPr>
    </w:p>
    <w:p>
      <w:pPr>
        <w:ind w:right="200"/>
        <w:spacing w:after="0" w:line="218" w:lineRule="auto"/>
        <w:rPr>
          <w:sz w:val="20"/>
          <w:szCs w:val="20"/>
          <w:color w:val="auto"/>
        </w:rPr>
      </w:pPr>
      <w:r>
        <w:rPr>
          <w:rFonts w:ascii="Arial" w:cs="Arial" w:eastAsia="Arial" w:hAnsi="Arial"/>
          <w:sz w:val="18"/>
          <w:szCs w:val="18"/>
          <w:color w:val="auto"/>
        </w:rPr>
        <w:t>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76" w:lineRule="exact"/>
        <w:rPr>
          <w:sz w:val="20"/>
          <w:szCs w:val="20"/>
          <w:color w:val="auto"/>
        </w:rPr>
      </w:pPr>
    </w:p>
    <w:p>
      <w:pPr>
        <w:ind w:right="200" w:firstLine="310"/>
        <w:spacing w:after="0" w:line="235"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VOTING</w:t>
      </w:r>
      <w:r>
        <w:rPr>
          <w:rFonts w:ascii="Arial" w:cs="Arial" w:eastAsia="Arial" w:hAnsi="Arial"/>
          <w:sz w:val="17"/>
          <w:szCs w:val="17"/>
          <w:color w:val="auto"/>
        </w:rPr>
        <w:t>. Each nominee for director in an election in which the number of nominees is equal to the number of open board seats (an</w:t>
      </w:r>
    </w:p>
    <w:p>
      <w:pPr>
        <w:spacing w:after="0" w:line="10"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“Uncontested Election”) shall be elected by a majority of the votes cast, whether in person or represented by proxy, with respect to that nominee’s election at an annual meeting of stockholders at which a quorum is present. If, however, as of a date that is fourteen (14) days in advance of the date the Corporation files its definitive proxy statement (regardless of whether or not thereafter revised or supplemented) with the Securities and Exchange Commission, the</w:t>
      </w:r>
    </w:p>
    <w:p>
      <w:pPr>
        <w:spacing w:after="0" w:line="2" w:lineRule="exact"/>
        <w:rPr>
          <w:sz w:val="20"/>
          <w:szCs w:val="20"/>
          <w:color w:val="auto"/>
        </w:rPr>
      </w:pPr>
    </w:p>
    <w:p>
      <w:pPr>
        <w:jc w:val="both"/>
        <w:ind w:right="100"/>
        <w:spacing w:after="0" w:line="234" w:lineRule="auto"/>
        <w:rPr>
          <w:sz w:val="20"/>
          <w:szCs w:val="20"/>
          <w:color w:val="auto"/>
        </w:rPr>
      </w:pPr>
      <w:r>
        <w:rPr>
          <w:rFonts w:ascii="Arial" w:cs="Arial" w:eastAsia="Arial" w:hAnsi="Arial"/>
          <w:sz w:val="16"/>
          <w:szCs w:val="16"/>
          <w:color w:val="auto"/>
        </w:rPr>
        <w:t>number of nominees exceeds the number of open board seats (i.e., a contested election), then the directors shall be elected by a plurality of the votes of the shares present in person or represented by proxy at the annual meeting of stockholders and entitled to vote in the election of directors, whether or not such election becomes an Uncontested Election after such date. For purposes of this Section 8, a majority of votes cast shall mean that the number of shares</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voted “for” a nominee’s election exceeds the number of shares voted “against” that nominee’s election. With regard to Uncontested Elections, the Board of Directors has established procedures pursuant to which any incumbent director who fails to receive a majority of the votes cast will tender his or her resignation to the Board of Directors. The Board of Directors will act upon a tendered resignation within ninety (90) days of the date on which the election</w:t>
      </w:r>
    </w:p>
    <w:p>
      <w:pPr>
        <w:spacing w:after="0" w:line="2" w:lineRule="exact"/>
        <w:rPr>
          <w:sz w:val="20"/>
          <w:szCs w:val="20"/>
          <w:color w:val="auto"/>
        </w:rPr>
      </w:pPr>
    </w:p>
    <w:p>
      <w:pPr>
        <w:jc w:val="both"/>
        <w:ind w:right="80"/>
        <w:spacing w:after="0" w:line="218" w:lineRule="auto"/>
        <w:rPr>
          <w:sz w:val="20"/>
          <w:szCs w:val="20"/>
          <w:color w:val="auto"/>
        </w:rPr>
      </w:pPr>
      <w:r>
        <w:rPr>
          <w:rFonts w:ascii="Arial" w:cs="Arial" w:eastAsia="Arial" w:hAnsi="Arial"/>
          <w:sz w:val="18"/>
          <w:szCs w:val="18"/>
          <w:color w:val="auto"/>
        </w:rPr>
        <w:t>results were certified and will promptly make public disclosure of the results of its actions. If the Board of Directors accepts a director’s resignation, or if a nominee for director is not elected and the nominee is not an incumbent director, then the Board of Directors shall fill the resulting vacancy in accordance with Section 11 of Article III.</w:t>
      </w:r>
    </w:p>
    <w:p>
      <w:pPr>
        <w:spacing w:after="0" w:line="176" w:lineRule="exact"/>
        <w:rPr>
          <w:sz w:val="20"/>
          <w:szCs w:val="20"/>
          <w:color w:val="auto"/>
        </w:rPr>
      </w:pPr>
    </w:p>
    <w:p>
      <w:pPr>
        <w:ind w:right="60" w:firstLine="310"/>
        <w:spacing w:after="0" w:line="241" w:lineRule="auto"/>
        <w:rPr>
          <w:sz w:val="20"/>
          <w:szCs w:val="20"/>
          <w:color w:val="auto"/>
        </w:rPr>
      </w:pPr>
      <w:r>
        <w:rPr>
          <w:rFonts w:ascii="Arial" w:cs="Arial" w:eastAsia="Arial" w:hAnsi="Arial"/>
          <w:sz w:val="16"/>
          <w:szCs w:val="16"/>
          <w:color w:val="auto"/>
        </w:rPr>
        <w:t>A majority of the votes cast at a meeting of stockholders duly called and at which a quorum is present shall be sufficient to approve any other matter which may properly come before the meeting, unless more than a majority of the votes cast is required by statute, the Charter, these Bylaws or contract. Unless otherwise provided in the Charter, each outstanding share of the Corporation’s stock, regardless of class, shall be entitled to one vote on each matter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submitted to a vote at a meeting of stockholders.</w:t>
      </w:r>
    </w:p>
    <w:p>
      <w:pPr>
        <w:spacing w:after="0" w:line="169" w:lineRule="exact"/>
        <w:rPr>
          <w:sz w:val="20"/>
          <w:szCs w:val="20"/>
          <w:color w:val="auto"/>
        </w:rPr>
      </w:pPr>
    </w:p>
    <w:p>
      <w:pPr>
        <w:ind w:right="300" w:firstLine="310"/>
        <w:spacing w:after="0" w:line="23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w:t>
      </w:r>
    </w:p>
    <w:p>
      <w:pPr>
        <w:spacing w:after="0" w:line="175" w:lineRule="exact"/>
        <w:rPr>
          <w:sz w:val="20"/>
          <w:szCs w:val="20"/>
          <w:color w:val="auto"/>
        </w:rPr>
      </w:pPr>
    </w:p>
    <w:p>
      <w:pPr>
        <w:ind w:right="100" w:firstLine="310"/>
        <w:spacing w:after="0" w:line="238" w:lineRule="auto"/>
        <w:rPr>
          <w:sz w:val="20"/>
          <w:szCs w:val="20"/>
          <w:color w:val="auto"/>
        </w:rPr>
      </w:pPr>
      <w:r>
        <w:rPr>
          <w:rFonts w:ascii="Arial" w:cs="Arial" w:eastAsia="Arial" w:hAnsi="Arial"/>
          <w:sz w:val="16"/>
          <w:szCs w:val="16"/>
          <w:color w:val="auto"/>
        </w:rPr>
        <w:t>Such proxy or evidence of authorization of such proxy shall be filed with the Secretary before or at the meeting. No proxy shall be valid more than eleven months after its date unless otherwise provided in the proxy.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however, that such copy, facsimile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telecommunication or other reproduction shall be a complete reproduction of the entire original writing or transmission.</w:t>
      </w:r>
    </w:p>
    <w:p>
      <w:pPr>
        <w:spacing w:after="0" w:line="169" w:lineRule="exact"/>
        <w:rPr>
          <w:sz w:val="20"/>
          <w:szCs w:val="20"/>
          <w:color w:val="auto"/>
        </w:rPr>
      </w:pPr>
    </w:p>
    <w:p>
      <w:pPr>
        <w:ind w:right="100" w:firstLine="310"/>
        <w:spacing w:after="0" w:line="24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For so long as any security of the Corporation is registered under Section 12 of the Exchange Act, the stockholders of the Corporation may not take any action by written consent in lieu of a meeting, and must take any actions at a</w:t>
      </w:r>
    </w:p>
    <w:p>
      <w:pPr>
        <w:spacing w:after="0"/>
        <w:rPr>
          <w:sz w:val="20"/>
          <w:szCs w:val="20"/>
          <w:color w:val="auto"/>
        </w:rPr>
      </w:pPr>
      <w:r>
        <w:rPr>
          <w:rFonts w:ascii="Arial" w:cs="Arial" w:eastAsia="Arial" w:hAnsi="Arial"/>
          <w:sz w:val="18"/>
          <w:szCs w:val="18"/>
          <w:color w:val="auto"/>
        </w:rPr>
        <w:t>duly called annual or special meeting of stockholders and the power of stockholders to consent in wiring without a meeting is denied.</w:t>
      </w:r>
    </w:p>
    <w:p>
      <w:pPr>
        <w:spacing w:after="0" w:line="169" w:lineRule="exact"/>
        <w:rPr>
          <w:sz w:val="20"/>
          <w:szCs w:val="20"/>
          <w:color w:val="auto"/>
        </w:rPr>
      </w:pPr>
    </w:p>
    <w:p>
      <w:pPr>
        <w:ind w:right="300" w:firstLine="310"/>
        <w:spacing w:after="0" w:line="23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8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w:t>
      </w:r>
    </w:p>
    <w:p>
      <w:pPr>
        <w:ind w:right="120"/>
        <w:spacing w:after="0" w:line="226" w:lineRule="auto"/>
        <w:rPr>
          <w:sz w:val="20"/>
          <w:szCs w:val="20"/>
          <w:color w:val="auto"/>
        </w:rPr>
      </w:pPr>
      <w:r>
        <w:rPr>
          <w:rFonts w:ascii="Arial" w:cs="Arial" w:eastAsia="Arial" w:hAnsi="Arial"/>
          <w:sz w:val="18"/>
          <w:szCs w:val="18"/>
          <w:color w:val="auto"/>
        </w:rPr>
        <w:t>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Shares of stock of the Corporation directly or indirectly owned by it shall not be voted at any meeting and shall not be counted in determining the total</w:t>
      </w:r>
    </w:p>
    <w:p>
      <w:pPr>
        <w:spacing w:after="0" w:line="2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of Directors may adopt by resolution a procedure by which a stockholder may certify in writing to the Corporation that any shares of stock</w:t>
      </w:r>
    </w:p>
    <w:p>
      <w:pPr>
        <w:spacing w:after="0" w:line="2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w:t>
      </w:r>
    </w:p>
    <w:p>
      <w:pPr>
        <w:spacing w:after="0" w:line="2" w:lineRule="exact"/>
        <w:rPr>
          <w:sz w:val="20"/>
          <w:szCs w:val="20"/>
          <w:color w:val="auto"/>
        </w:rPr>
      </w:pPr>
    </w:p>
    <w:p>
      <w:pPr>
        <w:jc w:val="both"/>
        <w:ind w:right="40"/>
        <w:spacing w:after="0" w:line="231" w:lineRule="auto"/>
        <w:rPr>
          <w:sz w:val="20"/>
          <w:szCs w:val="20"/>
          <w:color w:val="auto"/>
        </w:rPr>
      </w:pPr>
      <w:r>
        <w:rPr>
          <w:rFonts w:ascii="Arial" w:cs="Arial" w:eastAsia="Arial" w:hAnsi="Arial"/>
          <w:sz w:val="17"/>
          <w:szCs w:val="17"/>
          <w:color w:val="auto"/>
        </w:rPr>
        <w:t>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76" w:lineRule="exact"/>
        <w:rPr>
          <w:sz w:val="20"/>
          <w:szCs w:val="20"/>
          <w:color w:val="auto"/>
        </w:rPr>
      </w:pPr>
    </w:p>
    <w:p>
      <w:pPr>
        <w:ind w:right="20" w:firstLine="310"/>
        <w:spacing w:after="0" w:line="24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arising in connection with the right to vote, count and tabulate all votes, ballots or consents,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inspector or inspectors on the number of shares represented at the meeting and the results of the voting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thereof.</w:t>
      </w:r>
    </w:p>
    <w:p>
      <w:pPr>
        <w:spacing w:after="0" w:line="140" w:lineRule="exact"/>
        <w:rPr>
          <w:sz w:val="20"/>
          <w:szCs w:val="20"/>
          <w:color w:val="auto"/>
        </w:rPr>
      </w:pPr>
    </w:p>
    <w:p>
      <w:pPr>
        <w:ind w:right="760" w:firstLine="180"/>
        <w:spacing w:after="0" w:line="24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xml:space="preserve">. Voting on any question or in any election may be </w:t>
      </w:r>
      <w:r>
        <w:rPr>
          <w:rFonts w:ascii="Arial" w:cs="Arial" w:eastAsia="Arial" w:hAnsi="Arial"/>
          <w:sz w:val="18"/>
          <w:szCs w:val="18"/>
          <w:u w:val="single" w:color="auto"/>
          <w:color w:val="auto"/>
        </w:rPr>
        <w:t>viva voce</w:t>
      </w:r>
      <w:r>
        <w:rPr>
          <w:rFonts w:ascii="Arial" w:cs="Arial" w:eastAsia="Arial" w:hAnsi="Arial"/>
          <w:sz w:val="18"/>
          <w:szCs w:val="18"/>
          <w:color w:val="auto"/>
        </w:rPr>
        <w:t xml:space="preserve"> unless the presiding officer shall order or any stockholder shall demand that voting be by ballot.</w:t>
      </w:r>
    </w:p>
    <w:p>
      <w:pPr>
        <w:spacing w:after="0" w:line="36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under the direction of its Board of Directors.</w:t>
      </w:r>
    </w:p>
    <w:p>
      <w:pPr>
        <w:spacing w:after="0" w:line="196" w:lineRule="exact"/>
        <w:rPr>
          <w:sz w:val="20"/>
          <w:szCs w:val="20"/>
          <w:color w:val="auto"/>
        </w:rPr>
      </w:pPr>
    </w:p>
    <w:p>
      <w:pPr>
        <w:ind w:right="40" w:firstLine="310"/>
        <w:spacing w:after="0" w:line="24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At any regular meeting or at any special meeting called for that purpose, a majority of the entire Board of Directors may establish, increase or decrease the number of directors, provided that the number thereof shall never be less than 2 nor more</w:t>
      </w:r>
    </w:p>
    <w:p>
      <w:pPr>
        <w:spacing w:after="0" w:line="214" w:lineRule="auto"/>
        <w:rPr>
          <w:sz w:val="20"/>
          <w:szCs w:val="20"/>
          <w:color w:val="auto"/>
        </w:rPr>
      </w:pPr>
      <w:r>
        <w:rPr>
          <w:rFonts w:ascii="Arial" w:cs="Arial" w:eastAsia="Arial" w:hAnsi="Arial"/>
          <w:sz w:val="18"/>
          <w:szCs w:val="18"/>
          <w:color w:val="auto"/>
        </w:rPr>
        <w:t>than 9, and further provided that the tenure of office of a director shall not be affected by any decrease in the number of directors. Any director may resign at any time by delivering his or her resignation to the Board of Directors, the Chairman of the Board, or the Secretary. The acceptance of a resignation shall not be necessary to make it effective unless otherwise stated in the resignation. Any resignation shall take effect immediately upon its receipt or at such later time or event specified in the resignation.</w:t>
      </w:r>
    </w:p>
    <w:p>
      <w:pPr>
        <w:spacing w:after="0" w:line="177" w:lineRule="exact"/>
        <w:rPr>
          <w:sz w:val="20"/>
          <w:szCs w:val="20"/>
          <w:color w:val="auto"/>
        </w:rPr>
      </w:pPr>
    </w:p>
    <w:p>
      <w:pPr>
        <w:ind w:right="100" w:firstLine="310"/>
        <w:spacing w:after="0" w:line="237"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ANNUAL AND REGULAR MEETINGS</w:t>
      </w:r>
      <w:r>
        <w:rPr>
          <w:rFonts w:ascii="Arial" w:cs="Arial" w:eastAsia="Arial" w:hAnsi="Arial"/>
          <w:sz w:val="17"/>
          <w:szCs w:val="17"/>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w:t>
      </w:r>
    </w:p>
    <w:p>
      <w:pPr>
        <w:sectPr>
          <w:pgSz w:w="11900" w:h="16838" w:orient="portrait"/>
          <w:cols w:equalWidth="0" w:num="1">
            <w:col w:w="11200"/>
          </w:cols>
          <w:pgMar w:left="320" w:top="1440" w:right="379" w:bottom="1440" w:gutter="0" w:footer="0" w:header="0"/>
        </w:sectPr>
      </w:pPr>
    </w:p>
    <w:bookmarkStart w:id="65" w:name="page66"/>
    <w:bookmarkEnd w:id="65"/>
    <w:p>
      <w:pPr>
        <w:spacing w:after="0" w:line="184" w:lineRule="exact"/>
        <w:rPr>
          <w:sz w:val="20"/>
          <w:szCs w:val="20"/>
          <w:color w:val="auto"/>
        </w:rPr>
      </w:pPr>
    </w:p>
    <w:p>
      <w:pPr>
        <w:ind w:right="340" w:firstLine="310"/>
        <w:spacing w:after="0" w:line="24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or at the request of the Chairman of the Board, the Chief Executive Officer, the President or by a majority of the directors then in office. The person or persons authorized to call special meetings of the</w:t>
      </w:r>
    </w:p>
    <w:p>
      <w:pPr>
        <w:ind w:right="240"/>
        <w:spacing w:after="0" w:line="268" w:lineRule="auto"/>
        <w:rPr>
          <w:sz w:val="20"/>
          <w:szCs w:val="20"/>
          <w:color w:val="auto"/>
        </w:rPr>
      </w:pPr>
      <w:r>
        <w:rPr>
          <w:rFonts w:ascii="Arial" w:cs="Arial" w:eastAsia="Arial" w:hAnsi="Arial"/>
          <w:sz w:val="16"/>
          <w:szCs w:val="16"/>
          <w:color w:val="auto"/>
        </w:rPr>
        <w:t>Board of Directors may fix any place as the place for holding any special meeting of the Board of Directors called by them. The Board of Directors may provide, by resolution, the time and place for the holding of special meetings of the Board of Directors without other notice than such resolution.</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NOTICE</w:t>
      </w:r>
      <w:r>
        <w:rPr>
          <w:rFonts w:ascii="Arial" w:cs="Arial" w:eastAsia="Arial" w:hAnsi="Arial"/>
          <w:sz w:val="16"/>
          <w:szCs w:val="16"/>
          <w:color w:val="auto"/>
        </w:rPr>
        <w:t>. Notice of any special meeting of the Board of Directors shall be delivered personally or by telephone, electronic mail, facsimile</w:t>
      </w:r>
    </w:p>
    <w:p>
      <w:pPr>
        <w:spacing w:after="0" w:line="21"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transmission, United States mail or courier or, if to be delivered to an address outside of the United States, by an internationally recognized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any courier shall be given at</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any courier shall be deemed to be given when deposited with or delivered to such courier properly addressed. Neither the business to be transacted at, nor the</w:t>
      </w:r>
    </w:p>
    <w:p>
      <w:pPr>
        <w:spacing w:after="0" w:line="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purpose of, any annual, regular or special meeting of the Board of Directors need be stated in the notice, unless specifically required by statute or these Bylaws.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w:t>
      </w:r>
    </w:p>
    <w:p>
      <w:pPr>
        <w:spacing w:after="0" w:line="10" w:lineRule="exact"/>
        <w:rPr>
          <w:sz w:val="20"/>
          <w:szCs w:val="20"/>
          <w:color w:val="auto"/>
        </w:rPr>
      </w:pPr>
    </w:p>
    <w:p>
      <w:pPr>
        <w:jc w:val="both"/>
        <w:ind w:right="100"/>
        <w:spacing w:after="0" w:line="218" w:lineRule="auto"/>
        <w:rPr>
          <w:sz w:val="20"/>
          <w:szCs w:val="20"/>
          <w:color w:val="auto"/>
        </w:rPr>
      </w:pPr>
      <w:r>
        <w:rPr>
          <w:rFonts w:ascii="Arial" w:cs="Arial" w:eastAsia="Arial" w:hAnsi="Arial"/>
          <w:sz w:val="18"/>
          <w:szCs w:val="18"/>
          <w:color w:val="auto"/>
        </w:rPr>
        <w:t>provided that if less than a majority of such directors are present at said meeting, a majority of the directors present may adjourn the meeting from time to time without further notice, and provided further that if, pursuant to the Charter or these Bylaws, the vote of a majority of a particular group of directors is required for action, a quorum must also include a majority of such group.</w:t>
      </w:r>
    </w:p>
    <w:p>
      <w:pPr>
        <w:spacing w:after="0" w:line="176" w:lineRule="exact"/>
        <w:rPr>
          <w:sz w:val="20"/>
          <w:szCs w:val="20"/>
          <w:color w:val="auto"/>
        </w:rPr>
      </w:pPr>
    </w:p>
    <w:p>
      <w:pPr>
        <w:jc w:val="both"/>
        <w:ind w:right="120" w:firstLine="310"/>
        <w:spacing w:after="0" w:line="235"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35" w:lineRule="exact"/>
        <w:rPr>
          <w:sz w:val="20"/>
          <w:szCs w:val="20"/>
          <w:color w:val="auto"/>
        </w:rPr>
      </w:pPr>
    </w:p>
    <w:p>
      <w:pPr>
        <w:ind w:right="60" w:firstLine="180"/>
        <w:spacing w:after="0" w:line="24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VOTING</w:t>
      </w:r>
      <w:r>
        <w:rPr>
          <w:rFonts w:ascii="Arial" w:cs="Arial" w:eastAsia="Arial" w:hAnsi="Arial"/>
          <w:sz w:val="16"/>
          <w:szCs w:val="16"/>
          <w:color w:val="auto"/>
        </w:rPr>
        <w:t>. The action of the majority of the directors present at a meeting at which a quorum is present shall be the action of the Board of Directors, unless the concurrence of a greater proportion is required for such action by applicable statute, the Charter or these Bylaws. If enough directors have withdrawn from a meeting to leave less than a quorum but the meeting is not adjourned, the action of the majority of the directors still present at such</w:t>
      </w:r>
    </w:p>
    <w:p>
      <w:pPr>
        <w:spacing w:after="0" w:line="2"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meeting shall be the action of the Board of Directors, unless the concurrence of a greater proportion is required for such action by applicable statute, the Charter or these Bylaws.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of Directors, the Chairman of the Board or, in the absence of the Chairman of the Board,</w:t>
      </w:r>
    </w:p>
    <w:p>
      <w:pPr>
        <w:spacing w:after="0" w:line="2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the Vice Chairman of the Board, if any, shall act as chairman of the meeting. In the absence of both the Chairman and Vice Chairman of the Board, the Chief Executive Officer or in the absence of the Chief Executive Officer, the President or in the absence of the President, a director chosen by a majority of the directors present, shall act as chairman of the meeting. The Secretary or, in his or her absence, an Assistant Secretary, or in the absence of the Secretary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all Assistant Secretaries, a person appointed by the chairman of the meeting, shall act as secretary of the meeting.</w:t>
      </w:r>
    </w:p>
    <w:p>
      <w:pPr>
        <w:spacing w:after="0" w:line="169" w:lineRule="exact"/>
        <w:rPr>
          <w:sz w:val="20"/>
          <w:szCs w:val="20"/>
          <w:color w:val="auto"/>
        </w:rPr>
      </w:pPr>
    </w:p>
    <w:p>
      <w:pPr>
        <w:ind w:right="580" w:firstLine="310"/>
        <w:spacing w:after="0" w:line="22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76" w:lineRule="exact"/>
        <w:rPr>
          <w:sz w:val="20"/>
          <w:szCs w:val="20"/>
          <w:color w:val="auto"/>
        </w:rPr>
      </w:pPr>
    </w:p>
    <w:p>
      <w:pPr>
        <w:ind w:right="200" w:firstLine="310"/>
        <w:spacing w:after="0" w:line="24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WRITTEN CONSENT BY DIRECTORS</w:t>
      </w:r>
      <w:r>
        <w:rPr>
          <w:rFonts w:ascii="Arial" w:cs="Arial" w:eastAsia="Arial" w:hAnsi="Arial"/>
          <w:sz w:val="16"/>
          <w:szCs w:val="16"/>
          <w:color w:val="auto"/>
        </w:rPr>
        <w:t>. Any action required or permitted to be taken at any meeting of the Board of Directors may be taken without a meeting, if all of the members of the Board of Directors then in office consent thereto in writing or by electronic transmission and such writing or writings or electronic transmission or transmissions are filed with the minutes of proceedings of the Board of Directors. Such filing shall be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paper form if the minutes are maintained in paper form and shall be in electronic form if the minutes are maintained in electronic form.</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VACANCIES</w:t>
      </w:r>
      <w:r>
        <w:rPr>
          <w:rFonts w:ascii="Arial" w:cs="Arial" w:eastAsia="Arial" w:hAnsi="Arial"/>
          <w:sz w:val="17"/>
          <w:szCs w:val="17"/>
          <w:color w:val="auto"/>
        </w:rPr>
        <w:t>. If for any reason any or all of the directors cease to be directors, such event shall not terminate the Corporation or affect</w:t>
      </w:r>
    </w:p>
    <w:p>
      <w:pPr>
        <w:jc w:val="center"/>
        <w:spacing w:after="0"/>
        <w:rPr>
          <w:sz w:val="20"/>
          <w:szCs w:val="20"/>
          <w:color w:val="auto"/>
        </w:rPr>
      </w:pPr>
      <w:r>
        <w:rPr>
          <w:rFonts w:ascii="Arial" w:cs="Arial" w:eastAsia="Arial" w:hAnsi="Arial"/>
          <w:sz w:val="16"/>
          <w:szCs w:val="16"/>
          <w:color w:val="auto"/>
        </w:rPr>
        <w:t>these Bylaws or the powers of the remaining directors hereunder (even if fewer than three directors remain). Any vacancy on the Board of Directors for any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cause other than an increase in the number of directors shall be filled by a majority of the remaining directors, even if such majority is less than a</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8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quorum and any vacancy in the number of directors created by an increase in the number of directors may be filled by a majority vote of the entire Board of Directors. Any individual so elected as director shall serve until the next annual meeting of stockholders and until his or her successor is elected and</w:t>
      </w:r>
    </w:p>
    <w:p>
      <w:pPr>
        <w:spacing w:after="0"/>
        <w:rPr>
          <w:sz w:val="20"/>
          <w:szCs w:val="20"/>
          <w:color w:val="auto"/>
        </w:rPr>
      </w:pPr>
      <w:r>
        <w:rPr>
          <w:rFonts w:ascii="Arial" w:cs="Arial" w:eastAsia="Arial" w:hAnsi="Arial"/>
          <w:sz w:val="18"/>
          <w:szCs w:val="18"/>
          <w:color w:val="auto"/>
        </w:rPr>
        <w:t>qualifies.</w:t>
      </w:r>
    </w:p>
    <w:p>
      <w:pPr>
        <w:spacing w:after="0" w:line="169" w:lineRule="exact"/>
        <w:rPr>
          <w:sz w:val="20"/>
          <w:szCs w:val="20"/>
          <w:color w:val="auto"/>
        </w:rPr>
      </w:pPr>
    </w:p>
    <w:p>
      <w:pPr>
        <w:ind w:right="120" w:firstLine="310"/>
        <w:spacing w:after="0" w:line="248"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COMPENSATION</w:t>
      </w:r>
      <w:r>
        <w:rPr>
          <w:rFonts w:ascii="Arial" w:cs="Arial" w:eastAsia="Arial" w:hAnsi="Arial"/>
          <w:sz w:val="16"/>
          <w:szCs w:val="16"/>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w:t>
      </w:r>
    </w:p>
    <w:p>
      <w:pPr>
        <w:ind w:right="240"/>
        <w:spacing w:after="0" w:line="234" w:lineRule="auto"/>
        <w:rPr>
          <w:sz w:val="20"/>
          <w:szCs w:val="20"/>
          <w:color w:val="auto"/>
        </w:rPr>
      </w:pPr>
      <w:r>
        <w:rPr>
          <w:rFonts w:ascii="Arial" w:cs="Arial" w:eastAsia="Arial" w:hAnsi="Arial"/>
          <w:sz w:val="16"/>
          <w:szCs w:val="16"/>
          <w:color w:val="auto"/>
        </w:rPr>
        <w:t>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Corporation in any other capacity and receiving compensation therefor.</w:t>
      </w:r>
    </w:p>
    <w:p>
      <w:pPr>
        <w:spacing w:after="0" w:line="169" w:lineRule="exact"/>
        <w:rPr>
          <w:sz w:val="20"/>
          <w:szCs w:val="20"/>
          <w:color w:val="auto"/>
        </w:rPr>
      </w:pPr>
    </w:p>
    <w:p>
      <w:pPr>
        <w:ind w:right="40" w:firstLine="310"/>
        <w:spacing w:after="0" w:line="23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75" w:lineRule="exact"/>
        <w:rPr>
          <w:sz w:val="20"/>
          <w:szCs w:val="20"/>
          <w:color w:val="auto"/>
        </w:rPr>
      </w:pPr>
    </w:p>
    <w:p>
      <w:pPr>
        <w:ind w:right="160" w:firstLine="310"/>
        <w:spacing w:after="0" w:line="23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RELIANCE</w:t>
      </w:r>
      <w:r>
        <w:rPr>
          <w:rFonts w:ascii="Arial" w:cs="Arial" w:eastAsia="Arial" w:hAnsi="Arial"/>
          <w:sz w:val="16"/>
          <w:szCs w:val="16"/>
          <w:color w:val="auto"/>
        </w:rPr>
        <w:t>. Each director, officer, employee and agent of the Corporation shall, in the performance of his or her duties with respect to the</w:t>
      </w:r>
    </w:p>
    <w:p>
      <w:pPr>
        <w:spacing w:after="0" w:line="21"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may also be a director.</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CERTAIN RIGHTS OF DIRECTORS, OFFICERS, EMPLOYEES AND AGENTS</w:t>
      </w:r>
      <w:r>
        <w:rPr>
          <w:rFonts w:ascii="Arial" w:cs="Arial" w:eastAsia="Arial" w:hAnsi="Arial"/>
          <w:sz w:val="16"/>
          <w:szCs w:val="16"/>
          <w:color w:val="auto"/>
        </w:rPr>
        <w:t>. The directors shall have no responsibility to devote their</w:t>
      </w:r>
    </w:p>
    <w:p>
      <w:pPr>
        <w:spacing w:after="0" w:line="21" w:lineRule="exact"/>
        <w:rPr>
          <w:sz w:val="20"/>
          <w:szCs w:val="20"/>
          <w:color w:val="auto"/>
        </w:rPr>
      </w:pPr>
    </w:p>
    <w:p>
      <w:pPr>
        <w:jc w:val="both"/>
        <w:ind w:right="160"/>
        <w:spacing w:after="0" w:line="218" w:lineRule="auto"/>
        <w:rPr>
          <w:sz w:val="20"/>
          <w:szCs w:val="20"/>
          <w:color w:val="auto"/>
        </w:rPr>
      </w:pPr>
      <w:r>
        <w:rPr>
          <w:rFonts w:ascii="Arial" w:cs="Arial" w:eastAsia="Arial" w:hAnsi="Arial"/>
          <w:sz w:val="18"/>
          <w:szCs w:val="18"/>
          <w:color w:val="auto"/>
        </w:rPr>
        <w:t>full time to the affairs of the Corporation. Any director or officer, employee or agent of the Corporation, in his or her personal capacity or in a capacity as an affiliate, employee, or agent of any other person, or otherwise, may have business interests and engage in business activities similar to or in addition to or in competition with those of or relating to the Corporation.</w:t>
      </w:r>
    </w:p>
    <w:p>
      <w:pPr>
        <w:spacing w:after="0" w:line="176" w:lineRule="exact"/>
        <w:rPr>
          <w:sz w:val="20"/>
          <w:szCs w:val="20"/>
          <w:color w:val="auto"/>
        </w:rPr>
      </w:pPr>
    </w:p>
    <w:p>
      <w:pPr>
        <w:jc w:val="both"/>
        <w:ind w:right="40" w:firstLine="310"/>
        <w:spacing w:after="0" w:line="241"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RATIFICATION</w:t>
      </w:r>
      <w:r>
        <w:rPr>
          <w:rFonts w:ascii="Arial" w:cs="Arial" w:eastAsia="Arial" w:hAnsi="Arial"/>
          <w:sz w:val="16"/>
          <w:szCs w:val="16"/>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be binding upon the Corporation and its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shall constitute a bar to any claim or execution of any judgment in respect of such questioned action or inaction.</w:t>
      </w:r>
    </w:p>
    <w:p>
      <w:pPr>
        <w:spacing w:after="0" w:line="169" w:lineRule="exact"/>
        <w:rPr>
          <w:sz w:val="20"/>
          <w:szCs w:val="20"/>
          <w:color w:val="auto"/>
        </w:rPr>
      </w:pPr>
    </w:p>
    <w:p>
      <w:pPr>
        <w:ind w:right="80" w:firstLine="310"/>
        <w:spacing w:after="0" w:line="248"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EMERGENCY PROVISIONS</w:t>
      </w:r>
      <w:r>
        <w:rPr>
          <w:rFonts w:ascii="Arial" w:cs="Arial" w:eastAsia="Arial" w:hAnsi="Arial"/>
          <w:sz w:val="16"/>
          <w:szCs w:val="16"/>
          <w:color w:val="auto"/>
        </w:rPr>
        <w:t>. Notwithstanding any other provision in the Articles of Incorporation or these Bylaws, this Section 18 shall apply during the existence of any catastrophe, or other similar emergency condition, as a result of which a quorum of the Board of Directors under these</w:t>
      </w:r>
    </w:p>
    <w:p>
      <w:pPr>
        <w:ind w:right="40"/>
        <w:spacing w:after="0" w:line="233" w:lineRule="auto"/>
        <w:rPr>
          <w:sz w:val="20"/>
          <w:szCs w:val="20"/>
          <w:color w:val="auto"/>
        </w:rPr>
      </w:pPr>
      <w:r>
        <w:rPr>
          <w:rFonts w:ascii="Arial" w:cs="Arial" w:eastAsia="Arial" w:hAnsi="Arial"/>
          <w:sz w:val="16"/>
          <w:szCs w:val="16"/>
          <w:color w:val="auto"/>
        </w:rPr>
        <w:t>Bylaws cannot readily be obtained (an “Emergency”). During any Emergency, unless otherwise provided by the Board of Directors, (a) a meeting of the Board of Directors or a committee thereof may be called by any director or officer by any means feasible under the circumstances; (b) notice of any meeting of the Board of Directors during such an Emergency may be given less than 24 hours prior to the meeting to as many directors and by such means as may be feasible at the time, including publication, television or radio, and (c) the number of directors necessary to constitute a quorum shall be one-third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the entire Board of Directors.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02" w:lineRule="exact"/>
        <w:rPr>
          <w:sz w:val="20"/>
          <w:szCs w:val="20"/>
          <w:color w:val="auto"/>
        </w:rPr>
      </w:pPr>
    </w:p>
    <w:p>
      <w:pPr>
        <w:ind w:right="200" w:firstLine="310"/>
        <w:spacing w:after="0" w:line="25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 TENURE AND QUALIFICATIONS</w:t>
      </w:r>
      <w:r>
        <w:rPr>
          <w:rFonts w:ascii="Arial" w:cs="Arial" w:eastAsia="Arial" w:hAnsi="Arial"/>
          <w:sz w:val="17"/>
          <w:szCs w:val="17"/>
          <w:color w:val="auto"/>
        </w:rPr>
        <w:t>. The Board of Directors may appoint from among its members an Executive Committee, an Audit Committee and other committees, composed of two or more directors, to serve at the pleasure of the Board of Directors.</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84" w:lineRule="exact"/>
        <w:rPr>
          <w:sz w:val="20"/>
          <w:szCs w:val="20"/>
          <w:color w:val="auto"/>
        </w:rPr>
      </w:pPr>
    </w:p>
    <w:p>
      <w:pPr>
        <w:jc w:val="both"/>
        <w:ind w:right="140" w:firstLine="310"/>
        <w:spacing w:after="0" w:line="23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75" w:lineRule="exact"/>
        <w:rPr>
          <w:sz w:val="20"/>
          <w:szCs w:val="20"/>
          <w:color w:val="auto"/>
        </w:rPr>
      </w:pPr>
    </w:p>
    <w:p>
      <w:pPr>
        <w:jc w:val="both"/>
        <w:ind w:right="140" w:firstLine="310"/>
        <w:spacing w:after="0" w:line="24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MEETINGS</w:t>
      </w:r>
      <w:r>
        <w:rPr>
          <w:rFonts w:ascii="Arial" w:cs="Arial" w:eastAsia="Arial" w:hAnsi="Arial"/>
          <w:sz w:val="16"/>
          <w:szCs w:val="16"/>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w:t>
      </w:r>
    </w:p>
    <w:p>
      <w:pPr>
        <w:spacing w:after="0" w:line="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and such chairman or, in the absence of a chairman, any two members of any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70" w:lineRule="exact"/>
        <w:rPr>
          <w:sz w:val="20"/>
          <w:szCs w:val="20"/>
          <w:color w:val="auto"/>
        </w:rPr>
      </w:pPr>
    </w:p>
    <w:p>
      <w:pPr>
        <w:ind w:right="120" w:firstLine="310"/>
        <w:spacing w:after="0" w:line="22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76" w:lineRule="exact"/>
        <w:rPr>
          <w:sz w:val="20"/>
          <w:szCs w:val="20"/>
          <w:color w:val="auto"/>
        </w:rPr>
      </w:pPr>
    </w:p>
    <w:p>
      <w:pPr>
        <w:jc w:val="both"/>
        <w:ind w:right="280" w:firstLine="310"/>
        <w:spacing w:after="0" w:line="24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WRITTEN CONSENT BY COMMITTEES</w:t>
      </w:r>
      <w:r>
        <w:rPr>
          <w:rFonts w:ascii="Arial" w:cs="Arial" w:eastAsia="Arial" w:hAnsi="Arial"/>
          <w:sz w:val="16"/>
          <w:szCs w:val="16"/>
          <w:color w:val="auto"/>
        </w:rPr>
        <w:t>. Any action required or permitted to be taken at any meeting of a committee of the Board of Directors may be taken without a meeting, if all of the members of such committee of the Board of Directors consent thereto in writing or by electronic transmission and such writing or writings or electronic transmission or transmissions are filed with the minutes of proceedings of such committee of the</w:t>
      </w:r>
    </w:p>
    <w:p>
      <w:pPr>
        <w:spacing w:after="0" w:line="2"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Board of Directors. Such filing shall be in paper form if the minutes are maintained in paper form and shall be in electronic form if the minutes are maintained in electronic form.</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provisions hereof and of applicable law and any contract or agreement between the Corporation and its</w:t>
      </w:r>
    </w:p>
    <w:p>
      <w:pPr>
        <w:spacing w:after="0" w:line="10" w:lineRule="exact"/>
        <w:rPr>
          <w:sz w:val="20"/>
          <w:szCs w:val="20"/>
          <w:color w:val="auto"/>
        </w:rPr>
      </w:pPr>
    </w:p>
    <w:p>
      <w:pPr>
        <w:ind w:right="580"/>
        <w:spacing w:after="0" w:line="226" w:lineRule="auto"/>
        <w:rPr>
          <w:sz w:val="20"/>
          <w:szCs w:val="20"/>
          <w:color w:val="auto"/>
        </w:rPr>
      </w:pPr>
      <w:r>
        <w:rPr>
          <w:rFonts w:ascii="Arial" w:cs="Arial" w:eastAsia="Arial" w:hAnsi="Arial"/>
          <w:sz w:val="18"/>
          <w:szCs w:val="18"/>
          <w:color w:val="auto"/>
        </w:rPr>
        <w:t>stockholders, the Board of Directors shall have the power at any time to change the membership of any committee, to fill all vacancies, to designate alternate members to replace any absent or disqualified member or to dissolve any such committee.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189" w:lineRule="exact"/>
        <w:rPr>
          <w:sz w:val="20"/>
          <w:szCs w:val="20"/>
          <w:color w:val="auto"/>
        </w:rPr>
      </w:pPr>
    </w:p>
    <w:p>
      <w:pPr>
        <w:ind w:firstLine="310"/>
        <w:spacing w:after="0" w:line="24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Chairman of the Board, a Vice Chairman of the Board, a Chief Executive Officer, one or more Vice Presidents, a Chief Operating Officer, a Chief Financial</w:t>
      </w:r>
    </w:p>
    <w:p>
      <w:pPr>
        <w:ind w:right="60"/>
        <w:spacing w:after="0" w:line="234" w:lineRule="auto"/>
        <w:rPr>
          <w:sz w:val="20"/>
          <w:szCs w:val="20"/>
          <w:color w:val="auto"/>
        </w:rPr>
      </w:pPr>
      <w:r>
        <w:rPr>
          <w:rFonts w:ascii="Arial" w:cs="Arial" w:eastAsia="Arial" w:hAnsi="Arial"/>
          <w:sz w:val="16"/>
          <w:szCs w:val="16"/>
          <w:color w:val="auto"/>
        </w:rPr>
        <w:t>Officer, one or more Assistant Secretaries and one or more Assistant Treasurers. In addition, the Board of Directors may from time to time elect such other officers with such powers and duties as they shall deem necessary or desirable. The officers of the Corporation shall be elected annually by the Board of Directors, except that the Chief Executive Officer or President may from time to time appoint one or more Vice Presidents, Assistant Secretaries and</w:t>
      </w:r>
    </w:p>
    <w:p>
      <w:pPr>
        <w:spacing w:after="0" w:line="2" w:lineRule="exact"/>
        <w:rPr>
          <w:sz w:val="20"/>
          <w:szCs w:val="20"/>
          <w:color w:val="auto"/>
        </w:rPr>
      </w:pPr>
    </w:p>
    <w:p>
      <w:pPr>
        <w:jc w:val="both"/>
        <w:ind w:right="160"/>
        <w:spacing w:after="0" w:line="231" w:lineRule="auto"/>
        <w:rPr>
          <w:sz w:val="20"/>
          <w:szCs w:val="20"/>
          <w:color w:val="auto"/>
        </w:rPr>
      </w:pPr>
      <w:r>
        <w:rPr>
          <w:rFonts w:ascii="Arial" w:cs="Arial" w:eastAsia="Arial" w:hAnsi="Arial"/>
          <w:sz w:val="17"/>
          <w:szCs w:val="17"/>
          <w:color w:val="auto"/>
        </w:rPr>
        <w:t>Assistant Treasurers or other officers. Each officer shall hold office until his or her successor is elected and qualifies or until his or her death, or his or her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76" w:lineRule="exact"/>
        <w:rPr>
          <w:sz w:val="20"/>
          <w:szCs w:val="20"/>
          <w:color w:val="auto"/>
        </w:rPr>
      </w:pPr>
    </w:p>
    <w:p>
      <w:pPr>
        <w:ind w:right="40" w:firstLine="310"/>
        <w:spacing w:after="0" w:line="24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w:t>
      </w:r>
    </w:p>
    <w:p>
      <w:pPr>
        <w:spacing w:after="0" w:line="2"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98" w:lineRule="exact"/>
        <w:rPr>
          <w:sz w:val="20"/>
          <w:szCs w:val="20"/>
          <w:color w:val="auto"/>
        </w:rPr>
      </w:pPr>
    </w:p>
    <w:p>
      <w:pPr>
        <w:ind w:right="180" w:firstLine="310"/>
        <w:spacing w:after="0" w:line="24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Chairman of the Board shall be the Chief Executive Officer of the Corporation. The Chief Executive Officer shall have general responsibility for implementation of the policies of the Corporation, as determined by the Board of Directors, and for the management of the business and affairs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84" w:lineRule="exact"/>
        <w:rPr>
          <w:sz w:val="20"/>
          <w:szCs w:val="20"/>
          <w:color w:val="auto"/>
        </w:rPr>
      </w:pPr>
    </w:p>
    <w:p>
      <w:pPr>
        <w:ind w:right="180" w:firstLine="310"/>
        <w:spacing w:after="0" w:line="23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75" w:lineRule="exact"/>
        <w:rPr>
          <w:sz w:val="20"/>
          <w:szCs w:val="20"/>
          <w:color w:val="auto"/>
        </w:rPr>
      </w:pPr>
    </w:p>
    <w:p>
      <w:pPr>
        <w:ind w:right="160" w:firstLine="310"/>
        <w:spacing w:after="0" w:line="23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shall designate a Chairman of the Board. The Chairman of the Board shall preside</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over the meetings of the Board of Directors and of the stockholders at which he shall be present. The Chairman of the Board shall perform such other duties as may be assigned to him or her by the Board of Directors.</w:t>
      </w:r>
    </w:p>
    <w:p>
      <w:pPr>
        <w:spacing w:after="0" w:line="134" w:lineRule="exact"/>
        <w:rPr>
          <w:sz w:val="20"/>
          <w:szCs w:val="20"/>
          <w:color w:val="auto"/>
        </w:rPr>
      </w:pPr>
    </w:p>
    <w:p>
      <w:pPr>
        <w:ind w:right="80" w:firstLine="310"/>
        <w:spacing w:after="0" w:line="24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PRESIDENT</w:t>
      </w:r>
      <w:r>
        <w:rPr>
          <w:rFonts w:ascii="Arial" w:cs="Arial" w:eastAsia="Arial" w:hAnsi="Arial"/>
          <w:sz w:val="16"/>
          <w:szCs w:val="16"/>
          <w:color w:val="auto"/>
        </w:rPr>
        <w:t>. In the absence of a Chief Executive Officer, the President shall in general supervise and control all of the business and affairs of the Corporation. In the absence of a designation of a Chief Operating Officer by the Board of Directors, the President shall also be the Chief Operating Officer. The President may execute any deed, mortgage, bond, contract or other instrument, except in cases where the execution thereof shall be expressly</w:t>
      </w:r>
    </w:p>
    <w:p>
      <w:pPr>
        <w:spacing w:after="0" w:line="2" w:lineRule="exact"/>
        <w:rPr>
          <w:sz w:val="20"/>
          <w:szCs w:val="20"/>
          <w:color w:val="auto"/>
        </w:rPr>
      </w:pPr>
    </w:p>
    <w:p>
      <w:pPr>
        <w:ind w:right="320"/>
        <w:spacing w:after="0" w:line="218" w:lineRule="auto"/>
        <w:rPr>
          <w:sz w:val="20"/>
          <w:szCs w:val="20"/>
          <w:color w:val="auto"/>
        </w:rPr>
      </w:pPr>
      <w:r>
        <w:rPr>
          <w:rFonts w:ascii="Arial" w:cs="Arial" w:eastAsia="Arial" w:hAnsi="Arial"/>
          <w:sz w:val="18"/>
          <w:szCs w:val="18"/>
          <w:color w:val="auto"/>
        </w:rPr>
        <w:t>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76" w:lineRule="exact"/>
        <w:rPr>
          <w:sz w:val="20"/>
          <w:szCs w:val="20"/>
          <w:color w:val="auto"/>
        </w:rPr>
      </w:pPr>
    </w:p>
    <w:p>
      <w:pPr>
        <w:ind w:right="20" w:firstLine="310"/>
        <w:spacing w:after="0" w:line="24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w:t>
      </w:r>
    </w:p>
    <w:p>
      <w:pPr>
        <w:spacing w:after="0" w:line="231" w:lineRule="auto"/>
        <w:rPr>
          <w:sz w:val="20"/>
          <w:szCs w:val="20"/>
          <w:color w:val="auto"/>
        </w:rPr>
      </w:pPr>
      <w:r>
        <w:rPr>
          <w:rFonts w:ascii="Arial" w:cs="Arial" w:eastAsia="Arial" w:hAnsi="Arial"/>
          <w:sz w:val="16"/>
          <w:szCs w:val="16"/>
          <w:color w:val="auto"/>
        </w:rPr>
        <w:t>President; and shall perform such other duties as from time to time may be assigned to such Vice President by the President or by the Board of Directors.</w:t>
      </w:r>
    </w:p>
    <w:p>
      <w:pPr>
        <w:spacing w:after="0"/>
        <w:rPr>
          <w:sz w:val="20"/>
          <w:szCs w:val="20"/>
          <w:color w:val="auto"/>
        </w:rPr>
      </w:pPr>
      <w:r>
        <w:rPr>
          <w:rFonts w:ascii="Arial" w:cs="Arial" w:eastAsia="Arial" w:hAnsi="Arial"/>
          <w:sz w:val="16"/>
          <w:szCs w:val="16"/>
          <w:color w:val="auto"/>
        </w:rPr>
        <w:t>The Board of Directors may designate one or more Vice Presidents as Executive Vice President or as Vice President for particular areas of responsibility.</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w:t>
      </w:r>
    </w:p>
    <w:p>
      <w:pPr>
        <w:spacing w:after="0" w:line="21"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w:t>
      </w:r>
    </w:p>
    <w:p>
      <w:pPr>
        <w:spacing w:after="0" w:line="2" w:lineRule="exact"/>
        <w:rPr>
          <w:sz w:val="20"/>
          <w:szCs w:val="20"/>
          <w:color w:val="auto"/>
        </w:rPr>
      </w:pPr>
    </w:p>
    <w:p>
      <w:pPr>
        <w:ind w:right="520" w:firstLine="8"/>
        <w:spacing w:after="0" w:line="226" w:lineRule="auto"/>
        <w:tabs>
          <w:tab w:leader="none" w:pos="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general perform such other duties as from time to time may be assigned to him by the Chief Executive Officer, the President or by the Board of Directors.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the custody of the funds and securities of the Corporation and shall keep full and accurate</w:t>
      </w:r>
    </w:p>
    <w:p>
      <w:pPr>
        <w:spacing w:after="0" w:line="10"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76" w:lineRule="exact"/>
        <w:rPr>
          <w:sz w:val="20"/>
          <w:szCs w:val="20"/>
          <w:color w:val="auto"/>
        </w:rPr>
      </w:pPr>
    </w:p>
    <w:p>
      <w:pPr>
        <w:jc w:val="both"/>
        <w:ind w:right="60" w:firstLine="310"/>
        <w:spacing w:after="0" w:line="224" w:lineRule="auto"/>
        <w:rPr>
          <w:sz w:val="20"/>
          <w:szCs w:val="20"/>
          <w:color w:val="auto"/>
        </w:rPr>
      </w:pPr>
      <w:r>
        <w:rPr>
          <w:rFonts w:ascii="Arial" w:cs="Arial" w:eastAsia="Arial" w:hAnsi="Arial"/>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76" w:lineRule="exact"/>
        <w:rPr>
          <w:sz w:val="20"/>
          <w:szCs w:val="20"/>
          <w:color w:val="auto"/>
        </w:rPr>
      </w:pPr>
    </w:p>
    <w:p>
      <w:pPr>
        <w:ind w:right="160" w:firstLine="310"/>
        <w:spacing w:after="0" w:line="21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76" w:lineRule="exact"/>
        <w:rPr>
          <w:sz w:val="20"/>
          <w:szCs w:val="20"/>
          <w:color w:val="auto"/>
        </w:rPr>
      </w:pPr>
    </w:p>
    <w:p>
      <w:pPr>
        <w:ind w:right="100" w:firstLine="310"/>
        <w:spacing w:after="0" w:line="24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ASSISTANT SECRETARIES AND ASSISTANT TREASURERS</w:t>
      </w:r>
      <w:r>
        <w:rPr>
          <w:rFonts w:ascii="Arial" w:cs="Arial" w:eastAsia="Arial" w:hAnsi="Arial"/>
          <w:sz w:val="16"/>
          <w:szCs w:val="16"/>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shall be satisfactory to the Board of Directors.</w:t>
      </w:r>
    </w:p>
    <w:p>
      <w:pPr>
        <w:spacing w:after="0" w:line="169" w:lineRule="exact"/>
        <w:rPr>
          <w:sz w:val="20"/>
          <w:szCs w:val="20"/>
          <w:color w:val="auto"/>
        </w:rPr>
      </w:pPr>
    </w:p>
    <w:p>
      <w:pPr>
        <w:ind w:right="180" w:firstLine="310"/>
        <w:spacing w:after="0" w:line="23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and other compensation of the officers shall be fixed from time to time by the Board of Directors and no officer shall be prevented from receiving such salary or other compensation by reason of the fact that he is also a director.</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CHECKS AND DEPOSITS</w:t>
      </w:r>
    </w:p>
    <w:p>
      <w:pPr>
        <w:spacing w:after="0" w:line="189" w:lineRule="exact"/>
        <w:rPr>
          <w:sz w:val="20"/>
          <w:szCs w:val="20"/>
          <w:color w:val="auto"/>
        </w:rPr>
      </w:pPr>
    </w:p>
    <w:p>
      <w:pPr>
        <w:ind w:right="20" w:firstLine="310"/>
        <w:spacing w:after="0" w:line="24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CONTRACTS</w:t>
      </w:r>
      <w:r>
        <w:rPr>
          <w:rFonts w:ascii="Arial" w:cs="Arial" w:eastAsia="Arial" w:hAnsi="Arial"/>
          <w:sz w:val="16"/>
          <w:szCs w:val="16"/>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w:t>
      </w:r>
    </w:p>
    <w:p>
      <w:pPr>
        <w:ind w:right="440"/>
        <w:spacing w:after="0" w:line="226" w:lineRule="auto"/>
        <w:rPr>
          <w:sz w:val="20"/>
          <w:szCs w:val="20"/>
          <w:color w:val="auto"/>
        </w:rPr>
      </w:pPr>
      <w:r>
        <w:rPr>
          <w:rFonts w:ascii="Arial" w:cs="Arial" w:eastAsia="Arial" w:hAnsi="Arial"/>
          <w:sz w:val="18"/>
          <w:szCs w:val="18"/>
          <w:color w:val="auto"/>
        </w:rPr>
        <w:t>or other document shall be valid and binding upon the Corporation when authorized or ratified by action of the Board of Directors and executed by an authorized person.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CHECKS AND DRAFTS</w:t>
      </w:r>
      <w:r>
        <w:rPr>
          <w:rFonts w:ascii="Arial" w:cs="Arial" w:eastAsia="Arial" w:hAnsi="Arial"/>
          <w:sz w:val="16"/>
          <w:szCs w:val="16"/>
          <w:color w:val="auto"/>
        </w:rPr>
        <w:t>. All checks, drafts or other orders for the payment of money, notes or other evidences of indebtedness issued in</w:t>
      </w:r>
    </w:p>
    <w:p>
      <w:pPr>
        <w:spacing w:after="0" w:line="2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the name of the Corporation shall be signed by such officer or agent of the Corporation in such manner as shall from time to time be determined by the Board of Directors.</w:t>
      </w:r>
    </w:p>
    <w:p>
      <w:pPr>
        <w:spacing w:after="0" w:line="161" w:lineRule="exact"/>
        <w:rPr>
          <w:sz w:val="20"/>
          <w:szCs w:val="20"/>
          <w:color w:val="auto"/>
        </w:rPr>
      </w:pPr>
    </w:p>
    <w:p>
      <w:pPr>
        <w:ind w:right="300" w:firstLine="310"/>
        <w:spacing w:after="0" w:line="24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202" w:lineRule="exact"/>
        <w:rPr>
          <w:sz w:val="20"/>
          <w:szCs w:val="20"/>
          <w:color w:val="auto"/>
        </w:rPr>
      </w:pPr>
    </w:p>
    <w:p>
      <w:pPr>
        <w:ind w:right="120" w:firstLine="310"/>
        <w:spacing w:after="0" w:line="24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w:t>
      </w:r>
      <w:r>
        <w:rPr>
          <w:rFonts w:ascii="Arial" w:cs="Arial" w:eastAsia="Arial" w:hAnsi="Arial"/>
          <w:sz w:val="16"/>
          <w:szCs w:val="16"/>
          <w:color w:val="auto"/>
        </w:rPr>
        <w:t>. Except as otherwise provided in these Bylaws, this Section shall not be interpreted to limit the authority of the Board of Directors to issue some or all of the shares of any or all of its classes or series without certificates. Each stockholder, upon written request to the Secretary, shall be entitled to a certificate or certificates which shall represent and certify the number of shares of each class of stock held by him in the Corporation.</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Each certificate shall be signed by the Chairman of the Board, the President or a Vice President and countersigned by the Secretary or an Assistant Secretary or the Treasurer or an Assistant Treasurer and may be sealed with the seal, if any, of the Corporation. The signatures may be either manual or facsimile. Certificates shall be consecutively numbered; and if the Corporation shall, from time to time, issue several classes of stock, each class may have</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Corporation, shall have a statement of such restriction,</w:t>
      </w:r>
    </w:p>
    <w:p>
      <w:pPr>
        <w:spacing w:after="0" w:line="2" w:lineRule="exact"/>
        <w:rPr>
          <w:sz w:val="20"/>
          <w:szCs w:val="20"/>
          <w:color w:val="auto"/>
        </w:rPr>
      </w:pPr>
    </w:p>
    <w:p>
      <w:pPr>
        <w:ind w:right="200"/>
        <w:spacing w:after="0" w:line="234" w:lineRule="auto"/>
        <w:rPr>
          <w:sz w:val="20"/>
          <w:szCs w:val="20"/>
          <w:color w:val="auto"/>
        </w:rPr>
      </w:pPr>
      <w:r>
        <w:rPr>
          <w:rFonts w:ascii="Arial" w:cs="Arial" w:eastAsia="Arial" w:hAnsi="Arial"/>
          <w:sz w:val="16"/>
          <w:szCs w:val="16"/>
          <w:color w:val="auto"/>
        </w:rPr>
        <w:t>limitation, preference or redemption provision, or a summary thereof, plainly stated on the certificate. If the Corporation has authority to issue stock of more than one class, the certificate shall contain on the face or back a full statement or summary of the designations and any preferences, conversion and other rights, voting powers, restrictions, limitations as to dividends and other distributions, qualifications and terms and conditions of redemption of each</w:t>
      </w:r>
    </w:p>
    <w:p>
      <w:pPr>
        <w:spacing w:after="0" w:line="2"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class of stock and, if the Corporation is authorized to issue any preferred or special class in series, the differences in the relative rights and preferences between the shares of each series to the extent they have been set and the authority of the Board of Directors to set the relative rights and preferences of subsequent series. In lieu of such statement or summary, the certificate may state that the Corporation will furnish a full statement of such information to</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any stockholder upon request and without charge. If any class of stock is restricted by the Corporation as to transferability, the certificate shall contain a full statement of the restriction or state that the Corporation will furnish information about the restrictions to the stockholder on request and without charge.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stock certificate duly endorsed or</w:t>
      </w:r>
    </w:p>
    <w:p>
      <w:pPr>
        <w:spacing w:after="0" w:line="10"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accompanied by proper evidence of succession, assignment or authority to transfer, the Corporation shall issue a new certificate to the person entitled thereto, cancel the old certificate and record the transaction upon its books.</w:t>
      </w:r>
    </w:p>
    <w:p>
      <w:pPr>
        <w:spacing w:after="0" w:line="161" w:lineRule="exact"/>
        <w:rPr>
          <w:sz w:val="20"/>
          <w:szCs w:val="20"/>
          <w:color w:val="auto"/>
        </w:rPr>
      </w:pPr>
    </w:p>
    <w:p>
      <w:pPr>
        <w:ind w:right="140" w:firstLine="310"/>
        <w:spacing w:after="0" w:line="248" w:lineRule="auto"/>
        <w:rPr>
          <w:sz w:val="20"/>
          <w:szCs w:val="20"/>
          <w:color w:val="auto"/>
        </w:rPr>
      </w:pPr>
      <w:r>
        <w:rPr>
          <w:rFonts w:ascii="Arial" w:cs="Arial" w:eastAsia="Arial" w:hAnsi="Arial"/>
          <w:sz w:val="16"/>
          <w:szCs w:val="16"/>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w:t>
      </w:r>
    </w:p>
    <w:p>
      <w:pPr>
        <w:ind w:right="120"/>
        <w:spacing w:after="0" w:line="226" w:lineRule="auto"/>
        <w:rPr>
          <w:sz w:val="20"/>
          <w:szCs w:val="20"/>
          <w:color w:val="auto"/>
        </w:rPr>
      </w:pPr>
      <w:r>
        <w:rPr>
          <w:rFonts w:ascii="Arial" w:cs="Arial" w:eastAsia="Arial" w:hAnsi="Arial"/>
          <w:sz w:val="18"/>
          <w:szCs w:val="18"/>
          <w:color w:val="auto"/>
        </w:rPr>
        <w:t>thereof, except as otherwise provided by the laws of the State of Maryland. Notwithstanding the foregoing, transfers of shares of any class of stock will be subject in all respects to the Charter and all of the terms and conditions contained therein.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Any officer designated by the Board of Directors may direct a new certificate to be issued in place of any</w:t>
      </w:r>
    </w:p>
    <w:p>
      <w:pPr>
        <w:spacing w:after="0" w:line="2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certificate previously issued by the Corporation alleged to have been lost, stolen or destroyed upon the making of an affidavit of that fact by the person claiming the certificate to be lost,</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w:t>
      </w:r>
    </w:p>
    <w:p>
      <w:pPr>
        <w:ind w:right="200"/>
        <w:spacing w:after="0" w:line="226" w:lineRule="auto"/>
        <w:rPr>
          <w:sz w:val="20"/>
          <w:szCs w:val="20"/>
          <w:color w:val="auto"/>
        </w:rPr>
      </w:pPr>
      <w:r>
        <w:rPr>
          <w:rFonts w:ascii="Arial" w:cs="Arial" w:eastAsia="Arial" w:hAnsi="Arial"/>
          <w:sz w:val="18"/>
          <w:szCs w:val="18"/>
          <w:color w:val="auto"/>
        </w:rPr>
        <w:t>the same in such manner as he shall require and/or to give bond, with sufficient surety, to the Corporation to indemnify it against any loss or claim which may arise as a result of the issuance of a new certificate.</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CLOSING OF TRANSFER BOOKS OR FIXING OF RECORD DATE</w:t>
      </w:r>
      <w:r>
        <w:rPr>
          <w:rFonts w:ascii="Arial" w:cs="Arial" w:eastAsia="Arial" w:hAnsi="Arial"/>
          <w:sz w:val="16"/>
          <w:szCs w:val="16"/>
          <w:color w:val="auto"/>
        </w:rPr>
        <w:t>. The Board of Directors may set, in advance, a record date for the</w:t>
      </w:r>
    </w:p>
    <w:p>
      <w:pPr>
        <w:spacing w:after="0" w:line="21"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stockholders, not less than ten days, before the date on which the meeting or particular action requiring such determination of stockholders of record is to be held or taken.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lieu of fixing a record date, the Board of Directors may provide that the stock transfer books shall be closed for a stated period but not longer than</w:t>
      </w:r>
    </w:p>
    <w:p>
      <w:pPr>
        <w:spacing w:after="0" w:line="2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20 days. If the stock transfer books are closed for the purpose of determining stockholders entitled to notice of or to vote at a meeting of stockholders, such books shall be closed for at least ten days before the date of such meeting.</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no record date is fixed and the stock transfer books are not closed for the determination of stockholders, (a) the record date for the determination of</w:t>
      </w:r>
    </w:p>
    <w:p>
      <w:pPr>
        <w:spacing w:after="0" w:line="2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declaring the dividend or allotment of rights, is adopted.</w:t>
      </w:r>
    </w:p>
    <w:p>
      <w:pPr>
        <w:spacing w:after="0" w:line="169" w:lineRule="exact"/>
        <w:rPr>
          <w:sz w:val="20"/>
          <w:szCs w:val="20"/>
          <w:color w:val="auto"/>
        </w:rPr>
      </w:pPr>
    </w:p>
    <w:p>
      <w:pPr>
        <w:ind w:right="100" w:firstLine="310"/>
        <w:spacing w:after="0" w:line="248" w:lineRule="auto"/>
        <w:rPr>
          <w:sz w:val="20"/>
          <w:szCs w:val="20"/>
          <w:color w:val="auto"/>
        </w:rPr>
      </w:pPr>
      <w:r>
        <w:rPr>
          <w:rFonts w:ascii="Arial" w:cs="Arial" w:eastAsia="Arial" w:hAnsi="Arial"/>
          <w:sz w:val="16"/>
          <w:szCs w:val="16"/>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w:t>
      </w:r>
    </w:p>
    <w:p>
      <w:pPr>
        <w:ind w:right="60"/>
        <w:spacing w:after="0" w:line="226" w:lineRule="auto"/>
        <w:rPr>
          <w:sz w:val="20"/>
          <w:szCs w:val="20"/>
          <w:color w:val="auto"/>
        </w:rPr>
      </w:pPr>
      <w:r>
        <w:rPr>
          <w:rFonts w:ascii="Arial" w:cs="Arial" w:eastAsia="Arial" w:hAnsi="Arial"/>
          <w:sz w:val="18"/>
          <w:szCs w:val="18"/>
          <w:color w:val="auto"/>
        </w:rPr>
        <w:t>closing has expired or (ii) the meeting is adjourned to a date more than 120 days after the record date fixed for the original meeting, in either of which case a new record date shall be determined as set forth herein.</w:t>
      </w:r>
    </w:p>
    <w:p>
      <w:pPr>
        <w:spacing w:after="0" w:line="161" w:lineRule="exact"/>
        <w:rPr>
          <w:sz w:val="20"/>
          <w:szCs w:val="20"/>
          <w:color w:val="auto"/>
        </w:rPr>
      </w:pPr>
    </w:p>
    <w:p>
      <w:pPr>
        <w:ind w:right="300" w:firstLine="310"/>
        <w:spacing w:after="0" w:line="30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10" w:lineRule="exact"/>
        <w:rPr>
          <w:sz w:val="20"/>
          <w:szCs w:val="20"/>
          <w:color w:val="auto"/>
        </w:rPr>
      </w:pPr>
    </w:p>
    <w:p>
      <w:pPr>
        <w:ind w:right="40" w:firstLine="310"/>
        <w:spacing w:after="0" w:line="24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FRACTIONAL STOCK; ISSUANCE OF UNITS</w:t>
      </w:r>
      <w:r>
        <w:rPr>
          <w:rFonts w:ascii="Arial" w:cs="Arial" w:eastAsia="Arial" w:hAnsi="Arial"/>
          <w:sz w:val="16"/>
          <w:szCs w:val="16"/>
          <w:color w:val="auto"/>
        </w:rPr>
        <w:t>. The Board of Directors may issue fractional stock or provide for the issuance of scrip, all on such terms and under such conditions as they may determine. Notwithstanding any other provision of the Charter or these Bylaws, the Board of</w:t>
      </w:r>
    </w:p>
    <w:p>
      <w:pPr>
        <w:spacing w:after="0" w:line="218" w:lineRule="auto"/>
        <w:rPr>
          <w:sz w:val="20"/>
          <w:szCs w:val="20"/>
          <w:color w:val="auto"/>
        </w:rPr>
      </w:pPr>
      <w:r>
        <w:rPr>
          <w:rFonts w:ascii="Arial" w:cs="Arial" w:eastAsia="Arial" w:hAnsi="Arial"/>
          <w:sz w:val="18"/>
          <w:szCs w:val="18"/>
          <w:color w:val="auto"/>
        </w:rPr>
        <w:t>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AUTHORIZATION</w:t>
      </w:r>
      <w:r>
        <w:rPr>
          <w:rFonts w:ascii="Arial" w:cs="Arial" w:eastAsia="Arial" w:hAnsi="Arial"/>
          <w:sz w:val="17"/>
          <w:szCs w:val="17"/>
          <w:color w:val="auto"/>
        </w:rPr>
        <w:t>. Dividends and other distributions upon the stock of the Corporation may be authorized by the Board of Directors,</w:t>
      </w:r>
    </w:p>
    <w:p>
      <w:pPr>
        <w:spacing w:after="0" w:line="10"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subject to the provisions of applicable law and the Charter. Dividends and other distributions may be paid in cash, property or stock of the Corporation, subject to the provisions of applicable law and the Charter.</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84" w:lineRule="exact"/>
        <w:rPr>
          <w:sz w:val="20"/>
          <w:szCs w:val="20"/>
          <w:color w:val="auto"/>
        </w:rPr>
      </w:pPr>
    </w:p>
    <w:p>
      <w:pPr>
        <w:jc w:val="center"/>
        <w:ind w:right="40"/>
        <w:spacing w:after="0" w:line="24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CONTINGENCIES</w:t>
      </w:r>
      <w:r>
        <w:rPr>
          <w:rFonts w:ascii="Arial" w:cs="Arial" w:eastAsia="Arial" w:hAnsi="Arial"/>
          <w:sz w:val="16"/>
          <w:szCs w:val="16"/>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w:t>
      </w:r>
    </w:p>
    <w:p>
      <w:pPr>
        <w:ind w:right="120"/>
        <w:spacing w:after="0" w:line="218" w:lineRule="auto"/>
        <w:rPr>
          <w:sz w:val="20"/>
          <w:szCs w:val="20"/>
          <w:color w:val="auto"/>
        </w:rPr>
      </w:pPr>
      <w:r>
        <w:rPr>
          <w:rFonts w:ascii="Arial" w:cs="Arial" w:eastAsia="Arial" w:hAnsi="Arial"/>
          <w:sz w:val="18"/>
          <w:szCs w:val="18"/>
          <w:color w:val="auto"/>
        </w:rPr>
        <w:t>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POLICY</w:t>
      </w:r>
    </w:p>
    <w:p>
      <w:pPr>
        <w:spacing w:after="0" w:line="189" w:lineRule="exact"/>
        <w:rPr>
          <w:sz w:val="20"/>
          <w:szCs w:val="20"/>
          <w:color w:val="auto"/>
        </w:rPr>
      </w:pPr>
    </w:p>
    <w:p>
      <w:pPr>
        <w:ind w:right="320" w:firstLine="310"/>
        <w:spacing w:after="0" w:line="246" w:lineRule="auto"/>
        <w:rPr>
          <w:sz w:val="20"/>
          <w:szCs w:val="20"/>
          <w:color w:val="auto"/>
        </w:rPr>
      </w:pPr>
      <w:r>
        <w:rPr>
          <w:rFonts w:ascii="Arial" w:cs="Arial" w:eastAsia="Arial" w:hAnsi="Arial"/>
          <w:sz w:val="18"/>
          <w:szCs w:val="18"/>
          <w:color w:val="auto"/>
        </w:rPr>
        <w:t>Subject to the provisions of the Charter, the Board of Directors may from time to time adopt, amend, revise or terminate any policy or policies with respect to investments by the Corporation as it shall deem appropriate in its sole discretion.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202" w:lineRule="exact"/>
        <w:rPr>
          <w:sz w:val="20"/>
          <w:szCs w:val="20"/>
          <w:color w:val="auto"/>
        </w:rPr>
      </w:pPr>
    </w:p>
    <w:p>
      <w:pPr>
        <w:ind w:firstLine="310"/>
        <w:spacing w:after="0" w:line="22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76" w:lineRule="exact"/>
        <w:rPr>
          <w:sz w:val="20"/>
          <w:szCs w:val="20"/>
          <w:color w:val="auto"/>
        </w:rPr>
      </w:pPr>
    </w:p>
    <w:p>
      <w:pPr>
        <w:ind w:right="240" w:firstLine="310"/>
        <w:spacing w:after="0" w:line="22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ADVANCE OF EXPENSES; INSURANCE</w:t>
      </w:r>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INDEMNIFICATION AND ADVANCE OF EXPENSES</w:t>
      </w:r>
      <w:r>
        <w:rPr>
          <w:rFonts w:ascii="Arial" w:cs="Arial" w:eastAsia="Arial" w:hAnsi="Arial"/>
          <w:sz w:val="17"/>
          <w:szCs w:val="17"/>
          <w:color w:val="auto"/>
        </w:rPr>
        <w:t>. To the maximum extent permitted by the laws of the State of Maryland in effect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the Corporation shall indemnify and, without requiring a preliminary determination of the ultimate entitlement to indemnification, shall</w:t>
      </w:r>
    </w:p>
    <w:p>
      <w:pPr>
        <w:spacing w:after="0" w:line="228" w:lineRule="auto"/>
        <w:rPr>
          <w:sz w:val="20"/>
          <w:szCs w:val="20"/>
          <w:color w:val="auto"/>
        </w:rPr>
      </w:pPr>
      <w:r>
        <w:rPr>
          <w:rFonts w:ascii="Arial" w:cs="Arial" w:eastAsia="Arial" w:hAnsi="Arial"/>
          <w:sz w:val="16"/>
          <w:szCs w:val="16"/>
          <w:color w:val="auto"/>
        </w:rPr>
        <w:t>pay or reimburse reasonable expenses in advance of final disposition of a proceeding to (a) any individual who is a present or former director or officer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and who is made a party to the proceeding by reason of his or her service in that capacity or (b) any individual who, while a director of the</w:t>
      </w:r>
    </w:p>
    <w:p>
      <w:pPr>
        <w:spacing w:after="0" w:line="5"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Corporation and at the request of the Corporation, serves or has served as a director, officer, partner or trustee of such corporation, real estate investment trust, partnership, joint venture, trust, employee benefit plan or other enterprise and who is made a party to the proceeding by reason of his or her service in that capacity. The Corporation may, with the approval of the Board of Directors, provide such indemnification and advance for expenses to a person who</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served a predecessor of the Corporation in any of the capacities described in (a) or (b) above and to any employee or agent of the Corporation or a predecessor of the Corporation. The indemnification and advancement of expenses provided by, or granted pursuant to, this Article XII shall, unless otherwise provided when authorized or ratified, continue as to a person who has ceased to be a director or officer of the Corporation and shall inure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benefit of the heirs, executors and administrators of such a person.</w:t>
      </w:r>
    </w:p>
    <w:p>
      <w:pPr>
        <w:spacing w:after="0" w:line="169" w:lineRule="exact"/>
        <w:rPr>
          <w:sz w:val="20"/>
          <w:szCs w:val="20"/>
          <w:color w:val="auto"/>
        </w:rPr>
      </w:pPr>
    </w:p>
    <w:p>
      <w:pPr>
        <w:ind w:right="80" w:firstLine="310"/>
        <w:spacing w:after="0" w:line="24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purchase and maintain insurance on behalf of any person who is a present or former director or officer of the Corporation, or is a present or former director or officer of the Corporation serving at the request of the Corporation as a director, officer, employee</w:t>
      </w:r>
    </w:p>
    <w:p>
      <w:pPr>
        <w:jc w:val="both"/>
        <w:spacing w:after="0" w:line="218" w:lineRule="auto"/>
        <w:rPr>
          <w:sz w:val="20"/>
          <w:szCs w:val="20"/>
          <w:color w:val="auto"/>
        </w:rPr>
      </w:pPr>
      <w:r>
        <w:rPr>
          <w:rFonts w:ascii="Arial" w:cs="Arial" w:eastAsia="Arial" w:hAnsi="Arial"/>
          <w:sz w:val="18"/>
          <w:szCs w:val="18"/>
          <w:color w:val="auto"/>
        </w:rPr>
        <w:t>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XII.</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NONEXCLUSIVITY OF INDEMNIFICATION AND ADVANCEMENT OF EXPENSES</w:t>
      </w:r>
      <w:r>
        <w:rPr>
          <w:rFonts w:ascii="Arial" w:cs="Arial" w:eastAsia="Arial" w:hAnsi="Arial"/>
          <w:sz w:val="18"/>
          <w:szCs w:val="18"/>
          <w:color w:val="auto"/>
        </w:rPr>
        <w:t>. The indemnification and advancement of</w:t>
      </w:r>
    </w:p>
    <w:p>
      <w:pPr>
        <w:ind w:right="180"/>
        <w:spacing w:after="0" w:line="268" w:lineRule="auto"/>
        <w:rPr>
          <w:sz w:val="20"/>
          <w:szCs w:val="20"/>
          <w:color w:val="auto"/>
        </w:rPr>
      </w:pPr>
      <w:r>
        <w:rPr>
          <w:rFonts w:ascii="Arial" w:cs="Arial" w:eastAsia="Arial" w:hAnsi="Arial"/>
          <w:sz w:val="16"/>
          <w:szCs w:val="16"/>
          <w:color w:val="auto"/>
        </w:rPr>
        <w:t>expenses provided by, or granted pursuant to, this Article XII shall not be deemed exclusive of any other rights to which those seeking indemnification or advancement of expenses may be entitled under the Charter, these Bylaws, agreement, vote of stockholders or disinterested directors or otherwise,</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8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both as to action in such person’s official capacity and as to action in another capacity while holding such office, it being the policy of the Corporation that indemnification of the persons specified in Section 1 of this Article XII shall be made to the fullest extent permitted by law. The provisions of this Article</w:t>
      </w:r>
    </w:p>
    <w:p>
      <w:pPr>
        <w:ind w:right="200"/>
        <w:spacing w:after="0" w:line="226" w:lineRule="auto"/>
        <w:rPr>
          <w:sz w:val="20"/>
          <w:szCs w:val="20"/>
          <w:color w:val="auto"/>
        </w:rPr>
      </w:pPr>
      <w:r>
        <w:rPr>
          <w:rFonts w:ascii="Arial" w:cs="Arial" w:eastAsia="Arial" w:hAnsi="Arial"/>
          <w:sz w:val="18"/>
          <w:szCs w:val="18"/>
          <w:color w:val="auto"/>
        </w:rPr>
        <w:t>XII shall not be deemed to preclude the indemnification of any person who is not specified in Section 1 of this Article XII but whom the Corporation has the power or obligation to indemnify under the provisions of the Maryland General Corporation Law, or otherwise.</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Neither the amendment nor repeal of this Article XII, nor the adoption or amendment of any</w:t>
      </w:r>
    </w:p>
    <w:p>
      <w:pPr>
        <w:spacing w:after="0" w:line="10"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auto"/>
        </w:rPr>
        <w:t>other provision of the Bylaws or Charter inconsistent with this Article XII, shall apply to or affect in any respect the applicability of the preceding paragraph with respect to any act or failure to act which occurred prior to such amendment, repeal or adoption.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 OF NOTICE</w:t>
      </w:r>
    </w:p>
    <w:p>
      <w:pPr>
        <w:spacing w:after="0" w:line="189" w:lineRule="exact"/>
        <w:rPr>
          <w:sz w:val="20"/>
          <w:szCs w:val="20"/>
          <w:color w:val="auto"/>
        </w:rPr>
      </w:pPr>
    </w:p>
    <w:p>
      <w:pPr>
        <w:ind w:right="140" w:firstLine="310"/>
        <w:spacing w:after="0" w:line="248" w:lineRule="auto"/>
        <w:rPr>
          <w:sz w:val="20"/>
          <w:szCs w:val="20"/>
          <w:color w:val="auto"/>
        </w:rPr>
      </w:pPr>
      <w:r>
        <w:rPr>
          <w:rFonts w:ascii="Arial" w:cs="Arial" w:eastAsia="Arial" w:hAnsi="Arial"/>
          <w:sz w:val="16"/>
          <w:szCs w:val="16"/>
          <w:color w:val="auto"/>
        </w:rPr>
        <w:t>Whenever any notice is required to be given pursuant to the Charter or these Bylaws or pursuant to applicable law, a waiver thereof in writing, signed by the person or persons entitled to such notice, whether before or after the time stated therein, shall be deemed equivalent to the giving of such notice.</w:t>
      </w:r>
    </w:p>
    <w:p>
      <w:pPr>
        <w:ind w:right="40"/>
        <w:spacing w:after="0" w:line="231" w:lineRule="auto"/>
        <w:rPr>
          <w:sz w:val="20"/>
          <w:szCs w:val="20"/>
          <w:color w:val="auto"/>
        </w:rPr>
      </w:pPr>
      <w:r>
        <w:rPr>
          <w:rFonts w:ascii="Arial" w:cs="Arial" w:eastAsia="Arial" w:hAnsi="Arial"/>
          <w:sz w:val="17"/>
          <w:szCs w:val="17"/>
          <w:color w:val="auto"/>
        </w:rPr>
        <w:t>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EXCLUSIVE FORUM FOR CERTAIN LITIGATION</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Unless the Corporation consents in writing to the selection of an alternative forum (an “Alternative Forum Consent”), the Circuit Court for Baltimore</w:t>
      </w:r>
    </w:p>
    <w:p>
      <w:pPr>
        <w:spacing w:after="0" w:line="10"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City, Maryland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Corporation arising out of or relating to any provision of the Maryland General Corporation Law, this Charter or the Bylaws of the Corporation, or (iv) any action asserting a claim against the Corporation or any director, officer, stockholder, employee or agent of the Corporation governed by the internal affairs doctrine of the State of Maryland; provided, however, that, in the event that the Circuit Court for Baltimore City, Maryland lacks subject matter jurisdiction</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over any such action or proceeding, the sole and exclusive forum for such action or proceeding shall be another state or federal court located within the State of Maryland, in each such case, unless the Circuit Court for Baltimore City, Maryland (or such other state or federal court located within the State of Maryland, as applicable) has dismissed a prior action by the same plaintiff asserting the same claims because such court lacked personal jurisdiction over</w:t>
      </w:r>
    </w:p>
    <w:p>
      <w:pPr>
        <w:spacing w:after="0" w:line="2" w:lineRule="exact"/>
        <w:rPr>
          <w:sz w:val="20"/>
          <w:szCs w:val="20"/>
          <w:color w:val="auto"/>
        </w:rPr>
      </w:pPr>
    </w:p>
    <w:p>
      <w:pPr>
        <w:jc w:val="both"/>
        <w:ind w:right="200"/>
        <w:spacing w:after="0" w:line="234" w:lineRule="auto"/>
        <w:rPr>
          <w:sz w:val="20"/>
          <w:szCs w:val="20"/>
          <w:color w:val="auto"/>
        </w:rPr>
      </w:pPr>
      <w:r>
        <w:rPr>
          <w:rFonts w:ascii="Arial" w:cs="Arial" w:eastAsia="Arial" w:hAnsi="Arial"/>
          <w:sz w:val="16"/>
          <w:szCs w:val="16"/>
          <w:color w:val="auto"/>
        </w:rPr>
        <w:t>an indispensable party named as a defendant therein. Any person or entity purchasing or otherwise acquiring any interest in shares of capital stock of the Corporation shall be deemed to have notice of and consented to the provisions of this Article XIV. The existence of any prior Alternative Forum Consent shall not act as a waiver of the Corporation’s ongoing consent right as set forth above in this Article XIV with respect to any current or future actions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claims.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BYLAWS</w:t>
      </w:r>
    </w:p>
    <w:p>
      <w:pPr>
        <w:spacing w:after="0" w:line="202" w:lineRule="exact"/>
        <w:rPr>
          <w:sz w:val="20"/>
          <w:szCs w:val="20"/>
          <w:color w:val="auto"/>
        </w:rPr>
      </w:pPr>
    </w:p>
    <w:p>
      <w:pPr>
        <w:jc w:val="both"/>
        <w:ind w:firstLine="310"/>
        <w:spacing w:after="0" w:line="219" w:lineRule="auto"/>
        <w:rPr>
          <w:sz w:val="20"/>
          <w:szCs w:val="20"/>
          <w:color w:val="auto"/>
        </w:rPr>
      </w:pPr>
      <w:r>
        <w:rPr>
          <w:rFonts w:ascii="Arial" w:cs="Arial" w:eastAsia="Arial" w:hAnsi="Arial"/>
          <w:sz w:val="18"/>
          <w:szCs w:val="18"/>
          <w:color w:val="auto"/>
        </w:rPr>
        <w:t>Any and all provisions of these Bylaws may be repealed, altered, amended, or rescinded and new bylaws may be adopted (a) by the stockholders at any annual meeting of the stockholders or at any special meeting called for that purpose (provided that notice of such proposal is included in the notice of such meeting) and (b) by the Board of Directors at any regular or special meeting of the Board of Directors; provided, however, the Board of Directors does not have the power to alter or repeal any bylaw made by the stockholders.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18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Corporation shall keep correct and complete books and records of its accounts and transactions and minutes</w:t>
      </w:r>
    </w:p>
    <w:p>
      <w:pPr>
        <w:spacing w:after="0" w:line="21"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of the proceedings of its stockholders and Board of Directors and of an executive or other committee when exercising any of the powers of the Board of Directors. The books and records of the Corporation may be in written form or in any other form which can be converted within a reasonable time into written form for visual inspection. Minutes shall be recorded in written form but may be maintained in the form of a reproduction. The original or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certified copy of these Bylaws shall be kept at the principal office of the Corporation.</w:t>
      </w:r>
    </w:p>
    <w:p>
      <w:pPr>
        <w:spacing w:after="0" w:line="169" w:lineRule="exact"/>
        <w:rPr>
          <w:sz w:val="20"/>
          <w:szCs w:val="20"/>
          <w:color w:val="auto"/>
        </w:rPr>
      </w:pPr>
    </w:p>
    <w:p>
      <w:pPr>
        <w:ind w:firstLine="310"/>
        <w:spacing w:after="0" w:line="24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VOTING STOCK IN OTHER COMPANIES</w:t>
      </w:r>
      <w:r>
        <w:rPr>
          <w:rFonts w:ascii="Arial" w:cs="Arial" w:eastAsia="Arial" w:hAnsi="Arial"/>
          <w:sz w:val="16"/>
          <w:szCs w:val="16"/>
          <w:color w:val="auto"/>
        </w:rPr>
        <w:t>. Stock of other corporations or associations, registered in the name of the Corporation, may be voted by the chief executive officer, the president, a vice-president, or a proxy appointed by any of them. The Board of Directors, however, may by</w:t>
      </w:r>
    </w:p>
    <w:p>
      <w:pPr>
        <w:ind w:right="80"/>
        <w:spacing w:after="0" w:line="226" w:lineRule="auto"/>
        <w:rPr>
          <w:sz w:val="20"/>
          <w:szCs w:val="20"/>
          <w:color w:val="auto"/>
        </w:rPr>
      </w:pPr>
      <w:r>
        <w:rPr>
          <w:rFonts w:ascii="Arial" w:cs="Arial" w:eastAsia="Arial" w:hAnsi="Arial"/>
          <w:sz w:val="18"/>
          <w:szCs w:val="18"/>
          <w:color w:val="auto"/>
        </w:rPr>
        <w:t>resolution appoint some other person to vote such shares, in which case such person shall be entitled to vote such shares upon the production of a certified copy of such resolution.</w:t>
      </w:r>
    </w:p>
    <w:p>
      <w:pPr>
        <w:spacing w:after="0" w:line="161" w:lineRule="exact"/>
        <w:rPr>
          <w:sz w:val="20"/>
          <w:szCs w:val="20"/>
          <w:color w:val="auto"/>
        </w:rPr>
      </w:pPr>
    </w:p>
    <w:p>
      <w:pPr>
        <w:ind w:right="220" w:firstLine="310"/>
        <w:spacing w:after="0" w:line="274"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EXECUTION OF DOCUMENTS</w:t>
      </w:r>
      <w:r>
        <w:rPr>
          <w:rFonts w:ascii="Arial" w:cs="Arial" w:eastAsia="Arial" w:hAnsi="Arial"/>
          <w:sz w:val="17"/>
          <w:szCs w:val="17"/>
          <w:color w:val="auto"/>
        </w:rPr>
        <w:t>. A person who holds more than one office in the Corporation may not act in more than one capacity to execute, acknowledge, or verify an instrument required by law to be executed, acknowledged, or verified by more than one officer.</w:t>
      </w:r>
    </w:p>
    <w:p>
      <w:pPr>
        <w:spacing w:after="0" w:line="134" w:lineRule="exact"/>
        <w:rPr>
          <w:sz w:val="20"/>
          <w:szCs w:val="20"/>
          <w:color w:val="auto"/>
        </w:rPr>
      </w:pPr>
    </w:p>
    <w:p>
      <w:pPr>
        <w:ind w:right="60" w:firstLine="310"/>
        <w:spacing w:after="0" w:line="24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Bylaws shall be held invalid or unenforceable in any respect, such holding shall apply only to the extent of any such invalidity or unenforceability and shall not in any manner affect, impair or render invalid or unenforceable any other provision of the</w:t>
      </w:r>
    </w:p>
    <w:p>
      <w:pPr>
        <w:spacing w:after="0"/>
        <w:rPr>
          <w:sz w:val="20"/>
          <w:szCs w:val="20"/>
          <w:color w:val="auto"/>
        </w:rPr>
      </w:pPr>
      <w:r>
        <w:rPr>
          <w:rFonts w:ascii="Arial" w:cs="Arial" w:eastAsia="Arial" w:hAnsi="Arial"/>
          <w:sz w:val="18"/>
          <w:szCs w:val="18"/>
          <w:color w:val="auto"/>
        </w:rPr>
        <w:t>Bylaws in any jurisdiction.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Adopted as of: April 9, 2015 (amended February 27, 2017 </w:t>
      </w:r>
      <w:r>
        <w:rPr>
          <w:rFonts w:ascii="Arial" w:cs="Arial" w:eastAsia="Arial" w:hAnsi="Arial"/>
          <w:sz w:val="18"/>
          <w:szCs w:val="18"/>
          <w:color w:val="auto"/>
          <w:strike w:val="1"/>
        </w:rPr>
        <w:t>and</w:t>
      </w:r>
      <w:r>
        <w:rPr>
          <w:rFonts w:ascii="Arial" w:cs="Arial" w:eastAsia="Arial" w:hAnsi="Arial"/>
          <w:sz w:val="18"/>
          <w:szCs w:val="18"/>
          <w:u w:val="single" w:color="auto"/>
          <w:color w:val="auto"/>
        </w:rPr>
        <w:t>,</w:t>
      </w:r>
      <w:r>
        <w:rPr>
          <w:rFonts w:ascii="Arial" w:cs="Arial" w:eastAsia="Arial" w:hAnsi="Arial"/>
          <w:sz w:val="18"/>
          <w:szCs w:val="18"/>
          <w:color w:val="auto"/>
        </w:rPr>
        <w:t xml:space="preserve"> May 1, 2017 and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-10160</wp:posOffset>
            </wp:positionV>
            <wp:extent cx="1075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00" w:val="left"/>
          <w:tab w:leader="none" w:pos="750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9"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Kenneth A. Gunderman</w:t>
      </w:r>
    </w:p>
    <w:p>
      <w:pPr>
        <w:spacing w:after="0" w:line="50"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14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E. Bullington,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360" w:val="left"/>
          <w:tab w:leader="none" w:pos="766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Paul E. Bullington</w:t>
      </w:r>
    </w:p>
    <w:p>
      <w:pPr>
        <w:spacing w:after="0" w:line="50"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120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2023 as filed with the Securities and Exchange Commission on the date hereof (the “Report”), I certify, pursuant to 18 U.S.C. § 1350, as adopted pursuant to § 906 of the Sarbanes-Oxley Act of 2002, to my knowledge, that:</w:t>
      </w:r>
    </w:p>
    <w:p>
      <w:pPr>
        <w:spacing w:after="0" w:line="184" w:lineRule="exact"/>
        <w:rPr>
          <w:sz w:val="20"/>
          <w:szCs w:val="20"/>
          <w:color w:val="auto"/>
        </w:rPr>
      </w:pPr>
    </w:p>
    <w:p>
      <w:pPr>
        <w:ind w:left="1460" w:hanging="966"/>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460" w:right="120" w:hanging="966"/>
        <w:spacing w:after="0" w:line="277" w:lineRule="auto"/>
        <w:tabs>
          <w:tab w:leader="none" w:pos="14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360" w:val="left"/>
          <w:tab w:leader="none" w:pos="746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9"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Kenneth A. Gunderman</w:t>
      </w:r>
    </w:p>
    <w:p>
      <w:pPr>
        <w:spacing w:after="0" w:line="50"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14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2023 as filed with the Securities and Exchange Commission on the date hereof (the “Report”), I certify, pursuant to 18 U.S.C. § 1350, as adopted pursuant to § 906 of the Sarbanes-Oxley Act of 2002, to my knowledge, that:</w:t>
      </w:r>
    </w:p>
    <w:p>
      <w:pPr>
        <w:spacing w:after="0" w:line="184" w:lineRule="exact"/>
        <w:rPr>
          <w:sz w:val="20"/>
          <w:szCs w:val="20"/>
          <w:color w:val="auto"/>
        </w:rPr>
      </w:pPr>
    </w:p>
    <w:p>
      <w:pPr>
        <w:ind w:left="1620" w:hanging="9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20" w:right="220" w:hanging="964"/>
        <w:spacing w:after="0" w:line="277" w:lineRule="auto"/>
        <w:tabs>
          <w:tab w:leader="none" w:pos="16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360" w:val="left"/>
          <w:tab w:leader="none" w:pos="766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Paul E. Bullington</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Senior Vice President – Chief Financial Officer</w:t>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lowerLetter"/>
      <w:start w:val="1"/>
    </w:lvl>
    <w:lvl w:ilvl="1">
      <w:lvlJc w:val="left"/>
      <w:lvlText w:val="(%2)"/>
      <w:numFmt w:val="decimal"/>
      <w:start w:val="1"/>
    </w:lvl>
  </w:abstractNum>
  <w:abstractNum w:abstractNumId="11">
    <w:nsid w:val="4E6AFB66"/>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12">
    <w:nsid w:val="25E45D32"/>
    <w:multiLevelType w:val="hybridMultilevel"/>
    <w:lvl w:ilvl="0">
      <w:lvlJc w:val="left"/>
      <w:lvlText w:val="%1"/>
      <w:numFmt w:val="lowerLetter"/>
      <w:start w:val="1"/>
    </w:lvl>
    <w:lvl w:ilvl="1">
      <w:lvlJc w:val="left"/>
      <w:lvlText w:val="(%2)"/>
      <w:numFmt w:val="decimal"/>
      <w:start w:val="5"/>
    </w:lvl>
  </w:abstractNum>
  <w:abstractNum w:abstractNumId="13">
    <w:nsid w:val="519B500D"/>
    <w:multiLevelType w:val="hybridMultilevel"/>
    <w:lvl w:ilvl="0">
      <w:lvlJc w:val="left"/>
      <w:lvlText w:val="(%1)"/>
      <w:numFmt w:val="lowerLetter"/>
      <w:start w:val="2"/>
    </w:lvl>
    <w:lvl w:ilvl="1">
      <w:lvlJc w:val="left"/>
      <w:lvlText w:val="(%2)"/>
      <w:numFmt w:val="decimal"/>
      <w:start w:val="1"/>
    </w:lvl>
  </w:abstractNum>
  <w:abstractNum w:abstractNumId="14">
    <w:nsid w:val="431BD7B7"/>
    <w:multiLevelType w:val="hybridMultilevel"/>
    <w:lvl w:ilvl="0">
      <w:lvlJc w:val="left"/>
      <w:lvlText w:val="%1"/>
      <w:numFmt w:val="decimal"/>
      <w:start w:val="1"/>
    </w:lvl>
    <w:lvl w:ilvl="1">
      <w:lvlJc w:val="left"/>
      <w:lvlText w:val="(%2)"/>
      <w:numFmt w:val="decimal"/>
      <w:start w:val="2"/>
    </w:lvl>
  </w:abstractNum>
  <w:abstractNum w:abstractNumId="15">
    <w:nsid w:val="3F2DBA31"/>
    <w:multiLevelType w:val="hybridMultilevel"/>
    <w:lvl w:ilvl="0">
      <w:lvlJc w:val="left"/>
      <w:lvlText w:val="(%1)"/>
      <w:numFmt w:val="decimal"/>
      <w:start w:val="3"/>
    </w:lvl>
    <w:lvl w:ilvl="1">
      <w:lvlJc w:val="left"/>
      <w:lvlText w:val="(%2)"/>
      <w:numFmt w:val="decimal"/>
      <w:start w:val="4"/>
    </w:lvl>
  </w:abstractNum>
  <w:abstractNum w:abstractNumId="16">
    <w:nsid w:val="7C83E458"/>
    <w:multiLevelType w:val="hybridMultilevel"/>
    <w:lvl w:ilvl="0">
      <w:lvlJc w:val="left"/>
      <w:lvlText w:val="(%1)"/>
      <w:numFmt w:val="lowerLetter"/>
      <w:start w:val="6"/>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2023-11-02T15:54:19Z</dcterms:created>
  <dcterms:modified xsi:type="dcterms:W3CDTF">2023-11-02T15:54:19Z</dcterms:modified>
</cp:coreProperties>
</file>