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ind w:right="719"/>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ind w:right="659"/>
        <w:spacing w:after="0"/>
        <w:rPr>
          <w:sz w:val="20"/>
          <w:szCs w:val="20"/>
          <w:color w:val="auto"/>
        </w:rPr>
      </w:pPr>
      <w:r>
        <w:rPr>
          <w:rFonts w:ascii="Arial" w:cs="Arial" w:eastAsia="Arial" w:hAnsi="Arial"/>
          <w:sz w:val="18"/>
          <w:szCs w:val="18"/>
          <w:b w:val="1"/>
          <w:bCs w:val="1"/>
          <w:color w:val="auto"/>
        </w:rPr>
        <w:t>Registration No. 333-237139</w:t>
      </w:r>
    </w:p>
    <w:p>
      <w:pPr>
        <w:spacing w:after="0" w:line="20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257175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274320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126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Proposed Maximum</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Proposed Maximum</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Amount to Be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Offering Price Per</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 Offering</w:t>
            </w:r>
          </w:p>
        </w:tc>
        <w:tc>
          <w:tcPr>
            <w:tcW w:w="1100" w:type="dxa"/>
            <w:vAlign w:val="bottom"/>
          </w:tcPr>
          <w:p>
            <w:pPr>
              <w:ind w:left="26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20"/>
                <w:szCs w:val="20"/>
                <w:color w:val="auto"/>
              </w:rPr>
            </w:pPr>
            <w:r>
              <w:rPr>
                <w:rFonts w:ascii="Arial" w:cs="Arial" w:eastAsia="Arial" w:hAnsi="Arial"/>
                <w:sz w:val="14"/>
                <w:szCs w:val="14"/>
                <w:b w:val="1"/>
                <w:bCs w:val="1"/>
                <w:color w:val="auto"/>
                <w:w w:val="93"/>
              </w:rPr>
              <w:t>Title of Each Class of Securities to be Registered</w:t>
            </w:r>
          </w:p>
        </w:tc>
        <w:tc>
          <w:tcPr>
            <w:tcW w:w="1140" w:type="dxa"/>
            <w:vAlign w:val="bottom"/>
          </w:tcPr>
          <w:p>
            <w:pPr>
              <w:jc w:val="center"/>
              <w:ind w:left="2"/>
              <w:spacing w:after="0"/>
              <w:rPr>
                <w:sz w:val="20"/>
                <w:szCs w:val="20"/>
                <w:color w:val="auto"/>
              </w:rPr>
            </w:pPr>
            <w:r>
              <w:rPr>
                <w:rFonts w:ascii="Arial" w:cs="Arial" w:eastAsia="Arial" w:hAnsi="Arial"/>
                <w:sz w:val="14"/>
                <w:szCs w:val="14"/>
                <w:b w:val="1"/>
                <w:bCs w:val="1"/>
                <w:color w:val="auto"/>
                <w:w w:val="85"/>
              </w:rPr>
              <w:t>Registered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100" w:type="dxa"/>
            <w:vAlign w:val="bottom"/>
          </w:tcPr>
          <w:p>
            <w:pPr>
              <w:ind w:left="120"/>
              <w:spacing w:after="0"/>
              <w:rPr>
                <w:sz w:val="20"/>
                <w:szCs w:val="20"/>
                <w:color w:val="auto"/>
              </w:rPr>
            </w:pPr>
            <w:r>
              <w:rPr>
                <w:rFonts w:ascii="Arial" w:cs="Arial" w:eastAsia="Arial" w:hAnsi="Arial"/>
                <w:sz w:val="14"/>
                <w:szCs w:val="14"/>
                <w:b w:val="1"/>
                <w:bCs w:val="1"/>
                <w:color w:val="auto"/>
                <w:w w:val="87"/>
              </w:rPr>
              <w:t>Registration Fee</w:t>
            </w:r>
          </w:p>
        </w:tc>
        <w:tc>
          <w:tcPr>
            <w:tcW w:w="0" w:type="dxa"/>
            <w:vAlign w:val="bottom"/>
          </w:tcPr>
          <w:p>
            <w:pPr>
              <w:spacing w:after="0"/>
              <w:rPr>
                <w:sz w:val="1"/>
                <w:szCs w:val="1"/>
                <w:color w:val="auto"/>
              </w:rPr>
            </w:pPr>
          </w:p>
        </w:tc>
      </w:tr>
      <w:tr>
        <w:trPr>
          <w:trHeight w:val="26"/>
        </w:trPr>
        <w:tc>
          <w:tcPr>
            <w:tcW w:w="3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w w:val="99"/>
              </w:rPr>
              <w:t>Common stock, par value $0.0001 per</w:t>
            </w:r>
          </w:p>
        </w:tc>
        <w:tc>
          <w:tcPr>
            <w:tcW w:w="1140" w:type="dxa"/>
            <w:vAlign w:val="bottom"/>
          </w:tcPr>
          <w:p>
            <w:pPr>
              <w:spacing w:after="0"/>
              <w:rPr>
                <w:sz w:val="19"/>
                <w:szCs w:val="19"/>
                <w:color w:val="auto"/>
              </w:rPr>
            </w:pPr>
          </w:p>
        </w:tc>
        <w:tc>
          <w:tcPr>
            <w:tcW w:w="1440" w:type="dxa"/>
            <w:vAlign w:val="bottom"/>
            <w:vMerge w:val="restart"/>
          </w:tcPr>
          <w:p>
            <w:pPr>
              <w:jc w:val="right"/>
              <w:ind w:right="284"/>
              <w:spacing w:after="0"/>
              <w:rPr>
                <w:sz w:val="20"/>
                <w:szCs w:val="20"/>
                <w:color w:val="auto"/>
              </w:rPr>
            </w:pPr>
            <w:r>
              <w:rPr>
                <w:rFonts w:ascii="Arial" w:cs="Arial" w:eastAsia="Arial" w:hAnsi="Arial"/>
                <w:sz w:val="18"/>
                <w:szCs w:val="18"/>
                <w:color w:val="auto"/>
              </w:rPr>
              <w:t>$10.55</w:t>
            </w:r>
            <w:r>
              <w:rPr>
                <w:rFonts w:ascii="Arial" w:cs="Arial" w:eastAsia="Arial" w:hAnsi="Arial"/>
                <w:sz w:val="26"/>
                <w:szCs w:val="26"/>
                <w:color w:val="auto"/>
                <w:vertAlign w:val="superscript"/>
              </w:rPr>
              <w:t>(1)</w:t>
            </w:r>
          </w:p>
        </w:tc>
        <w:tc>
          <w:tcPr>
            <w:tcW w:w="1480" w:type="dxa"/>
            <w:vAlign w:val="bottom"/>
          </w:tcPr>
          <w:p>
            <w:pPr>
              <w:spacing w:after="0"/>
              <w:rPr>
                <w:sz w:val="19"/>
                <w:szCs w:val="19"/>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color w:val="auto"/>
                <w:w w:val="84"/>
              </w:rPr>
              <w:t>$20,899.64</w:t>
            </w:r>
            <w:r>
              <w:rPr>
                <w:rFonts w:ascii="Arial" w:cs="Arial" w:eastAsia="Arial" w:hAnsi="Arial"/>
                <w:sz w:val="26"/>
                <w:szCs w:val="26"/>
                <w:color w:val="auto"/>
                <w:w w:val="84"/>
                <w:vertAlign w:val="superscript"/>
              </w:rPr>
              <w:t>(2)</w:t>
            </w:r>
          </w:p>
        </w:tc>
        <w:tc>
          <w:tcPr>
            <w:tcW w:w="0" w:type="dxa"/>
            <w:vAlign w:val="bottom"/>
          </w:tcPr>
          <w:p>
            <w:pPr>
              <w:spacing w:after="0"/>
              <w:rPr>
                <w:sz w:val="1"/>
                <w:szCs w:val="1"/>
                <w:color w:val="auto"/>
              </w:rPr>
            </w:pPr>
          </w:p>
        </w:tc>
      </w:tr>
      <w:tr>
        <w:trPr>
          <w:trHeight w:val="257"/>
        </w:trPr>
        <w:tc>
          <w:tcPr>
            <w:tcW w:w="30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share</w:t>
            </w:r>
          </w:p>
        </w:tc>
        <w:tc>
          <w:tcPr>
            <w:tcW w:w="114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18,157,731</w:t>
            </w:r>
          </w:p>
        </w:tc>
        <w:tc>
          <w:tcPr>
            <w:tcW w:w="1440" w:type="dxa"/>
            <w:vAlign w:val="bottom"/>
            <w:tcBorders>
              <w:bottom w:val="single" w:sz="8" w:color="auto"/>
            </w:tcBorders>
            <w:vMerge w:val="continue"/>
          </w:tcPr>
          <w:p>
            <w:pPr>
              <w:spacing w:after="0"/>
              <w:rPr>
                <w:sz w:val="22"/>
                <w:szCs w:val="22"/>
                <w:color w:val="auto"/>
              </w:rPr>
            </w:pPr>
          </w:p>
        </w:tc>
        <w:tc>
          <w:tcPr>
            <w:tcW w:w="148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w w:val="99"/>
              </w:rPr>
              <w:t>$191,564,062.05</w:t>
            </w: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-342265</wp:posOffset>
            </wp:positionV>
            <wp:extent cx="5212080"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325755"/>
                    </a:xfrm>
                    <a:prstGeom prst="rect">
                      <a:avLst/>
                    </a:prstGeom>
                    <a:noFill/>
                  </pic:spPr>
                </pic:pic>
              </a:graphicData>
            </a:graphic>
          </wp:anchor>
        </w:drawing>
      </w:r>
    </w:p>
    <w:p>
      <w:pPr>
        <w:spacing w:after="0" w:line="101" w:lineRule="exact"/>
        <w:rPr>
          <w:sz w:val="24"/>
          <w:szCs w:val="24"/>
          <w:color w:val="auto"/>
        </w:rPr>
      </w:pPr>
    </w:p>
    <w:p>
      <w:pPr>
        <w:ind w:left="1620" w:right="699" w:hanging="358"/>
        <w:spacing w:after="0" w:line="259" w:lineRule="auto"/>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purposes of computing the registration fee with respect to 18,157,731 shares of common stock pursuant to Rule 457(c) under the Securities Act of 1933, as amended (the “Securities Act”), based on the average of the high and low prices of the common stock on the NASDAQ Global Select Market on October 8, 2020.</w:t>
      </w:r>
    </w:p>
    <w:p>
      <w:pPr>
        <w:spacing w:after="0" w:line="38" w:lineRule="exact"/>
        <w:rPr>
          <w:rFonts w:ascii="Arial" w:cs="Arial" w:eastAsia="Arial" w:hAnsi="Arial"/>
          <w:sz w:val="18"/>
          <w:szCs w:val="18"/>
          <w:color w:val="auto"/>
        </w:rPr>
      </w:pPr>
    </w:p>
    <w:p>
      <w:pPr>
        <w:ind w:left="1620" w:hanging="358"/>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1532255</wp:posOffset>
            </wp:positionV>
            <wp:extent cx="68065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 SUPPLEMENT TO PROSPECTUS DATED MARCH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128905</wp:posOffset>
            </wp:positionV>
            <wp:extent cx="2486025"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60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0"/>
        <w:spacing w:after="0"/>
        <w:rPr>
          <w:sz w:val="20"/>
          <w:szCs w:val="20"/>
          <w:color w:val="auto"/>
        </w:rPr>
      </w:pPr>
      <w:r>
        <w:rPr>
          <w:rFonts w:ascii="Arial" w:cs="Arial" w:eastAsia="Arial" w:hAnsi="Arial"/>
          <w:sz w:val="32"/>
          <w:szCs w:val="32"/>
          <w:b w:val="1"/>
          <w:bCs w:val="1"/>
          <w:color w:val="auto"/>
        </w:rPr>
        <w:t>Uniti Group Inc.</w:t>
      </w:r>
    </w:p>
    <w:p>
      <w:pPr>
        <w:spacing w:after="0" w:line="217" w:lineRule="exact"/>
        <w:rPr>
          <w:sz w:val="20"/>
          <w:szCs w:val="20"/>
          <w:color w:val="auto"/>
        </w:rPr>
      </w:pPr>
    </w:p>
    <w:p>
      <w:pPr>
        <w:ind w:left="456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234950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This prospectus supplement relates to the offer and sale from time to time of up to 18,157,731 shares of common stock, par value $0.0001 per share, of Uniti Group Inc., by the selling stockholders identified in this prospectus supplement (the “Selling Stockholders”). Unless the context requires otherwise, the words “Uniti,” “we,” “Company,” “us” and “our” refer to Uniti Group Inc.</w:t>
      </w:r>
    </w:p>
    <w:p>
      <w:pPr>
        <w:spacing w:after="0" w:line="119"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are filing this prospectus supplement pursuant to the stock purchase agreements dated as of September 9, 2020 (the “Stock Purchase Agreements”), by and among Uniti and the Selling Stockholders. The prices at which the Selling Stockholders may sell the common stock will be determined by the prevailing market price for shares of our common stock or in negotiated transactions. We cannot predict when or in what amounts the Selling Stockholders may sell any of the shares of common stock offered by this prospectus supplement. We will not receive any of the proceeds from the sale or other disposition of the shares by the Selling Stockholders.</w:t>
      </w:r>
    </w:p>
    <w:p>
      <w:pPr>
        <w:spacing w:after="0" w:line="114"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“UNIT.” On October 8, 2020, the last reported sales price of our common stock was $10.46 per share.</w:t>
      </w:r>
    </w:p>
    <w:p>
      <w:pPr>
        <w:spacing w:after="0" w:line="103" w:lineRule="exact"/>
        <w:rPr>
          <w:sz w:val="20"/>
          <w:szCs w:val="20"/>
          <w:color w:val="auto"/>
        </w:rPr>
      </w:pPr>
    </w:p>
    <w:p>
      <w:pPr>
        <w:ind w:left="1260" w:right="939" w:firstLine="360"/>
        <w:spacing w:after="0" w:line="254" w:lineRule="auto"/>
        <w:rPr>
          <w:sz w:val="20"/>
          <w:szCs w:val="20"/>
          <w:color w:val="auto"/>
        </w:rPr>
      </w:pPr>
      <w:r>
        <w:rPr>
          <w:rFonts w:ascii="Arial" w:cs="Arial" w:eastAsia="Arial" w:hAnsi="Arial"/>
          <w:sz w:val="18"/>
          <w:szCs w:val="18"/>
          <w:color w:val="auto"/>
        </w:rPr>
        <w:t>We have elected to be taxed as a real estate investment trust (“REIT”) for U.S. federal income tax purposes. To assist us in qualifying as a REIT, among other purposes, our charter contains certain restrictions relating to the ownership and transfer of our stock, including a provision generally restricting stockholders from owning more than 9.8% in value or in number, whichever is more restrictive, of the outstanding shares of our common stock or more than 9.8% in value of the aggregate of the outstanding shares of all classes and series of our stock, without the prior consent of our board of directors. See “Description of Our Capital Stock — Restrictions on Ownership and Transfer”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207645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60" w:right="799" w:firstLine="36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risks. See “Risk Factors” beginning on page </w:t>
      </w:r>
      <w:hyperlink w:anchor="page7">
        <w:r>
          <w:rPr>
            <w:rFonts w:ascii="Arial" w:cs="Arial" w:eastAsia="Arial" w:hAnsi="Arial"/>
            <w:sz w:val="22"/>
            <w:szCs w:val="22"/>
            <w:b w:val="1"/>
            <w:bCs w:val="1"/>
            <w:u w:val="single" w:color="auto"/>
            <w:color w:val="0000EE"/>
          </w:rPr>
          <w:t>S-2</w:t>
        </w:r>
      </w:hyperlink>
      <w:r>
        <w:rPr>
          <w:rFonts w:ascii="Arial" w:cs="Arial" w:eastAsia="Arial" w:hAnsi="Arial"/>
          <w:sz w:val="22"/>
          <w:szCs w:val="22"/>
          <w:b w:val="1"/>
          <w:bCs w:val="1"/>
          <w:color w:val="auto"/>
        </w:rPr>
        <w:t xml:space="preserve"> of this prospectus supplement for more information.</w:t>
      </w:r>
    </w:p>
    <w:p>
      <w:pPr>
        <w:spacing w:after="0" w:line="104" w:lineRule="exact"/>
        <w:rPr>
          <w:sz w:val="20"/>
          <w:szCs w:val="20"/>
          <w:color w:val="auto"/>
        </w:rPr>
      </w:pPr>
    </w:p>
    <w:p>
      <w:pPr>
        <w:ind w:left="1260" w:right="859" w:firstLine="360"/>
        <w:spacing w:after="0" w:line="343"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167640</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The date of this prospectus supplement is October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1197610</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60" w:type="dxa"/>
            <w:vAlign w:val="bottom"/>
          </w:tcPr>
          <w:p>
            <w:pPr>
              <w:jc w:val="center"/>
              <w:ind w:left="230"/>
              <w:spacing w:after="0"/>
              <w:rPr>
                <w:sz w:val="20"/>
                <w:szCs w:val="20"/>
                <w:color w:val="auto"/>
              </w:rPr>
            </w:pPr>
            <w:r>
              <w:rPr>
                <w:rFonts w:ascii="Arial" w:cs="Arial" w:eastAsia="Arial" w:hAnsi="Arial"/>
                <w:sz w:val="18"/>
                <w:szCs w:val="18"/>
                <w:b w:val="1"/>
                <w:bCs w:val="1"/>
                <w:color w:val="auto"/>
                <w:w w:val="95"/>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60" w:type="dxa"/>
            <w:vAlign w:val="bottom"/>
          </w:tcPr>
          <w:p>
            <w:pPr>
              <w:jc w:val="center"/>
              <w:ind w:left="230"/>
              <w:spacing w:after="0"/>
              <w:rPr>
                <w:sz w:val="20"/>
                <w:szCs w:val="20"/>
                <w:color w:val="auto"/>
              </w:rPr>
            </w:pPr>
            <w:r>
              <w:rPr>
                <w:rFonts w:ascii="Arial" w:cs="Arial" w:eastAsia="Arial" w:hAnsi="Arial"/>
                <w:sz w:val="18"/>
                <w:szCs w:val="18"/>
                <w:b w:val="1"/>
                <w:bCs w:val="1"/>
                <w:color w:val="auto"/>
                <w:w w:val="84"/>
              </w:rPr>
              <w:t>Prospectus Supplement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60" w:type="dxa"/>
            <w:vAlign w:val="bottom"/>
            <w:shd w:val="clear" w:color="auto" w:fill="CCEEFF"/>
          </w:tcPr>
          <w:p>
            <w:pPr>
              <w:spacing w:after="0" w:line="189"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34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c>
          <w:tcPr>
            <w:tcW w:w="0" w:type="dxa"/>
            <w:vAlign w:val="bottom"/>
          </w:tcPr>
          <w:p>
            <w:pPr>
              <w:spacing w:after="0"/>
              <w:rPr>
                <w:sz w:val="1"/>
                <w:szCs w:val="1"/>
                <w:color w:val="auto"/>
              </w:rPr>
            </w:pPr>
          </w:p>
        </w:tc>
      </w:tr>
      <w:tr>
        <w:trPr>
          <w:trHeight w:val="257"/>
        </w:trPr>
        <w:tc>
          <w:tcPr>
            <w:tcW w:w="788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Where You Can Find More Information</w:t>
              </w:r>
            </w:hyperlink>
          </w:p>
        </w:tc>
        <w:tc>
          <w:tcPr>
            <w:tcW w:w="34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Incorporation by Reference</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Cautionary Statement Regarding Forward-Looking Statements</w:t>
              </w:r>
            </w:hyperlink>
          </w:p>
        </w:tc>
        <w:tc>
          <w:tcPr>
            <w:tcW w:w="34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Offering</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S-1</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S-2</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Use of Proceeds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S-2</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Dividend Policy</w:t>
              </w:r>
            </w:hyperlink>
          </w:p>
        </w:tc>
        <w:tc>
          <w:tcPr>
            <w:tcW w:w="34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S-2</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Selling Stockholders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S-3</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Plan of Distribution</w:t>
              </w:r>
            </w:hyperlink>
          </w:p>
        </w:tc>
        <w:tc>
          <w:tcPr>
            <w:tcW w:w="34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S-5</w:t>
              </w:r>
            </w:hyperlink>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6"/>
        </w:trPr>
        <w:tc>
          <w:tcPr>
            <w:tcW w:w="78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60" w:type="dxa"/>
            <w:vAlign w:val="bottom"/>
            <w:tcBorders>
              <w:top w:val="single" w:sz="8" w:color="CCEEFF"/>
            </w:tcBorders>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About this Prospectus</w:t>
              </w:r>
            </w:hyperlink>
          </w:p>
        </w:tc>
        <w:tc>
          <w:tcPr>
            <w:tcW w:w="340" w:type="dxa"/>
            <w:vAlign w:val="bottom"/>
            <w:tcBorders>
              <w:top w:val="single" w:sz="8" w:color="auto"/>
            </w:tcBorders>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57"/>
        </w:trPr>
        <w:tc>
          <w:tcPr>
            <w:tcW w:w="7880" w:type="dxa"/>
            <w:vAlign w:val="bottom"/>
            <w:gridSpan w:val="2"/>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Incorporation of Certain Documents by Reference</w:t>
              </w:r>
            </w:hyperlink>
          </w:p>
        </w:tc>
        <w:tc>
          <w:tcPr>
            <w:tcW w:w="34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Where You Can Find More Information</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Cautionary Statement Regarding Forward-Looking Statements</w:t>
              </w:r>
            </w:hyperlink>
          </w:p>
        </w:tc>
        <w:tc>
          <w:tcPr>
            <w:tcW w:w="340" w:type="dxa"/>
            <w:vAlign w:val="bottom"/>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Uniti Group Inc.</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Use of Proceeds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Description of Common Stock</w:t>
              </w:r>
            </w:hyperlink>
          </w:p>
        </w:tc>
        <w:tc>
          <w:tcPr>
            <w:tcW w:w="34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Preferred Stock</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Description of Debt Securities</w:t>
              </w:r>
            </w:hyperlink>
          </w:p>
        </w:tc>
        <w:tc>
          <w:tcPr>
            <w:tcW w:w="34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Description of Depositary Shares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17</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Description of Purchase Contracts</w:t>
              </w:r>
            </w:hyperlink>
          </w:p>
        </w:tc>
        <w:tc>
          <w:tcPr>
            <w:tcW w:w="34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Description of Units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Description of Warrants</w:t>
              </w:r>
            </w:hyperlink>
          </w:p>
        </w:tc>
        <w:tc>
          <w:tcPr>
            <w:tcW w:w="34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20</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Restrictions on Ownership and Transfer</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20</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Certain Provisions of Maryland Law and of our Charter and Bylaws</w:t>
              </w:r>
            </w:hyperlink>
          </w:p>
        </w:tc>
        <w:tc>
          <w:tcPr>
            <w:tcW w:w="340" w:type="dxa"/>
            <w:vAlign w:val="bottom"/>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23</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Material U.S. Federal Income Tax Considerations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28</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Taxation of Uniti</w:t>
              </w:r>
            </w:hyperlink>
          </w:p>
        </w:tc>
        <w:tc>
          <w:tcPr>
            <w:tcW w:w="34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29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Taxation of REITs in General</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30</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Taxation of Stockholders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40</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Other Tax Considerations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45</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Selling Security Holders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46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Plan of Distribution</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46</w:t>
              </w:r>
            </w:hyperlink>
          </w:p>
        </w:tc>
        <w:tc>
          <w:tcPr>
            <w:tcW w:w="0" w:type="dxa"/>
            <w:vAlign w:val="bottom"/>
          </w:tcPr>
          <w:p>
            <w:pPr>
              <w:spacing w:after="0"/>
              <w:rPr>
                <w:sz w:val="1"/>
                <w:szCs w:val="1"/>
                <w:color w:val="auto"/>
              </w:rPr>
            </w:pPr>
          </w:p>
        </w:tc>
      </w:tr>
      <w:tr>
        <w:trPr>
          <w:trHeight w:val="270"/>
        </w:trPr>
        <w:tc>
          <w:tcPr>
            <w:tcW w:w="7880" w:type="dxa"/>
            <w:vAlign w:val="bottom"/>
            <w:gridSpan w:val="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Legal Matters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49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shd w:val="clear" w:color="auto" w:fill="CCEEFF"/>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Experts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49</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-4268470</wp:posOffset>
            </wp:positionV>
            <wp:extent cx="50063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ABOUT THIS PROSPECTUS SUPPLEMENT</w:t>
      </w:r>
    </w:p>
    <w:p>
      <w:pPr>
        <w:spacing w:after="0" w:line="148"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7"/>
          <w:szCs w:val="17"/>
          <w:color w:val="auto"/>
        </w:rPr>
        <w:t>This document contains two parts. The first part consists of this prospectus supplement, which describes the specific terms of this offering and the securities offered. The second part, the accompanying prospectus which is dated March 12, 2020, provides more general information, some of which may not apply to this offering. If the description of the offering varies between this prospectus supplement and the accompanying prospectus, you should rely on the information in this prospectus supplement.</w:t>
      </w:r>
    </w:p>
    <w:p>
      <w:pPr>
        <w:spacing w:after="0" w:line="106"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Before purchasing any shares of common stock, you should carefully read both this prospectus supplement and the accompanying prospectus, together with the additional information described under the heading “Where You Can Find More Information.”</w:t>
      </w:r>
    </w:p>
    <w:p>
      <w:pPr>
        <w:spacing w:after="0" w:line="17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We maintain a website at www.uniti.com. Information contained on, or accessible through, our website is not incorporated by reference into and does not constitute a part of this prospectus supplement or any other report or documents we file with or furnish to the SEC.</w:t>
      </w:r>
    </w:p>
    <w:p>
      <w:pPr>
        <w:spacing w:after="0" w:line="101" w:lineRule="exact"/>
        <w:rPr>
          <w:sz w:val="20"/>
          <w:szCs w:val="20"/>
          <w:color w:val="auto"/>
        </w:rPr>
      </w:pPr>
    </w:p>
    <w:p>
      <w:pPr>
        <w:ind w:left="1260" w:right="799" w:firstLine="360"/>
        <w:spacing w:after="0" w:line="241" w:lineRule="auto"/>
        <w:rPr>
          <w:sz w:val="20"/>
          <w:szCs w:val="20"/>
          <w:color w:val="auto"/>
        </w:rPr>
      </w:pPr>
      <w:r>
        <w:rPr>
          <w:rFonts w:ascii="Arial" w:cs="Arial" w:eastAsia="Arial" w:hAnsi="Arial"/>
          <w:sz w:val="18"/>
          <w:szCs w:val="18"/>
          <w:color w:val="auto"/>
        </w:rPr>
        <w:t>We are subject to the information and reporting requirements of the Securities Exchange Act of 1934, as amended (the “Exchange Act”), and, in accordance with the Exchange Act, we will file periodic reports, proxy statements and other information with the SEC, which will be available on the Internet website maintained by the SEC at www.sec.gov and at the SEC’s public reference facilities referred to below. See “Incorporation by Reference.”</w:t>
      </w:r>
    </w:p>
    <w:p>
      <w:pPr>
        <w:spacing w:after="0" w:line="185"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INCORPORATION BY REFERENCE</w:t>
      </w:r>
    </w:p>
    <w:p>
      <w:pPr>
        <w:spacing w:after="0" w:line="162" w:lineRule="exact"/>
        <w:rPr>
          <w:sz w:val="20"/>
          <w:szCs w:val="20"/>
          <w:color w:val="auto"/>
        </w:rPr>
      </w:pPr>
    </w:p>
    <w:p>
      <w:pPr>
        <w:ind w:left="1260" w:right="819" w:firstLine="360"/>
        <w:spacing w:after="0" w:line="239" w:lineRule="auto"/>
        <w:rPr>
          <w:sz w:val="20"/>
          <w:szCs w:val="20"/>
          <w:color w:val="auto"/>
        </w:rPr>
      </w:pPr>
      <w:r>
        <w:rPr>
          <w:rFonts w:ascii="Arial" w:cs="Arial" w:eastAsia="Arial" w:hAnsi="Arial"/>
          <w:sz w:val="18"/>
          <w:szCs w:val="18"/>
          <w:color w:val="auto"/>
        </w:rPr>
        <w:t>We are “incorporating by reference” into this prospectus supplement the information in documents we file with the SEC, which means that we are disclosing important information to you by referring you to those documents. The information incorporated by reference is an important part of this prospectus supplement, and information that we file later with the SEC will automatically update and supersede this information to the extent that the later filed information modifies or replaces such earlier information. We incorporate by reference in this prospectus supplement the following documents, which we have filed or will file with the SEC:</w:t>
      </w:r>
    </w:p>
    <w:p>
      <w:pPr>
        <w:spacing w:after="0" w:line="83" w:lineRule="exact"/>
        <w:rPr>
          <w:sz w:val="20"/>
          <w:szCs w:val="20"/>
          <w:color w:val="auto"/>
        </w:rPr>
      </w:pPr>
    </w:p>
    <w:p>
      <w:pPr>
        <w:ind w:left="1800" w:right="1179" w:hanging="178"/>
        <w:spacing w:after="0" w:line="277" w:lineRule="auto"/>
        <w:tabs>
          <w:tab w:leader="none" w:pos="1800" w:val="left"/>
        </w:tabs>
        <w:numPr>
          <w:ilvl w:val="0"/>
          <w:numId w:val="2"/>
        </w:numPr>
        <w:rPr>
          <w:rFonts w:ascii="Arial" w:cs="Arial" w:eastAsia="Arial" w:hAnsi="Arial"/>
          <w:sz w:val="18"/>
          <w:szCs w:val="18"/>
          <w:color w:val="0000EE"/>
        </w:rPr>
      </w:pPr>
      <w:hyperlink r:id="rId19">
        <w:r>
          <w:rPr>
            <w:rFonts w:ascii="Arial" w:cs="Arial" w:eastAsia="Arial" w:hAnsi="Arial"/>
            <w:sz w:val="18"/>
            <w:szCs w:val="18"/>
            <w:u w:val="single" w:color="auto"/>
            <w:color w:val="0000EE"/>
          </w:rPr>
          <w:t>our Annual Report on Form 10-K for the year ended December 31, 2019 filed with the SEC on</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March 12, 2020</w:t>
        </w:r>
        <w:r>
          <w:rPr>
            <w:rFonts w:ascii="Arial" w:cs="Arial" w:eastAsia="Arial" w:hAnsi="Arial"/>
            <w:sz w:val="18"/>
            <w:szCs w:val="18"/>
            <w:color w:val="000000"/>
          </w:rPr>
          <w:t>;</w:t>
        </w:r>
      </w:hyperlink>
    </w:p>
    <w:p>
      <w:pPr>
        <w:spacing w:after="0" w:line="48" w:lineRule="exact"/>
        <w:rPr>
          <w:rFonts w:ascii="Arial" w:cs="Arial" w:eastAsia="Arial" w:hAnsi="Arial"/>
          <w:sz w:val="18"/>
          <w:szCs w:val="18"/>
          <w:color w:val="0000EE"/>
        </w:rPr>
      </w:pPr>
    </w:p>
    <w:p>
      <w:pPr>
        <w:ind w:left="1800" w:right="1219" w:hanging="178"/>
        <w:spacing w:after="0" w:line="277" w:lineRule="auto"/>
        <w:tabs>
          <w:tab w:leader="none" w:pos="1800" w:val="left"/>
        </w:tabs>
        <w:numPr>
          <w:ilvl w:val="0"/>
          <w:numId w:val="2"/>
        </w:numPr>
        <w:rPr>
          <w:rFonts w:ascii="Arial" w:cs="Arial" w:eastAsia="Arial" w:hAnsi="Arial"/>
          <w:sz w:val="18"/>
          <w:szCs w:val="18"/>
          <w:color w:val="0000EE"/>
        </w:rPr>
      </w:pPr>
      <w:hyperlink r:id="rId20">
        <w:r>
          <w:rPr>
            <w:rFonts w:ascii="Arial" w:cs="Arial" w:eastAsia="Arial" w:hAnsi="Arial"/>
            <w:sz w:val="18"/>
            <w:szCs w:val="18"/>
            <w:u w:val="single" w:color="auto"/>
            <w:color w:val="0000EE"/>
          </w:rPr>
          <w:t>our Quarterly Report on Form 10-Q for the quarter ended June 30, 2020 filed with the SEC on</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August 10, 2020</w:t>
        </w:r>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jc w:val="both"/>
        <w:ind w:left="1800" w:right="839" w:hanging="178"/>
        <w:spacing w:after="0" w:line="263" w:lineRule="auto"/>
        <w:tabs>
          <w:tab w:leader="none" w:pos="180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information specifically incorporated by reference in our Annual Report on Form 10-K for the year </w:t>
      </w:r>
      <w:hyperlink r:id="rId21">
        <w:r>
          <w:rPr>
            <w:rFonts w:ascii="Arial" w:cs="Arial" w:eastAsia="Arial" w:hAnsi="Arial"/>
            <w:sz w:val="18"/>
            <w:szCs w:val="18"/>
            <w:color w:val="auto"/>
          </w:rPr>
          <w:t xml:space="preserve">ended December 31, 2019 from our </w:t>
        </w:r>
        <w:r>
          <w:rPr>
            <w:rFonts w:ascii="Arial" w:cs="Arial" w:eastAsia="Arial" w:hAnsi="Arial"/>
            <w:sz w:val="18"/>
            <w:szCs w:val="18"/>
            <w:u w:val="single" w:color="auto"/>
            <w:color w:val="0000EE"/>
          </w:rPr>
          <w:t>definitive proxy statement on Schedule 14A filed with the SEC</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on April 2, 2020</w:t>
        </w:r>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1800" w:right="899" w:hanging="178"/>
        <w:spacing w:after="0" w:line="259" w:lineRule="auto"/>
        <w:tabs>
          <w:tab w:leader="none" w:pos="1800" w:val="left"/>
        </w:tabs>
        <w:numPr>
          <w:ilvl w:val="0"/>
          <w:numId w:val="2"/>
        </w:numPr>
        <w:rPr>
          <w:rFonts w:ascii="Arial" w:cs="Arial" w:eastAsia="Arial" w:hAnsi="Arial"/>
          <w:sz w:val="18"/>
          <w:szCs w:val="18"/>
          <w:color w:val="000000"/>
        </w:rPr>
      </w:pPr>
      <w:r>
        <w:rPr>
          <w:rFonts w:ascii="Arial" w:cs="Arial" w:eastAsia="Arial" w:hAnsi="Arial"/>
          <w:sz w:val="18"/>
          <w:szCs w:val="18"/>
          <w:color w:val="auto"/>
        </w:rPr>
        <w:t xml:space="preserve">our Current Reports on Form 8-K filed on </w:t>
      </w:r>
      <w:hyperlink r:id="rId22">
        <w:r>
          <w:rPr>
            <w:rFonts w:ascii="Arial" w:cs="Arial" w:eastAsia="Arial" w:hAnsi="Arial"/>
            <w:sz w:val="18"/>
            <w:szCs w:val="18"/>
            <w:u w:val="single" w:color="auto"/>
            <w:color w:val="0000EE"/>
          </w:rPr>
          <w:t>February 5,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information provided in </w:t>
      </w:r>
      <w:hyperlink r:id="rId23">
        <w:r>
          <w:rPr>
            <w:rFonts w:ascii="Arial" w:cs="Arial" w:eastAsia="Arial" w:hAnsi="Arial"/>
            <w:sz w:val="18"/>
            <w:szCs w:val="18"/>
            <w:color w:val="auto"/>
          </w:rPr>
          <w:t xml:space="preserve">Item 7.01 thereto), </w:t>
        </w:r>
        <w:r>
          <w:rPr>
            <w:rFonts w:ascii="Arial" w:cs="Arial" w:eastAsia="Arial" w:hAnsi="Arial"/>
            <w:sz w:val="18"/>
            <w:szCs w:val="18"/>
            <w:u w:val="single" w:color="auto"/>
            <w:color w:val="0000EE"/>
          </w:rPr>
          <w:t>February 10,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10,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20,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15,</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May 15, 2020</w:t>
        </w:r>
      </w:hyperlink>
      <w:hyperlink r:id="rId2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June 22, 2020</w:t>
        </w:r>
      </w:hyperlink>
      <w:hyperlink r:id="rId23">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6">
        <w:r>
          <w:rPr>
            <w:rFonts w:ascii="Arial" w:cs="Arial" w:eastAsia="Arial" w:hAnsi="Arial"/>
            <w:sz w:val="18"/>
            <w:szCs w:val="18"/>
            <w:u w:val="single" w:color="auto"/>
            <w:color w:val="0000EE"/>
          </w:rPr>
          <w:t xml:space="preserve">September 15, 2020 </w:t>
        </w:r>
      </w:hyperlink>
      <w:hyperlink r:id="rId2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September 22, 2020</w:t>
        </w:r>
      </w:hyperlink>
      <w:hyperlink r:id="rId23">
        <w:r>
          <w:rPr>
            <w:rFonts w:ascii="Arial" w:cs="Arial" w:eastAsia="Arial" w:hAnsi="Arial"/>
            <w:sz w:val="18"/>
            <w:szCs w:val="18"/>
            <w:color w:val="000000"/>
          </w:rPr>
          <w:t>, and our Current</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Report on Form 8-K/A filed on </w:t>
      </w:r>
      <w:hyperlink r:id="rId28">
        <w:r>
          <w:rPr>
            <w:rFonts w:ascii="Arial" w:cs="Arial" w:eastAsia="Arial" w:hAnsi="Arial"/>
            <w:sz w:val="18"/>
            <w:szCs w:val="18"/>
            <w:u w:val="single" w:color="auto"/>
            <w:color w:val="0000EE"/>
          </w:rPr>
          <w:t>February 14, 2020</w:t>
        </w:r>
      </w:hyperlink>
      <w:r>
        <w:rPr>
          <w:rFonts w:ascii="Arial" w:cs="Arial" w:eastAsia="Arial" w:hAnsi="Arial"/>
          <w:sz w:val="18"/>
          <w:szCs w:val="18"/>
          <w:color w:val="000000"/>
        </w:rPr>
        <w:t>;</w:t>
      </w:r>
    </w:p>
    <w:p>
      <w:pPr>
        <w:spacing w:after="0" w:line="78" w:lineRule="exact"/>
        <w:rPr>
          <w:rFonts w:ascii="Arial" w:cs="Arial" w:eastAsia="Arial" w:hAnsi="Arial"/>
          <w:sz w:val="18"/>
          <w:szCs w:val="18"/>
          <w:color w:val="000000"/>
        </w:rPr>
      </w:pPr>
    </w:p>
    <w:p>
      <w:pPr>
        <w:ind w:left="1800" w:right="1099" w:hanging="178"/>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documents and reports subsequently filed by us with the SEC (other than, in each case, any information or documents furnished, rather than filed, with the SEC pursuant to certain items of Form 8-K) after the date hereof and prior to the closing of this offering.</w:t>
      </w:r>
    </w:p>
    <w:p>
      <w:pPr>
        <w:spacing w:after="0" w:line="103" w:lineRule="exact"/>
        <w:rPr>
          <w:rFonts w:ascii="Arial" w:cs="Arial" w:eastAsia="Arial" w:hAnsi="Arial"/>
          <w:sz w:val="18"/>
          <w:szCs w:val="18"/>
          <w:color w:val="0000EE"/>
        </w:rPr>
      </w:pPr>
    </w:p>
    <w:p>
      <w:pPr>
        <w:ind w:left="1260" w:right="699" w:firstLine="360"/>
        <w:spacing w:after="0" w:line="261" w:lineRule="auto"/>
        <w:rPr>
          <w:sz w:val="20"/>
          <w:szCs w:val="20"/>
          <w:color w:val="auto"/>
        </w:rPr>
      </w:pPr>
      <w:r>
        <w:rPr>
          <w:rFonts w:ascii="Arial" w:cs="Arial" w:eastAsia="Arial" w:hAnsi="Arial"/>
          <w:sz w:val="18"/>
          <w:szCs w:val="18"/>
          <w:color w:val="auto"/>
        </w:rPr>
        <w:t>You may obtain any of the documents incorporated by reference in this prospectus supplement from the SEC at the SEC’s website at http://www.sec.gov.</w:t>
      </w:r>
    </w:p>
    <w:p>
      <w:pPr>
        <w:spacing w:after="0" w:line="167" w:lineRule="exact"/>
        <w:rPr>
          <w:rFonts w:ascii="Arial" w:cs="Arial" w:eastAsia="Arial" w:hAnsi="Arial"/>
          <w:sz w:val="18"/>
          <w:szCs w:val="18"/>
          <w:color w:val="0000EE"/>
        </w:rPr>
      </w:pPr>
    </w:p>
    <w:p>
      <w:pPr>
        <w:ind w:left="21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2" w:lineRule="exact"/>
        <w:rPr>
          <w:rFonts w:ascii="Arial" w:cs="Arial" w:eastAsia="Arial" w:hAnsi="Arial"/>
          <w:sz w:val="18"/>
          <w:szCs w:val="18"/>
          <w:color w:val="0000EE"/>
        </w:rPr>
      </w:pPr>
    </w:p>
    <w:p>
      <w:pPr>
        <w:ind w:left="1260" w:right="739" w:firstLine="360"/>
        <w:spacing w:after="0" w:line="270" w:lineRule="auto"/>
        <w:rPr>
          <w:sz w:val="20"/>
          <w:szCs w:val="20"/>
          <w:color w:val="auto"/>
        </w:rPr>
      </w:pPr>
      <w:r>
        <w:rPr>
          <w:rFonts w:ascii="Arial" w:cs="Arial" w:eastAsia="Arial" w:hAnsi="Arial"/>
          <w:sz w:val="17"/>
          <w:szCs w:val="17"/>
          <w:color w:val="auto"/>
        </w:rPr>
        <w:t>Certain statements in this prospectus supplement may constitute forward-looking statements as defined under U.S. federal securities law. Forward -looking statements include all statements that are not historical statements of fact and those regarding our intent, belief or expectations, including, but not limited</w:t>
      </w:r>
    </w:p>
    <w:p>
      <w:pPr>
        <w:spacing w:after="0" w:line="339" w:lineRule="exact"/>
        <w:rPr>
          <w:rFonts w:ascii="Arial" w:cs="Arial" w:eastAsia="Arial" w:hAnsi="Arial"/>
          <w:sz w:val="18"/>
          <w:szCs w:val="18"/>
          <w:color w:val="0000EE"/>
        </w:rPr>
      </w:pPr>
    </w:p>
    <w:p>
      <w:pPr>
        <w:ind w:left="5200"/>
        <w:spacing w:after="0"/>
        <w:rPr>
          <w:sz w:val="20"/>
          <w:szCs w:val="20"/>
          <w:color w:val="auto"/>
        </w:rPr>
      </w:pPr>
      <w:r>
        <w:rPr>
          <w:rFonts w:ascii="Arial" w:cs="Arial" w:eastAsia="Arial" w:hAnsi="Arial"/>
          <w:sz w:val="18"/>
          <w:szCs w:val="18"/>
          <w:color w:val="auto"/>
        </w:rPr>
        <w:t>S-ii</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6" w:lineRule="auto"/>
        <w:rPr>
          <w:sz w:val="20"/>
          <w:szCs w:val="20"/>
          <w:color w:val="auto"/>
        </w:rPr>
      </w:pPr>
      <w:r>
        <w:rPr>
          <w:rFonts w:ascii="Arial" w:cs="Arial" w:eastAsia="Arial" w:hAnsi="Arial"/>
          <w:sz w:val="18"/>
          <w:szCs w:val="18"/>
          <w:color w:val="auto"/>
        </w:rPr>
        <w:t>to, statements regarding: our expectations regarding the settlement we have effected with Windstream Holdings, Inc. (“Windstream Holdings”) and its subsidiaries (Windstream Holdings, together with its subsidiaries, “Windstream”); our expectations about our ability to maintain our status as a REIT; our expectations regarding the effect of the COVID-19 pandemic on our results of operations and financial condition, including the potential need to perform an interim goodwill analysis and report an impairment charge related thereto; our expectations regarding the future growth and demand of the telecommunication industry, future financing plans, business strategies, growth prospects, operating and financial performance, and our future liquidity needs and access to capital; our expectations regarding the probability of our obligation to pay contingent consideration upon Tower Cloud, Inc.’s (“Tower Cloud”) achievement of certain defined operational and financial milestones;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expectations regarding the impact of the operating company-property company partnership with Macquarie Infrastructure Partners (“MIP”) and related acquisition of Bluebird Network, LLC (“Bluebird”); our expectations regarding the wind down of the Consumer CLEC business; and expectations regarding the payment of dividends.</w:t>
      </w:r>
    </w:p>
    <w:p>
      <w:pPr>
        <w:spacing w:after="0" w:line="116"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73" w:lineRule="exact"/>
        <w:rPr>
          <w:sz w:val="20"/>
          <w:szCs w:val="20"/>
          <w:color w:val="auto"/>
        </w:rPr>
      </w:pPr>
    </w:p>
    <w:p>
      <w:pPr>
        <w:ind w:left="1800" w:right="999" w:hanging="178"/>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prospects of our largest customer, Windstream Holdings, following its emergence from bankruptcy;</w:t>
      </w:r>
    </w:p>
    <w:p>
      <w:pPr>
        <w:spacing w:after="0" w:line="62" w:lineRule="exact"/>
        <w:rPr>
          <w:rFonts w:ascii="Arial" w:cs="Arial" w:eastAsia="Arial" w:hAnsi="Arial"/>
          <w:sz w:val="18"/>
          <w:szCs w:val="18"/>
          <w:color w:val="auto"/>
        </w:rPr>
      </w:pPr>
    </w:p>
    <w:p>
      <w:pPr>
        <w:ind w:left="1800" w:right="1039" w:hanging="178"/>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COVID-19 pandemic on our employees, our business, the business of our customers and other business partners and the global financial markets;</w:t>
      </w:r>
    </w:p>
    <w:p>
      <w:pPr>
        <w:spacing w:after="0" w:line="48" w:lineRule="exact"/>
        <w:rPr>
          <w:rFonts w:ascii="Arial" w:cs="Arial" w:eastAsia="Arial" w:hAnsi="Arial"/>
          <w:sz w:val="18"/>
          <w:szCs w:val="18"/>
          <w:color w:val="auto"/>
        </w:rPr>
      </w:pPr>
    </w:p>
    <w:p>
      <w:pPr>
        <w:ind w:left="1800" w:right="1159" w:hanging="178"/>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62" w:lineRule="exact"/>
        <w:rPr>
          <w:rFonts w:ascii="Arial" w:cs="Arial" w:eastAsia="Arial" w:hAnsi="Arial"/>
          <w:sz w:val="18"/>
          <w:szCs w:val="18"/>
          <w:color w:val="auto"/>
        </w:rPr>
      </w:pPr>
    </w:p>
    <w:p>
      <w:pPr>
        <w:ind w:left="1800" w:right="839" w:hanging="178"/>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75" w:lineRule="exact"/>
        <w:rPr>
          <w:rFonts w:ascii="Arial" w:cs="Arial" w:eastAsia="Arial" w:hAnsi="Arial"/>
          <w:sz w:val="18"/>
          <w:szCs w:val="18"/>
          <w:color w:val="auto"/>
        </w:rPr>
      </w:pPr>
    </w:p>
    <w:p>
      <w:pPr>
        <w:ind w:left="1800" w:right="1319" w:hanging="178"/>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48" w:lineRule="exact"/>
        <w:rPr>
          <w:rFonts w:ascii="Arial" w:cs="Arial" w:eastAsia="Arial" w:hAnsi="Arial"/>
          <w:sz w:val="18"/>
          <w:szCs w:val="18"/>
          <w:color w:val="auto"/>
        </w:rPr>
      </w:pPr>
    </w:p>
    <w:p>
      <w:pPr>
        <w:ind w:left="1800" w:right="859" w:hanging="178"/>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75" w:lineRule="exact"/>
        <w:rPr>
          <w:rFonts w:ascii="Arial" w:cs="Arial" w:eastAsia="Arial" w:hAnsi="Arial"/>
          <w:sz w:val="18"/>
          <w:szCs w:val="18"/>
          <w:color w:val="auto"/>
        </w:rPr>
      </w:pPr>
    </w:p>
    <w:p>
      <w:pPr>
        <w:ind w:left="1800" w:right="1019" w:hanging="178"/>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 and fund our capital funding commitments;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800" w:right="799" w:hanging="178"/>
        <w:spacing w:after="0" w:line="259"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changes to our business, economic trends or key assumptions regarding our estimates of fair value, including potential impacts of recent developments surrounding Windstream that could result in an impairment charge in the future, which could have a significant impact to our reported earnings;</w:t>
      </w:r>
    </w:p>
    <w:p>
      <w:pPr>
        <w:spacing w:after="0" w:line="78"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or the business of our customers as a result of credit rating downgrades, and fluctuating interest rates;</w:t>
      </w:r>
    </w:p>
    <w:p>
      <w:pPr>
        <w:sectPr>
          <w:pgSz w:w="11900" w:h="16838" w:orient="portrait"/>
          <w:cols w:equalWidth="0" w:num="1">
            <w:col w:w="10139"/>
          </w:cols>
          <w:pgMar w:left="320" w:top="132" w:right="1440" w:bottom="1440" w:gutter="0" w:footer="0" w:header="0"/>
        </w:sectPr>
      </w:pPr>
    </w:p>
    <w:p>
      <w:pPr>
        <w:spacing w:after="0" w:line="34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17" w:lineRule="exact"/>
        <w:rPr>
          <w:rFonts w:ascii="Arial" w:cs="Arial" w:eastAsia="Arial" w:hAnsi="Arial"/>
          <w:sz w:val="18"/>
          <w:szCs w:val="18"/>
          <w:color w:val="auto"/>
        </w:rPr>
      </w:pPr>
    </w:p>
    <w:p>
      <w:pPr>
        <w:ind w:left="1800" w:right="899" w:hanging="178"/>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 including the impact of the 2017 U.S. tax reform legislation and the Coronavirus Aid, Relief, and Economic Security Act or the “CARES” Act;</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800" w:right="117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62" w:lineRule="exact"/>
        <w:rPr>
          <w:rFonts w:ascii="Arial" w:cs="Arial" w:eastAsia="Arial" w:hAnsi="Arial"/>
          <w:sz w:val="18"/>
          <w:szCs w:val="18"/>
          <w:color w:val="auto"/>
        </w:rPr>
      </w:pPr>
    </w:p>
    <w:p>
      <w:pPr>
        <w:ind w:left="1800" w:right="779" w:hanging="178"/>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75" w:lineRule="exact"/>
        <w:rPr>
          <w:rFonts w:ascii="Arial" w:cs="Arial" w:eastAsia="Arial" w:hAnsi="Arial"/>
          <w:sz w:val="18"/>
          <w:szCs w:val="18"/>
          <w:color w:val="auto"/>
        </w:rPr>
      </w:pPr>
    </w:p>
    <w:p>
      <w:pPr>
        <w:ind w:left="1800" w:right="679" w:hanging="178"/>
        <w:spacing w:after="0" w:line="25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on Form 10-K for the year ended December 31, 2019, as well as those described from time to time in our future reports filed with the SEC.</w:t>
      </w:r>
    </w:p>
    <w:p>
      <w:pPr>
        <w:spacing w:after="0" w:line="107" w:lineRule="exact"/>
        <w:rPr>
          <w:sz w:val="20"/>
          <w:szCs w:val="20"/>
          <w:color w:val="auto"/>
        </w:rPr>
      </w:pPr>
    </w:p>
    <w:p>
      <w:pPr>
        <w:ind w:left="1260" w:right="859" w:firstLine="360"/>
        <w:spacing w:after="0" w:line="273" w:lineRule="auto"/>
        <w:rPr>
          <w:sz w:val="20"/>
          <w:szCs w:val="20"/>
          <w:color w:val="auto"/>
        </w:rPr>
      </w:pPr>
      <w:r>
        <w:rPr>
          <w:rFonts w:ascii="Arial" w:cs="Arial" w:eastAsia="Arial" w:hAnsi="Arial"/>
          <w:sz w:val="17"/>
          <w:szCs w:val="17"/>
          <w:color w:val="auto"/>
        </w:rPr>
        <w:t>We caution prospective purchasers of shares of our common stock that the foregoing list of important factors may not contain all of the factors that are important to prospective purchasers of such shares. Forward-looking statements speak only as of the date of this prospectus supplement.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statement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303530</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Common stock outstanding</w:t>
      </w:r>
      <w:r>
        <w:rPr>
          <w:sz w:val="20"/>
          <w:szCs w:val="20"/>
          <w:color w:val="auto"/>
        </w:rPr>
        <w:tab/>
      </w:r>
      <w:r>
        <w:rPr>
          <w:rFonts w:ascii="Arial" w:cs="Arial" w:eastAsia="Arial" w:hAnsi="Arial"/>
          <w:sz w:val="16"/>
          <w:szCs w:val="16"/>
          <w:color w:val="auto"/>
        </w:rPr>
        <w:t>232,780,482 shares as of September 30, 2020</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Common stock offered by the</w:t>
      </w:r>
    </w:p>
    <w:p>
      <w:pPr>
        <w:spacing w:after="0" w:line="23" w:lineRule="exact"/>
        <w:rPr>
          <w:sz w:val="20"/>
          <w:szCs w:val="20"/>
          <w:color w:val="auto"/>
        </w:rPr>
      </w:pPr>
    </w:p>
    <w:p>
      <w:pPr>
        <w:ind w:left="1460"/>
        <w:spacing w:after="0"/>
        <w:tabs>
          <w:tab w:leader="none" w:pos="4280" w:val="left"/>
        </w:tabs>
        <w:rPr>
          <w:sz w:val="20"/>
          <w:szCs w:val="20"/>
          <w:color w:val="auto"/>
        </w:rPr>
      </w:pPr>
      <w:r>
        <w:rPr>
          <w:rFonts w:ascii="Arial" w:cs="Arial" w:eastAsia="Arial" w:hAnsi="Arial"/>
          <w:sz w:val="18"/>
          <w:szCs w:val="18"/>
          <w:color w:val="auto"/>
        </w:rPr>
        <w:t>Selling Stockholders</w:t>
      </w:r>
      <w:r>
        <w:rPr>
          <w:sz w:val="20"/>
          <w:szCs w:val="20"/>
          <w:color w:val="auto"/>
        </w:rPr>
        <w:tab/>
      </w:r>
      <w:r>
        <w:rPr>
          <w:rFonts w:ascii="Arial" w:cs="Arial" w:eastAsia="Arial" w:hAnsi="Arial"/>
          <w:sz w:val="16"/>
          <w:szCs w:val="16"/>
          <w:color w:val="auto"/>
        </w:rPr>
        <w:t>18,157,731</w:t>
      </w:r>
    </w:p>
    <w:p>
      <w:pPr>
        <w:spacing w:after="0" w:line="10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Terms of the Offering</w:t>
      </w:r>
      <w:r>
        <w:rPr>
          <w:sz w:val="20"/>
          <w:szCs w:val="20"/>
          <w:color w:val="auto"/>
        </w:rPr>
        <w:tab/>
      </w:r>
      <w:r>
        <w:rPr>
          <w:rFonts w:ascii="Arial" w:cs="Arial" w:eastAsia="Arial" w:hAnsi="Arial"/>
          <w:sz w:val="17"/>
          <w:szCs w:val="17"/>
          <w:color w:val="auto"/>
        </w:rPr>
        <w:t>The Selling Stockholders will determine when and how they will</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sell the shares of common stock offered by this prospectus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supplement, as described in “Plan of Distribution.”</w:t>
      </w:r>
    </w:p>
    <w:p>
      <w:pPr>
        <w:spacing w:after="0" w:line="10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will receive no proceeds from the sale of shares of common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stock being offered by the Selling Stockholders by this prospectus</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supplement.</w:t>
      </w:r>
    </w:p>
    <w:p>
      <w:pPr>
        <w:spacing w:after="0" w:line="10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An investment in our common stock offered by this prospectus</w:t>
      </w:r>
    </w:p>
    <w:p>
      <w:pPr>
        <w:spacing w:after="0" w:line="23" w:lineRule="exact"/>
        <w:rPr>
          <w:sz w:val="20"/>
          <w:szCs w:val="20"/>
          <w:color w:val="auto"/>
        </w:rPr>
      </w:pPr>
    </w:p>
    <w:p>
      <w:pPr>
        <w:ind w:left="4300" w:right="679"/>
        <w:spacing w:after="0" w:line="253" w:lineRule="auto"/>
        <w:rPr>
          <w:sz w:val="20"/>
          <w:szCs w:val="20"/>
          <w:color w:val="auto"/>
        </w:rPr>
      </w:pPr>
      <w:r>
        <w:rPr>
          <w:rFonts w:ascii="Arial" w:cs="Arial" w:eastAsia="Arial" w:hAnsi="Arial"/>
          <w:sz w:val="18"/>
          <w:szCs w:val="18"/>
          <w:color w:val="auto"/>
        </w:rPr>
        <w:t>supplement involves various risks. Prospective investors should carefully consider the matters described in the section entitled “Risk Factors” and other information included or incorporated by reference in this prospectus supplement and the accompanying prospectus.</w:t>
      </w:r>
    </w:p>
    <w:p>
      <w:pPr>
        <w:spacing w:after="0" w:line="8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Tax status</w:t>
      </w:r>
      <w:r>
        <w:rPr>
          <w:sz w:val="20"/>
          <w:szCs w:val="20"/>
          <w:color w:val="auto"/>
        </w:rPr>
        <w:tab/>
      </w:r>
      <w:r>
        <w:rPr>
          <w:rFonts w:ascii="Arial" w:cs="Arial" w:eastAsia="Arial" w:hAnsi="Arial"/>
          <w:sz w:val="17"/>
          <w:szCs w:val="17"/>
          <w:color w:val="auto"/>
        </w:rPr>
        <w:t>We have elected to be taxed as a REIT for U.S. federal income tax</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purposes. See “Material U.S. Federal Income Tax Considerations”</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 the accompanying prospectus.</w:t>
      </w:r>
    </w:p>
    <w:p>
      <w:pPr>
        <w:spacing w:after="0" w:line="103"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7"/>
          <w:szCs w:val="17"/>
          <w:color w:val="auto"/>
        </w:rPr>
        <w:t>On October 2, 2020, we paid a cash dividend of $0.15 to</w:t>
      </w:r>
    </w:p>
    <w:p>
      <w:pPr>
        <w:spacing w:after="0" w:line="23" w:lineRule="exact"/>
        <w:rPr>
          <w:sz w:val="20"/>
          <w:szCs w:val="20"/>
          <w:color w:val="auto"/>
        </w:rPr>
      </w:pPr>
    </w:p>
    <w:p>
      <w:pPr>
        <w:ind w:left="4300" w:right="719"/>
        <w:spacing w:after="0" w:line="292" w:lineRule="auto"/>
        <w:rPr>
          <w:sz w:val="20"/>
          <w:szCs w:val="20"/>
          <w:color w:val="auto"/>
        </w:rPr>
      </w:pPr>
      <w:r>
        <w:rPr>
          <w:rFonts w:ascii="Arial" w:cs="Arial" w:eastAsia="Arial" w:hAnsi="Arial"/>
          <w:sz w:val="16"/>
          <w:szCs w:val="16"/>
          <w:color w:val="auto"/>
        </w:rPr>
        <w:t>stockholders of record as of the close of business on September 18, 2020. On July 7, 2020, we paid a cash dividend of $0.15 to stockholders of record as of the close of business on June 26, 2020. On April 15, 2020 we paid a cash dividend of $0.15 to stockholders of record as of the close of business on March 31, 2020.</w:t>
      </w:r>
    </w:p>
    <w:p>
      <w:pPr>
        <w:spacing w:after="0" w:line="95" w:lineRule="exact"/>
        <w:rPr>
          <w:sz w:val="20"/>
          <w:szCs w:val="20"/>
          <w:color w:val="auto"/>
        </w:rPr>
      </w:pPr>
    </w:p>
    <w:p>
      <w:pPr>
        <w:ind w:left="4300" w:right="679"/>
        <w:spacing w:after="0" w:line="254" w:lineRule="auto"/>
        <w:rPr>
          <w:sz w:val="20"/>
          <w:szCs w:val="20"/>
          <w:color w:val="auto"/>
        </w:rPr>
      </w:pPr>
      <w:r>
        <w:rPr>
          <w:rFonts w:ascii="Arial" w:cs="Arial" w:eastAsia="Arial" w:hAnsi="Arial"/>
          <w:sz w:val="18"/>
          <w:szCs w:val="18"/>
          <w:color w:val="auto"/>
        </w:rPr>
        <w:t>U.S. federal income tax law generally requires that a REIT distribute annually at least 90% of its REIT taxable income, without regard to the deduction for dividends paid and excluding net capital gains, and that it pay federal income tax at regular corporate rates to the extent that it annually distributes less than 100% of its taxable income. See “Dividend Policy” for more information regarding limitations on our ability to pay dividends.</w:t>
      </w:r>
    </w:p>
    <w:p>
      <w:pPr>
        <w:spacing w:after="0" w:line="8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color w:val="auto"/>
        </w:rPr>
        <w:t>Transfer restrictions</w:t>
      </w:r>
      <w:r>
        <w:rPr>
          <w:sz w:val="20"/>
          <w:szCs w:val="20"/>
          <w:color w:val="auto"/>
        </w:rPr>
        <w:tab/>
      </w:r>
      <w:r>
        <w:rPr>
          <w:rFonts w:ascii="Arial" w:cs="Arial" w:eastAsia="Arial" w:hAnsi="Arial"/>
          <w:sz w:val="17"/>
          <w:szCs w:val="17"/>
          <w:color w:val="auto"/>
        </w:rPr>
        <w:t>To assist us in complying with the limitations on the concentration</w:t>
      </w:r>
    </w:p>
    <w:p>
      <w:pPr>
        <w:spacing w:after="0" w:line="23" w:lineRule="exact"/>
        <w:rPr>
          <w:sz w:val="20"/>
          <w:szCs w:val="20"/>
          <w:color w:val="auto"/>
        </w:rPr>
      </w:pPr>
    </w:p>
    <w:p>
      <w:pPr>
        <w:ind w:left="4300" w:right="679"/>
        <w:spacing w:after="0" w:line="268" w:lineRule="auto"/>
        <w:rPr>
          <w:sz w:val="20"/>
          <w:szCs w:val="20"/>
          <w:color w:val="auto"/>
        </w:rPr>
      </w:pPr>
      <w:r>
        <w:rPr>
          <w:rFonts w:ascii="Arial" w:cs="Arial" w:eastAsia="Arial" w:hAnsi="Arial"/>
          <w:sz w:val="17"/>
          <w:szCs w:val="17"/>
          <w:color w:val="auto"/>
        </w:rPr>
        <w:t>of ownership of a REIT imposed by the Internal Revenue Code of 1986, as amended (the “Code”), among other purposes, our charter contains certain restrictions relating to the ownership and transfer of our stock, including a provision generally restricting stockholders from owning more than 9.8% in value or in number, whichever is more restrictive, of the outstanding shares of Uniti’s common stock or more than 9.8% in value of the aggregate of the outstanding shares of all classes and series of Uniti stock, without the prior consent of Uniti’s board of directors. See “Restrictions on Ownership and Transfer” in the accompanying prospectus.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Investing in our common stock involves risk. Before you invest in our common stock, you should carefully consider all of the risk factors incorporated by reference in this prospectus supplement, including the risk factors set forth in our most recent Annual Report on Form 10-K, any subsequent Quarterly Reports on Form 10-Q or Current Reports on Form 8-K. You should also carefully consider all of the other information included or incorporated by reference in this prospectus supplement. The occurrence of any of these risks could materially and adversely affect our business, financial condition, liquidity, cash flows, results of operations, prospects, and our ability to implement our investment strategy and to make or sustain distributions to our stockholders, which could result in a partial or complete loss of your investment in our common stock. Some statements in this prospectus supplement constitute forward-looking statements. See “Cautionary Statement Regarding Forward-Looking Statements.”</w:t>
      </w:r>
    </w:p>
    <w:p>
      <w:pPr>
        <w:spacing w:after="0" w:line="181"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We will not receive any of the proceeds from the sale of the shares of our common stock offered by the Selling Stockholders.</w:t>
      </w:r>
    </w:p>
    <w:p>
      <w:pPr>
        <w:spacing w:after="0" w:line="16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federal income tax at regular corporate rates to the extent that it annually distributes less than 100% of its taxable income. In no event will the annual dividend be less than the distribution required to qualify as a REIT, unless our board of directors determines that it is no longer in our best interest to qualify as a REIT.</w:t>
      </w:r>
    </w:p>
    <w:p>
      <w:pPr>
        <w:spacing w:after="0" w:line="97"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On October 2, 2020, we paid a cash dividend of $0.15 to stockholders of record as of the close of business on September 18, 2020. On July 7, 2020, we paid a cash dividend of $0.15 to stockholders of record as of the close of business on June 26, 2020. On April 15, 2020 we paid a cash dividend of $0.15 to stockholders of record as of the close of business on March 31, 2020.</w:t>
      </w:r>
    </w:p>
    <w:p>
      <w:pPr>
        <w:spacing w:after="0" w:line="119"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In order to maintain our REIT status and subject to the limitations under our 7.875% Senior Secured Notes due 2025,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1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Any dividends must be declared by our board of directors, which will take into account various factors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including our current and anticipated operating results, our financial position, REIT requirements,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conditions prevailing in the market, restrictions in our debt documents and additional factors they deem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appropriate. Dividend payments are not guaranteed and our board of directors may decide, in its absolute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discretion, at any time and for any reason, not to pay dividends or to change the amount paid as dividends.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light of recent developments with the COVID-19 pandemic, we may take further measures to conserve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cash, which may include a suspension, delay or reduction in our dividend. In addition, our 2025 Secured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Notes presently limit our ability to pay cash dividends in excess of 90% of our REIT taxable income,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determined without regard to the dividends paid deduction and excluding any net capital gains. See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“Item 1A. Risk Factors — Risk Related to the Status of Uniti as a REIT — REIT distribution requirements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could adversely affect our ability to execute our business plan” in our Annual Report on Form 10-K for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2019 and “Item 2. Management’s Discussion and Analysis of Financial Condition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Results of Operations — Dividends” in our Quarterly Report on Form 10-K for the quarter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30, 2020.</w:t>
      </w:r>
    </w:p>
    <w:p>
      <w:pPr>
        <w:spacing w:after="0" w:line="38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SELLING STOCKHOLDERS</w:t>
      </w:r>
    </w:p>
    <w:p>
      <w:pPr>
        <w:spacing w:after="0" w:line="14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7"/>
          <w:szCs w:val="17"/>
          <w:color w:val="auto"/>
        </w:rPr>
        <w:t>The following table presents information about the beneficial ownership of our common stock by the Selling Stockholders based on 232,780,482 shares of our common stock outstanding as of September 30, 2020. The information presented regarding the Selling Stockholders is based upon representations made by the Selling Stockholders to us. Beneficial ownership is determined in accordance with the rules of the SEC and, in general, stockholders having voting or investment power with respect to a security are beneficial owners of that security. Unless otherwise indicated, to our knowledge, the Selling Stockholders listed in the table below have sole voting and investment power with respect to their shares.</w:t>
      </w:r>
    </w:p>
    <w:p>
      <w:pPr>
        <w:spacing w:after="0" w:line="112" w:lineRule="exact"/>
        <w:rPr>
          <w:sz w:val="20"/>
          <w:szCs w:val="20"/>
          <w:color w:val="auto"/>
        </w:rPr>
      </w:pPr>
    </w:p>
    <w:p>
      <w:pPr>
        <w:ind w:left="1260" w:right="759" w:firstLine="360"/>
        <w:spacing w:after="0" w:line="251" w:lineRule="auto"/>
        <w:rPr>
          <w:sz w:val="20"/>
          <w:szCs w:val="20"/>
          <w:color w:val="auto"/>
        </w:rPr>
      </w:pPr>
      <w:r>
        <w:rPr>
          <w:rFonts w:ascii="Arial" w:cs="Arial" w:eastAsia="Arial" w:hAnsi="Arial"/>
          <w:sz w:val="17"/>
          <w:szCs w:val="17"/>
          <w:color w:val="auto"/>
        </w:rPr>
        <w:t>The Selling Stockholders, or their pledgees, donees, assignees, transferees or other successors-in-interest, may sell some, all or none of their shares of common stock offered by this prospectus supplement from time to time. We do not know how long the Selling Stockholders will hold their shares of common stock covered hereby before selling them. Other than the Stock Purchase Agreements, we currently have no agreements, arrangements or understandings with the Selling Stockholders regarding the sale of any of the shares of common stock being offered hereunder. We do not know when or in what amounts the Selling Stockholders may sell or otherwise dispose of the shares of common stock covered hereby. As a result, we cannot estimate the number of shares that will be held by the Selling Stockholders after completion of the offering. However, for purposes of this table, we have assumed that all of the shares of common stock covered by this prospectus supplement will be sold by the Selling Stockholders and that such Selling Stockholders do not acquire any additional shares of common stock entitled to registration rights under the Stock Purchase Agreements. Information about additional selling stockholders may be set forth in a prospectus supplement, in a post -effective amendment, or in filings we make with the SEC, which are incorporated by reference in this prospectus supplement.</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 of</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Number of</w:t>
            </w:r>
          </w:p>
        </w:tc>
        <w:tc>
          <w:tcPr>
            <w:tcW w:w="840" w:type="dxa"/>
            <w:vAlign w:val="bottom"/>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Shares of</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Shares of</w:t>
            </w:r>
          </w:p>
        </w:tc>
        <w:tc>
          <w:tcPr>
            <w:tcW w:w="840" w:type="dxa"/>
            <w:vAlign w:val="bottom"/>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Common Stock</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Shares of</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Common Stock</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r>
      <w:tr>
        <w:trPr>
          <w:trHeight w:val="162"/>
        </w:trPr>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Beneficially Owned</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Common Stock</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Beneficially Owned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Class After</w:t>
            </w:r>
          </w:p>
        </w:tc>
      </w:tr>
      <w:tr>
        <w:trPr>
          <w:trHeight w:val="186"/>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Name of Selling Stockholder</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Prior to the Offering</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Offered Hereby</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After the Offering</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the Offering</w:t>
            </w:r>
          </w:p>
        </w:tc>
      </w:tr>
      <w:tr>
        <w:trPr>
          <w:trHeight w:val="25"/>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332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PIMCO Funds</w:t>
            </w:r>
            <w:r>
              <w:rPr>
                <w:rFonts w:ascii="Arial" w:cs="Arial" w:eastAsia="Arial" w:hAnsi="Arial"/>
                <w:sz w:val="26"/>
                <w:szCs w:val="26"/>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7,743,237</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7,743,237</w:t>
            </w: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320" w:type="dxa"/>
            <w:vAlign w:val="bottom"/>
            <w:gridSpan w:val="2"/>
          </w:tcPr>
          <w:p>
            <w:pPr>
              <w:spacing w:after="0" w:line="270" w:lineRule="exact"/>
              <w:rPr>
                <w:sz w:val="20"/>
                <w:szCs w:val="20"/>
                <w:color w:val="auto"/>
              </w:rPr>
            </w:pPr>
            <w:r>
              <w:rPr>
                <w:rFonts w:ascii="Arial" w:cs="Arial" w:eastAsia="Arial" w:hAnsi="Arial"/>
                <w:sz w:val="18"/>
                <w:szCs w:val="18"/>
                <w:color w:val="auto"/>
              </w:rPr>
              <w:t>Oaktree Funds</w:t>
            </w:r>
            <w:r>
              <w:rPr>
                <w:rFonts w:ascii="Arial" w:cs="Arial" w:eastAsia="Arial" w:hAnsi="Arial"/>
                <w:sz w:val="26"/>
                <w:szCs w:val="26"/>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4,474,624</w:t>
            </w:r>
          </w:p>
        </w:tc>
        <w:tc>
          <w:tcPr>
            <w:tcW w:w="2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4,474,624</w:t>
            </w:r>
          </w:p>
        </w:tc>
        <w:tc>
          <w:tcPr>
            <w:tcW w:w="220" w:type="dxa"/>
            <w:vAlign w:val="bottom"/>
          </w:tcPr>
          <w:p>
            <w:pPr>
              <w:spacing w:after="0"/>
              <w:rPr>
                <w:sz w:val="23"/>
                <w:szCs w:val="23"/>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3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Franklin Funds</w:t>
            </w:r>
            <w:r>
              <w:rPr>
                <w:rFonts w:ascii="Arial" w:cs="Arial" w:eastAsia="Arial" w:hAnsi="Arial"/>
                <w:sz w:val="26"/>
                <w:szCs w:val="26"/>
                <w:color w:val="auto"/>
                <w:vertAlign w:val="superscript"/>
              </w:rPr>
              <w:t>(3)</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3,702,391</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3,702,391</w:t>
            </w:r>
          </w:p>
        </w:tc>
        <w:tc>
          <w:tcPr>
            <w:tcW w:w="2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355"/>
        </w:trPr>
        <w:tc>
          <w:tcPr>
            <w:tcW w:w="3320" w:type="dxa"/>
            <w:vAlign w:val="bottom"/>
            <w:gridSpan w:val="2"/>
          </w:tcPr>
          <w:p>
            <w:pPr>
              <w:spacing w:after="0"/>
              <w:rPr>
                <w:sz w:val="20"/>
                <w:szCs w:val="20"/>
                <w:color w:val="auto"/>
              </w:rPr>
            </w:pPr>
            <w:r>
              <w:rPr>
                <w:rFonts w:ascii="Arial" w:cs="Arial" w:eastAsia="Arial" w:hAnsi="Arial"/>
                <w:sz w:val="18"/>
                <w:szCs w:val="18"/>
                <w:color w:val="auto"/>
              </w:rPr>
              <w:t>HBK Master Fund L.P.</w:t>
            </w:r>
            <w:r>
              <w:rPr>
                <w:rFonts w:ascii="Arial" w:cs="Arial" w:eastAsia="Arial" w:hAnsi="Arial"/>
                <w:sz w:val="26"/>
                <w:szCs w:val="26"/>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2,237,479</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2,237,479</w:t>
            </w:r>
          </w:p>
        </w:tc>
        <w:tc>
          <w:tcPr>
            <w:tcW w:w="22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-748030</wp:posOffset>
            </wp:positionV>
            <wp:extent cx="137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-748030</wp:posOffset>
            </wp:positionV>
            <wp:extent cx="137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-748030</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-748030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91440</wp:posOffset>
            </wp:positionV>
            <wp:extent cx="12344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2" w:lineRule="exact"/>
        <w:rPr>
          <w:sz w:val="20"/>
          <w:szCs w:val="20"/>
          <w:color w:val="auto"/>
        </w:rPr>
      </w:pPr>
    </w:p>
    <w:p>
      <w:pPr>
        <w:ind w:left="1620" w:right="779" w:hanging="358"/>
        <w:spacing w:after="0" w:line="268" w:lineRule="auto"/>
        <w:tabs>
          <w:tab w:leader="none" w:pos="1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amount reported includes shares held of record by BMO Global Strategic Bond Fund; Desjardins Floating Rate Income Fund; Desjardins Global Tactical Bond Fund; PIMCO Equity Series: PIMCO Dividend and Income Fund; PIMCO Funds: Global Investors Series plc, Income Fund; PIMCO Funds: Global Investors Series plc, Low Duration Income Fund; JNL/PIMCO Income Fund; PCM Fund, Inc.; PIMCO Bermuda Trust II: PIMCO Bermuda Income Fund (M); PIMCO Bermuda Trust II: PIMCO Bermuda Low Duration Income Fund; PIMCO Corporate &amp; Income Opportunity Fund; PIMCO Corporate &amp; Income Strategy Fund; PIMCO Dynamic Credit and Mortgage Income Fund; PIMCO Dynamic Income Fund; PIMCO Flexible Credit Income Fund; PIMCO Global Income Opportunities Fund; PIMCO Global StocksPLUS &amp; Income Fund; PIMCO High Income Fund; PIMCO Funds: PIMCO Income Fund; PIMCO Income Opportunity Fund; PIMCO Income Strategy Fund; PIMCO Income Strategy Fund II; PIMCO Funds: PIMCO Low Duration Income Fund; PIMCO Monthly Income Fund (Canada); PIMCO Funds: Global Investors Series plc, Strategic Income Fund; PIMCO Strategic Income Fund, Inc.; PIMCO Variable Insurance Trust: PIMCO Income Portfolio and Texas Children’s Hospital Foundation. The address for the PIMCO Funds is c/o Pacific Investment Management Company LLC, 650 Newport Center Drive, Newport Beach, CA 92660.</w:t>
      </w:r>
    </w:p>
    <w:p>
      <w:pPr>
        <w:spacing w:after="0" w:line="33" w:lineRule="exact"/>
        <w:rPr>
          <w:rFonts w:ascii="Arial" w:cs="Arial" w:eastAsia="Arial" w:hAnsi="Arial"/>
          <w:sz w:val="17"/>
          <w:szCs w:val="17"/>
          <w:color w:val="auto"/>
        </w:rPr>
      </w:pPr>
    </w:p>
    <w:p>
      <w:pPr>
        <w:ind w:left="1620" w:right="759" w:hanging="358"/>
        <w:spacing w:after="0" w:line="254"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reported includes shares of common stock held of record by Oaktree Value Opportunities Fund Holdings, L.P.; Oaktree Opportunities Fund X Holdings (Delaware), L.P.; Oaktree Opportunities Fund Xb Holdings (Delaware), L.P.; Oaktree Specialty Lending Corporation; Chubb Bermuda Insurance Ltd.; Oaktree TBMR Strategic Credit Fund G, LLC; Oaktree-TCDRS Strategic Credit, LLC; Oaktree-NGP Strategic Credit, LLC; Oaktree-TBMR Strategic Credit Fund F, LLC; 3M Employee Retirement Income Plan Trust; Oaktree-TSE 16 Strategic Credit, LLC; INPRS Strategic Credit Holdings,</w:t>
      </w:r>
    </w:p>
    <w:p>
      <w:pPr>
        <w:sectPr>
          <w:pgSz w:w="11900" w:h="16838" w:orient="portrait"/>
          <w:cols w:equalWidth="0" w:num="1">
            <w:col w:w="10139"/>
          </w:cols>
          <w:pgMar w:left="320" w:top="131" w:right="1440" w:bottom="1440" w:gutter="0" w:footer="0" w:header="0"/>
        </w:sectPr>
      </w:pPr>
    </w:p>
    <w:p>
      <w:pPr>
        <w:spacing w:after="0" w:line="370"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59"/>
        <w:spacing w:after="0" w:line="254" w:lineRule="auto"/>
        <w:rPr>
          <w:sz w:val="20"/>
          <w:szCs w:val="20"/>
          <w:color w:val="auto"/>
        </w:rPr>
      </w:pPr>
      <w:r>
        <w:rPr>
          <w:rFonts w:ascii="Arial" w:cs="Arial" w:eastAsia="Arial" w:hAnsi="Arial"/>
          <w:sz w:val="18"/>
          <w:szCs w:val="18"/>
          <w:color w:val="auto"/>
        </w:rPr>
        <w:t>LLC; Oatkree-TBMR Strategic Credit Fund C, LLC; Oaktree-Forrest Multi-Strategy, LLC; SC Investments E Holdings, LLC 5; SC Investments NE Holdings, LLC; Oaktree Strategic Income Corporation; Oaktree Strategic Income SPV, LLC; OCSI Senior Funding II LLC; Oaktree Senior Loan Fund; Indiana Public Retirement System; Oaktree Global Credit Holdings (Delaware), L.P.; Oaktree (Lux.) III — Oaktree Global Credit Fund; Energy Super; Renaissance Investment Holdings Ltd.; Oaktree GC Super Fund, L.P.; Cedars-Sinai Medical Center; G LTP III LLC; RiverNorth/Oaktree High Income Fund; G HSP III LLC and G JBD III LLC. The address for each of the Oaktree funds is 333 S. Grand Avenue, 28th Floor, Los Angeles, CA 90071.</w:t>
      </w:r>
    </w:p>
    <w:p>
      <w:pPr>
        <w:spacing w:after="0" w:line="43" w:lineRule="exact"/>
        <w:rPr>
          <w:sz w:val="20"/>
          <w:szCs w:val="20"/>
          <w:color w:val="auto"/>
        </w:rPr>
      </w:pPr>
    </w:p>
    <w:p>
      <w:pPr>
        <w:ind w:left="1620" w:right="1019" w:hanging="358"/>
        <w:spacing w:after="0" w:line="279" w:lineRule="auto"/>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amount reported includes shares held of record by Franklin Mutual Series Funds — Franklin Mutual Quest Fund; Franklin Mutual Series Funds — Franklin Mutual Shares Fund and Franklin Templeton Variable Insurance Products Trust — Franklin Mutual Shares VIP Fund. The address for Franklin Funds is 101 John F Kennedy Pkwy, 3rd Floor, Short Hills, NJ 07078.</w:t>
      </w:r>
    </w:p>
    <w:p>
      <w:pPr>
        <w:spacing w:after="0" w:line="22" w:lineRule="exact"/>
        <w:rPr>
          <w:rFonts w:ascii="Arial" w:cs="Arial" w:eastAsia="Arial" w:hAnsi="Arial"/>
          <w:sz w:val="17"/>
          <w:szCs w:val="17"/>
          <w:color w:val="auto"/>
        </w:rPr>
      </w:pPr>
    </w:p>
    <w:p>
      <w:pPr>
        <w:ind w:left="1620" w:hanging="358"/>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address for HBK Master Fund L.P. is 2300 North Field Street, Suite 2200, Dallas, TX 75201.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7"/>
          <w:szCs w:val="17"/>
          <w:color w:val="auto"/>
        </w:rPr>
        <w:t>This prospectus supplement relates to the offer and sale, from time to time, of shares of our common stock by the Selling Stockholders. We are registering the resale of shares of our commono stock to provide the Selling Stockholders with freely tradable securities, but the registration of such shares does not necessarily mean that any of such shares will be offered or sold by the Selling Stockholders pursuant to this prospectus supplement or at all. Any of the Selling Stockholders may sell the common stock offered by this prospectus supplement from time to time in one or more transactions, including without limitation:</w:t>
      </w:r>
    </w:p>
    <w:p>
      <w:pPr>
        <w:spacing w:after="0" w:line="67" w:lineRule="exact"/>
        <w:rPr>
          <w:sz w:val="20"/>
          <w:szCs w:val="20"/>
          <w:color w:val="auto"/>
        </w:rPr>
      </w:pPr>
    </w:p>
    <w:p>
      <w:pPr>
        <w:ind w:left="1800" w:hanging="178"/>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or through underwriters, brokers or dealers;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144"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A distribution of the common stock offered by this prospectus supplement may also be effected through the issuance of derivative securities, including without limitation, warrants, subscriptions, exchangeable securities, forward delivery contracts and the writing of options.</w:t>
      </w:r>
    </w:p>
    <w:p>
      <w:pPr>
        <w:spacing w:after="0" w:line="114"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In addition, the manner in which any of the Selling Stockholders may sell some or all of the common stock covered by this prospectus supplement includes, without limitation, through:</w:t>
      </w:r>
    </w:p>
    <w:p>
      <w:pPr>
        <w:spacing w:after="0" w:line="63" w:lineRule="exact"/>
        <w:rPr>
          <w:sz w:val="20"/>
          <w:szCs w:val="20"/>
          <w:color w:val="auto"/>
        </w:rPr>
      </w:pPr>
    </w:p>
    <w:p>
      <w:pPr>
        <w:ind w:left="1800" w:right="1179" w:hanging="178"/>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transactions made through an agent on a best efforts basis;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otherwise through any combination of the foregoing types of transaction.</w:t>
      </w:r>
    </w:p>
    <w:p>
      <w:pPr>
        <w:spacing w:after="0" w:line="158" w:lineRule="exact"/>
        <w:rPr>
          <w:sz w:val="20"/>
          <w:szCs w:val="20"/>
          <w:color w:val="auto"/>
        </w:rPr>
      </w:pPr>
    </w:p>
    <w:p>
      <w:pPr>
        <w:ind w:left="1260" w:right="1059" w:firstLine="360"/>
        <w:spacing w:after="0" w:line="261" w:lineRule="auto"/>
        <w:rPr>
          <w:sz w:val="20"/>
          <w:szCs w:val="20"/>
          <w:color w:val="auto"/>
        </w:rPr>
      </w:pPr>
      <w:r>
        <w:rPr>
          <w:rFonts w:ascii="Arial" w:cs="Arial" w:eastAsia="Arial" w:hAnsi="Arial"/>
          <w:sz w:val="18"/>
          <w:szCs w:val="18"/>
          <w:color w:val="auto"/>
        </w:rPr>
        <w:t>Any of the Selling Stockholders may also enter into hedging transactions. For example, the Selling Stockholder may:</w:t>
      </w:r>
    </w:p>
    <w:p>
      <w:pPr>
        <w:spacing w:after="0" w:line="49" w:lineRule="exact"/>
        <w:rPr>
          <w:sz w:val="20"/>
          <w:szCs w:val="20"/>
          <w:color w:val="auto"/>
        </w:rPr>
      </w:pPr>
    </w:p>
    <w:p>
      <w:pPr>
        <w:ind w:left="1800" w:right="719" w:hanging="178"/>
        <w:spacing w:after="0" w:line="259"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the common stock pursuant to this prospectus supplement, in which case such broker-dealer or affiliate may use shares of common stock received from such Selling Stockholder to close out its short positions;</w:t>
      </w:r>
    </w:p>
    <w:p>
      <w:pPr>
        <w:spacing w:after="0" w:line="78" w:lineRule="exact"/>
        <w:rPr>
          <w:rFonts w:ascii="Arial" w:cs="Arial" w:eastAsia="Arial" w:hAnsi="Arial"/>
          <w:sz w:val="18"/>
          <w:szCs w:val="18"/>
          <w:color w:val="auto"/>
        </w:rPr>
      </w:pPr>
    </w:p>
    <w:p>
      <w:pPr>
        <w:ind w:left="1800" w:hanging="178"/>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securities short and redeliver such shares to close out their respective short positions;</w:t>
      </w:r>
    </w:p>
    <w:p>
      <w:pPr>
        <w:spacing w:after="0" w:line="117" w:lineRule="exact"/>
        <w:rPr>
          <w:rFonts w:ascii="Arial" w:cs="Arial" w:eastAsia="Arial" w:hAnsi="Arial"/>
          <w:sz w:val="18"/>
          <w:szCs w:val="18"/>
          <w:color w:val="auto"/>
        </w:rPr>
      </w:pPr>
    </w:p>
    <w:p>
      <w:pPr>
        <w:ind w:left="1800" w:right="799" w:hanging="178"/>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such Selling Stockholder to deliver common stock to a broker-dealer or an affiliate thereof, who will then resell or transfer the common stock under this prospectus supplement; or</w:t>
      </w:r>
    </w:p>
    <w:p>
      <w:pPr>
        <w:spacing w:after="0" w:line="62" w:lineRule="exact"/>
        <w:rPr>
          <w:rFonts w:ascii="Arial" w:cs="Arial" w:eastAsia="Arial" w:hAnsi="Arial"/>
          <w:sz w:val="18"/>
          <w:szCs w:val="18"/>
          <w:color w:val="auto"/>
        </w:rPr>
      </w:pPr>
    </w:p>
    <w:p>
      <w:pPr>
        <w:ind w:left="1800" w:right="859" w:hanging="178"/>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 affiliate thereof, who may sell the loaned shares or, in an event of default in the case of a pledge, sell the pledged shares pursuant to this prospectus supplement.</w:t>
      </w:r>
    </w:p>
    <w:p>
      <w:pPr>
        <w:spacing w:after="0" w:line="116"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In addition, any of the Selling Stockholders may enter into derivative or hedging transactions with third parties, or sell securities not covered by this prospectus supplement to third parties in privately negotiated transactions. In connection with such a transaction, the third parties may sell common stock covered by and pursuant to this prospectus supplement and any additional applicable prospectus supplement or pricing supplement, as the case may be. If so, the third party may use common stock borrowed from the Selling Stockholders or others to settle such sales and may use common stock received from such Selling Stockholder to close out any related short positions. A Selling Stockholder may also loan or pledge common stock covered by this prospectus supplement to third parties, who may sell the loaned common stock or, in an event of default in the case of a pledge, sell the pledged common stock pursuant to this prospectus supplement or pricing supplement, as the case may be.</w:t>
      </w:r>
    </w:p>
    <w:p>
      <w:pPr>
        <w:spacing w:after="0" w:line="36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719" w:firstLine="360"/>
        <w:spacing w:after="0" w:line="246" w:lineRule="auto"/>
        <w:rPr>
          <w:sz w:val="20"/>
          <w:szCs w:val="20"/>
          <w:color w:val="auto"/>
        </w:rPr>
      </w:pPr>
      <w:r>
        <w:rPr>
          <w:rFonts w:ascii="Arial" w:cs="Arial" w:eastAsia="Arial" w:hAnsi="Arial"/>
          <w:sz w:val="18"/>
          <w:szCs w:val="18"/>
          <w:color w:val="auto"/>
        </w:rPr>
        <w:t>Common stock may also be exchanged for satisfaction of the Selling Stockholders’ obligations or other liabilities to its creditors. Such transactions may or may not involve brokers or dealers.</w:t>
      </w:r>
    </w:p>
    <w:p>
      <w:pPr>
        <w:spacing w:after="0" w:line="89" w:lineRule="exact"/>
        <w:rPr>
          <w:sz w:val="20"/>
          <w:szCs w:val="20"/>
          <w:color w:val="auto"/>
        </w:rPr>
      </w:pPr>
    </w:p>
    <w:p>
      <w:pPr>
        <w:ind w:left="1260" w:right="719" w:firstLine="360"/>
        <w:spacing w:after="0" w:line="235" w:lineRule="auto"/>
        <w:rPr>
          <w:sz w:val="20"/>
          <w:szCs w:val="20"/>
          <w:color w:val="auto"/>
        </w:rPr>
      </w:pPr>
      <w:r>
        <w:rPr>
          <w:rFonts w:ascii="Arial" w:cs="Arial" w:eastAsia="Arial" w:hAnsi="Arial"/>
          <w:sz w:val="18"/>
          <w:szCs w:val="18"/>
          <w:color w:val="auto"/>
        </w:rPr>
        <w:t>The offer and sale of the common stock described in this prospectus supplement by any of the Selling Stockholders, the underwriters or the third parties described above may be effected from time to time in one or more transactions, including privately negotiated transactions, either:</w:t>
      </w:r>
    </w:p>
    <w:p>
      <w:pPr>
        <w:spacing w:after="0" w:line="80" w:lineRule="exact"/>
        <w:rPr>
          <w:sz w:val="20"/>
          <w:szCs w:val="20"/>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44" w:lineRule="exact"/>
        <w:rPr>
          <w:sz w:val="20"/>
          <w:szCs w:val="20"/>
          <w:color w:val="auto"/>
        </w:rPr>
      </w:pPr>
    </w:p>
    <w:p>
      <w:pPr>
        <w:ind w:left="1260" w:right="819" w:firstLine="360"/>
        <w:spacing w:after="0" w:line="227" w:lineRule="auto"/>
        <w:rPr>
          <w:sz w:val="20"/>
          <w:szCs w:val="20"/>
          <w:color w:val="auto"/>
        </w:rPr>
      </w:pPr>
      <w:r>
        <w:rPr>
          <w:rFonts w:ascii="Arial" w:cs="Arial" w:eastAsia="Arial" w:hAnsi="Arial"/>
          <w:sz w:val="18"/>
          <w:szCs w:val="18"/>
          <w:color w:val="auto"/>
        </w:rPr>
        <w:t>In addition, any shares that qualify for sale pursuant to Rule 144 under the Securities Act may be sold under Rule 144 rather than pursuant to this prospectus supplement. If the Selling Stockholders use one or more underwriters in the sale, such underwriter(s) will acquire the shares of our common stock covered by this prospectus supplement for their own account. The underwriter(s) may resell the shares of our common stock in one or more transactions, including negotiated transactions, at a fixed public offering price or at varying prices determined at the time of sale.</w:t>
      </w:r>
    </w:p>
    <w:p>
      <w:pPr>
        <w:spacing w:after="0" w:line="108" w:lineRule="exact"/>
        <w:rPr>
          <w:sz w:val="20"/>
          <w:szCs w:val="20"/>
          <w:color w:val="auto"/>
        </w:rPr>
      </w:pPr>
    </w:p>
    <w:p>
      <w:pPr>
        <w:ind w:left="1260" w:right="699" w:firstLine="360"/>
        <w:spacing w:after="0" w:line="236" w:lineRule="auto"/>
        <w:rPr>
          <w:sz w:val="20"/>
          <w:szCs w:val="20"/>
          <w:color w:val="auto"/>
        </w:rPr>
      </w:pPr>
      <w:r>
        <w:rPr>
          <w:rFonts w:ascii="Arial" w:cs="Arial" w:eastAsia="Arial" w:hAnsi="Arial"/>
          <w:sz w:val="17"/>
          <w:szCs w:val="17"/>
          <w:color w:val="auto"/>
        </w:rPr>
        <w:t>Brokers, dealers or agents participating in the distribution of the shares of common stock may receive compensation in the form of discounts, concessions or commissions from the Selling Stockholders and/or the purchasers of shares of common stock for whom such broker-dealers may act as agent or to whom they may sell as principal, or both. Such compensation as to a particular broker-dealer may be in excess of customary commissions. The Selling Stockholders and any broker-dealers acting in connection with the sale of the shares of common stock hereunder may be deemed to be underwriters within the meaning of Section 2(a)(11) of the Securities Act, and any commission received by them and any profit realized by them on the resale of shares of common stock as principals may be deemed underwriting compensation under the Securities Act. Neither we nor the Selling Stockholders can presently estimate the amount of that compensation. We know of no existing arrangements between the Selling Stockholders and any such broker, dealer or agent relating to the sale or distribution of the shares of common stock.</w:t>
      </w:r>
    </w:p>
    <w:p>
      <w:pPr>
        <w:spacing w:after="0" w:line="100" w:lineRule="exact"/>
        <w:rPr>
          <w:sz w:val="20"/>
          <w:szCs w:val="20"/>
          <w:color w:val="auto"/>
        </w:rPr>
      </w:pPr>
    </w:p>
    <w:p>
      <w:pPr>
        <w:ind w:left="1260" w:right="859" w:firstLine="360"/>
        <w:spacing w:after="0" w:line="238" w:lineRule="auto"/>
        <w:rPr>
          <w:sz w:val="20"/>
          <w:szCs w:val="20"/>
          <w:color w:val="auto"/>
        </w:rPr>
      </w:pPr>
      <w:r>
        <w:rPr>
          <w:rFonts w:ascii="Arial" w:cs="Arial" w:eastAsia="Arial" w:hAnsi="Arial"/>
          <w:sz w:val="17"/>
          <w:szCs w:val="17"/>
          <w:color w:val="auto"/>
        </w:rPr>
        <w:t>We have advised the Selling Stockholders that the anti-manipulation rules of Regulation M under the Exchange Act may apply to sales of shares in the market and to the activities of the Selling Stockholders and their affiliates, which may restrict certain activities of, and limit the timing of purchases and sales of securities by, the Selling Stockholders and other persons participating in a distribution of securities. In addition, we will make copies of this prospectus supplement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10" w:lineRule="exact"/>
        <w:rPr>
          <w:sz w:val="20"/>
          <w:szCs w:val="20"/>
          <w:color w:val="auto"/>
        </w:rPr>
      </w:pPr>
    </w:p>
    <w:p>
      <w:pPr>
        <w:ind w:left="1260" w:right="719" w:firstLine="360"/>
        <w:spacing w:after="0" w:line="227" w:lineRule="auto"/>
        <w:rPr>
          <w:sz w:val="20"/>
          <w:szCs w:val="20"/>
          <w:color w:val="auto"/>
        </w:rPr>
      </w:pPr>
      <w:r>
        <w:rPr>
          <w:rFonts w:ascii="Arial" w:cs="Arial" w:eastAsia="Arial" w:hAnsi="Arial"/>
          <w:sz w:val="18"/>
          <w:szCs w:val="18"/>
          <w:color w:val="auto"/>
        </w:rPr>
        <w:t>At a time a particular offering of shares of our common stock is made, an additional prospectus supplement, if required, may be distributed that will set forth the number of shares of our common stock being offered, the method of distribution and the terms of the offering, including the name or names of any underwriters, dealers or agents, the purchase price paid by any underwriter, any discount, commission and other item constituting compensation, any discount, commission or concession allowed or reallowed or paid to any dealer, and the proposed selling price to the public.</w:t>
      </w:r>
    </w:p>
    <w:p>
      <w:pPr>
        <w:spacing w:after="0" w:line="108" w:lineRule="exact"/>
        <w:rPr>
          <w:sz w:val="20"/>
          <w:szCs w:val="20"/>
          <w:color w:val="auto"/>
        </w:rPr>
      </w:pPr>
    </w:p>
    <w:p>
      <w:pPr>
        <w:ind w:left="1260" w:right="699" w:firstLine="360"/>
        <w:spacing w:after="0" w:line="231"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94" w:lineRule="exact"/>
        <w:rPr>
          <w:sz w:val="20"/>
          <w:szCs w:val="20"/>
          <w:color w:val="auto"/>
        </w:rPr>
      </w:pPr>
    </w:p>
    <w:p>
      <w:pPr>
        <w:ind w:left="1260" w:right="679" w:firstLine="360"/>
        <w:spacing w:after="0" w:line="231" w:lineRule="auto"/>
        <w:rPr>
          <w:sz w:val="20"/>
          <w:szCs w:val="20"/>
          <w:color w:val="auto"/>
        </w:rPr>
      </w:pPr>
      <w:r>
        <w:rPr>
          <w:rFonts w:ascii="Arial" w:cs="Arial" w:eastAsia="Arial" w:hAnsi="Arial"/>
          <w:sz w:val="18"/>
          <w:szCs w:val="18"/>
          <w:color w:val="auto"/>
        </w:rPr>
        <w:t>Uniti will cover its own fees and expenses associated with offerings and the registration of the shares of common stock, but not the fees of the Selling Stockholders or underwriter-associated expenses. We have agreed to indemnify the Selling Stockholders against certain losses, claims, damages and liabilities, including liabilities under the Securities Act or otherwise.</w:t>
      </w:r>
    </w:p>
    <w:p>
      <w:pPr>
        <w:spacing w:after="0" w:line="121"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There can be no assurance that the Selling Stockholders will sell any or all of the shares of common stock covered by this prospectus supplement.</w:t>
      </w:r>
    </w:p>
    <w:p>
      <w:pPr>
        <w:spacing w:after="0" w:line="34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128905</wp:posOffset>
            </wp:positionV>
            <wp:extent cx="2486025" cy="720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24860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60"/>
        <w:spacing w:after="0"/>
        <w:rPr>
          <w:sz w:val="20"/>
          <w:szCs w:val="20"/>
          <w:color w:val="auto"/>
        </w:rPr>
      </w:pPr>
      <w:r>
        <w:rPr>
          <w:rFonts w:ascii="Arial" w:cs="Arial" w:eastAsia="Arial" w:hAnsi="Arial"/>
          <w:sz w:val="32"/>
          <w:szCs w:val="32"/>
          <w:b w:val="1"/>
          <w:bCs w:val="1"/>
          <w:color w:val="auto"/>
        </w:rPr>
        <w:t>Uniti Group Inc.</w:t>
      </w:r>
    </w:p>
    <w:p>
      <w:pPr>
        <w:spacing w:after="0" w:line="204" w:lineRule="exact"/>
        <w:rPr>
          <w:sz w:val="20"/>
          <w:szCs w:val="20"/>
          <w:color w:val="auto"/>
        </w:rPr>
      </w:pPr>
    </w:p>
    <w:p>
      <w:pPr>
        <w:ind w:left="4540"/>
        <w:spacing w:after="0"/>
        <w:rPr>
          <w:sz w:val="20"/>
          <w:szCs w:val="20"/>
          <w:color w:val="auto"/>
        </w:rPr>
      </w:pPr>
      <w:r>
        <w:rPr>
          <w:rFonts w:ascii="Arial" w:cs="Arial" w:eastAsia="Arial" w:hAnsi="Arial"/>
          <w:sz w:val="25"/>
          <w:szCs w:val="25"/>
          <w:b w:val="1"/>
          <w:bCs w:val="1"/>
          <w:color w:val="auto"/>
        </w:rPr>
        <w:t>Common Stock</w:t>
      </w:r>
    </w:p>
    <w:p>
      <w:pPr>
        <w:ind w:left="4520"/>
        <w:spacing w:after="0" w:line="234" w:lineRule="auto"/>
        <w:rPr>
          <w:sz w:val="20"/>
          <w:szCs w:val="20"/>
          <w:color w:val="auto"/>
        </w:rPr>
      </w:pPr>
      <w:r>
        <w:rPr>
          <w:rFonts w:ascii="Arial" w:cs="Arial" w:eastAsia="Arial" w:hAnsi="Arial"/>
          <w:sz w:val="25"/>
          <w:szCs w:val="25"/>
          <w:b w:val="1"/>
          <w:bCs w:val="1"/>
          <w:color w:val="auto"/>
        </w:rPr>
        <w:t>Preferred Stock</w:t>
      </w:r>
    </w:p>
    <w:p>
      <w:pPr>
        <w:ind w:left="4560"/>
        <w:spacing w:after="0" w:line="225" w:lineRule="auto"/>
        <w:rPr>
          <w:sz w:val="20"/>
          <w:szCs w:val="20"/>
          <w:color w:val="auto"/>
        </w:rPr>
      </w:pPr>
      <w:r>
        <w:rPr>
          <w:rFonts w:ascii="Arial" w:cs="Arial" w:eastAsia="Arial" w:hAnsi="Arial"/>
          <w:sz w:val="25"/>
          <w:szCs w:val="25"/>
          <w:b w:val="1"/>
          <w:bCs w:val="1"/>
          <w:color w:val="auto"/>
        </w:rPr>
        <w:t>Debt Securities</w:t>
      </w:r>
    </w:p>
    <w:p>
      <w:pPr>
        <w:ind w:left="4400"/>
        <w:spacing w:after="0" w:line="226" w:lineRule="auto"/>
        <w:rPr>
          <w:sz w:val="20"/>
          <w:szCs w:val="20"/>
          <w:color w:val="auto"/>
        </w:rPr>
      </w:pPr>
      <w:r>
        <w:rPr>
          <w:rFonts w:ascii="Arial" w:cs="Arial" w:eastAsia="Arial" w:hAnsi="Arial"/>
          <w:sz w:val="25"/>
          <w:szCs w:val="25"/>
          <w:b w:val="1"/>
          <w:bCs w:val="1"/>
          <w:color w:val="auto"/>
        </w:rPr>
        <w:t>Depositary Shares</w:t>
      </w:r>
    </w:p>
    <w:p>
      <w:pPr>
        <w:ind w:left="4320"/>
        <w:spacing w:after="0" w:line="225" w:lineRule="auto"/>
        <w:rPr>
          <w:sz w:val="20"/>
          <w:szCs w:val="20"/>
          <w:color w:val="auto"/>
        </w:rPr>
      </w:pPr>
      <w:r>
        <w:rPr>
          <w:rFonts w:ascii="Arial" w:cs="Arial" w:eastAsia="Arial" w:hAnsi="Arial"/>
          <w:sz w:val="25"/>
          <w:szCs w:val="25"/>
          <w:b w:val="1"/>
          <w:bCs w:val="1"/>
          <w:color w:val="auto"/>
        </w:rPr>
        <w:t>Purchase Contracts</w:t>
      </w:r>
    </w:p>
    <w:p>
      <w:pPr>
        <w:ind w:left="5060"/>
        <w:spacing w:after="0" w:line="225" w:lineRule="auto"/>
        <w:rPr>
          <w:sz w:val="20"/>
          <w:szCs w:val="20"/>
          <w:color w:val="auto"/>
        </w:rPr>
      </w:pPr>
      <w:r>
        <w:rPr>
          <w:rFonts w:ascii="Arial" w:cs="Arial" w:eastAsia="Arial" w:hAnsi="Arial"/>
          <w:sz w:val="25"/>
          <w:szCs w:val="25"/>
          <w:b w:val="1"/>
          <w:bCs w:val="1"/>
          <w:color w:val="auto"/>
        </w:rPr>
        <w:t>Units</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25"/>
          <w:szCs w:val="25"/>
          <w:b w:val="1"/>
          <w:bCs w:val="1"/>
          <w:color w:val="auto"/>
        </w:rPr>
        <w:t>Warrants</w:t>
      </w:r>
    </w:p>
    <w:p>
      <w:pPr>
        <w:spacing w:after="0" w:line="125"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We may offer from time to time, in one or more series or classes, separately or together, and in amounts, at prices and on terms to be set forth in one or more supplements to this prospectus, the following securities: (i) shares of our common stock, $.0001 par value per share; (ii) shares of our preferred stock, $.0001 par value per share; (iii) debt securities; (iv) depositary shares, which may represent a fractional interest in a share, or multiple shares, of a particular class or series of our preferred stock; (v) purchase contracts; (vi) units; and (vii) warrants to purchase common stock, preferred stock, depositary shares or debt securities. This prospectus will allow us to issue securities over time.</w:t>
      </w:r>
    </w:p>
    <w:p>
      <w:pPr>
        <w:spacing w:after="0" w:line="99" w:lineRule="exact"/>
        <w:rPr>
          <w:sz w:val="20"/>
          <w:szCs w:val="20"/>
          <w:color w:val="auto"/>
        </w:rPr>
      </w:pPr>
    </w:p>
    <w:p>
      <w:pPr>
        <w:ind w:left="1260" w:right="719" w:firstLine="360"/>
        <w:spacing w:after="0" w:line="284" w:lineRule="auto"/>
        <w:rPr>
          <w:sz w:val="20"/>
          <w:szCs w:val="20"/>
          <w:color w:val="auto"/>
        </w:rPr>
      </w:pPr>
      <w:r>
        <w:rPr>
          <w:rFonts w:ascii="Arial" w:cs="Arial" w:eastAsia="Arial" w:hAnsi="Arial"/>
          <w:sz w:val="16"/>
          <w:szCs w:val="16"/>
          <w:color w:val="auto"/>
        </w:rPr>
        <w:t>This prospectus describes some of the general terms that may apply to these securities. We will provide the specific prices and terms of these securities in one or more supplements to this prospectus at the time of the offering. You should read this prospectus and the applicable accompanying prospectus supplement(s), including the documents incorporated by reference, carefully before you make your investment decision.</w:t>
      </w:r>
    </w:p>
    <w:p>
      <w:pPr>
        <w:spacing w:after="0" w:line="88"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We may offer and sell these securities through underwriters, dealers or agents or directly to purchasers, on a continuous or delayed basis. The securities may also be resold by selling security holders from time to time.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122"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This prospectus may not be used to sell securities unless accompanied by a prospectus supplement or a free writing prospectus.</w:t>
      </w:r>
    </w:p>
    <w:p>
      <w:pPr>
        <w:spacing w:after="0" w:line="90"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Our common stock is listed on the NASDAQ Global Select Market (the “Nasdaq”) under the symbol “UNIT.” On March 11, 2020, the last reported sales price of our common stock on the Nasdaq was $8.88 per share. Each prospectus supplement will indicate if the securities offered thereby will be listed on any securities exchange.</w:t>
      </w:r>
    </w:p>
    <w:p>
      <w:pPr>
        <w:spacing w:after="0" w:line="107" w:lineRule="exact"/>
        <w:rPr>
          <w:sz w:val="20"/>
          <w:szCs w:val="20"/>
          <w:color w:val="auto"/>
        </w:rPr>
      </w:pPr>
    </w:p>
    <w:p>
      <w:pPr>
        <w:ind w:left="1260" w:right="719" w:firstLine="36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Investing in these securities involves risk. You should carefully read and consider the risk factors included in periodic reports, the prospectus supplement relating to a specific offering of securities, and in other documents that we may file with the Securities and Exchange Commission. See “Risk Factors” beginning on page </w:t>
      </w:r>
      <w:hyperlink w:anchor="page18">
        <w:r>
          <w:rPr>
            <w:rFonts w:ascii="Arial" w:cs="Arial" w:eastAsia="Arial" w:hAnsi="Arial"/>
            <w:sz w:val="19"/>
            <w:szCs w:val="19"/>
            <w:b w:val="1"/>
            <w:bCs w:val="1"/>
            <w:u w:val="single" w:color="auto"/>
            <w:color w:val="0000EE"/>
          </w:rPr>
          <w:t>4</w:t>
        </w:r>
        <w:r>
          <w:rPr>
            <w:rFonts w:ascii="Arial" w:cs="Arial" w:eastAsia="Arial" w:hAnsi="Arial"/>
            <w:sz w:val="19"/>
            <w:szCs w:val="19"/>
            <w:b w:val="1"/>
            <w:bCs w:val="1"/>
            <w:u w:val="single" w:color="auto"/>
            <w:color w:val="auto"/>
          </w:rPr>
          <w:t xml:space="preserve"> </w:t>
        </w:r>
      </w:hyperlink>
      <w:r>
        <w:rPr>
          <w:rFonts w:ascii="Arial" w:cs="Arial" w:eastAsia="Arial" w:hAnsi="Arial"/>
          <w:sz w:val="19"/>
          <w:szCs w:val="19"/>
          <w:b w:val="1"/>
          <w:bCs w:val="1"/>
          <w:color w:val="auto"/>
        </w:rPr>
        <w:t>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180975</wp:posOffset>
            </wp:positionV>
            <wp:extent cx="12344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260" w:right="859" w:firstLine="360"/>
        <w:spacing w:after="0" w:line="250"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192405</wp:posOffset>
            </wp:positionV>
            <wp:extent cx="123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The date of this prospectus is March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32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About this Prospectus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w:t>
              </w:r>
            </w:hyperlink>
          </w:p>
        </w:tc>
      </w:tr>
      <w:tr>
        <w:trPr>
          <w:trHeight w:val="257"/>
        </w:trPr>
        <w:tc>
          <w:tcPr>
            <w:tcW w:w="7880" w:type="dxa"/>
            <w:vAlign w:val="bottom"/>
            <w:gridSpan w:val="3"/>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Incorporation of Certain Documents by Reference</w:t>
              </w:r>
            </w:hyperlink>
          </w:p>
        </w:tc>
        <w:tc>
          <w:tcPr>
            <w:tcW w:w="34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w:t>
              </w:r>
            </w:hyperlink>
          </w:p>
        </w:tc>
      </w:tr>
      <w:tr>
        <w:trPr>
          <w:trHeight w:val="257"/>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Where You Can Find More Information</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2</w:t>
              </w:r>
            </w:hyperlink>
          </w:p>
        </w:tc>
      </w:tr>
      <w:tr>
        <w:trPr>
          <w:trHeight w:val="270"/>
        </w:trPr>
        <w:tc>
          <w:tcPr>
            <w:tcW w:w="7880" w:type="dxa"/>
            <w:vAlign w:val="bottom"/>
            <w:gridSpan w:val="3"/>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Cautionary Statement Regarding Forward-Looking Statements</w:t>
              </w:r>
            </w:hyperlink>
          </w:p>
        </w:tc>
        <w:tc>
          <w:tcPr>
            <w:tcW w:w="340" w:type="dxa"/>
            <w:vAlign w:val="bottom"/>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3</w:t>
              </w:r>
            </w:hyperlink>
          </w:p>
        </w:tc>
      </w:tr>
      <w:tr>
        <w:trPr>
          <w:trHeight w:val="270"/>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Uniti Group Inc.</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4</w:t>
              </w:r>
            </w:hyperlink>
          </w:p>
        </w:tc>
      </w:tr>
      <w:tr>
        <w:trPr>
          <w:trHeight w:val="270"/>
        </w:trPr>
        <w:tc>
          <w:tcPr>
            <w:tcW w:w="7880" w:type="dxa"/>
            <w:vAlign w:val="bottom"/>
            <w:gridSpan w:val="3"/>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4</w:t>
              </w:r>
            </w:hyperlink>
          </w:p>
        </w:tc>
      </w:tr>
      <w:tr>
        <w:trPr>
          <w:trHeight w:val="270"/>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Use of Proceeds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5</w:t>
              </w:r>
            </w:hyperlink>
          </w:p>
        </w:tc>
      </w:tr>
      <w:tr>
        <w:trPr>
          <w:trHeight w:val="270"/>
        </w:trPr>
        <w:tc>
          <w:tcPr>
            <w:tcW w:w="788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Description of Common Stock</w:t>
              </w:r>
            </w:hyperlink>
          </w:p>
        </w:tc>
        <w:tc>
          <w:tcPr>
            <w:tcW w:w="34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6</w:t>
              </w:r>
            </w:hyperlink>
          </w:p>
        </w:tc>
      </w:tr>
      <w:tr>
        <w:trPr>
          <w:trHeight w:val="270"/>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Preferred Stock</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7</w:t>
              </w:r>
            </w:hyperlink>
          </w:p>
        </w:tc>
      </w:tr>
      <w:tr>
        <w:trPr>
          <w:trHeight w:val="270"/>
        </w:trPr>
        <w:tc>
          <w:tcPr>
            <w:tcW w:w="7880" w:type="dxa"/>
            <w:vAlign w:val="bottom"/>
            <w:gridSpan w:val="3"/>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Description of Debt Securities</w:t>
              </w:r>
            </w:hyperlink>
          </w:p>
        </w:tc>
        <w:tc>
          <w:tcPr>
            <w:tcW w:w="34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9</w:t>
              </w:r>
            </w:hyperlink>
          </w:p>
        </w:tc>
      </w:tr>
      <w:tr>
        <w:trPr>
          <w:trHeight w:val="270"/>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Description of Depositary Shares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17</w:t>
              </w:r>
            </w:hyperlink>
          </w:p>
        </w:tc>
      </w:tr>
      <w:tr>
        <w:trPr>
          <w:trHeight w:val="270"/>
        </w:trPr>
        <w:tc>
          <w:tcPr>
            <w:tcW w:w="7880" w:type="dxa"/>
            <w:vAlign w:val="bottom"/>
            <w:gridSpan w:val="3"/>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Description of Purchase Contracts</w:t>
              </w:r>
            </w:hyperlink>
          </w:p>
        </w:tc>
        <w:tc>
          <w:tcPr>
            <w:tcW w:w="340" w:type="dxa"/>
            <w:vAlign w:val="bottom"/>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19</w:t>
              </w:r>
            </w:hyperlink>
          </w:p>
        </w:tc>
      </w:tr>
      <w:tr>
        <w:trPr>
          <w:trHeight w:val="270"/>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Description of Units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19</w:t>
              </w:r>
            </w:hyperlink>
          </w:p>
        </w:tc>
      </w:tr>
      <w:tr>
        <w:trPr>
          <w:trHeight w:val="270"/>
        </w:trPr>
        <w:tc>
          <w:tcPr>
            <w:tcW w:w="788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Description of Warrants</w:t>
              </w:r>
            </w:hyperlink>
          </w:p>
        </w:tc>
        <w:tc>
          <w:tcPr>
            <w:tcW w:w="340" w:type="dxa"/>
            <w:vAlign w:val="bottom"/>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20</w:t>
              </w:r>
            </w:hyperlink>
          </w:p>
        </w:tc>
      </w:tr>
      <w:tr>
        <w:trPr>
          <w:trHeight w:val="270"/>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Restrictions on Ownership and Transfer</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20</w:t>
              </w:r>
            </w:hyperlink>
          </w:p>
        </w:tc>
      </w:tr>
      <w:tr>
        <w:trPr>
          <w:trHeight w:val="270"/>
        </w:trPr>
        <w:tc>
          <w:tcPr>
            <w:tcW w:w="7880" w:type="dxa"/>
            <w:vAlign w:val="bottom"/>
            <w:gridSpan w:val="3"/>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Certain Provisions of Maryland Law and of our Charter and Bylaws</w:t>
              </w:r>
            </w:hyperlink>
          </w:p>
        </w:tc>
        <w:tc>
          <w:tcPr>
            <w:tcW w:w="340" w:type="dxa"/>
            <w:vAlign w:val="bottom"/>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23</w:t>
              </w:r>
            </w:hyperlink>
          </w:p>
        </w:tc>
      </w:tr>
      <w:tr>
        <w:trPr>
          <w:trHeight w:val="270"/>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Material U.S. Federal Income Tax Considerations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28</w:t>
              </w:r>
            </w:hyperlink>
          </w:p>
        </w:tc>
      </w:tr>
      <w:tr>
        <w:trPr>
          <w:trHeight w:val="270"/>
        </w:trPr>
        <w:tc>
          <w:tcPr>
            <w:tcW w:w="7880" w:type="dxa"/>
            <w:vAlign w:val="bottom"/>
            <w:gridSpan w:val="3"/>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Taxation of Uniti</w:t>
              </w:r>
            </w:hyperlink>
          </w:p>
        </w:tc>
        <w:tc>
          <w:tcPr>
            <w:tcW w:w="34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29</w:t>
              </w:r>
            </w:hyperlink>
          </w:p>
        </w:tc>
      </w:tr>
      <w:tr>
        <w:trPr>
          <w:trHeight w:val="270"/>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Taxation of REITs in General</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30</w:t>
              </w:r>
            </w:hyperlink>
          </w:p>
        </w:tc>
      </w:tr>
      <w:tr>
        <w:trPr>
          <w:trHeight w:val="270"/>
        </w:trPr>
        <w:tc>
          <w:tcPr>
            <w:tcW w:w="7880" w:type="dxa"/>
            <w:vAlign w:val="bottom"/>
            <w:gridSpan w:val="3"/>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Taxation of Stockholders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40</w:t>
              </w:r>
            </w:hyperlink>
          </w:p>
        </w:tc>
      </w:tr>
      <w:tr>
        <w:trPr>
          <w:trHeight w:val="270"/>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Other Tax Considerations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45</w:t>
              </w:r>
            </w:hyperlink>
          </w:p>
        </w:tc>
      </w:tr>
      <w:tr>
        <w:trPr>
          <w:trHeight w:val="270"/>
        </w:trPr>
        <w:tc>
          <w:tcPr>
            <w:tcW w:w="7880" w:type="dxa"/>
            <w:vAlign w:val="bottom"/>
            <w:gridSpan w:val="3"/>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Selling Security Holders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46</w:t>
              </w:r>
            </w:hyperlink>
          </w:p>
        </w:tc>
      </w:tr>
      <w:tr>
        <w:trPr>
          <w:trHeight w:val="270"/>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Plan of Distribution</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46</w:t>
              </w:r>
            </w:hyperlink>
          </w:p>
        </w:tc>
      </w:tr>
      <w:tr>
        <w:trPr>
          <w:trHeight w:val="270"/>
        </w:trPr>
        <w:tc>
          <w:tcPr>
            <w:tcW w:w="7880" w:type="dxa"/>
            <w:vAlign w:val="bottom"/>
            <w:gridSpan w:val="3"/>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Legal Matters</w:t>
              </w:r>
            </w:hyperlink>
          </w:p>
        </w:tc>
        <w:tc>
          <w:tcPr>
            <w:tcW w:w="340" w:type="dxa"/>
            <w:vAlign w:val="bottom"/>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49</w:t>
              </w:r>
            </w:hyperlink>
          </w:p>
        </w:tc>
      </w:tr>
      <w:tr>
        <w:trPr>
          <w:trHeight w:val="270"/>
        </w:trPr>
        <w:tc>
          <w:tcPr>
            <w:tcW w:w="7880" w:type="dxa"/>
            <w:vAlign w:val="bottom"/>
            <w:gridSpan w:val="3"/>
            <w:shd w:val="clear" w:color="auto" w:fill="CCEEFF"/>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Experts</w:t>
              </w:r>
            </w:hyperlink>
          </w:p>
        </w:tc>
        <w:tc>
          <w:tcPr>
            <w:tcW w:w="340" w:type="dxa"/>
            <w:vAlign w:val="bottom"/>
            <w:shd w:val="clear" w:color="auto" w:fill="CCEEFF"/>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49</w:t>
              </w:r>
            </w:hyperlink>
          </w:p>
        </w:tc>
      </w:tr>
      <w:tr>
        <w:trPr>
          <w:trHeight w:val="229"/>
        </w:trPr>
        <w:tc>
          <w:tcPr>
            <w:tcW w:w="324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274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-4422775</wp:posOffset>
            </wp:positionV>
            <wp:extent cx="50063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182"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Unless the context requires otherwise, the words “Uniti,” “we,” “Company,” “us” and “our” refer to Uniti Group Inc. and its subsidiaries.</w:t>
      </w:r>
    </w:p>
    <w:p>
      <w:pPr>
        <w:spacing w:after="0" w:line="99" w:lineRule="exact"/>
        <w:rPr>
          <w:sz w:val="20"/>
          <w:szCs w:val="20"/>
          <w:color w:val="auto"/>
        </w:rPr>
      </w:pPr>
    </w:p>
    <w:p>
      <w:pPr>
        <w:ind w:left="1260" w:right="699" w:firstLine="360"/>
        <w:spacing w:after="0" w:line="289" w:lineRule="auto"/>
        <w:rPr>
          <w:sz w:val="20"/>
          <w:szCs w:val="20"/>
          <w:color w:val="auto"/>
        </w:rPr>
      </w:pPr>
      <w:r>
        <w:rPr>
          <w:rFonts w:ascii="Arial" w:cs="Arial" w:eastAsia="Arial" w:hAnsi="Arial"/>
          <w:sz w:val="16"/>
          <w:szCs w:val="16"/>
          <w:b w:val="1"/>
          <w:bCs w:val="1"/>
          <w:color w:val="auto"/>
        </w:rPr>
        <w:t>We have not authorized anyone to provide any information other than that contained or incorporated by reference in this prospectus, in any accompanying prospectus supplement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or any accompanying prospectus supplement or in any free writing prospectus is accurate as of any date other than their respective dates. Since the respective dates of such documents, our business, financial condition, results of operations and prospects may have changed. We can use this prospectus to sell the securities only if it is accompanied by a prospectus supplement or a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MARKET AND INDUSTRY DATA</w:t>
      </w:r>
    </w:p>
    <w:p>
      <w:pPr>
        <w:spacing w:after="0" w:line="148" w:lineRule="exact"/>
        <w:rPr>
          <w:sz w:val="20"/>
          <w:szCs w:val="20"/>
          <w:color w:val="auto"/>
        </w:rPr>
      </w:pPr>
    </w:p>
    <w:p>
      <w:pPr>
        <w:jc w:val="both"/>
        <w:ind w:left="1260" w:right="939" w:firstLine="360"/>
        <w:spacing w:after="0" w:line="268" w:lineRule="auto"/>
        <w:rPr>
          <w:sz w:val="20"/>
          <w:szCs w:val="20"/>
          <w:color w:val="auto"/>
        </w:rPr>
      </w:pPr>
      <w:r>
        <w:rPr>
          <w:rFonts w:ascii="Arial" w:cs="Arial" w:eastAsia="Arial" w:hAnsi="Arial"/>
          <w:sz w:val="17"/>
          <w:szCs w:val="17"/>
          <w:color w:val="auto"/>
        </w:rPr>
        <w:t>This prospectus and any applicable prospectus supplement may contain or incorporate by reference industry, market and competitive position data and forecasts that are based on industry publications and studies conducted by third parties. Although industry publications and third-party studies generally state that the information that they contain has been obtained from sources believed to be reliable, they do not guarantee the accuracy or completeness of such information, and we will not independently verify any of the data from third-party sources or ascertain the underlying economic assumptions relied upon therein.</w:t>
      </w:r>
    </w:p>
    <w:p>
      <w:pPr>
        <w:spacing w:after="0" w:line="1" w:lineRule="exact"/>
        <w:rPr>
          <w:sz w:val="20"/>
          <w:szCs w:val="20"/>
          <w:color w:val="auto"/>
        </w:rPr>
      </w:pPr>
    </w:p>
    <w:p>
      <w:pPr>
        <w:ind w:left="1260" w:right="799"/>
        <w:spacing w:after="0" w:line="253" w:lineRule="auto"/>
        <w:rPr>
          <w:sz w:val="20"/>
          <w:szCs w:val="20"/>
          <w:color w:val="auto"/>
        </w:rPr>
      </w:pPr>
      <w:r>
        <w:rPr>
          <w:rFonts w:ascii="Arial" w:cs="Arial" w:eastAsia="Arial" w:hAnsi="Arial"/>
          <w:sz w:val="18"/>
          <w:szCs w:val="18"/>
          <w:color w:val="auto"/>
        </w:rPr>
        <w:t>While we believe that the market position, market opportunity and market size information included in this prospectus or any applicable prospectus supplement will be generally reliable, such information is inherently imprecise. The industry forward-looking statements included in this prospectus and any applicable prospectus supplement may be materially different than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979" w:firstLine="360"/>
        <w:spacing w:after="0" w:line="241" w:lineRule="auto"/>
        <w:rPr>
          <w:sz w:val="20"/>
          <w:szCs w:val="20"/>
          <w:color w:val="auto"/>
        </w:rPr>
      </w:pPr>
      <w:r>
        <w:rPr>
          <w:rFonts w:ascii="Arial" w:cs="Arial" w:eastAsia="Arial" w:hAnsi="Arial"/>
          <w:sz w:val="18"/>
          <w:szCs w:val="18"/>
          <w:color w:val="auto"/>
        </w:rPr>
        <w:t>This prospectus is part of a “shelf” registration statement that we filed with the Securities and Exchange Commission (the “SEC”) under the Securities Act of 1933, as amended (the “Securities Act”). Under the shelf registration process, we may, from time to time, sell the securities described in this prospectus in one or more offerings. In addition, selling security holders to be named in a prospectus supplement may sell certain of the securities from time to time.</w:t>
      </w:r>
    </w:p>
    <w:p>
      <w:pPr>
        <w:spacing w:after="0" w:line="122"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This prospectus provides you with a general description of the securities that may be offered by us and/or our selling security holders. Each time we or any selling security holder sells securities, we or the selling security holder will provide a prospectus supplement containing specific information about the terms of the securities being offered and the specific manner in which they will be offered. The prospectus supplement and any other offering materials may also add, update or change information contained in this prospectus or in the documents incorporated by reference into this prospectus. To the extent there is a conflict between the information contained in this prospectus, on the one hand, and the information contained in any prospectus supplement, on the other hand, you should rely on the information in the prospectus supplement.</w:t>
      </w:r>
    </w:p>
    <w:p>
      <w:pPr>
        <w:spacing w:after="0" w:line="129"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This prospectus and any accompanying prospectus supplement do not contain all of the information included in the registration statement. We have omitted parts of the registration statement in accordance with the rules and regulations of the SEC. For further information, we refer you to the registration statement on Form S-3 of which this prospectus is a part, including its exhibits. Statements contained in this prospectus and any accompanying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11" w:lineRule="exact"/>
        <w:rPr>
          <w:sz w:val="20"/>
          <w:szCs w:val="20"/>
          <w:color w:val="auto"/>
        </w:rPr>
      </w:pPr>
    </w:p>
    <w:p>
      <w:pPr>
        <w:ind w:left="1260" w:right="779" w:firstLine="360"/>
        <w:spacing w:after="0" w:line="253" w:lineRule="auto"/>
        <w:rPr>
          <w:sz w:val="20"/>
          <w:szCs w:val="20"/>
          <w:color w:val="auto"/>
        </w:rPr>
      </w:pPr>
      <w:r>
        <w:rPr>
          <w:rFonts w:ascii="Arial" w:cs="Arial" w:eastAsia="Arial" w:hAnsi="Arial"/>
          <w:sz w:val="18"/>
          <w:szCs w:val="18"/>
          <w:color w:val="auto"/>
        </w:rPr>
        <w:t>You should read this prospectus and any prospectus supplement together with any additional information and any other offering materials (including a free writing prospectus) prepared by us or on our behalf. We have not authorized anyone to provide you with different information. You should also read and carefully consider the information in the documents we have referred you to under “Where You Can Find More Information” below. Information incorporated by reference after the date of this prospectus or any related prospectus supplement may add, update or change information contained in this prospectus or such prospectus supplement. Any information in such subsequent filings that is inconsistent with this prospectus or any such prospectus supplement will supersede the information in this prospectus or such prospectus supplement.</w:t>
      </w:r>
    </w:p>
    <w:p>
      <w:pPr>
        <w:spacing w:after="0" w:line="129"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may offer the securities directly, through agents, or to or through underwriters or dealers. The applicable prospectus supplement will describe the terms of the plan of distribution and set forth the names of any underwriters involved in the sale of the securities. See “Plan of Distribution” below for more information on this topic. No securities may be sold without delivery of a prospectus supplement or a free writing prospectus describing the method and terms of the offering of those securities.</w:t>
      </w:r>
    </w:p>
    <w:p>
      <w:pPr>
        <w:spacing w:after="0" w:line="18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2" w:lineRule="exact"/>
        <w:rPr>
          <w:sz w:val="20"/>
          <w:szCs w:val="20"/>
          <w:color w:val="auto"/>
        </w:rPr>
      </w:pPr>
    </w:p>
    <w:p>
      <w:pPr>
        <w:ind w:left="1260" w:right="819" w:firstLine="360"/>
        <w:spacing w:after="0" w:line="253" w:lineRule="auto"/>
        <w:rPr>
          <w:sz w:val="20"/>
          <w:szCs w:val="20"/>
          <w:color w:val="auto"/>
        </w:rPr>
      </w:pPr>
      <w:r>
        <w:rPr>
          <w:rFonts w:ascii="Arial" w:cs="Arial" w:eastAsia="Arial" w:hAnsi="Arial"/>
          <w:sz w:val="18"/>
          <w:szCs w:val="18"/>
          <w:color w:val="auto"/>
        </w:rPr>
        <w:t>The SEC allows us to incorporate by reference information we file with the SEC into this prospectus and any accompanying prospectus supplement. This means that we can disclose important information to you by referring you to another document filed separately with the SEC. The information incorporated by reference is considered to be a part of this prospectus, and information filed separately with the SEC subsequent to this prospectus and prior to the termination of the particular offering referred to in a prospectus supplement will automatically be deemed to update and supersede this information. We are incorporating by reference into this prospectus and any accompanying prospectus supplement the documents (and any amendments to such documents) listed below (excluding any portions of such documents that have been “furnished” but not “filed” for purposes of the Securities Exchange Act of 1934, as amended (the “Exchange Act”)):</w:t>
      </w:r>
    </w:p>
    <w:p>
      <w:pPr>
        <w:spacing w:after="0" w:line="86" w:lineRule="exact"/>
        <w:rPr>
          <w:sz w:val="20"/>
          <w:szCs w:val="20"/>
          <w:color w:val="auto"/>
        </w:rPr>
      </w:pPr>
    </w:p>
    <w:p>
      <w:pPr>
        <w:ind w:left="1800" w:right="679" w:hanging="178"/>
        <w:spacing w:after="0" w:line="277" w:lineRule="auto"/>
        <w:tabs>
          <w:tab w:leader="none" w:pos="1800" w:val="left"/>
        </w:tabs>
        <w:numPr>
          <w:ilvl w:val="0"/>
          <w:numId w:val="11"/>
        </w:numPr>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our Annual Report on Form 10-K for the fiscal year ended December 31, 2019, filed with the SEC on</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March 12, 2020;</w:t>
        </w:r>
      </w:hyperlink>
    </w:p>
    <w:p>
      <w:pPr>
        <w:sectPr>
          <w:pgSz w:w="11900" w:h="16838" w:orient="portrait"/>
          <w:cols w:equalWidth="0" w:num="1">
            <w:col w:w="10139"/>
          </w:cols>
          <w:pgMar w:left="320" w:top="132" w:right="1440" w:bottom="1440" w:gutter="0" w:footer="0" w:header="0"/>
        </w:sectPr>
      </w:pPr>
    </w:p>
    <w:p>
      <w:pPr>
        <w:spacing w:after="0" w:line="346" w:lineRule="exact"/>
        <w:rPr>
          <w:rFonts w:ascii="Arial" w:cs="Arial" w:eastAsia="Arial" w:hAnsi="Arial"/>
          <w:sz w:val="18"/>
          <w:szCs w:val="18"/>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39" w:hanging="178"/>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Current Reports on Form 8-K (or 8-K/A), filed on </w:t>
      </w:r>
      <w:hyperlink r:id="rId53">
        <w:r>
          <w:rPr>
            <w:rFonts w:ascii="Arial" w:cs="Arial" w:eastAsia="Arial" w:hAnsi="Arial"/>
            <w:sz w:val="18"/>
            <w:szCs w:val="18"/>
            <w:u w:val="single" w:color="auto"/>
            <w:color w:val="0000EE"/>
          </w:rPr>
          <w:t>February 5,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(only with respect to Item 8.01 thereof and Exhibit 99.1 thereto), </w:t>
      </w:r>
      <w:hyperlink r:id="rId54">
        <w:r>
          <w:rPr>
            <w:rFonts w:ascii="Arial" w:cs="Arial" w:eastAsia="Arial" w:hAnsi="Arial"/>
            <w:sz w:val="18"/>
            <w:szCs w:val="18"/>
            <w:u w:val="single" w:color="auto"/>
            <w:color w:val="0000EE"/>
          </w:rPr>
          <w:t>February 10, 2020</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February 14, 2020</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March 2, 2020</w:t>
        </w:r>
      </w:hyperlink>
      <w:r>
        <w:rPr>
          <w:rFonts w:ascii="Arial" w:cs="Arial" w:eastAsia="Arial" w:hAnsi="Arial"/>
          <w:sz w:val="18"/>
          <w:szCs w:val="18"/>
          <w:color w:val="auto"/>
        </w:rPr>
        <w:t xml:space="preserve"> and </w:t>
      </w:r>
      <w:hyperlink r:id="rId57">
        <w:r>
          <w:rPr>
            <w:rFonts w:ascii="Arial" w:cs="Arial" w:eastAsia="Arial" w:hAnsi="Arial"/>
            <w:sz w:val="18"/>
            <w:szCs w:val="18"/>
            <w:u w:val="single" w:color="auto"/>
            <w:color w:val="0000EE"/>
          </w:rPr>
          <w:t>March 10, 2020</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800" w:right="699" w:hanging="178"/>
        <w:spacing w:after="0" w:line="279" w:lineRule="auto"/>
        <w:tabs>
          <w:tab w:leader="none" w:pos="1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w:t>
      </w:r>
      <w:hyperlink r:id="rId58">
        <w:r>
          <w:rPr>
            <w:rFonts w:ascii="Arial" w:cs="Arial" w:eastAsia="Arial" w:hAnsi="Arial"/>
            <w:sz w:val="17"/>
            <w:szCs w:val="17"/>
            <w:u w:val="single" w:color="auto"/>
            <w:color w:val="0000EE"/>
          </w:rPr>
          <w:t>Exhibit 99.1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our Current Report on Form 8-K, filed with the SEC on March 26, 2015, including any amendments or reports filed with the SEC for the purpose of updating such description, including </w:t>
      </w:r>
      <w:hyperlink r:id="rId59">
        <w:r>
          <w:rPr>
            <w:rFonts w:ascii="Arial" w:cs="Arial" w:eastAsia="Arial" w:hAnsi="Arial"/>
            <w:sz w:val="17"/>
            <w:szCs w:val="17"/>
            <w:u w:val="single" w:color="auto"/>
            <w:color w:val="0000EE"/>
          </w:rPr>
          <w:t>Exhibit 4.22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Annual Report on Form 10-K for the fiscal year ended December 31, 2019, filed with the SEC on March 12, 2020; and</w:t>
      </w:r>
    </w:p>
    <w:p>
      <w:pPr>
        <w:spacing w:after="0" w:line="63" w:lineRule="exact"/>
        <w:rPr>
          <w:rFonts w:ascii="Arial" w:cs="Arial" w:eastAsia="Arial" w:hAnsi="Arial"/>
          <w:sz w:val="17"/>
          <w:szCs w:val="17"/>
          <w:color w:val="auto"/>
        </w:rPr>
      </w:pPr>
    </w:p>
    <w:p>
      <w:pPr>
        <w:ind w:left="1800" w:right="1119" w:hanging="178"/>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documents filed by us with the SEC pursuant to Sections 13(a), 13(c), 14 or 15(d) of the Exchange Act after the date of this prospectus and prior to the termination of the offering of the underlying securities.</w:t>
      </w:r>
    </w:p>
    <w:p>
      <w:pPr>
        <w:spacing w:after="0" w:line="103" w:lineRule="exact"/>
        <w:rPr>
          <w:rFonts w:ascii="Arial" w:cs="Arial" w:eastAsia="Arial" w:hAnsi="Arial"/>
          <w:sz w:val="17"/>
          <w:szCs w:val="17"/>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Information that is “furnished” to the SEC shall not be deemed incorporated by reference into this prospectus or the registration statement of which this prospectus is part.</w:t>
      </w:r>
    </w:p>
    <w:p>
      <w:pPr>
        <w:spacing w:after="0" w:line="103" w:lineRule="exact"/>
        <w:rPr>
          <w:rFonts w:ascii="Arial" w:cs="Arial" w:eastAsia="Arial" w:hAnsi="Arial"/>
          <w:sz w:val="17"/>
          <w:szCs w:val="17"/>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Any statement made in a document incorporated by reference into this prospectus will be deemed to be modified or superseded for purposes of this prospectus to the extent that a statement contained in this prospectus, or in any other subsequently filed document that is incorporated by reference into this prospectus, modifies or supersedes that statement. Any statement so modified or superseded will not be deemed, except as so modified or superseded, to constitute a part of this prospectus.</w:t>
      </w:r>
    </w:p>
    <w:p>
      <w:pPr>
        <w:spacing w:after="0" w:line="172" w:lineRule="exact"/>
        <w:rPr>
          <w:rFonts w:ascii="Arial" w:cs="Arial" w:eastAsia="Arial" w:hAnsi="Arial"/>
          <w:sz w:val="17"/>
          <w:szCs w:val="17"/>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rFonts w:ascii="Arial" w:cs="Arial" w:eastAsia="Arial" w:hAnsi="Arial"/>
          <w:sz w:val="17"/>
          <w:szCs w:val="17"/>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This prospectus constitutes a part of a registration statement on Form S-3 under the Securities Act with respect to the securities offered by this prospectus. This prospectus, which forms a part of the registration statement and any prospectus supplement, does not contain all of the information in the registration statement and the exhibits to the registration statement. For further information with respect to us, the selling security holders and the securities offered hereby, we refer you to the registration statement and to the exhibits to the registration statement. Statements contained in this prospectus about the contents of any contract or any other document may not necessarily be complete, and, in each instance, we refer you to the copy of the contract or other document filed or incorporated by reference as an exhibit to the registration statement.</w:t>
      </w:r>
    </w:p>
    <w:p>
      <w:pPr>
        <w:spacing w:after="0" w:line="115" w:lineRule="exact"/>
        <w:rPr>
          <w:rFonts w:ascii="Arial" w:cs="Arial" w:eastAsia="Arial" w:hAnsi="Arial"/>
          <w:sz w:val="17"/>
          <w:szCs w:val="17"/>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are subject to the information reporting requirements of the Exchange Act, as amended, and we file reports, proxy statements and other information with the SEC. You may read and copy such reports, proxy statements and other information, as well as the registration statement of which this prospectus is a part and the filings incorporated by reference into this prospectus, through the SEC’s Internet website, which is located at http://www.sec.gov, that are filed electronically with the SEC. You may access our reports, proxy statements and other information, as well as the registration statement of which this prospectus is a part, at the SEC’s Internet website.</w:t>
      </w:r>
    </w:p>
    <w:p>
      <w:pPr>
        <w:spacing w:after="0" w:line="127" w:lineRule="exact"/>
        <w:rPr>
          <w:rFonts w:ascii="Arial" w:cs="Arial" w:eastAsia="Arial" w:hAnsi="Arial"/>
          <w:sz w:val="17"/>
          <w:szCs w:val="17"/>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is delivered, upon the written or oral request of such person, a copy of any or all of the reports and documents referred to above which have been incorporated by reference into this prospectus. You should direct requests for those documents to:</w:t>
      </w:r>
    </w:p>
    <w:p>
      <w:pPr>
        <w:spacing w:after="0" w:line="119" w:lineRule="exact"/>
        <w:rPr>
          <w:rFonts w:ascii="Arial" w:cs="Arial" w:eastAsia="Arial" w:hAnsi="Arial"/>
          <w:sz w:val="17"/>
          <w:szCs w:val="17"/>
          <w:color w:val="auto"/>
        </w:rPr>
      </w:pPr>
    </w:p>
    <w:p>
      <w:pPr>
        <w:jc w:val="center"/>
        <w:ind w:right="-540"/>
        <w:spacing w:after="0"/>
        <w:rPr>
          <w:sz w:val="20"/>
          <w:szCs w:val="20"/>
          <w:color w:val="auto"/>
        </w:rPr>
      </w:pPr>
      <w:r>
        <w:rPr>
          <w:rFonts w:ascii="Arial" w:cs="Arial" w:eastAsia="Arial" w:hAnsi="Arial"/>
          <w:sz w:val="18"/>
          <w:szCs w:val="18"/>
          <w:color w:val="auto"/>
        </w:rPr>
        <w:t>Uniti Group Inc.</w:t>
      </w:r>
    </w:p>
    <w:p>
      <w:pPr>
        <w:spacing w:after="0" w:line="23" w:lineRule="exact"/>
        <w:rPr>
          <w:rFonts w:ascii="Arial" w:cs="Arial" w:eastAsia="Arial" w:hAnsi="Arial"/>
          <w:sz w:val="17"/>
          <w:szCs w:val="17"/>
          <w:color w:val="auto"/>
        </w:rPr>
      </w:pPr>
    </w:p>
    <w:p>
      <w:pPr>
        <w:jc w:val="center"/>
        <w:ind w:right="-540"/>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7"/>
          <w:szCs w:val="17"/>
          <w:color w:val="auto"/>
        </w:rPr>
      </w:pPr>
    </w:p>
    <w:p>
      <w:pPr>
        <w:jc w:val="center"/>
        <w:ind w:right="-540"/>
        <w:spacing w:after="0"/>
        <w:rPr>
          <w:sz w:val="20"/>
          <w:szCs w:val="20"/>
          <w:color w:val="auto"/>
        </w:rPr>
      </w:pPr>
      <w:r>
        <w:rPr>
          <w:rFonts w:ascii="Arial" w:cs="Arial" w:eastAsia="Arial" w:hAnsi="Arial"/>
          <w:sz w:val="18"/>
          <w:szCs w:val="18"/>
          <w:color w:val="auto"/>
        </w:rPr>
        <w:t>10802 Executive Center Drive</w:t>
      </w:r>
    </w:p>
    <w:p>
      <w:pPr>
        <w:spacing w:after="0" w:line="9" w:lineRule="exact"/>
        <w:rPr>
          <w:rFonts w:ascii="Arial" w:cs="Arial" w:eastAsia="Arial" w:hAnsi="Arial"/>
          <w:sz w:val="17"/>
          <w:szCs w:val="17"/>
          <w:color w:val="auto"/>
        </w:rPr>
      </w:pPr>
    </w:p>
    <w:p>
      <w:pPr>
        <w:jc w:val="center"/>
        <w:ind w:right="-540"/>
        <w:spacing w:after="0"/>
        <w:rPr>
          <w:sz w:val="20"/>
          <w:szCs w:val="20"/>
          <w:color w:val="auto"/>
        </w:rPr>
      </w:pPr>
      <w:r>
        <w:rPr>
          <w:rFonts w:ascii="Arial" w:cs="Arial" w:eastAsia="Arial" w:hAnsi="Arial"/>
          <w:sz w:val="18"/>
          <w:szCs w:val="18"/>
          <w:color w:val="auto"/>
        </w:rPr>
        <w:t>Benton Building Suite 300</w:t>
      </w:r>
    </w:p>
    <w:p>
      <w:pPr>
        <w:spacing w:after="0" w:line="9" w:lineRule="exact"/>
        <w:rPr>
          <w:rFonts w:ascii="Arial" w:cs="Arial" w:eastAsia="Arial" w:hAnsi="Arial"/>
          <w:sz w:val="17"/>
          <w:szCs w:val="17"/>
          <w:color w:val="auto"/>
        </w:rPr>
      </w:pPr>
    </w:p>
    <w:p>
      <w:pPr>
        <w:jc w:val="center"/>
        <w:ind w:right="-540"/>
        <w:spacing w:after="0"/>
        <w:rPr>
          <w:sz w:val="20"/>
          <w:szCs w:val="20"/>
          <w:color w:val="auto"/>
        </w:rPr>
      </w:pPr>
      <w:r>
        <w:rPr>
          <w:rFonts w:ascii="Arial" w:cs="Arial" w:eastAsia="Arial" w:hAnsi="Arial"/>
          <w:sz w:val="18"/>
          <w:szCs w:val="18"/>
          <w:color w:val="auto"/>
        </w:rPr>
        <w:t>Little Rock, Arkansas 72211</w:t>
      </w:r>
    </w:p>
    <w:p>
      <w:pPr>
        <w:spacing w:after="0" w:line="9" w:lineRule="exact"/>
        <w:rPr>
          <w:rFonts w:ascii="Arial" w:cs="Arial" w:eastAsia="Arial" w:hAnsi="Arial"/>
          <w:sz w:val="17"/>
          <w:szCs w:val="17"/>
          <w:color w:val="auto"/>
        </w:rPr>
      </w:pPr>
    </w:p>
    <w:p>
      <w:pPr>
        <w:jc w:val="center"/>
        <w:ind w:right="-600"/>
        <w:spacing w:after="0"/>
        <w:rPr>
          <w:sz w:val="20"/>
          <w:szCs w:val="20"/>
          <w:color w:val="auto"/>
        </w:rPr>
      </w:pPr>
      <w:r>
        <w:rPr>
          <w:rFonts w:ascii="Arial" w:cs="Arial" w:eastAsia="Arial" w:hAnsi="Arial"/>
          <w:sz w:val="18"/>
          <w:szCs w:val="18"/>
          <w:color w:val="auto"/>
        </w:rPr>
        <w:t>(501) 850-0820</w:t>
      </w:r>
    </w:p>
    <w:p>
      <w:pPr>
        <w:spacing w:after="0" w:line="130" w:lineRule="exact"/>
        <w:rPr>
          <w:rFonts w:ascii="Arial" w:cs="Arial" w:eastAsia="Arial" w:hAnsi="Arial"/>
          <w:sz w:val="17"/>
          <w:szCs w:val="17"/>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We maintain a website at www.uniti.com, where investors can find press releases, financial filings and other information about us. The reference to our website does not constitute incorporation by reference of the information contained at, or that can be accessed through, the site, and you should not consider it a part of this prospectus or any other document we file with or furnish to the SEC.</w:t>
      </w:r>
    </w:p>
    <w:p>
      <w:pPr>
        <w:sectPr>
          <w:pgSz w:w="11900" w:h="16838" w:orient="portrait"/>
          <w:cols w:equalWidth="0" w:num="1">
            <w:col w:w="10139"/>
          </w:cols>
          <w:pgMar w:left="320" w:top="132" w:right="1440" w:bottom="1440" w:gutter="0" w:footer="0" w:header="0"/>
        </w:sectPr>
      </w:pPr>
    </w:p>
    <w:p>
      <w:pPr>
        <w:spacing w:after="0" w:line="360" w:lineRule="exact"/>
        <w:rPr>
          <w:rFonts w:ascii="Arial" w:cs="Arial" w:eastAsia="Arial" w:hAnsi="Arial"/>
          <w:sz w:val="17"/>
          <w:szCs w:val="17"/>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8" w:lineRule="exact"/>
        <w:rPr>
          <w:sz w:val="20"/>
          <w:szCs w:val="20"/>
          <w:color w:val="auto"/>
        </w:rPr>
      </w:pPr>
    </w:p>
    <w:p>
      <w:pPr>
        <w:ind w:left="1260" w:right="679" w:firstLine="360"/>
        <w:spacing w:after="0" w:line="246" w:lineRule="auto"/>
        <w:rPr>
          <w:sz w:val="20"/>
          <w:szCs w:val="20"/>
          <w:color w:val="auto"/>
        </w:rPr>
      </w:pPr>
      <w:r>
        <w:rPr>
          <w:rFonts w:ascii="Arial" w:cs="Arial" w:eastAsia="Arial" w:hAnsi="Arial"/>
          <w:sz w:val="17"/>
          <w:szCs w:val="17"/>
          <w:color w:val="auto"/>
        </w:rPr>
        <w:t>This prospectus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announced with Windstream Holdings, Inc. (“Windstream Holdings”) and its subsidiaries (Windstream Holdings, together with its subsidiaries, “Windstream”) and our ability to obtain court approval for such settlement and satisfy the conditions precedent to its effectiveness, and Windstream’s ability to implement a successful plan of reorganization and emerge from bankruptcy; if the settlement is not effected, the bankruptcy and Windstream’s performance under its long-term exclusive triple- net lease with us (the “Master Lease”); if the settlement is not effected, our expectations with respect to the treatment of the Master Lease in Windstream’s petitions for relief under Chapter 11 of the Bankruptcy Code, including with respect to Windstream’s claims that the Master Lease should be recharacterized as a financing transaction, that the Master Lease is a lease of personal property and that rent payments and tenant capital improvements made by Windstream under the Master Lease constituted constructive fraudulent transfers and that we are in breach of certain of our obligations under the Master Lease; our expectations regarding the effect of substantial doubt about our ability to continue as a going concern; our expectations about our ability to maintain our status as a real estate investment trust (“REIT”); our expectations regarding the future growth and demand of the telecommunication industry, future financing plans, business strategies, growth prospects, operating and financial performance, and our future liquidity needs and access to capital; expectations regarding the impact and integration of Information Transport Solutions, Inc. and JKM Consulting, Inc. d/b/a 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Connections, including expectations regarding operational synergies with Uniti Towers and Uniti Fiber; expectations regarding the probability of our obligation to pay contingent consideration upon Tower Cloud, Inc.’s achievement of certain defined operational and financial milestones;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expectations regarding the impact of the operating company-property company partnership with Macquarie Infrastructure Partners and related acquisition of Bluebird Network, LLC; our expectations regarding the wind down of our Consumer CLEC business; and expectations regarding the payment of dividends.</w:t>
      </w:r>
    </w:p>
    <w:p>
      <w:pPr>
        <w:spacing w:after="0" w:line="13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73" w:lineRule="exact"/>
        <w:rPr>
          <w:sz w:val="20"/>
          <w:szCs w:val="20"/>
          <w:color w:val="auto"/>
        </w:rPr>
      </w:pPr>
    </w:p>
    <w:p>
      <w:pPr>
        <w:ind w:left="1800" w:right="719" w:hanging="178"/>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future prospects of our largest customer, Windstream Holdings, which, following a finding that it is in default of certain of its debt, on February 25, 2019, and along with all of its subsidiaries, filed voluntary petitions for relief under Chapter 11 of the Bankruptcy Code;</w:t>
      </w:r>
    </w:p>
    <w:p>
      <w:pPr>
        <w:spacing w:after="0" w:line="62" w:lineRule="exact"/>
        <w:rPr>
          <w:rFonts w:ascii="Arial" w:cs="Arial" w:eastAsia="Arial" w:hAnsi="Arial"/>
          <w:sz w:val="18"/>
          <w:szCs w:val="18"/>
          <w:color w:val="auto"/>
        </w:rPr>
      </w:pPr>
    </w:p>
    <w:p>
      <w:pPr>
        <w:ind w:left="1800" w:right="759" w:hanging="178"/>
        <w:spacing w:after="0" w:line="279" w:lineRule="auto"/>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continue as a going concern if our settlement is not implemented and/or Windstream is not able to successfully emerge and the settlement is not implemented, and Windstream Holdings were to succeed in its recharacterization and fraudulent transfer claims against us, reject the Master Lease or be unable or unwilling to perform its obligations under the Master Lease;</w:t>
      </w:r>
    </w:p>
    <w:p>
      <w:pPr>
        <w:spacing w:after="0" w:line="63" w:lineRule="exact"/>
        <w:rPr>
          <w:rFonts w:ascii="Arial" w:cs="Arial" w:eastAsia="Arial" w:hAnsi="Arial"/>
          <w:sz w:val="17"/>
          <w:szCs w:val="17"/>
          <w:color w:val="auto"/>
        </w:rPr>
      </w:pPr>
    </w:p>
    <w:p>
      <w:pPr>
        <w:ind w:left="1800" w:right="1159" w:hanging="178"/>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48" w:lineRule="exact"/>
        <w:rPr>
          <w:rFonts w:ascii="Arial" w:cs="Arial" w:eastAsia="Arial" w:hAnsi="Arial"/>
          <w:sz w:val="18"/>
          <w:szCs w:val="18"/>
          <w:color w:val="auto"/>
        </w:rPr>
      </w:pPr>
    </w:p>
    <w:p>
      <w:pPr>
        <w:ind w:left="1800" w:right="799" w:hanging="178"/>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62" w:lineRule="exact"/>
        <w:rPr>
          <w:rFonts w:ascii="Arial" w:cs="Arial" w:eastAsia="Arial" w:hAnsi="Arial"/>
          <w:sz w:val="18"/>
          <w:szCs w:val="18"/>
          <w:color w:val="auto"/>
        </w:rPr>
      </w:pPr>
    </w:p>
    <w:p>
      <w:pPr>
        <w:ind w:left="1800" w:right="839" w:hanging="178"/>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31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35" w:lineRule="exact"/>
        <w:rPr>
          <w:rFonts w:ascii="Arial" w:cs="Arial" w:eastAsia="Arial" w:hAnsi="Arial"/>
          <w:sz w:val="18"/>
          <w:szCs w:val="18"/>
          <w:color w:val="auto"/>
        </w:rPr>
      </w:pPr>
    </w:p>
    <w:p>
      <w:pPr>
        <w:ind w:left="1800" w:right="859" w:hanging="178"/>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48" w:lineRule="exact"/>
        <w:rPr>
          <w:rFonts w:ascii="Arial" w:cs="Arial" w:eastAsia="Arial" w:hAnsi="Arial"/>
          <w:sz w:val="18"/>
          <w:szCs w:val="18"/>
          <w:color w:val="auto"/>
        </w:rPr>
      </w:pPr>
    </w:p>
    <w:p>
      <w:pPr>
        <w:ind w:left="1800" w:right="101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 and fund our capital funding commitments;</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90" w:lineRule="exact"/>
        <w:rPr>
          <w:rFonts w:ascii="Arial" w:cs="Arial" w:eastAsia="Arial" w:hAnsi="Arial"/>
          <w:sz w:val="18"/>
          <w:szCs w:val="18"/>
          <w:color w:val="auto"/>
        </w:rPr>
      </w:pPr>
    </w:p>
    <w:p>
      <w:pPr>
        <w:ind w:left="1800" w:right="799" w:hanging="178"/>
        <w:spacing w:after="0" w:line="259"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impacts of changes to our business, economic trends or key assumptions regarding our estimates of fair value, including potential impacts of recent developments surrounding Windstream that could result in an impairment charge in the future, which could have a significant impact to our reported earnings;</w:t>
      </w:r>
    </w:p>
    <w:p>
      <w:pPr>
        <w:spacing w:after="0" w:line="65"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on our business or the business of our customers as a result of credit rating downgrades, and fluctuating interest rates;</w:t>
      </w:r>
    </w:p>
    <w:p>
      <w:pPr>
        <w:spacing w:after="0" w:line="35"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90"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03" w:lineRule="exact"/>
        <w:rPr>
          <w:rFonts w:ascii="Arial" w:cs="Arial" w:eastAsia="Arial" w:hAnsi="Arial"/>
          <w:sz w:val="18"/>
          <w:szCs w:val="18"/>
          <w:color w:val="auto"/>
        </w:rPr>
      </w:pPr>
    </w:p>
    <w:p>
      <w:pPr>
        <w:ind w:left="1800" w:right="91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status as a REIT, including as a result of the effects of the recent events with respect to our largest customer, Windstream Holdings;</w:t>
      </w:r>
    </w:p>
    <w:p>
      <w:pPr>
        <w:spacing w:after="0" w:line="35"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 including the impact of the 2017 U.S. tax reform legislation;</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90"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35" w:lineRule="exact"/>
        <w:rPr>
          <w:rFonts w:ascii="Arial" w:cs="Arial" w:eastAsia="Arial" w:hAnsi="Arial"/>
          <w:sz w:val="18"/>
          <w:szCs w:val="18"/>
          <w:color w:val="auto"/>
        </w:rPr>
      </w:pPr>
    </w:p>
    <w:p>
      <w:pPr>
        <w:ind w:left="1800" w:right="1179" w:hanging="178"/>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48" w:lineRule="exact"/>
        <w:rPr>
          <w:rFonts w:ascii="Arial" w:cs="Arial" w:eastAsia="Arial" w:hAnsi="Arial"/>
          <w:sz w:val="18"/>
          <w:szCs w:val="18"/>
          <w:color w:val="auto"/>
        </w:rPr>
      </w:pPr>
    </w:p>
    <w:p>
      <w:pPr>
        <w:ind w:left="1800" w:right="779" w:hanging="178"/>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48" w:lineRule="exact"/>
        <w:rPr>
          <w:rFonts w:ascii="Arial" w:cs="Arial" w:eastAsia="Arial" w:hAnsi="Arial"/>
          <w:sz w:val="18"/>
          <w:szCs w:val="18"/>
          <w:color w:val="auto"/>
        </w:rPr>
      </w:pPr>
    </w:p>
    <w:p>
      <w:pPr>
        <w:ind w:left="1800" w:right="739" w:hanging="178"/>
        <w:spacing w:after="0" w:line="279" w:lineRule="auto"/>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additional factors discussed in Part I, Item 1A “Risk Factors” and Part II, Item 7 “Management’s Discussion and Analysis of Financial Condition and Results of Operations” of our Annual Report on Form 10-K for the year ended December 31, 2019, as well as those described from time to time in our future reports filed with the U.S. Securities and Exchange Commission (the “SEC”).</w:t>
      </w:r>
    </w:p>
    <w:p>
      <w:pPr>
        <w:spacing w:after="0" w:line="104"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Forward-looking statements speak only as of the date of this prospectus.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18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UNITI GROUP INC.</w:t>
      </w:r>
    </w:p>
    <w:p>
      <w:pPr>
        <w:spacing w:after="0" w:line="162"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We are an independent, internally managed real estate investment trust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107"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Our executive offices are located at 10802 Executive Center Drive, Benton Building Suite 300, Little Rock, Arkansas 72211. Our telephone number is (501) 850-0820.</w:t>
      </w:r>
    </w:p>
    <w:p>
      <w:pPr>
        <w:spacing w:after="0" w:line="16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1019" w:firstLine="360"/>
        <w:spacing w:after="0" w:line="291" w:lineRule="auto"/>
        <w:rPr>
          <w:sz w:val="20"/>
          <w:szCs w:val="20"/>
          <w:color w:val="auto"/>
        </w:rPr>
      </w:pPr>
      <w:r>
        <w:rPr>
          <w:rFonts w:ascii="Arial" w:cs="Arial" w:eastAsia="Arial" w:hAnsi="Arial"/>
          <w:sz w:val="17"/>
          <w:szCs w:val="17"/>
          <w:color w:val="auto"/>
        </w:rPr>
        <w:t>Investing in these securities involves risk. Before you invest in the securities, you should carefully consider all of the risk factors incorporated by reference in this prospectus, including the risk factors set</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forth in our most recent Annual Report on Form 10-K, any subsequent Quarterly Reports on Form 10-Q or Current Reports on Form 8-K, together with any risk factors discussed in this prospectus or any applicable prospectus supplement. You should also carefully consider all of the other information included or incorporated by reference in this prospectus. The occurrence of any of these risks could materially and adversely affect our business, financial condition, liquidity, cash flows, results of operations, prospects, and our ability to implement our investment strategy and to make or sustain distributions to our stockholders, which could result in a partial or complete loss of your investment in our securities. Some statements in this prospectus constitute forward-looking statements. See “Cautionary Statement Regarding Forward-Looking Statements.”</w:t>
      </w:r>
    </w:p>
    <w:p>
      <w:pPr>
        <w:spacing w:after="0" w:line="19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Unless otherwise indicated in a prospectus supplement, we intend to use the net proceeds from the offering of securities under this prospectus for general corporate purposes, including funding our investment activity, the repayment of outstanding indebtedness, working capital and other general purposes. Further details relating to the use of the net proceeds from the offering of securities under this prospectus will be set forth in the applicable prospectus supplement. Pending such uses, we anticipate that we will invest the net proceeds in a manner consistent with maintaining our qualification as a REIT.</w:t>
      </w:r>
    </w:p>
    <w:p>
      <w:pPr>
        <w:spacing w:after="0" w:line="110" w:lineRule="exact"/>
        <w:rPr>
          <w:sz w:val="20"/>
          <w:szCs w:val="20"/>
          <w:color w:val="auto"/>
        </w:rPr>
      </w:pPr>
    </w:p>
    <w:p>
      <w:pPr>
        <w:ind w:left="1260" w:right="1039" w:firstLine="360"/>
        <w:spacing w:after="0" w:line="277" w:lineRule="auto"/>
        <w:rPr>
          <w:sz w:val="20"/>
          <w:szCs w:val="20"/>
          <w:color w:val="auto"/>
        </w:rPr>
      </w:pPr>
      <w:r>
        <w:rPr>
          <w:rFonts w:ascii="Arial" w:cs="Arial" w:eastAsia="Arial" w:hAnsi="Arial"/>
          <w:sz w:val="18"/>
          <w:szCs w:val="18"/>
          <w:color w:val="auto"/>
        </w:rPr>
        <w:t>If a prospectus supplement includes an offering by selling security holders, we will not receive any proceeds from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COMMON STOCK</w:t>
      </w:r>
    </w:p>
    <w:p>
      <w:pPr>
        <w:spacing w:after="0" w:line="148" w:lineRule="exact"/>
        <w:rPr>
          <w:sz w:val="20"/>
          <w:szCs w:val="20"/>
          <w:color w:val="auto"/>
        </w:rPr>
      </w:pPr>
    </w:p>
    <w:p>
      <w:pPr>
        <w:ind w:left="1260" w:right="759" w:firstLine="360"/>
        <w:spacing w:after="0" w:line="239" w:lineRule="auto"/>
        <w:rPr>
          <w:sz w:val="20"/>
          <w:szCs w:val="20"/>
          <w:color w:val="auto"/>
        </w:rPr>
      </w:pPr>
      <w:r>
        <w:rPr>
          <w:rFonts w:ascii="Arial" w:cs="Arial" w:eastAsia="Arial" w:hAnsi="Arial"/>
          <w:sz w:val="18"/>
          <w:szCs w:val="18"/>
          <w:color w:val="auto"/>
        </w:rPr>
        <w:t>The following description of our common stock sets forth certain general terms and provisions of the common stock to which any prospectus supplement may relate and will apply to the common stock offered by this prospectus unless we provide otherwise in the applicable prospectus supplement. The description of our common stock set forth below and in any prospectus supplement does not purport to be complete and is subject to and qualified in its entirety by reference to the applicable provisions of the Maryland General Corporation Law (the “MGCL”) and our charter and bylaws. See “Certain Provisions of Maryland Law and of Our Charter and Bylaws.”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899" w:firstLine="360"/>
        <w:spacing w:after="0" w:line="259" w:lineRule="auto"/>
        <w:rPr>
          <w:sz w:val="20"/>
          <w:szCs w:val="20"/>
          <w:color w:val="auto"/>
        </w:rPr>
      </w:pPr>
      <w:r>
        <w:rPr>
          <w:rFonts w:ascii="Arial" w:cs="Arial" w:eastAsia="Arial" w:hAnsi="Arial"/>
          <w:sz w:val="17"/>
          <w:szCs w:val="17"/>
          <w:color w:val="auto"/>
        </w:rPr>
        <w:t>Our charter authorizes us to issue up to 500,000,000 shares of common stock, $0.0001 par value per share. Our charter authorizes our board of directors, with the approval of a majority of the entire board of directors and without stockholder approval, to amend our charter to increase or decrease the aggregate number of shares of stock or the number of shares of any class or series of stock that we are authorized to issue. As of March 4, 2020 there were 193,263,981 shares of common stock issued and outstanding.</w:t>
      </w:r>
    </w:p>
    <w:p>
      <w:pPr>
        <w:spacing w:after="0" w:line="106"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Under Maryland law, a stockholder generally is not liable for a corporation’s debts or obligations solely as a result of the stockholder’s status as a stockholder.</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Terms</w:t>
      </w:r>
    </w:p>
    <w:p>
      <w:pPr>
        <w:spacing w:after="0" w:line="148"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All shares of our common stock that may be offered and sold pursuant to the registration statement of which this prospectus forms a part will be duly authorized, validly issued, fully paid and nonassessable. Subject to the preferential rights of any other class or series of our stock and the provisions of our charter that restrict transfer and ownership of our stock discussed in the “Restrictions on Ownership and Transfer” section, the holders of shares of our common stock are generally entitled to receive dividends on such stock out of assets legally available for distribution to the stockholders when, as and if authorized by our board of directors and declared by us. The holders of shares of our common stock will also be entitled to share ratably in our net assets legally available for distribution to stockholders in the event of our liquidation, dissolution or winding up, after payment of or adequate provision for all known debts and liabilities.</w:t>
      </w:r>
    </w:p>
    <w:p>
      <w:pPr>
        <w:spacing w:after="0" w:line="116"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7"/>
          <w:szCs w:val="17"/>
          <w:color w:val="auto"/>
        </w:rPr>
        <w:t>Subject to the rights of any other class or series of our stock and the provisions of our charter that restrict transfer and ownership of our stock discussed in the “Restrictions on Ownership and Transfer” section, each outstanding share of our common stock entitles the holder to one vote on all matters submitted to a vote of the stockholders, including the election of directors. Under our charter, there is no cumulative voting in the election of directors. Our bylaws require that each director be elected by a plurality of votes cast with respect to such director, except in the case of an uncontested election, in which case our bylaws require that each director be elected by a majority of votes cast with respect to such director.</w:t>
      </w:r>
    </w:p>
    <w:p>
      <w:pPr>
        <w:spacing w:after="0" w:line="112" w:lineRule="exact"/>
        <w:rPr>
          <w:sz w:val="20"/>
          <w:szCs w:val="20"/>
          <w:color w:val="auto"/>
        </w:rPr>
      </w:pPr>
    </w:p>
    <w:p>
      <w:pPr>
        <w:jc w:val="both"/>
        <w:ind w:left="1260" w:right="939" w:firstLine="360"/>
        <w:spacing w:after="0" w:line="243" w:lineRule="auto"/>
        <w:rPr>
          <w:sz w:val="20"/>
          <w:szCs w:val="20"/>
          <w:color w:val="auto"/>
        </w:rPr>
      </w:pPr>
      <w:r>
        <w:rPr>
          <w:rFonts w:ascii="Arial" w:cs="Arial" w:eastAsia="Arial" w:hAnsi="Arial"/>
          <w:sz w:val="18"/>
          <w:szCs w:val="18"/>
          <w:color w:val="auto"/>
        </w:rPr>
        <w:t>Holders of shares of our common stock generally have no preference, conversion, exchange, sinking fund, redemption or appraisal rights and have no preemptive rights to subscribe for any of our securities. Subject to the provisions of our charter that restrict transfer and ownership of our stock, all shares of our common stock will have equal dividend, liquidation and other rights.</w:t>
      </w:r>
    </w:p>
    <w:p>
      <w:pPr>
        <w:spacing w:after="0" w:line="184" w:lineRule="exact"/>
        <w:rPr>
          <w:sz w:val="20"/>
          <w:szCs w:val="20"/>
          <w:color w:val="auto"/>
        </w:rPr>
      </w:pPr>
    </w:p>
    <w:p>
      <w:pPr>
        <w:ind w:left="1260" w:right="859"/>
        <w:spacing w:after="0" w:line="266" w:lineRule="auto"/>
        <w:rPr>
          <w:sz w:val="20"/>
          <w:szCs w:val="20"/>
          <w:color w:val="auto"/>
        </w:rPr>
      </w:pPr>
      <w:r>
        <w:rPr>
          <w:rFonts w:ascii="Arial" w:cs="Arial" w:eastAsia="Arial" w:hAnsi="Arial"/>
          <w:sz w:val="18"/>
          <w:szCs w:val="18"/>
          <w:b w:val="1"/>
          <w:bCs w:val="1"/>
          <w:color w:val="auto"/>
        </w:rPr>
        <w:t>Power to Increase or Decrease Authorized Shares of Common Stock and Issue Additional Shares of Common Stock</w:t>
      </w:r>
    </w:p>
    <w:p>
      <w:pPr>
        <w:spacing w:after="0" w:line="85"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Our charter authorizes our board of directors, with the approval of a majority of the entire board of directors and without stockholder approval, to amend our charter from time to time to increase or decrease the aggregate number of shares of common stock or the number of shares of any class or series of stock that we have the authority to issue.</w:t>
      </w:r>
    </w:p>
    <w:p>
      <w:pPr>
        <w:spacing w:after="0" w:line="120"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7"/>
          <w:szCs w:val="17"/>
          <w:color w:val="auto"/>
        </w:rPr>
        <w:t>We believe that the power of our board of directors to amend our charter to increase or decrease the aggregate number of authorized shares of common stock and to authorize us to issue additional authorized but unissued shares of our common stock provides us with increased flexibility in structuring possible future financings and acquisitions and in meeting other needs that might arise. The additional classes or series, as well as the additional authorized shares of our common stock, will be available for issuance without</w:t>
      </w:r>
    </w:p>
    <w:p>
      <w:pPr>
        <w:spacing w:after="0" w:line="34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39" w:lineRule="auto"/>
        <w:rPr>
          <w:sz w:val="20"/>
          <w:szCs w:val="20"/>
          <w:color w:val="auto"/>
        </w:rPr>
      </w:pPr>
      <w:r>
        <w:rPr>
          <w:rFonts w:ascii="Arial" w:cs="Arial" w:eastAsia="Arial" w:hAnsi="Arial"/>
          <w:sz w:val="18"/>
          <w:szCs w:val="18"/>
          <w:color w:val="auto"/>
        </w:rPr>
        <w:t>further action by our stockholders, unless such action is required by applicable law, the terms of any class or series of preferred stock that we may issue in the future or the rules of any stock exchange or automated quotation system on which our securities may be listed or traded. Although our board of directors does not currently intend to do so, it could authorize us to issue a class or series of stock that could, depending upon the terms of the particular class or series, delay, defer or prevent a transaction or a change of control of Uniti that might involve a premium price for holders of our common stock or that our common stockholders otherwise believe to be in their best interests.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48" w:lineRule="exact"/>
        <w:rPr>
          <w:sz w:val="20"/>
          <w:szCs w:val="20"/>
          <w:color w:val="auto"/>
        </w:rPr>
      </w:pPr>
    </w:p>
    <w:p>
      <w:pPr>
        <w:ind w:left="1260" w:right="939" w:firstLine="360"/>
        <w:spacing w:after="0" w:line="248" w:lineRule="auto"/>
        <w:rPr>
          <w:sz w:val="20"/>
          <w:szCs w:val="20"/>
          <w:color w:val="auto"/>
        </w:rPr>
      </w:pPr>
      <w:r>
        <w:rPr>
          <w:rFonts w:ascii="Arial" w:cs="Arial" w:eastAsia="Arial" w:hAnsi="Arial"/>
          <w:sz w:val="18"/>
          <w:szCs w:val="18"/>
          <w:color w:val="auto"/>
        </w:rPr>
        <w:t>To assist us in complying with certain U.S. federal income tax requirements applicable to REITs, we have adopted certain restrictions relating to the ownership and transfer of the common stock. See “Restrictions on Ownership and Transfer.”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registrar and transfer agent for our common stock is EQ Shareowner Services.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Our common stock is listed on the NASDAQ Global Select Market (“NASDAQ”) under the symbol “UNIT.”</w:t>
      </w:r>
    </w:p>
    <w:p>
      <w:pPr>
        <w:spacing w:after="0" w:line="16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PREFERRED STOCK</w:t>
      </w:r>
    </w:p>
    <w:p>
      <w:pPr>
        <w:spacing w:after="0" w:line="14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8"/>
          <w:szCs w:val="18"/>
          <w:color w:val="auto"/>
        </w:rPr>
        <w:t>The specific terms of a particular class or series of preferred stock will be described in the prospectus supplement relating to that class or series, including a prospectus supplement providing that preferred stock may be issuable upon the exercise of warrants we issue. The description of preferred stock set forth below and the description of the terms of a particular class or series of preferred stock set forth in the applicable prospectus supplement do not purport to be complete and are qualified in their entirety by reference to the articles supplementary related to that class or series.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Our charter authorizes us to issue up to 50,000,000 shares of preferred stock, $.0001 par value per share. Our board of directors is permitted from time to time to establish and to cause us to issue one or more classes or series of preferred stock and set the terms, preferences, conversion or other rights, voting powers, restrictions, limitations as to dividends or other distributions, qualifications, or terms or conditions of redemption of such classes or series. Accordingly, our board of directors, without stockholder approval, is permitted to issue preferred stock with voting, conversion or other rights that could adversely affect the voting power and other rights of the holders of common stock. Preferred stock could be issued quickly with terms calculated to delay or prevent a change of control or make removal of management more difficult. Additionally, the issuance of preferred stock may have the effect of decreasing the market price of our common stock, may adversely affect the voting and other rights of the holders of our common stock, and could have the effect of delaying, deferring or preventing a change of control of Uniti or other corporate action. As of March 12, 2020, there are no shares of preferred stock currently outstanding.</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Terms</w:t>
      </w:r>
    </w:p>
    <w:p>
      <w:pPr>
        <w:spacing w:after="0" w:line="162"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The prospectus supplement relating to any series of preferred stock that we may offer will contain the specific terms of the preferred stock. These terms may include the following:</w:t>
      </w:r>
    </w:p>
    <w:p>
      <w:pPr>
        <w:spacing w:after="0" w:line="62" w:lineRule="exact"/>
        <w:rPr>
          <w:sz w:val="20"/>
          <w:szCs w:val="20"/>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of the series and the number of shares in the series;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at which the preferred stock will be offered;</w:t>
      </w:r>
    </w:p>
    <w:p>
      <w:pPr>
        <w:spacing w:after="0" w:line="117" w:lineRule="exact"/>
        <w:rPr>
          <w:rFonts w:ascii="Arial" w:cs="Arial" w:eastAsia="Arial" w:hAnsi="Arial"/>
          <w:sz w:val="18"/>
          <w:szCs w:val="18"/>
          <w:color w:val="auto"/>
        </w:rPr>
      </w:pPr>
    </w:p>
    <w:p>
      <w:pPr>
        <w:jc w:val="both"/>
        <w:ind w:left="1800" w:right="719" w:hanging="178"/>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dividend rate or rates or method of calculating the rates, the dates on which the dividends will be payable, whether or not dividends will be cumulative or non-cumulative and, if cumulative, the dates from which dividends on the preferred stock being offered will cumulate;</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preferred stock being offered;</w:t>
      </w:r>
    </w:p>
    <w:p>
      <w:pPr>
        <w:spacing w:after="0" w:line="103" w:lineRule="exact"/>
        <w:rPr>
          <w:rFonts w:ascii="Arial" w:cs="Arial" w:eastAsia="Arial" w:hAnsi="Arial"/>
          <w:sz w:val="18"/>
          <w:szCs w:val="18"/>
          <w:color w:val="auto"/>
        </w:rPr>
      </w:pPr>
    </w:p>
    <w:p>
      <w:pPr>
        <w:ind w:left="1800" w:right="113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for a sinking fund, if any, and the provisions for redemption, if applicable, of the preferred stock being offered;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117" w:lineRule="exact"/>
        <w:rPr>
          <w:rFonts w:ascii="Arial" w:cs="Arial" w:eastAsia="Arial" w:hAnsi="Arial"/>
          <w:sz w:val="18"/>
          <w:szCs w:val="18"/>
          <w:color w:val="auto"/>
        </w:rPr>
      </w:pPr>
    </w:p>
    <w:p>
      <w:pPr>
        <w:ind w:left="1800" w:right="819" w:hanging="178"/>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being offered will be convertible into our common stock, including the conversion price, or the manner of calculating the conversion price, and the conversion period;</w:t>
      </w:r>
    </w:p>
    <w:p>
      <w:pPr>
        <w:spacing w:after="0" w:line="75" w:lineRule="exact"/>
        <w:rPr>
          <w:rFonts w:ascii="Arial" w:cs="Arial" w:eastAsia="Arial" w:hAnsi="Arial"/>
          <w:sz w:val="18"/>
          <w:szCs w:val="18"/>
          <w:color w:val="auto"/>
        </w:rPr>
      </w:pPr>
    </w:p>
    <w:p>
      <w:pPr>
        <w:ind w:left="1800" w:right="1139" w:hanging="178"/>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being offered will be exchangeable for debt securities, including the exchange price, or the manner of calculating the exchange price, and the exchange period;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listing of the preferred stock being offered on any securities exchange;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interests in the shares of the series will be represented by depositary shares;</w:t>
      </w:r>
    </w:p>
    <w:p>
      <w:pPr>
        <w:spacing w:after="0" w:line="117"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preferred stock being offered;</w:t>
      </w:r>
    </w:p>
    <w:p>
      <w:pPr>
        <w:spacing w:after="0" w:line="48"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being offered as to dividend rights and rights upon liquidation, dissolution or the winding up of our affairs;</w:t>
      </w:r>
    </w:p>
    <w:p>
      <w:pPr>
        <w:spacing w:after="0" w:line="62" w:lineRule="exact"/>
        <w:rPr>
          <w:rFonts w:ascii="Arial" w:cs="Arial" w:eastAsia="Arial" w:hAnsi="Arial"/>
          <w:sz w:val="18"/>
          <w:szCs w:val="18"/>
          <w:color w:val="auto"/>
        </w:rPr>
      </w:pPr>
    </w:p>
    <w:p>
      <w:pPr>
        <w:ind w:left="1800" w:right="719" w:hanging="178"/>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or equal to the series of preferred stock being offered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additional rights, preferences, qualifications, limitations and restrictions of the series.</w:t>
      </w:r>
    </w:p>
    <w:p>
      <w:pPr>
        <w:spacing w:after="0" w:line="144"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Upon issuance, the shares of preferred stock will be fully paid and nonassessable, which means that its holders will have paid their purchase price in full, and we may not require them to pay additional funds. Holders of preferred stock will not have any preemptive rights.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Rank</w:t>
      </w:r>
    </w:p>
    <w:p>
      <w:pPr>
        <w:spacing w:after="0" w:line="162" w:lineRule="exact"/>
        <w:rPr>
          <w:sz w:val="20"/>
          <w:szCs w:val="20"/>
          <w:color w:val="auto"/>
        </w:rPr>
      </w:pPr>
    </w:p>
    <w:p>
      <w:pPr>
        <w:jc w:val="both"/>
        <w:ind w:left="1260" w:right="1119" w:firstLine="360"/>
        <w:spacing w:after="0" w:line="258" w:lineRule="auto"/>
        <w:rPr>
          <w:sz w:val="20"/>
          <w:szCs w:val="20"/>
          <w:color w:val="auto"/>
        </w:rPr>
      </w:pPr>
      <w:r>
        <w:rPr>
          <w:rFonts w:ascii="Arial" w:cs="Arial" w:eastAsia="Arial" w:hAnsi="Arial"/>
          <w:sz w:val="17"/>
          <w:szCs w:val="17"/>
          <w:color w:val="auto"/>
        </w:rPr>
        <w:t>Unless otherwise specified in the applicable prospectus supplement, the preferred stock will, with respect to dividend rights and rights upon liquidation, dissolution or winding up of the Company, rank:</w:t>
      </w:r>
    </w:p>
    <w:p>
      <w:pPr>
        <w:spacing w:after="0" w:line="1" w:lineRule="exact"/>
        <w:rPr>
          <w:sz w:val="20"/>
          <w:szCs w:val="20"/>
          <w:color w:val="auto"/>
        </w:rPr>
      </w:pPr>
    </w:p>
    <w:p>
      <w:pPr>
        <w:ind w:left="1260" w:right="799" w:firstLine="2"/>
        <w:spacing w:after="0" w:line="237" w:lineRule="auto"/>
        <w:tabs>
          <w:tab w:leader="none" w:pos="14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to all classes or series of the common stock, and to any other class or series of the Company’s stock expressly designated as ranking junior to the preferred stock; (ii) on parity with any class or series of the Company’s stock expressly designated as ranking on parity with the preferred stock; and (iii) junior to any other class or series of the Company’s stock expressly designated as ranking senior to the preferred stock.</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Conversion Rights</w:t>
      </w:r>
    </w:p>
    <w:p>
      <w:pPr>
        <w:spacing w:after="0" w:line="162"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7"/>
          <w:szCs w:val="17"/>
          <w:color w:val="auto"/>
        </w:rPr>
        <w:t>The terms and conditions, if any, upon which any shares of any class or series of preferred stock are convertible into common stock of the Company will be described in the applicable prospectus supplement relating thereto. Such terms will include the number of shares of common stock into which the shares of preferred stock are convertible, the conversion price (or manner of calculation thereof), the conversion period, provisions as to whether conversion will be at the option of the holders of such class or series of preferred stock, the events requiring an adjustment of the conversion price and provisions affecting conversion in the event of the redemption of such class or series of preferred stock.</w:t>
      </w:r>
    </w:p>
    <w:p>
      <w:pPr>
        <w:spacing w:after="0" w:line="176" w:lineRule="exact"/>
        <w:rPr>
          <w:sz w:val="20"/>
          <w:szCs w:val="20"/>
          <w:color w:val="auto"/>
        </w:rPr>
      </w:pPr>
    </w:p>
    <w:p>
      <w:pPr>
        <w:ind w:left="1260" w:right="819"/>
        <w:spacing w:after="0" w:line="266" w:lineRule="auto"/>
        <w:rPr>
          <w:sz w:val="20"/>
          <w:szCs w:val="20"/>
          <w:color w:val="auto"/>
        </w:rPr>
      </w:pPr>
      <w:r>
        <w:rPr>
          <w:rFonts w:ascii="Arial" w:cs="Arial" w:eastAsia="Arial" w:hAnsi="Arial"/>
          <w:sz w:val="18"/>
          <w:szCs w:val="18"/>
          <w:b w:val="1"/>
          <w:bCs w:val="1"/>
          <w:color w:val="auto"/>
        </w:rPr>
        <w:t>Power to Increase or Decrease Authorized Shares of Preferred Stock and Issue Additional Shares of Preferred Stock</w:t>
      </w:r>
    </w:p>
    <w:p>
      <w:pPr>
        <w:spacing w:after="0" w:line="85"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Our charter authorizes our board of directors, with the approval of a majority of the entire board of directors and without stockholder approval, to amend our charter from time to time to increase or decrease the aggregate number of shares of preferred stock or the number of shares of any class or series of stock that we are authorized to issue.</w:t>
      </w:r>
    </w:p>
    <w:p>
      <w:pPr>
        <w:sectPr>
          <w:pgSz w:w="11900" w:h="16838" w:orient="portrait"/>
          <w:cols w:equalWidth="0" w:num="1">
            <w:col w:w="10139"/>
          </w:cols>
          <w:pgMar w:left="320" w:top="131"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We believe that the power of our board of directors to amend our charter to increase or decrease the aggregate number of authorized shares of preferred stock, to authorize us to issue preferred stock and to classify or reclassify unissued shares of our preferred stock into other classes or series of preferred stock and thereafter to authorize us to issue such classified or reclassified shares of preferred stock provides us with increased flexibility in structuring possible future financings and acquisitions and in meeting other needs that might arise. The additional classes or series will be available for issuance without further action by our stockholders, unless such action is required by applicable law, the terms of any class or series of preferred stock that we may issue in the future or the rules of any stock exchange or automated quotation system on which our securities may be listed or traded. Although our board of directors does not currently intend to do so, it could authorize us to issue a class or series of stock that could, depending upon the terms of the particular class or series, delay, defer or prevent a transaction or a change of control of Uniti that might involve a premium price for holders of our common stock or that our common stockholders otherwise believe to be in their best interests.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48" w:lineRule="exact"/>
        <w:rPr>
          <w:sz w:val="20"/>
          <w:szCs w:val="20"/>
          <w:color w:val="auto"/>
        </w:rPr>
      </w:pPr>
    </w:p>
    <w:p>
      <w:pPr>
        <w:ind w:left="1260" w:right="719" w:firstLine="360"/>
        <w:spacing w:after="0" w:line="241" w:lineRule="auto"/>
        <w:rPr>
          <w:sz w:val="20"/>
          <w:szCs w:val="20"/>
          <w:color w:val="auto"/>
        </w:rPr>
      </w:pPr>
      <w:r>
        <w:rPr>
          <w:rFonts w:ascii="Arial" w:cs="Arial" w:eastAsia="Arial" w:hAnsi="Arial"/>
          <w:sz w:val="18"/>
          <w:szCs w:val="18"/>
          <w:color w:val="auto"/>
        </w:rPr>
        <w:t>We expect to adopt restrictions with respect to any class or series of preferred stock offered pursuant to this prospectus under the articles supplementary for each such class or series to assist us in complying with certain U.S. federal income tax requirements applicable to REITs. The applicable prospectus supplement will specify any additional ownership limitation relating to such class or series. See “Restrictions on Ownership and Transfer.”</w:t>
      </w:r>
    </w:p>
    <w:p>
      <w:pPr>
        <w:spacing w:after="0" w:line="185"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DEBT SECURITIES</w:t>
      </w:r>
    </w:p>
    <w:p>
      <w:pPr>
        <w:spacing w:after="0" w:line="162" w:lineRule="exact"/>
        <w:rPr>
          <w:sz w:val="20"/>
          <w:szCs w:val="20"/>
          <w:color w:val="auto"/>
        </w:rPr>
      </w:pPr>
    </w:p>
    <w:p>
      <w:pPr>
        <w:ind w:left="1260" w:right="799" w:firstLine="360"/>
        <w:spacing w:after="0" w:line="255" w:lineRule="auto"/>
        <w:rPr>
          <w:sz w:val="20"/>
          <w:szCs w:val="20"/>
          <w:color w:val="auto"/>
        </w:rPr>
      </w:pPr>
      <w:r>
        <w:rPr>
          <w:rFonts w:ascii="Arial" w:cs="Arial" w:eastAsia="Arial" w:hAnsi="Arial"/>
          <w:sz w:val="17"/>
          <w:szCs w:val="17"/>
          <w:color w:val="auto"/>
        </w:rPr>
        <w:t>The following is a description of the general terms and provisions of the debt securities that we may offer under this prospectus. When we offer to sell a particular series of debt securities, we will describe the specific terms of the series in a supplement to this prospectus on which a series of debt securities may be convertible into or exchangeable for other securities. We will also indicate in the prospectus supplement whether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12"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7"/>
          <w:szCs w:val="17"/>
          <w:color w:val="auto"/>
        </w:rPr>
        <w:t>The debt securities may be offered in the form of either senior debt securities or subordinated debt securities. Unless otherwise specified in a prospectus supplement, the debt securities will be our direct, unsecured obligations, and will rank equally in right of payment with all of our other unsecured and unsubordinated indebtedness. The debt securities that are sold may be exchangeable for and/or convertible into common stock or any of the other securities that may be sold under this prospectus.</w:t>
      </w:r>
    </w:p>
    <w:p>
      <w:pPr>
        <w:spacing w:after="0" w:line="93"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debt securities will be issued under an indenture, and we have summarized select portions of the indenture below. The summary is not complete. We have filed the form of the indenture as an exhibit to the registration statement, and you should read the indenture and our debt securities carefully for provisions that may be important to you. Capitalized terms used in the summary and not defined in this prospectus have the meaning specified in the indenture.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1119" w:firstLine="360"/>
        <w:spacing w:after="0" w:line="279" w:lineRule="auto"/>
        <w:rPr>
          <w:sz w:val="20"/>
          <w:szCs w:val="20"/>
          <w:color w:val="auto"/>
        </w:rPr>
      </w:pPr>
      <w:r>
        <w:rPr>
          <w:rFonts w:ascii="Arial" w:cs="Arial" w:eastAsia="Arial" w:hAnsi="Arial"/>
          <w:sz w:val="17"/>
          <w:szCs w:val="17"/>
          <w:color w:val="auto"/>
        </w:rPr>
        <w:t>The terms of each series of debt securities will be established by or pursuant to a resolution of our board of directors and set forth or determined in the manner provided in such resolution, an officer’s certificate or by a supplemental indenture. The particular terms of each series of debt securities will be described in a prospectus supplement relating to such series, including any pricing supplement.</w:t>
      </w:r>
    </w:p>
    <w:p>
      <w:pPr>
        <w:spacing w:after="0" w:line="104"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Unless otherwise specified in a prospectus supplement, the indenture will designate the trustee for the indenture with respect to one or more series of our debt securities. The specified trustee may resign or be removed with respect to one or more series of our debt securities, and a successor trustee may be appointed to act with respect to that series.</w:t>
      </w:r>
    </w:p>
    <w:p>
      <w:pPr>
        <w:spacing w:after="0" w:line="106"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Unless otherwise specified in a supplement to this prospectus, the debt securities will be our direct, unsecured obligations and will rank equally with all of our other unsecured and unsubordinated indebtedness.</w:t>
      </w:r>
    </w:p>
    <w:p>
      <w:pPr>
        <w:sectPr>
          <w:pgSz w:w="11900" w:h="16838" w:orient="portrait"/>
          <w:cols w:equalWidth="0" w:num="1">
            <w:col w:w="10139"/>
          </w:cols>
          <w:pgMar w:left="320" w:top="131" w:right="1440" w:bottom="1440" w:gutter="0" w:footer="0" w:header="0"/>
        </w:sectPr>
      </w:pPr>
    </w:p>
    <w:p>
      <w:pPr>
        <w:spacing w:after="0" w:line="37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spacing w:after="0" w:line="241" w:lineRule="auto"/>
        <w:rPr>
          <w:sz w:val="20"/>
          <w:szCs w:val="20"/>
          <w:color w:val="auto"/>
        </w:rPr>
      </w:pPr>
      <w:r>
        <w:rPr>
          <w:rFonts w:ascii="Arial" w:cs="Arial" w:eastAsia="Arial" w:hAnsi="Arial"/>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to the extent applicable:</w:t>
      </w:r>
    </w:p>
    <w:p>
      <w:pPr>
        <w:spacing w:after="0" w:line="81" w:lineRule="exact"/>
        <w:rPr>
          <w:sz w:val="20"/>
          <w:szCs w:val="20"/>
          <w:color w:val="auto"/>
        </w:rPr>
      </w:pPr>
    </w:p>
    <w:p>
      <w:pPr>
        <w:ind w:left="1800" w:right="103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the series (which shall distinguish the debt securities of that particular series from the debt securities of any other series);</w:t>
      </w:r>
    </w:p>
    <w:p>
      <w:pPr>
        <w:spacing w:after="0" w:line="48" w:lineRule="exact"/>
        <w:rPr>
          <w:rFonts w:ascii="Arial" w:cs="Arial" w:eastAsia="Arial" w:hAnsi="Arial"/>
          <w:sz w:val="18"/>
          <w:szCs w:val="18"/>
          <w:color w:val="auto"/>
        </w:rPr>
      </w:pPr>
    </w:p>
    <w:p>
      <w:pPr>
        <w:ind w:left="1800" w:right="111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thereof) at which the debt securities of the series will be issued;</w:t>
      </w:r>
    </w:p>
    <w:p>
      <w:pPr>
        <w:spacing w:after="0" w:line="62" w:lineRule="exact"/>
        <w:rPr>
          <w:rFonts w:ascii="Arial" w:cs="Arial" w:eastAsia="Arial" w:hAnsi="Arial"/>
          <w:sz w:val="18"/>
          <w:szCs w:val="18"/>
          <w:color w:val="auto"/>
        </w:rPr>
      </w:pPr>
    </w:p>
    <w:p>
      <w:pPr>
        <w:ind w:left="1800" w:right="699" w:hanging="178"/>
        <w:spacing w:after="0" w:line="259"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 of the series that may be authenticated and delivered under the indenture (except for debt securities authenticated and delivered upon registration of transfer of, or in exchange for, or in lieu of, other debt securities of the series pursuant to the indenture);</w:t>
      </w:r>
    </w:p>
    <w:p>
      <w:pPr>
        <w:spacing w:after="0" w:line="78" w:lineRule="exact"/>
        <w:rPr>
          <w:rFonts w:ascii="Arial" w:cs="Arial" w:eastAsia="Arial" w:hAnsi="Arial"/>
          <w:sz w:val="18"/>
          <w:szCs w:val="18"/>
          <w:color w:val="auto"/>
        </w:rPr>
      </w:pPr>
    </w:p>
    <w:p>
      <w:pPr>
        <w:ind w:left="1800" w:hanging="178"/>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of the series is payable;</w:t>
      </w:r>
    </w:p>
    <w:p>
      <w:pPr>
        <w:spacing w:after="0" w:line="117" w:lineRule="exact"/>
        <w:rPr>
          <w:rFonts w:ascii="Arial" w:cs="Arial" w:eastAsia="Arial" w:hAnsi="Arial"/>
          <w:sz w:val="18"/>
          <w:szCs w:val="18"/>
          <w:color w:val="auto"/>
        </w:rPr>
      </w:pPr>
    </w:p>
    <w:p>
      <w:pPr>
        <w:ind w:left="1800" w:right="699" w:hanging="178"/>
        <w:spacing w:after="0" w:line="255"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debt securities of the series shall bear interest, if any, the date or dates from which such interest, if any, shall accrue, the date or dates on which interest, if any, shall commence and be payable and any regular record date for the interest payable on any interest payment date;</w:t>
      </w:r>
    </w:p>
    <w:p>
      <w:pPr>
        <w:spacing w:after="0" w:line="84" w:lineRule="exact"/>
        <w:rPr>
          <w:rFonts w:ascii="Arial" w:cs="Arial" w:eastAsia="Arial" w:hAnsi="Arial"/>
          <w:sz w:val="18"/>
          <w:szCs w:val="18"/>
          <w:color w:val="auto"/>
        </w:rPr>
      </w:pPr>
    </w:p>
    <w:p>
      <w:pPr>
        <w:ind w:left="1800" w:right="699" w:hanging="178"/>
        <w:spacing w:after="0" w:line="279"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place or places where principal of, and premium, if any, and interest, if any, on the debt securities shall be payable and the method of such payment, if by wire transfer, mail or other means, and the place or places where debt securities may be surrendered for registration of transfer or exchange and where notices or demands to or upon us relating to debt securities and the indenture may be served;</w:t>
      </w:r>
    </w:p>
    <w:p>
      <w:pPr>
        <w:spacing w:after="0" w:line="63" w:lineRule="exact"/>
        <w:rPr>
          <w:rFonts w:ascii="Arial" w:cs="Arial" w:eastAsia="Arial" w:hAnsi="Arial"/>
          <w:sz w:val="17"/>
          <w:szCs w:val="17"/>
          <w:color w:val="auto"/>
        </w:rPr>
      </w:pPr>
    </w:p>
    <w:p>
      <w:pPr>
        <w:ind w:left="1800" w:right="83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debt securities of the series may be redeemed, in whole or in part, at our option;</w:t>
      </w:r>
    </w:p>
    <w:p>
      <w:pPr>
        <w:spacing w:after="0" w:line="75" w:lineRule="exact"/>
        <w:rPr>
          <w:rFonts w:ascii="Arial" w:cs="Arial" w:eastAsia="Arial" w:hAnsi="Arial"/>
          <w:sz w:val="18"/>
          <w:szCs w:val="18"/>
          <w:color w:val="auto"/>
        </w:rPr>
      </w:pPr>
    </w:p>
    <w:p>
      <w:pPr>
        <w:ind w:left="1800" w:right="819" w:hanging="178"/>
        <w:spacing w:after="0" w:line="25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obligation, if any, by us to redeem or purchase the debt securities of the series pursuant to any sinking fund or analogous provisions or at the option of a holder thereof and the period or periods within which, the price or prices at which, the currency or currencies in which and the other terms and conditions upon which debt securities of the series shall be redeemed or purchased, in whole or in part, pursuant to such obligation;</w:t>
      </w:r>
    </w:p>
    <w:p>
      <w:pPr>
        <w:spacing w:after="0" w:line="79"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debt securities of the series will be repurchased by us at the option of the holders thereof and other detailed terms and provisions of such repurchase obligations;</w:t>
      </w:r>
    </w:p>
    <w:p>
      <w:pPr>
        <w:spacing w:after="0" w:line="75"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denominations in which the debt securities shall be issuable;</w:t>
      </w:r>
    </w:p>
    <w:p>
      <w:pPr>
        <w:spacing w:after="0" w:line="62"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forms of the debt securities of the series and whether the debt securities will be issuable as global securities;</w:t>
      </w:r>
    </w:p>
    <w:p>
      <w:pPr>
        <w:spacing w:after="0" w:line="62"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shall be payable upon declaration of acceleration of the maturity thereof pursuant to the indenture;</w:t>
      </w:r>
    </w:p>
    <w:p>
      <w:pPr>
        <w:spacing w:after="0" w:line="75"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of the series, which may be in U.S. dollars or any foreign currency;</w:t>
      </w:r>
    </w:p>
    <w:p>
      <w:pPr>
        <w:spacing w:after="0" w:line="62" w:lineRule="exact"/>
        <w:rPr>
          <w:rFonts w:ascii="Arial" w:cs="Arial" w:eastAsia="Arial" w:hAnsi="Arial"/>
          <w:sz w:val="18"/>
          <w:szCs w:val="18"/>
          <w:color w:val="auto"/>
        </w:rPr>
      </w:pPr>
    </w:p>
    <w:p>
      <w:pPr>
        <w:ind w:left="1800" w:right="959" w:hanging="178"/>
        <w:spacing w:after="0" w:line="308"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designation of the currency, currencies or currency units in which payment of the principal of, and premium, if any, and interest, if any, on, the debt securities of the series will be made;</w:t>
      </w:r>
    </w:p>
    <w:p>
      <w:pPr>
        <w:spacing w:after="0" w:line="38" w:lineRule="exact"/>
        <w:rPr>
          <w:rFonts w:ascii="Arial" w:cs="Arial" w:eastAsia="Arial" w:hAnsi="Arial"/>
          <w:sz w:val="17"/>
          <w:szCs w:val="17"/>
          <w:color w:val="auto"/>
        </w:rPr>
      </w:pPr>
    </w:p>
    <w:p>
      <w:pPr>
        <w:jc w:val="both"/>
        <w:ind w:left="1800" w:right="959" w:hanging="178"/>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payments of principal of, and premium, if any, and interest, if any, on, the debt securities of the series are to be made in one or more currencies or currency units other than that or those in which such</w:t>
      </w:r>
    </w:p>
    <w:p>
      <w:pPr>
        <w:sectPr>
          <w:pgSz w:w="11900" w:h="16838" w:orient="portrait"/>
          <w:cols w:equalWidth="0" w:num="1">
            <w:col w:w="10139"/>
          </w:cols>
          <w:pgMar w:left="320" w:top="131"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399"/>
        <w:spacing w:after="0" w:line="261" w:lineRule="auto"/>
        <w:rPr>
          <w:sz w:val="20"/>
          <w:szCs w:val="20"/>
          <w:color w:val="auto"/>
        </w:rPr>
      </w:pPr>
      <w:r>
        <w:rPr>
          <w:rFonts w:ascii="Arial" w:cs="Arial" w:eastAsia="Arial" w:hAnsi="Arial"/>
          <w:sz w:val="18"/>
          <w:szCs w:val="18"/>
          <w:color w:val="auto"/>
        </w:rPr>
        <w:t>debt securities are denominated, the manner in which the exchange rate with respect to such payments will be determined;</w:t>
      </w:r>
    </w:p>
    <w:p>
      <w:pPr>
        <w:spacing w:after="0" w:line="63" w:lineRule="exact"/>
        <w:rPr>
          <w:sz w:val="20"/>
          <w:szCs w:val="20"/>
          <w:color w:val="auto"/>
        </w:rPr>
      </w:pPr>
    </w:p>
    <w:p>
      <w:pPr>
        <w:ind w:left="1800" w:right="759" w:hanging="178"/>
        <w:spacing w:after="0" w:line="259"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and premium, if any, or interest, if any, on the debt securities of the series will be determined, if such amounts may be determined by reference to an index based on a currency or currencies or by reference to a commodity, commodity index, stock exchange index or financial index;</w:t>
      </w:r>
    </w:p>
    <w:p>
      <w:pPr>
        <w:spacing w:after="0" w:line="65" w:lineRule="exact"/>
        <w:rPr>
          <w:rFonts w:ascii="Arial" w:cs="Arial" w:eastAsia="Arial" w:hAnsi="Arial"/>
          <w:sz w:val="18"/>
          <w:szCs w:val="18"/>
          <w:color w:val="auto"/>
        </w:rPr>
      </w:pPr>
    </w:p>
    <w:p>
      <w:pPr>
        <w:ind w:left="1800" w:hanging="178"/>
        <w:spacing w:after="0"/>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provisions, if any, relating to any security provided for the debt securities of the series thereof;</w:t>
      </w:r>
    </w:p>
    <w:p>
      <w:pPr>
        <w:spacing w:after="0" w:line="128" w:lineRule="exact"/>
        <w:rPr>
          <w:rFonts w:ascii="Arial" w:cs="Arial" w:eastAsia="Arial" w:hAnsi="Arial"/>
          <w:sz w:val="17"/>
          <w:szCs w:val="17"/>
          <w:color w:val="auto"/>
        </w:rPr>
      </w:pPr>
    </w:p>
    <w:p>
      <w:pPr>
        <w:ind w:left="1800" w:right="779" w:hanging="178"/>
        <w:spacing w:after="0" w:line="286"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addition to, change in or deletion from the events of default that apply to any debt securities of the series and any change in the right of the trustee or the requisite holders of such debt securities to declare the principal amount thereof due and payable pursuant to the indenture;</w:t>
      </w:r>
    </w:p>
    <w:p>
      <w:pPr>
        <w:spacing w:after="0" w:line="57" w:lineRule="exact"/>
        <w:rPr>
          <w:rFonts w:ascii="Arial" w:cs="Arial" w:eastAsia="Arial" w:hAnsi="Arial"/>
          <w:sz w:val="17"/>
          <w:szCs w:val="17"/>
          <w:color w:val="auto"/>
        </w:rPr>
      </w:pPr>
    </w:p>
    <w:p>
      <w:pPr>
        <w:ind w:left="1800" w:right="1419" w:hanging="178"/>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or in the indenture with respect to the debt securities of the series;</w:t>
      </w:r>
    </w:p>
    <w:p>
      <w:pPr>
        <w:spacing w:after="0" w:line="62" w:lineRule="exact"/>
        <w:rPr>
          <w:rFonts w:ascii="Arial" w:cs="Arial" w:eastAsia="Arial" w:hAnsi="Arial"/>
          <w:sz w:val="18"/>
          <w:szCs w:val="18"/>
          <w:color w:val="auto"/>
        </w:rPr>
      </w:pPr>
    </w:p>
    <w:p>
      <w:pPr>
        <w:ind w:left="1800" w:right="839" w:hanging="178"/>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depositaries, interest rate calculation agents, exchange rate calculation agents or other agents, if any, with respect to the debt securities of the series, if other than as described in this prospectus or the indenture;</w:t>
      </w:r>
    </w:p>
    <w:p>
      <w:pPr>
        <w:spacing w:after="0" w:line="75" w:lineRule="exact"/>
        <w:rPr>
          <w:rFonts w:ascii="Arial" w:cs="Arial" w:eastAsia="Arial" w:hAnsi="Arial"/>
          <w:sz w:val="18"/>
          <w:szCs w:val="18"/>
          <w:color w:val="auto"/>
        </w:rPr>
      </w:pPr>
    </w:p>
    <w:p>
      <w:pPr>
        <w:ind w:left="1800" w:right="1019" w:hanging="178"/>
        <w:spacing w:after="0" w:line="286"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provisions, if any, relating to conversion or exchange of any debt securities of the series, including if applicable, the conversion or exchange price, the conversion or exchange period, the securities or other property into which such debt securities will be convertible or exchangeable;</w:t>
      </w:r>
    </w:p>
    <w:p>
      <w:pPr>
        <w:spacing w:after="0" w:line="57" w:lineRule="exact"/>
        <w:rPr>
          <w:rFonts w:ascii="Arial" w:cs="Arial" w:eastAsia="Arial" w:hAnsi="Arial"/>
          <w:sz w:val="17"/>
          <w:szCs w:val="17"/>
          <w:color w:val="auto"/>
        </w:rPr>
      </w:pPr>
    </w:p>
    <w:p>
      <w:pPr>
        <w:ind w:left="1800" w:right="819" w:hanging="178"/>
        <w:spacing w:after="0" w:line="286"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provisions as to whether conversion or exchange will be mandatory, at the option of the holders thereof or at our option, the events requiring an adjustment of the conversion or exchange price and provisions affecting conversion or exchange if such debt securities are redeemed;</w:t>
      </w:r>
    </w:p>
    <w:p>
      <w:pPr>
        <w:spacing w:after="0" w:line="57" w:lineRule="exact"/>
        <w:rPr>
          <w:rFonts w:ascii="Arial" w:cs="Arial" w:eastAsia="Arial" w:hAnsi="Arial"/>
          <w:sz w:val="17"/>
          <w:szCs w:val="17"/>
          <w:color w:val="auto"/>
        </w:rPr>
      </w:pPr>
    </w:p>
    <w:p>
      <w:pPr>
        <w:ind w:left="1800" w:right="779" w:hanging="178"/>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senior debt securities or subordinated debt securities and, if applicable, the subordination terms thereof;</w:t>
      </w:r>
    </w:p>
    <w:p>
      <w:pPr>
        <w:spacing w:after="0" w:line="48"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discussion of additional material United States federal income tax consequences, if any, applicable to an investment in such debt securities; and</w:t>
      </w:r>
    </w:p>
    <w:p>
      <w:pPr>
        <w:spacing w:after="0" w:line="62" w:lineRule="exact"/>
        <w:rPr>
          <w:rFonts w:ascii="Arial" w:cs="Arial" w:eastAsia="Arial" w:hAnsi="Arial"/>
          <w:sz w:val="18"/>
          <w:szCs w:val="18"/>
          <w:color w:val="auto"/>
        </w:rPr>
      </w:pPr>
    </w:p>
    <w:p>
      <w:pPr>
        <w:ind w:left="1800" w:right="919" w:hanging="178"/>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terms of the debt securities of the series (which terms may supplement, modify or delete any provision of the indenture insofar as it applies to such series of any debt securities of such series).</w:t>
      </w:r>
    </w:p>
    <w:p>
      <w:pPr>
        <w:spacing w:after="0" w:line="116"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In addition, the indenture does not limit our ability to issue convertible or subordinated debt securities. Any conversion or subordination provisions of a particular series of debt securities will be set forth in the officer’s certificate or supplemental indenture related to that series of debt securities and will be described in the relevant prospectus supplement. Such terms may include provisions for conversion, either mandatory, at the option of the holder or at our option, in which case the number of shares of common stock, cash or other securities to be received by the holders of debt securities would be calculated as of a time and in the manner stated in the prospectus supplement.</w:t>
      </w:r>
    </w:p>
    <w:p>
      <w:pPr>
        <w:spacing w:after="0" w:line="127"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other special considerations applicable to any such debt securities in the applicable prospectus supplement.</w:t>
      </w:r>
    </w:p>
    <w:p>
      <w:pPr>
        <w:spacing w:after="0" w:line="106"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If we denominate the purchase price of any of our debt securities in a foreign currency or currencies or a foreign currency unit or units, or if the principal of and premium, if any, and interest, if any,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and Exchange</w:t>
      </w:r>
    </w:p>
    <w:p>
      <w:pPr>
        <w:spacing w:after="0" w:line="162" w:lineRule="exact"/>
        <w:rPr>
          <w:sz w:val="20"/>
          <w:szCs w:val="20"/>
          <w:color w:val="auto"/>
        </w:rPr>
      </w:pPr>
    </w:p>
    <w:p>
      <w:pPr>
        <w:ind w:left="1260" w:right="759" w:firstLine="360"/>
        <w:spacing w:after="0" w:line="308" w:lineRule="auto"/>
        <w:rPr>
          <w:sz w:val="20"/>
          <w:szCs w:val="20"/>
          <w:color w:val="auto"/>
        </w:rPr>
      </w:pPr>
      <w:r>
        <w:rPr>
          <w:rFonts w:ascii="Arial" w:cs="Arial" w:eastAsia="Arial" w:hAnsi="Arial"/>
          <w:sz w:val="17"/>
          <w:szCs w:val="17"/>
          <w:color w:val="auto"/>
        </w:rPr>
        <w:t>Each debt security will be represented by either one or more global securities registered in the name of The Depository Trust Company, as depositary, or a nominee (we will refer to any debt security represented</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41" w:lineRule="auto"/>
        <w:rPr>
          <w:sz w:val="20"/>
          <w:szCs w:val="20"/>
          <w:color w:val="auto"/>
        </w:rPr>
      </w:pPr>
      <w:r>
        <w:rPr>
          <w:rFonts w:ascii="Arial" w:cs="Arial" w:eastAsia="Arial" w:hAnsi="Arial"/>
          <w:sz w:val="18"/>
          <w:szCs w:val="18"/>
          <w:color w:val="auto"/>
        </w:rPr>
        <w:t>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08" w:lineRule="exact"/>
        <w:rPr>
          <w:sz w:val="20"/>
          <w:szCs w:val="20"/>
          <w:color w:val="auto"/>
        </w:rPr>
      </w:pPr>
    </w:p>
    <w:p>
      <w:pPr>
        <w:ind w:left="1260" w:right="739" w:firstLine="360"/>
        <w:spacing w:after="0" w:line="262" w:lineRule="auto"/>
        <w:rPr>
          <w:sz w:val="20"/>
          <w:szCs w:val="20"/>
          <w:color w:val="auto"/>
        </w:rPr>
      </w:pPr>
      <w:r>
        <w:rPr>
          <w:rFonts w:ascii="Arial" w:cs="Arial" w:eastAsia="Arial" w:hAnsi="Arial"/>
          <w:sz w:val="17"/>
          <w:szCs w:val="17"/>
          <w:i w:val="1"/>
          <w:iCs w:val="1"/>
          <w:color w:val="auto"/>
        </w:rPr>
        <w:t xml:space="preserve">Certificated Debt Securities. </w:t>
      </w:r>
      <w:r>
        <w:rPr>
          <w:rFonts w:ascii="Arial" w:cs="Arial" w:eastAsia="Arial" w:hAnsi="Arial"/>
          <w:sz w:val="17"/>
          <w:szCs w:val="17"/>
          <w:color w:val="auto"/>
        </w:rPr>
        <w:t>You may transfer or exchange certificated debt securities at any office</w:t>
      </w:r>
      <w:r>
        <w:rPr>
          <w:rFonts w:ascii="Arial" w:cs="Arial" w:eastAsia="Arial" w:hAnsi="Arial"/>
          <w:sz w:val="17"/>
          <w:szCs w:val="17"/>
          <w:i w:val="1"/>
          <w:iCs w:val="1"/>
          <w:color w:val="auto"/>
        </w:rPr>
        <w:t xml:space="preserve"> </w:t>
      </w:r>
      <w:r>
        <w:rPr>
          <w:rFonts w:ascii="Arial" w:cs="Arial" w:eastAsia="Arial" w:hAnsi="Arial"/>
          <w:sz w:val="17"/>
          <w:szCs w:val="17"/>
          <w:color w:val="auto"/>
        </w:rPr>
        <w:t>we designate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05" w:lineRule="exact"/>
        <w:rPr>
          <w:sz w:val="20"/>
          <w:szCs w:val="20"/>
          <w:color w:val="auto"/>
        </w:rPr>
      </w:pPr>
    </w:p>
    <w:p>
      <w:pPr>
        <w:jc w:val="both"/>
        <w:ind w:left="1260" w:right="819" w:firstLine="360"/>
        <w:spacing w:after="0" w:line="262" w:lineRule="auto"/>
        <w:rPr>
          <w:sz w:val="20"/>
          <w:szCs w:val="20"/>
          <w:color w:val="auto"/>
        </w:rPr>
      </w:pPr>
      <w:r>
        <w:rPr>
          <w:rFonts w:ascii="Arial" w:cs="Arial" w:eastAsia="Arial" w:hAnsi="Arial"/>
          <w:sz w:val="17"/>
          <w:szCs w:val="17"/>
          <w:color w:val="auto"/>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05" w:lineRule="exact"/>
        <w:rPr>
          <w:sz w:val="20"/>
          <w:szCs w:val="20"/>
          <w:color w:val="auto"/>
        </w:rPr>
      </w:pPr>
    </w:p>
    <w:p>
      <w:pPr>
        <w:ind w:left="1260" w:right="939" w:firstLine="360"/>
        <w:spacing w:after="0" w:line="243" w:lineRule="auto"/>
        <w:rPr>
          <w:sz w:val="20"/>
          <w:szCs w:val="20"/>
          <w:color w:val="auto"/>
        </w:rPr>
      </w:pPr>
      <w:r>
        <w:rPr>
          <w:rFonts w:ascii="Arial" w:cs="Arial" w:eastAsia="Arial" w:hAnsi="Arial"/>
          <w:sz w:val="18"/>
          <w:szCs w:val="18"/>
          <w:i w:val="1"/>
          <w:iCs w:val="1"/>
          <w:color w:val="auto"/>
        </w:rPr>
        <w:t xml:space="preserve">Global Debt Securities and Book-Entry System. </w:t>
      </w:r>
      <w:r>
        <w:rPr>
          <w:rFonts w:ascii="Arial" w:cs="Arial" w:eastAsia="Arial" w:hAnsi="Arial"/>
          <w:sz w:val="18"/>
          <w:szCs w:val="18"/>
          <w:color w:val="auto"/>
        </w:rPr>
        <w:t>Each global debt security representing book- entry</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be deposited with, or on behalf of, the depositary, and registered in the name of the depositary or a nominee of the depositary. We will require the depositary to agree to follow the following procedures with respect to book-entry debt securities:</w:t>
      </w:r>
    </w:p>
    <w:p>
      <w:pPr>
        <w:spacing w:after="0" w:line="107"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Ownership of beneficial interests in book-entry debt securities will be limited to persons who have accounts with the depositary for the related global debt security, which we refer to as participants, or persons who may hold interests through participants. Upon the issuance of a global debt security, the depositary will credit, on its book-entry registration and transfer system, the participants’ accounts with the respective principal amounts of the book -entry debt securities represented by such global debt security beneficially owned by such participants. The accounts to be credited will be designated by any dealers, underwriters or agents participating in the distribution of the book-entry debt securities. Ownership of book-entry debt securities will be shown on, and the transfer of such ownership interests will be effected only through, records maintained by the depositary for the related global debt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These laws may impair the ability to own, transfer or pledge beneficial interests in book-entry debt securities.</w:t>
      </w:r>
    </w:p>
    <w:p>
      <w:pPr>
        <w:spacing w:after="0" w:line="124"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7"/>
          <w:szCs w:val="17"/>
          <w:color w:val="auto"/>
        </w:rPr>
        <w:t>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of the depositary for the related global debt security and, if such person is not a participant, on the procedures of the participant through which such person owns its interest, to exercise any rights of a holder under the indenture.</w:t>
      </w:r>
    </w:p>
    <w:p>
      <w:pPr>
        <w:spacing w:after="0" w:line="113"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We understand, however, that under existing industry practice, the depositary will authorize the persons on whose behalf it holds a global debt security to exercise certain rights of holders of debt securities, and the indenture provides that we, the trustee and our respective agents will treat as the holder of a debt security the persons specified in a written statement of the depositary with respect to that global debt security for purposes of obtaining any consents or directions required to be given by holders of the debt securities pursuant to the indenture.</w:t>
      </w:r>
    </w:p>
    <w:p>
      <w:pPr>
        <w:spacing w:after="0" w:line="108" w:lineRule="exact"/>
        <w:rPr>
          <w:sz w:val="20"/>
          <w:szCs w:val="20"/>
          <w:color w:val="auto"/>
        </w:rPr>
      </w:pPr>
    </w:p>
    <w:p>
      <w:pPr>
        <w:ind w:left="1260" w:right="799" w:firstLine="360"/>
        <w:spacing w:after="0"/>
        <w:rPr>
          <w:sz w:val="20"/>
          <w:szCs w:val="20"/>
          <w:color w:val="auto"/>
        </w:rPr>
      </w:pPr>
      <w:r>
        <w:rPr>
          <w:rFonts w:ascii="Arial" w:cs="Arial" w:eastAsia="Arial" w:hAnsi="Arial"/>
          <w:sz w:val="18"/>
          <w:szCs w:val="18"/>
          <w:color w:val="auto"/>
        </w:rPr>
        <w:t>We will make payments of principal of, and premium and interest on, book-entry debt securities to the depositary or its nominee, as the case may be, as the registered holder of the related global debt security. We, the trustee and any other agent of ours or agent of the trustee will not have any responsibility or liability for any aspect of the records relating to or payments made on account of beneficial ownership interests in a global debt security or for maintaining, supervising or reviewing any records relating to beneficial ownership interests.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We expect that the depositary, upon receipt of any payment of principal of, and premium or interest on, a global debt security, will immediately credit participants’ accounts with payments in amounts proportionate to the respective amounts of book-entry debt securities held by each participant as shown on the records of such depositary. We also expect that payments by participants to owners of beneficial interests in book-entry debt securities held through those participants will be governed by standing customer instructions and customary practices, as is now the case with the securities held for the accounts of customers registered in “street name,” and will be the responsibility of those participants.</w:t>
      </w:r>
    </w:p>
    <w:p>
      <w:pPr>
        <w:spacing w:after="0" w:line="99"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will issue certificated debt securities in exchange for each global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may at any time and in our sole discretion determine not to have the book-entry debt securities of any series represented by one or more global debt securities and, in that event, will issue certificated debt securities in exchange for the global debt securities of that series.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w:t>
      </w:r>
    </w:p>
    <w:p>
      <w:pPr>
        <w:spacing w:after="0" w:line="121"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We have obtained the foregoing information concerning the depositary and the depositary’s book-entry system from sources we believe to be reliable, but we take no responsibility for the accuracy of this information.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62" w:lineRule="exact"/>
        <w:rPr>
          <w:sz w:val="20"/>
          <w:szCs w:val="20"/>
          <w:color w:val="auto"/>
        </w:rPr>
      </w:pPr>
    </w:p>
    <w:p>
      <w:pPr>
        <w:ind w:left="1260" w:right="759" w:firstLine="360"/>
        <w:spacing w:after="0" w:line="24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Covenants</w:t>
      </w:r>
    </w:p>
    <w:p>
      <w:pPr>
        <w:spacing w:after="0" w:line="148" w:lineRule="exact"/>
        <w:rPr>
          <w:sz w:val="20"/>
          <w:szCs w:val="20"/>
          <w:color w:val="auto"/>
        </w:rPr>
      </w:pPr>
    </w:p>
    <w:p>
      <w:pPr>
        <w:jc w:val="both"/>
        <w:ind w:left="1260" w:right="919" w:firstLine="360"/>
        <w:spacing w:after="0" w:line="261" w:lineRule="auto"/>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62" w:lineRule="exact"/>
        <w:rPr>
          <w:sz w:val="20"/>
          <w:szCs w:val="20"/>
          <w:color w:val="auto"/>
        </w:rPr>
      </w:pPr>
    </w:p>
    <w:p>
      <w:pPr>
        <w:jc w:val="both"/>
        <w:ind w:left="1260" w:right="919" w:firstLine="360"/>
        <w:spacing w:after="0" w:line="248" w:lineRule="auto"/>
        <w:rPr>
          <w:sz w:val="20"/>
          <w:szCs w:val="20"/>
          <w:color w:val="auto"/>
        </w:rPr>
      </w:pPr>
      <w:r>
        <w:rPr>
          <w:rFonts w:ascii="Arial" w:cs="Arial" w:eastAsia="Arial" w:hAnsi="Arial"/>
          <w:sz w:val="18"/>
          <w:szCs w:val="18"/>
          <w:color w:val="auto"/>
        </w:rPr>
        <w:t>Unless otherwise specified in any prospectus supplement, we may consolidate with, or sell, lease or convey all or substantially all of our respective assets to, or merge with or into, any other entity, provided that the following conditions are met:</w:t>
      </w:r>
    </w:p>
    <w:p>
      <w:pPr>
        <w:spacing w:after="0" w:line="74" w:lineRule="exact"/>
        <w:rPr>
          <w:sz w:val="20"/>
          <w:szCs w:val="20"/>
          <w:color w:val="auto"/>
        </w:rPr>
      </w:pPr>
    </w:p>
    <w:p>
      <w:pPr>
        <w:ind w:left="1800" w:right="719" w:hanging="178"/>
        <w:spacing w:after="0" w:line="279"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shall be the continuing entity, or the successor entity (if other than us) formed by or resulting from any consolidation or merger or which shall have received the transfer of assets shall expressly assume payment of the principal of and interest on all of the debt securities and the due and punctual performance and observance of all of the covenants and conditions in the indenture;</w:t>
      </w:r>
    </w:p>
    <w:p>
      <w:pPr>
        <w:spacing w:after="0" w:line="63" w:lineRule="exact"/>
        <w:rPr>
          <w:rFonts w:ascii="Arial" w:cs="Arial" w:eastAsia="Arial" w:hAnsi="Arial"/>
          <w:sz w:val="17"/>
          <w:szCs w:val="17"/>
          <w:color w:val="auto"/>
        </w:rPr>
      </w:pPr>
    </w:p>
    <w:p>
      <w:pPr>
        <w:ind w:left="1800" w:right="739" w:hanging="178"/>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under the indenture, and no event which, after notice or the lapse of time, or both, would become an Event of Default, shall have occurred and be continuing; and</w:t>
      </w:r>
    </w:p>
    <w:p>
      <w:pPr>
        <w:spacing w:after="0" w:line="75" w:lineRule="exact"/>
        <w:rPr>
          <w:rFonts w:ascii="Arial" w:cs="Arial" w:eastAsia="Arial" w:hAnsi="Arial"/>
          <w:sz w:val="18"/>
          <w:szCs w:val="18"/>
          <w:color w:val="auto"/>
        </w:rPr>
      </w:pPr>
    </w:p>
    <w:p>
      <w:pPr>
        <w:ind w:left="1800" w:hanging="178"/>
        <w:spacing w:after="0"/>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officer’s certificate and legal opinion covering these conditions shall be delivered to the trustee.</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148"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Unless otherwise specified in any prospectus supplement, event of default means, with respect to any series of debt securities, any of the following:</w:t>
      </w:r>
    </w:p>
    <w:p>
      <w:pPr>
        <w:spacing w:after="0" w:line="63" w:lineRule="exact"/>
        <w:rPr>
          <w:sz w:val="20"/>
          <w:szCs w:val="20"/>
          <w:color w:val="auto"/>
        </w:rPr>
      </w:pPr>
    </w:p>
    <w:p>
      <w:pPr>
        <w:ind w:left="1800" w:right="779" w:hanging="178"/>
        <w:spacing w:after="0" w:line="259"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w:t>
      </w:r>
    </w:p>
    <w:p>
      <w:pPr>
        <w:sectPr>
          <w:pgSz w:w="11900" w:h="16838" w:orient="portrait"/>
          <w:cols w:equalWidth="0" w:num="1">
            <w:col w:w="10139"/>
          </w:cols>
          <w:pgMar w:left="32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99" w:hanging="178"/>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debt security of that series when due and payable;</w:t>
      </w:r>
    </w:p>
    <w:p>
      <w:pPr>
        <w:spacing w:after="0" w:line="48" w:lineRule="exact"/>
        <w:rPr>
          <w:rFonts w:ascii="Arial" w:cs="Arial" w:eastAsia="Arial" w:hAnsi="Arial"/>
          <w:sz w:val="18"/>
          <w:szCs w:val="18"/>
          <w:color w:val="auto"/>
        </w:rPr>
      </w:pPr>
    </w:p>
    <w:p>
      <w:pPr>
        <w:ind w:left="1800" w:right="799" w:hanging="178"/>
        <w:spacing w:after="0" w:line="273"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of such default from the trustee or we and the trustee receive written notice of such default from the holders of not less than a majority in principal amount of the outstanding debt securities of that series as provided in the indenture;</w:t>
      </w:r>
    </w:p>
    <w:p>
      <w:pPr>
        <w:spacing w:after="0" w:line="69" w:lineRule="exact"/>
        <w:rPr>
          <w:rFonts w:ascii="Arial" w:cs="Arial" w:eastAsia="Arial" w:hAnsi="Arial"/>
          <w:sz w:val="17"/>
          <w:szCs w:val="17"/>
          <w:color w:val="auto"/>
        </w:rPr>
      </w:pPr>
    </w:p>
    <w:p>
      <w:pPr>
        <w:ind w:left="1800" w:hanging="178"/>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and</w:t>
      </w:r>
    </w:p>
    <w:p>
      <w:pPr>
        <w:spacing w:after="0" w:line="117"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accompanying this prospectus.</w:t>
      </w:r>
    </w:p>
    <w:p>
      <w:pPr>
        <w:spacing w:after="0" w:line="89" w:lineRule="exact"/>
        <w:rPr>
          <w:sz w:val="20"/>
          <w:szCs w:val="20"/>
          <w:color w:val="auto"/>
        </w:rPr>
      </w:pPr>
    </w:p>
    <w:p>
      <w:pPr>
        <w:ind w:left="1260" w:right="859" w:firstLine="360"/>
        <w:spacing w:after="0"/>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22"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the trustee or the holders of not less than 25% of the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16" w:lineRule="exact"/>
        <w:rPr>
          <w:sz w:val="20"/>
          <w:szCs w:val="20"/>
          <w:color w:val="auto"/>
        </w:rPr>
      </w:pPr>
    </w:p>
    <w:p>
      <w:pPr>
        <w:ind w:left="1260" w:right="819" w:firstLine="360"/>
        <w:spacing w:after="0" w:line="239" w:lineRule="auto"/>
        <w:rPr>
          <w:sz w:val="20"/>
          <w:szCs w:val="20"/>
          <w:color w:val="auto"/>
        </w:rPr>
      </w:pPr>
      <w:r>
        <w:rPr>
          <w:rFonts w:ascii="Arial" w:cs="Arial" w:eastAsia="Arial" w:hAnsi="Arial"/>
          <w:sz w:val="18"/>
          <w:szCs w:val="18"/>
          <w:color w:val="auto"/>
        </w:rPr>
        <w:t>The indenture provides that the trustee will be under no obligation to exercise any of its rights or powers under the indenture at the request of any holder of outstanding debt securities,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10" w:lineRule="exact"/>
        <w:rPr>
          <w:sz w:val="20"/>
          <w:szCs w:val="20"/>
          <w:color w:val="auto"/>
        </w:rPr>
      </w:pPr>
    </w:p>
    <w:p>
      <w:pPr>
        <w:ind w:left="1260" w:right="819" w:firstLine="360"/>
        <w:spacing w:after="0" w:line="24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74" w:lineRule="exact"/>
        <w:rPr>
          <w:sz w:val="20"/>
          <w:szCs w:val="20"/>
          <w:color w:val="auto"/>
        </w:rPr>
      </w:pPr>
    </w:p>
    <w:p>
      <w:pPr>
        <w:ind w:left="1800" w:right="979" w:hanging="178"/>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62" w:lineRule="exact"/>
        <w:rPr>
          <w:rFonts w:ascii="Arial" w:cs="Arial" w:eastAsia="Arial" w:hAnsi="Arial"/>
          <w:sz w:val="18"/>
          <w:szCs w:val="18"/>
          <w:color w:val="auto"/>
        </w:rPr>
      </w:pPr>
    </w:p>
    <w:p>
      <w:pPr>
        <w:ind w:left="1800" w:right="779" w:hanging="178"/>
        <w:spacing w:after="0" w:line="25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at least a majority in principal amount of the outstanding debt securities of that series have made written request, and offered reasonable indemnity, to the trustee to institute the proceeding as trustee, and the trustee has not received from the holders of a majority in principal amount of the outstanding debt securities of that series a direction inconsistent with that request and has failed to institute the proceeding within 60 days.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Notwithstanding the foregoing,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83"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7"/>
          <w:szCs w:val="17"/>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and Waiver</w:t>
      </w:r>
    </w:p>
    <w:p>
      <w:pPr>
        <w:spacing w:after="0" w:line="162"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color w:val="auto"/>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0" w:lineRule="exact"/>
        <w:rPr>
          <w:sz w:val="20"/>
          <w:szCs w:val="20"/>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or waiver;</w:t>
      </w:r>
    </w:p>
    <w:p>
      <w:pPr>
        <w:spacing w:after="0" w:line="117"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62"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17" w:lineRule="exact"/>
        <w:rPr>
          <w:rFonts w:ascii="Arial" w:cs="Arial" w:eastAsia="Arial" w:hAnsi="Arial"/>
          <w:sz w:val="18"/>
          <w:szCs w:val="18"/>
          <w:color w:val="auto"/>
        </w:rPr>
      </w:pPr>
    </w:p>
    <w:p>
      <w:pPr>
        <w:ind w:left="1800" w:right="719" w:hanging="178"/>
        <w:spacing w:after="0" w:line="259"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8"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62" w:lineRule="exact"/>
        <w:rPr>
          <w:rFonts w:ascii="Arial" w:cs="Arial" w:eastAsia="Arial" w:hAnsi="Arial"/>
          <w:sz w:val="18"/>
          <w:szCs w:val="18"/>
          <w:color w:val="auto"/>
        </w:rPr>
      </w:pPr>
    </w:p>
    <w:p>
      <w:pPr>
        <w:ind w:left="1800" w:right="799" w:hanging="178"/>
        <w:spacing w:after="0" w:line="259"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8" w:lineRule="exact"/>
        <w:rPr>
          <w:rFonts w:ascii="Arial" w:cs="Arial" w:eastAsia="Arial" w:hAnsi="Arial"/>
          <w:sz w:val="18"/>
          <w:szCs w:val="18"/>
          <w:color w:val="auto"/>
        </w:rPr>
      </w:pPr>
    </w:p>
    <w:p>
      <w:pPr>
        <w:ind w:left="1800" w:hanging="178"/>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158"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48"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i w:val="1"/>
          <w:iCs w:val="1"/>
          <w:color w:val="auto"/>
        </w:rPr>
        <w:t xml:space="preserve">Legal Defeasance. </w:t>
      </w:r>
      <w:r>
        <w:rPr>
          <w:rFonts w:ascii="Arial" w:cs="Arial" w:eastAsia="Arial" w:hAnsi="Arial"/>
          <w:sz w:val="17"/>
          <w:szCs w:val="17"/>
          <w:color w:val="auto"/>
        </w:rPr>
        <w:t>The indenture provides that, unless otherwise provided by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series of debt securities, we may be discharged from any and all obligations 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w:t>
      </w:r>
    </w:p>
    <w:p>
      <w:pPr>
        <w:sectPr>
          <w:pgSz w:w="11900" w:h="16838" w:orient="portrait"/>
          <w:cols w:equalWidth="0" w:num="1">
            <w:col w:w="10139"/>
          </w:cols>
          <w:pgMar w:left="32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57" w:lineRule="auto"/>
        <w:rPr>
          <w:sz w:val="20"/>
          <w:szCs w:val="20"/>
          <w:color w:val="auto"/>
        </w:rPr>
      </w:pPr>
      <w:r>
        <w:rPr>
          <w:rFonts w:ascii="Arial" w:cs="Arial" w:eastAsia="Arial" w:hAnsi="Arial"/>
          <w:sz w:val="17"/>
          <w:szCs w:val="17"/>
          <w:color w:val="auto"/>
        </w:rPr>
        <w:t>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94"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6"/>
          <w:szCs w:val="16"/>
          <w:color w:val="auto"/>
        </w:rPr>
        <w:t>This discharge may occur only if, among other things, we have delivered to the trustee an opinion of counsel stating that we have received from, or there has been published by, the United States Internal Revenue Service, or IRS, a ruling or, since the date of execution of the indenture, there has been a change in the applicable U.S. federal income tax law, in either case to the effect that, and based thereon such opinion shall confirm that, the beneficial owners of the outstanding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100" w:lineRule="exact"/>
        <w:rPr>
          <w:sz w:val="20"/>
          <w:szCs w:val="20"/>
          <w:color w:val="auto"/>
        </w:rPr>
      </w:pPr>
    </w:p>
    <w:p>
      <w:pPr>
        <w:ind w:left="1260" w:right="1139" w:firstLine="360"/>
        <w:spacing w:after="0" w:line="261"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unless otherwise provided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applicable series of debt securities, upon compliance with certain conditions:</w:t>
      </w:r>
    </w:p>
    <w:p>
      <w:pPr>
        <w:spacing w:after="0" w:line="63" w:lineRule="exact"/>
        <w:rPr>
          <w:sz w:val="20"/>
          <w:szCs w:val="20"/>
          <w:color w:val="auto"/>
        </w:rPr>
      </w:pPr>
    </w:p>
    <w:p>
      <w:pPr>
        <w:ind w:left="1800" w:right="839" w:hanging="178"/>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62" w:lineRule="exact"/>
        <w:rPr>
          <w:rFonts w:ascii="Arial" w:cs="Arial" w:eastAsia="Arial" w:hAnsi="Arial"/>
          <w:sz w:val="18"/>
          <w:szCs w:val="18"/>
          <w:color w:val="auto"/>
        </w:rPr>
      </w:pPr>
    </w:p>
    <w:p>
      <w:pPr>
        <w:ind w:left="1800" w:right="739" w:hanging="178"/>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or covenant defeasance.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conditions include:</w:t>
      </w:r>
    </w:p>
    <w:p>
      <w:pPr>
        <w:spacing w:after="0" w:line="117" w:lineRule="exact"/>
        <w:rPr>
          <w:sz w:val="20"/>
          <w:szCs w:val="20"/>
          <w:color w:val="auto"/>
        </w:rPr>
      </w:pPr>
    </w:p>
    <w:p>
      <w:pPr>
        <w:ind w:left="1800" w:right="799" w:hanging="178"/>
        <w:spacing w:after="0" w:line="254"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3" w:lineRule="exact"/>
        <w:rPr>
          <w:rFonts w:ascii="Arial" w:cs="Arial" w:eastAsia="Arial" w:hAnsi="Arial"/>
          <w:sz w:val="18"/>
          <w:szCs w:val="18"/>
          <w:color w:val="auto"/>
        </w:rPr>
      </w:pPr>
    </w:p>
    <w:p>
      <w:pPr>
        <w:ind w:left="1800" w:right="799" w:hanging="178"/>
        <w:spacing w:after="0" w:line="275"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delivering to the trustee an opinion of counsel to the effect that the beneficial owners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95"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7"/>
          <w:szCs w:val="17"/>
          <w:i w:val="1"/>
          <w:iCs w:val="1"/>
          <w:color w:val="auto"/>
        </w:rPr>
        <w:t xml:space="preserve">Covenant Defeasance and Events of Default. </w:t>
      </w:r>
      <w:r>
        <w:rPr>
          <w:rFonts w:ascii="Arial" w:cs="Arial" w:eastAsia="Arial" w:hAnsi="Arial"/>
          <w:sz w:val="17"/>
          <w:szCs w:val="17"/>
          <w:color w:val="auto"/>
        </w:rPr>
        <w:t>In the event we exercise our option to effect covenant</w:t>
      </w:r>
      <w:r>
        <w:rPr>
          <w:rFonts w:ascii="Arial" w:cs="Arial" w:eastAsia="Arial" w:hAnsi="Arial"/>
          <w:sz w:val="17"/>
          <w:szCs w:val="17"/>
          <w:i w:val="1"/>
          <w:iCs w:val="1"/>
          <w:color w:val="auto"/>
        </w:rPr>
        <w:t xml:space="preserve"> </w:t>
      </w:r>
      <w:r>
        <w:rPr>
          <w:rFonts w:ascii="Arial" w:cs="Arial" w:eastAsia="Arial" w:hAnsi="Arial"/>
          <w:sz w:val="17"/>
          <w:szCs w:val="17"/>
          <w:color w:val="auto"/>
        </w:rPr>
        <w:t>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In such a case, we would remain liable for those payments.</w:t>
      </w:r>
    </w:p>
    <w:p>
      <w:pPr>
        <w:spacing w:after="0" w:line="112" w:lineRule="exact"/>
        <w:rPr>
          <w:sz w:val="20"/>
          <w:szCs w:val="20"/>
          <w:color w:val="auto"/>
        </w:rPr>
      </w:pPr>
    </w:p>
    <w:p>
      <w:pPr>
        <w:ind w:left="1260" w:right="1359" w:firstLine="360"/>
        <w:spacing w:after="0" w:line="261" w:lineRule="auto"/>
        <w:rPr>
          <w:sz w:val="20"/>
          <w:szCs w:val="20"/>
          <w:color w:val="auto"/>
        </w:rPr>
      </w:pPr>
      <w:r>
        <w:rPr>
          <w:rFonts w:ascii="Arial" w:cs="Arial" w:eastAsia="Arial" w:hAnsi="Arial"/>
          <w:sz w:val="18"/>
          <w:szCs w:val="18"/>
          <w:color w:val="auto"/>
        </w:rPr>
        <w:t>“Foreign Government Obligations” means, with respect to debt securities of any series that are denominated in a currency other than U.S. dollars:</w:t>
      </w:r>
    </w:p>
    <w:p>
      <w:pPr>
        <w:spacing w:after="0" w:line="63" w:lineRule="exact"/>
        <w:rPr>
          <w:sz w:val="20"/>
          <w:szCs w:val="20"/>
          <w:color w:val="auto"/>
        </w:rPr>
      </w:pPr>
    </w:p>
    <w:p>
      <w:pPr>
        <w:ind w:left="1800" w:right="699" w:hanging="178"/>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62" w:lineRule="exact"/>
        <w:rPr>
          <w:rFonts w:ascii="Arial" w:cs="Arial" w:eastAsia="Arial" w:hAnsi="Arial"/>
          <w:sz w:val="18"/>
          <w:szCs w:val="18"/>
          <w:color w:val="auto"/>
        </w:rPr>
      </w:pPr>
    </w:p>
    <w:p>
      <w:pPr>
        <w:ind w:left="1800" w:right="839" w:hanging="178"/>
        <w:spacing w:after="0" w:line="259"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ectPr>
          <w:pgSz w:w="11900" w:h="16838" w:orient="portrait"/>
          <w:cols w:equalWidth="0" w:num="1">
            <w:col w:w="10139"/>
          </w:cols>
          <w:pgMar w:left="320" w:top="131"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jc w:val="both"/>
        <w:ind w:left="1260" w:right="819" w:firstLine="360"/>
        <w:spacing w:after="0" w:line="248"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without regard to conflict of law principles that would result in the application of any law other than the law of the State of New York.</w:t>
      </w:r>
    </w:p>
    <w:p>
      <w:pPr>
        <w:spacing w:after="0" w:line="17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DEPOSITARY SHARES</w:t>
      </w:r>
    </w:p>
    <w:p>
      <w:pPr>
        <w:spacing w:after="0" w:line="162"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7"/>
          <w:szCs w:val="17"/>
          <w:color w:val="auto"/>
        </w:rPr>
        <w:t>The following description of shares represented by depositary shares sets forth certain general terms and provisions of deposit agreements, depositary shares and depositary receipts. This summary does not contain all of the information that you may find useful. The particular terms of the depositary shares and related agreements and receipts will be described in the prospectus supplement relating to those depositary shares. For more information, you should review the relevant form of deposit agreement and relevant form of depositary receipts, which are or will be filed with the SEC.</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We may, at our option, elect to offer depositary shares, each of which would represent an interest in a fractional share, or multiple shares, of our preferred stock instead of whole shares of preferred stock. If so, we will allow a depositary to issue to the public depositary shares, each of which will represent an interest in a fractional share, or multiple shares, of preferred stock as described in the prospectus supplement relating to such series of depositary shares.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Deposit Agreement</w:t>
      </w:r>
    </w:p>
    <w:p>
      <w:pPr>
        <w:spacing w:after="0" w:line="14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The shares of the preferred stock underlying any depositary shares will be deposited under a separate deposit agreement between us and a bank or trust company acting as depositary with respect to those shares of preferred stock. The prospectus supplement relating to a series of depositary shares will specify the name and address of the depositary. Under the deposit agreement, each owner of a depositary share will be entitled, in proportion of its interest in a fractional share or multiple shares, of the preferred stock underlying that depositary share, to all the rights and preferences of that preferred stock, including dividend, voting, redemption, conversion, exchange and liquidation rights.</w:t>
      </w:r>
    </w:p>
    <w:p>
      <w:pPr>
        <w:spacing w:after="0" w:line="112" w:lineRule="exact"/>
        <w:rPr>
          <w:sz w:val="20"/>
          <w:szCs w:val="20"/>
          <w:color w:val="auto"/>
        </w:rPr>
      </w:pPr>
    </w:p>
    <w:p>
      <w:pPr>
        <w:ind w:left="1260" w:right="1099" w:firstLine="360"/>
        <w:spacing w:after="0" w:line="270" w:lineRule="auto"/>
        <w:rPr>
          <w:sz w:val="20"/>
          <w:szCs w:val="20"/>
          <w:color w:val="auto"/>
        </w:rPr>
      </w:pPr>
      <w:r>
        <w:rPr>
          <w:rFonts w:ascii="Arial" w:cs="Arial" w:eastAsia="Arial" w:hAnsi="Arial"/>
          <w:sz w:val="17"/>
          <w:szCs w:val="17"/>
          <w:color w:val="auto"/>
        </w:rPr>
        <w:t>Depositary shares will be evidenced by one or more depositary receipts issued under the deposit agreement. We will distribute depositary receipts to those persons purchasing such depositary shares in accordance with the terms of the offering made by the applicable prospectus supplement.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 and Other Distributions</w:t>
      </w:r>
    </w:p>
    <w:p>
      <w:pPr>
        <w:spacing w:after="0" w:line="162"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The depositary will distribute all cash dividends or other cash distributions in respect of the preferred stock underlying the depositary shares to each record holder of depositary shares based on the number of the depositary shares owned by that holder on the relevant record date under the terms specified in the deposit agreement and the applicable prospectus supplement.</w:t>
      </w:r>
    </w:p>
    <w:p>
      <w:pPr>
        <w:spacing w:after="0" w:line="107"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color w:val="auto"/>
        </w:rPr>
        <w:t>If there is a distribution other than in cash, the depositary will distribute property to the entitled record holders of depositary shares, unless the depositary determines that it is not feasible to make that distribution. In that case the depositary may, with our approval, adopt the method it deems equitable and practicable for making that distribution, including any sale of property and the distribution of the net proceeds from this sale to the concerned holders.</w:t>
      </w:r>
    </w:p>
    <w:p>
      <w:pPr>
        <w:spacing w:after="0" w:line="122"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Each deposit agreement will also contain provisions relating to the manner in which any subscription or similar rights we offer to holders of the relevant series of preferred stock will be made available to holders of depositary shares.</w:t>
      </w:r>
    </w:p>
    <w:p>
      <w:pPr>
        <w:spacing w:after="0" w:line="114" w:lineRule="exact"/>
        <w:rPr>
          <w:sz w:val="20"/>
          <w:szCs w:val="20"/>
          <w:color w:val="auto"/>
        </w:rPr>
      </w:pPr>
    </w:p>
    <w:p>
      <w:pPr>
        <w:ind w:left="1260" w:right="1059" w:firstLine="360"/>
        <w:spacing w:after="0" w:line="261" w:lineRule="auto"/>
        <w:rPr>
          <w:sz w:val="20"/>
          <w:szCs w:val="20"/>
          <w:color w:val="auto"/>
        </w:rPr>
      </w:pPr>
      <w:r>
        <w:rPr>
          <w:rFonts w:ascii="Arial" w:cs="Arial" w:eastAsia="Arial" w:hAnsi="Arial"/>
          <w:sz w:val="18"/>
          <w:szCs w:val="18"/>
          <w:color w:val="auto"/>
        </w:rPr>
        <w:t>The amount distributed in all of the foregoing cases will be reduced by any amounts required to be withheld by us or the depositary on account of taxes and governmental charges.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Withdrawal of Preferred Stock</w:t>
      </w:r>
    </w:p>
    <w:p>
      <w:pPr>
        <w:spacing w:after="0" w:line="148" w:lineRule="exact"/>
        <w:rPr>
          <w:sz w:val="20"/>
          <w:szCs w:val="20"/>
          <w:color w:val="auto"/>
        </w:rPr>
      </w:pPr>
    </w:p>
    <w:p>
      <w:pPr>
        <w:ind w:left="1260" w:right="859" w:firstLine="360"/>
        <w:spacing w:after="0" w:line="291" w:lineRule="auto"/>
        <w:rPr>
          <w:sz w:val="20"/>
          <w:szCs w:val="20"/>
          <w:color w:val="auto"/>
        </w:rPr>
      </w:pPr>
      <w:r>
        <w:rPr>
          <w:rFonts w:ascii="Arial" w:cs="Arial" w:eastAsia="Arial" w:hAnsi="Arial"/>
          <w:sz w:val="17"/>
          <w:szCs w:val="17"/>
          <w:color w:val="auto"/>
        </w:rPr>
        <w:t>Upon surrender of depositary receipts at the office of the depositary and upon payment of the charges provided in the deposit agreement and subject to the terms thereof, a holder of depositary receipts will be</w:t>
      </w:r>
    </w:p>
    <w:p>
      <w:pPr>
        <w:sectPr>
          <w:pgSz w:w="11900" w:h="16838" w:orient="portrait"/>
          <w:cols w:equalWidth="0" w:num="1">
            <w:col w:w="10139"/>
          </w:cols>
          <w:pgMar w:left="320" w:top="131"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43" w:lineRule="auto"/>
        <w:rPr>
          <w:sz w:val="20"/>
          <w:szCs w:val="20"/>
          <w:color w:val="auto"/>
        </w:rPr>
      </w:pPr>
      <w:r>
        <w:rPr>
          <w:rFonts w:ascii="Arial" w:cs="Arial" w:eastAsia="Arial" w:hAnsi="Arial"/>
          <w:sz w:val="18"/>
          <w:szCs w:val="18"/>
          <w:color w:val="auto"/>
        </w:rPr>
        <w:t>entitled to have the depositary deliver to such holder the applicable number of shares of preferred stock underlying the depositary shares evidenced by the surrendered depositary receipts. There may be no market, however, for the underlying preferred stock and once the underlying preferred stock is withdrawn from the depositary, it may not be redeposited.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Redemption and Liquidation</w:t>
      </w:r>
    </w:p>
    <w:p>
      <w:pPr>
        <w:spacing w:after="0" w:line="148"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The terms on which the depositary shares relating to the preferred stock of any series may be redeemed, and any amounts distributable upon our liquidation, dissolution or winding up, will be described in the applicable prospectus supplement.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w:t>
      </w:r>
    </w:p>
    <w:p>
      <w:pPr>
        <w:spacing w:after="0" w:line="162"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Upon receiving notice of any meeting at which preferred stockholders of any series are entitled to vote, the depositary will mail the information contained in that notice to the record holders of depositary shares relating to that series of preferred stock. Each holder of depositary shares on the record date will be entitled to instruct the depositary on how to vote the shares of preferred stock underlying that holder’s depositary shares. The depositary will vote the shares of preferred stock underlying those depositary shares according to those instructions, and we will take reasonably necessary actions to enable the depositary to do so. If the depositary does not receive specific instructions from the holders of depositary shares relating to that preferred stock, it will abstain from voting those shares of preferred stock, unless otherwise discussed in the prospectus supplement.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Charges of Depositary</w:t>
      </w:r>
    </w:p>
    <w:p>
      <w:pPr>
        <w:spacing w:after="0" w:line="162"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also pay all charges of each depositary in connection with the initial deposit and any redemption of the preferred stock. Unless otherwise specified in the deposit agreement and the applicable prospectus supplement, holders of depositary shares will be required to pay any other transfer and other taxes and governmental charges and any other charges expressly provided in the deposit agreement to be for their accounts.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Miscellaneous</w:t>
      </w:r>
    </w:p>
    <w:p>
      <w:pPr>
        <w:spacing w:after="0" w:line="148" w:lineRule="exact"/>
        <w:rPr>
          <w:sz w:val="20"/>
          <w:szCs w:val="20"/>
          <w:color w:val="auto"/>
        </w:rPr>
      </w:pPr>
    </w:p>
    <w:p>
      <w:pPr>
        <w:ind w:left="1260" w:right="1399" w:firstLine="360"/>
        <w:spacing w:after="0" w:line="261" w:lineRule="auto"/>
        <w:rPr>
          <w:sz w:val="20"/>
          <w:szCs w:val="20"/>
          <w:color w:val="auto"/>
        </w:rPr>
      </w:pPr>
      <w:r>
        <w:rPr>
          <w:rFonts w:ascii="Arial" w:cs="Arial" w:eastAsia="Arial" w:hAnsi="Arial"/>
          <w:sz w:val="18"/>
          <w:szCs w:val="18"/>
          <w:color w:val="auto"/>
        </w:rPr>
        <w:t>Each depositary will forward to the relevant holders of depositary shares all of our reports and communications that we are required to furnish to preferred stockholders of any series.</w:t>
      </w:r>
    </w:p>
    <w:p>
      <w:pPr>
        <w:spacing w:after="0" w:line="103"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The deposit agreement will contain provisions relating to adjustments in the fraction of a share of preferred stock represented by a depositary share in the event of a change in par value, split-up, combination or other reclassification of the preferred stock or upon any recapitalization, merger or sale of substantially all of our assets.</w:t>
      </w:r>
    </w:p>
    <w:p>
      <w:pPr>
        <w:spacing w:after="0" w:line="120"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Neither the depositary nor Uniti will be liable if it is prevented or delayed by law or any circumstance beyond its control in performing its obligations under any deposit agreement. Our obligations and the obligations of each depositary under any deposit agreement will be limited to performing their duties in good faith and without negligence (in the case of any action or inaction in voting preferred stock represented by depositary shares), gross negligence or willful misconduct, and Uniti and the depositary will not be obligated to prosecute or defend any legal proceeding in respect of any depositary shares or preferred stock unless they are provided with satisfactory indemnity. They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48"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A depositary may resign at any time by issuing us a notice of resignation, and we may remove any depositary at any time by issuing it a notice of removal. Resignation or removal will take effect upon the appointment of a successor depositary and its acceptance of appointment. That successor depositary must be appointed within 60 days after delivery of the notice of resignation or removal.</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DESCRIPTION OF PURCHASE CONTRACTS</w:t>
      </w:r>
    </w:p>
    <w:p>
      <w:pPr>
        <w:spacing w:after="0" w:line="148" w:lineRule="exact"/>
        <w:rPr>
          <w:sz w:val="20"/>
          <w:szCs w:val="20"/>
          <w:color w:val="auto"/>
        </w:rPr>
      </w:pPr>
    </w:p>
    <w:p>
      <w:pPr>
        <w:ind w:left="1260" w:right="759" w:firstLine="360"/>
        <w:spacing w:after="0" w:line="273" w:lineRule="auto"/>
        <w:rPr>
          <w:sz w:val="20"/>
          <w:szCs w:val="20"/>
          <w:color w:val="auto"/>
        </w:rPr>
      </w:pPr>
      <w:r>
        <w:rPr>
          <w:rFonts w:ascii="Arial" w:cs="Arial" w:eastAsia="Arial" w:hAnsi="Arial"/>
          <w:sz w:val="17"/>
          <w:szCs w:val="17"/>
          <w:color w:val="auto"/>
        </w:rPr>
        <w:t>The following description sets forth certain general terms and provisions of the purchase contracts that we may offer from time to time. This summary does not contain all of the information that you may find useful. The particular terms of any purchase contract that we may offer and the related agreements will be described in the prospectus supplement relating to those purchase contracts. For more information, you should review the relevant form of purchase contract and the relevant form of pledge agreement for purchase contracts, if any, which are or will be filed with the SEC.</w:t>
      </w:r>
    </w:p>
    <w:p>
      <w:pPr>
        <w:spacing w:after="0" w:line="110"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If we offer any purchase contracts, certain terms of that series of purchase contracts will be described in the applicable prospectus supplement, including, without limitation, the following:</w:t>
      </w:r>
    </w:p>
    <w:p>
      <w:pPr>
        <w:spacing w:after="0" w:line="62" w:lineRule="exact"/>
        <w:rPr>
          <w:sz w:val="20"/>
          <w:szCs w:val="20"/>
          <w:color w:val="auto"/>
        </w:rPr>
      </w:pPr>
    </w:p>
    <w:p>
      <w:pPr>
        <w:ind w:left="1800" w:right="1439" w:hanging="178"/>
        <w:spacing w:after="0" w:line="308"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price of the securities or other property subject to the purchase contracts (which may be determined by reference to a specific formula described in the purchase contracts);</w:t>
      </w:r>
    </w:p>
    <w:p>
      <w:pPr>
        <w:spacing w:after="0" w:line="38" w:lineRule="exact"/>
        <w:rPr>
          <w:rFonts w:ascii="Arial" w:cs="Arial" w:eastAsia="Arial" w:hAnsi="Arial"/>
          <w:sz w:val="17"/>
          <w:szCs w:val="17"/>
          <w:color w:val="auto"/>
        </w:rPr>
      </w:pPr>
    </w:p>
    <w:p>
      <w:pPr>
        <w:ind w:left="1800" w:right="1019" w:hanging="178"/>
        <w:spacing w:after="0" w:line="286"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the purchase contracts are issued separately, or as a part of units each consisting of a purchase contract and one or more of our other securities or securities of an unaffiliated entity, including U.S. Treasury securities, securing the holder’s obligations under the purchase contract;</w:t>
      </w:r>
    </w:p>
    <w:p>
      <w:pPr>
        <w:spacing w:after="0" w:line="57" w:lineRule="exact"/>
        <w:rPr>
          <w:rFonts w:ascii="Arial" w:cs="Arial" w:eastAsia="Arial" w:hAnsi="Arial"/>
          <w:sz w:val="17"/>
          <w:szCs w:val="17"/>
          <w:color w:val="auto"/>
        </w:rPr>
      </w:pPr>
    </w:p>
    <w:p>
      <w:pPr>
        <w:ind w:left="1800" w:right="1439" w:hanging="178"/>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requirement for us to make periodic payments to holders or vice versa, and whether the payments are unsecured or pre-funded;</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purchase contracts;</w:t>
      </w:r>
    </w:p>
    <w:p>
      <w:pPr>
        <w:spacing w:after="0" w:line="130" w:lineRule="exact"/>
        <w:rPr>
          <w:rFonts w:ascii="Arial" w:cs="Arial" w:eastAsia="Arial" w:hAnsi="Arial"/>
          <w:sz w:val="18"/>
          <w:szCs w:val="18"/>
          <w:color w:val="auto"/>
        </w:rPr>
      </w:pPr>
    </w:p>
    <w:p>
      <w:pPr>
        <w:jc w:val="both"/>
        <w:ind w:left="1800" w:right="1019" w:hanging="178"/>
        <w:spacing w:after="0" w:line="286"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57" w:lineRule="exact"/>
        <w:rPr>
          <w:rFonts w:ascii="Arial" w:cs="Arial" w:eastAsia="Arial" w:hAnsi="Arial"/>
          <w:sz w:val="17"/>
          <w:szCs w:val="17"/>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117"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62" w:lineRule="exact"/>
        <w:rPr>
          <w:rFonts w:ascii="Arial" w:cs="Arial" w:eastAsia="Arial" w:hAnsi="Arial"/>
          <w:sz w:val="18"/>
          <w:szCs w:val="18"/>
          <w:color w:val="auto"/>
        </w:rPr>
      </w:pPr>
    </w:p>
    <w:p>
      <w:pPr>
        <w:ind w:left="1800" w:right="1239" w:hanging="178"/>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discussion of certain U.S. federal income tax considerations applicable to the purchase contracts;</w:t>
      </w:r>
    </w:p>
    <w:p>
      <w:pPr>
        <w:spacing w:after="0" w:line="128" w:lineRule="exact"/>
        <w:rPr>
          <w:rFonts w:ascii="Arial" w:cs="Arial" w:eastAsia="Arial" w:hAnsi="Arial"/>
          <w:sz w:val="17"/>
          <w:szCs w:val="17"/>
          <w:color w:val="auto"/>
        </w:rPr>
      </w:pPr>
    </w:p>
    <w:p>
      <w:pPr>
        <w:ind w:left="1800" w:hanging="178"/>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other terms of the purchase contracts and any securities subject to such purchase contracts.</w:t>
      </w:r>
    </w:p>
    <w:p>
      <w:pPr>
        <w:spacing w:after="0" w:line="23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UNITS</w:t>
      </w:r>
    </w:p>
    <w:p>
      <w:pPr>
        <w:spacing w:after="0" w:line="162"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The following description sets forth certain general terms and provisions of the units that we may offer from time to time. This summary does not contain all of the information that you may find useful. The particular terms of any of the units that we may offer and the related agreements will be described in the prospectus supplement relating to those units. For more information, you should review the relevant form of unit agreement and relevant form of unit certificate, if any, which are or will be filed with the SEC.</w:t>
      </w:r>
    </w:p>
    <w:p>
      <w:pPr>
        <w:spacing w:after="0" w:line="109"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62" w:lineRule="exact"/>
        <w:rPr>
          <w:sz w:val="20"/>
          <w:szCs w:val="20"/>
          <w:color w:val="auto"/>
        </w:rPr>
      </w:pPr>
    </w:p>
    <w:p>
      <w:pPr>
        <w:ind w:left="1800" w:hanging="178"/>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17"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units;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DESCRIPTION OF WARRANTS</w:t>
      </w:r>
    </w:p>
    <w:p>
      <w:pPr>
        <w:spacing w:after="0" w:line="148"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The following description sets forth certain general terms and provisions of the warrants that we may offer from time to time. This summary does not contain all of the information that you may find useful. The particular terms of any of the warrants that we may offer and the related agreements will be described in the prospectus supplement relating to those warrants. For more information, you should review the relevant form of warrant agreement and the relevant form of warrant certificate, if any, which are or will be filed with the SEC.</w:t>
      </w:r>
    </w:p>
    <w:p>
      <w:pPr>
        <w:spacing w:after="0" w:line="122"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We may issue warrants to purchase our securities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we select.</w:t>
      </w:r>
    </w:p>
    <w:p>
      <w:pPr>
        <w:spacing w:after="0" w:line="120"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You should review the applicable prospectus supplement for the specific terms of any warrants that may be offered, including:</w:t>
      </w:r>
    </w:p>
    <w:p>
      <w:pPr>
        <w:spacing w:after="0" w:line="49" w:lineRule="exact"/>
        <w:rPr>
          <w:sz w:val="20"/>
          <w:szCs w:val="20"/>
          <w:color w:val="auto"/>
        </w:rPr>
      </w:pPr>
    </w:p>
    <w:p>
      <w:pPr>
        <w:ind w:left="1800" w:hanging="178"/>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17" w:lineRule="exact"/>
        <w:rPr>
          <w:rFonts w:ascii="Arial" w:cs="Arial" w:eastAsia="Arial" w:hAnsi="Arial"/>
          <w:sz w:val="18"/>
          <w:szCs w:val="18"/>
          <w:color w:val="auto"/>
        </w:rPr>
      </w:pPr>
    </w:p>
    <w:p>
      <w:pPr>
        <w:ind w:left="1800" w:right="679" w:hanging="178"/>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the warrants may be payable;</w:t>
      </w:r>
    </w:p>
    <w:p>
      <w:pPr>
        <w:spacing w:after="0" w:line="48"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securities or securities of other issuers or any combination of the foregoing purchasable upon exercise of such warrants;</w:t>
      </w:r>
    </w:p>
    <w:p>
      <w:pPr>
        <w:spacing w:after="0" w:line="62" w:lineRule="exact"/>
        <w:rPr>
          <w:rFonts w:ascii="Arial" w:cs="Arial" w:eastAsia="Arial" w:hAnsi="Arial"/>
          <w:sz w:val="18"/>
          <w:szCs w:val="18"/>
          <w:color w:val="auto"/>
        </w:rPr>
      </w:pPr>
    </w:p>
    <w:p>
      <w:pPr>
        <w:ind w:left="1800" w:right="1179" w:hanging="178"/>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including composite currencies, in which the securities purchasable upon exercise of the warrants may be purchased;</w:t>
      </w:r>
    </w:p>
    <w:p>
      <w:pPr>
        <w:spacing w:after="0" w:line="62"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that right will expire;</w:t>
      </w:r>
    </w:p>
    <w:p>
      <w:pPr>
        <w:spacing w:after="0" w:line="48" w:lineRule="exact"/>
        <w:rPr>
          <w:rFonts w:ascii="Arial" w:cs="Arial" w:eastAsia="Arial" w:hAnsi="Arial"/>
          <w:sz w:val="18"/>
          <w:szCs w:val="18"/>
          <w:color w:val="auto"/>
        </w:rPr>
      </w:pPr>
    </w:p>
    <w:p>
      <w:pPr>
        <w:ind w:left="1800" w:right="979" w:hanging="178"/>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62"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w:t>
      </w:r>
    </w:p>
    <w:p>
      <w:pPr>
        <w:spacing w:after="0" w:line="62" w:lineRule="exact"/>
        <w:rPr>
          <w:rFonts w:ascii="Arial" w:cs="Arial" w:eastAsia="Arial" w:hAnsi="Arial"/>
          <w:sz w:val="18"/>
          <w:szCs w:val="18"/>
          <w:color w:val="auto"/>
        </w:rPr>
      </w:pPr>
    </w:p>
    <w:p>
      <w:pPr>
        <w:ind w:left="1800" w:right="959" w:hanging="178"/>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17"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16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62"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In order for us to qualify as a REIT under the Internal Revenue Code (“Code”), our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our stock may be owned, beneficially or constructively, by five or fewer individuals (as defined in the Code to include certain entities such as qualified pension plans) during the last half of a taxable year (other than the first year for which an election to be a REIT has been made). In addition, rent from related party tenants (generally, a tenant of a REIT owned, beneficially or constructively, 10% or more by the REIT, or a 10% owner of the REIT) is not qualifying income for purposes of the gross income tests under the Code. To qualify as a REIT, we must satisfy other requirements as well. See “Material U.S. Federal Income Tax Considerations — Taxation of the Company — Taxation of REITs in General.”</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Our charter contains restrictions on the transfer and ownership of our stock. The relevant sections of our charter provide that, subject to the exceptions described below, no person or entity may beneficially own, or be deemed to own by virtue of the applicable constructive ownership provisions of the Code, more than 9.8% in value or in number, whichever is more restrictive, of the outstanding shares of our common stock or more than 9.8% in value of the aggregate of the outstanding shares of all classes and series of our stock. These limits are collectively referred to herein as the “ownership limits.” The constructive ownership rules under the Code are complex and may cause stock owned beneficially or constructively by a group of related individuals or entities to be owned constructively by one individual or entity. As a result, the acquisition of less than 9.8% of our outstanding common stock or less than 9.8% of our outstanding capital stock, or the acquisition of an interest in an entity that beneficially or constructively owns our stock, could, nevertheless, cause the acquiror, or another individual or entity, to own constructively shares of our outstanding stock in excess of the ownership limits.</w:t>
      </w:r>
    </w:p>
    <w:p>
      <w:pPr>
        <w:spacing w:after="0" w:line="98"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Upon receipt of certain representations and agreements and in its sole and absolute discretion, our board of directors is able to, prospectively or retroactively, exempt a person from the ownership limits or establish a different limit on ownership, or an excepted holder limit, for a particular stockholder if the stockholder’s ownership in excess of the ownership limits would not result in us being “closely held” under Section 856(h) of the Code or otherwise failing to qualify as a REIT. As a condition of granting a waiver of the ownership limits or creating an excepted holder limit, our board of directors will be able to, but is not required to, require an IRS ruling or opinion of counsel satisfactory to our board of directors (in its sole discretion) as it may deem necessary or advisable to determine or ensure our status as a REIT.</w:t>
      </w:r>
    </w:p>
    <w:p>
      <w:pPr>
        <w:spacing w:after="0" w:line="111"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board of directors is also able to, from time to time, increase or decrease the ownership limits unless, after giving effect to the increased or decreased ownership limits, five or fewer persons could beneficially own or constructively own, in the aggregate, more than 49.9% in value of our outstanding stock or we would otherwise fail to qualify as a REIT. Decreased ownership limits will not apply to any person or entity whose ownership of our stock is in excess of the decreased ownership limits until the person or entity’s ownership of our stock equals or falls below the decreased ownership limits, but any further acquisition of our stock will be in violation of the decreased ownership limits.</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charter also prohibits:</w:t>
      </w:r>
    </w:p>
    <w:p>
      <w:pPr>
        <w:spacing w:after="0" w:line="117" w:lineRule="exact"/>
        <w:rPr>
          <w:sz w:val="20"/>
          <w:szCs w:val="20"/>
          <w:color w:val="auto"/>
        </w:rPr>
      </w:pPr>
    </w:p>
    <w:p>
      <w:pPr>
        <w:ind w:left="1800" w:right="759" w:hanging="178"/>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shares of our stock to the extent such beneficial or constructive ownership would result in us being “closely held” under Section 856(h) of the Code or otherwise cause us to fail to qualify as a REIT;</w:t>
      </w:r>
    </w:p>
    <w:p>
      <w:pPr>
        <w:spacing w:after="0" w:line="75" w:lineRule="exact"/>
        <w:rPr>
          <w:rFonts w:ascii="Arial" w:cs="Arial" w:eastAsia="Arial" w:hAnsi="Arial"/>
          <w:sz w:val="18"/>
          <w:szCs w:val="18"/>
          <w:color w:val="auto"/>
        </w:rPr>
      </w:pPr>
    </w:p>
    <w:p>
      <w:pPr>
        <w:ind w:left="1800" w:right="979" w:hanging="178"/>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person from transferring shares of our stock if the transfer would result in shares of our stock being beneficially owned by fewer than 100 persons;</w:t>
      </w:r>
    </w:p>
    <w:p>
      <w:pPr>
        <w:spacing w:after="0" w:line="62" w:lineRule="exact"/>
        <w:rPr>
          <w:rFonts w:ascii="Arial" w:cs="Arial" w:eastAsia="Arial" w:hAnsi="Arial"/>
          <w:sz w:val="18"/>
          <w:szCs w:val="18"/>
          <w:color w:val="auto"/>
        </w:rPr>
      </w:pPr>
    </w:p>
    <w:p>
      <w:pPr>
        <w:ind w:left="1800" w:right="699" w:hanging="178"/>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person from beneficially owning shares of our stock to the extent such ownership would result in our failing to qualify as a “domestically controlled qualified investment entity,” within the meaning of Section 897(h) of the Code;</w:t>
      </w:r>
    </w:p>
    <w:p>
      <w:pPr>
        <w:spacing w:after="0" w:line="75" w:lineRule="exact"/>
        <w:rPr>
          <w:rFonts w:ascii="Arial" w:cs="Arial" w:eastAsia="Arial" w:hAnsi="Arial"/>
          <w:sz w:val="18"/>
          <w:szCs w:val="18"/>
          <w:color w:val="auto"/>
        </w:rPr>
      </w:pPr>
    </w:p>
    <w:p>
      <w:pPr>
        <w:ind w:left="1800" w:right="1039" w:hanging="178"/>
        <w:spacing w:after="0" w:line="259"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shares of our stock to the extent such beneficial or constructive ownership would cause us to own, beneficially or constructively, more than a 9.9% interest (as set forth in Section 856(d)(2)(B) of the Code) in a tenant of our real property; and</w:t>
      </w:r>
    </w:p>
    <w:p>
      <w:pPr>
        <w:spacing w:after="0" w:line="78" w:lineRule="exact"/>
        <w:rPr>
          <w:rFonts w:ascii="Arial" w:cs="Arial" w:eastAsia="Arial" w:hAnsi="Arial"/>
          <w:sz w:val="18"/>
          <w:szCs w:val="18"/>
          <w:color w:val="auto"/>
        </w:rPr>
      </w:pPr>
    </w:p>
    <w:p>
      <w:pPr>
        <w:jc w:val="both"/>
        <w:ind w:left="1800" w:right="699" w:hanging="178"/>
        <w:spacing w:after="0" w:line="271"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person from constructively owning shares of our stock to the extent such constructive ownership would cause any “eligible independent contractor” that operates a “qualified health care property” on behalf of a “taxable REIT subsidiary” (a “TRS”) of ours (as such terms are defined in</w:t>
      </w:r>
    </w:p>
    <w:p>
      <w:pPr>
        <w:ind w:left="1800" w:right="1099"/>
        <w:spacing w:after="0" w:line="260" w:lineRule="auto"/>
        <w:rPr>
          <w:rFonts w:ascii="Arial" w:cs="Arial" w:eastAsia="Arial" w:hAnsi="Arial"/>
          <w:sz w:val="17"/>
          <w:szCs w:val="17"/>
          <w:color w:val="auto"/>
        </w:rPr>
      </w:pPr>
      <w:r>
        <w:rPr>
          <w:rFonts w:ascii="Arial" w:cs="Arial" w:eastAsia="Arial" w:hAnsi="Arial"/>
          <w:sz w:val="18"/>
          <w:szCs w:val="18"/>
          <w:color w:val="auto"/>
        </w:rPr>
        <w:t>Sections 856(d)(9)(A), 856(e)(6)(D)(i) and 856(l) of the Code, respectively) to fail to qualify as such.</w:t>
      </w:r>
    </w:p>
    <w:p>
      <w:pPr>
        <w:spacing w:after="0" w:line="104"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Any person who acquires or attempts or intends to acquire beneficial or constructive ownership of shares of our stock that will or may violate the ownership limits, or any of the other restrictions on transfer and ownership of our stock, and any person who is the intended transferee of shares of our stock that are transferred to the charitable trust described below, will be required to give immediate written notice and, in the case of a proposed transaction, at least 15 days prior written notice, to us and provide us with such other information as we may request in order to determine the effect of the transfer on our status as a REIT. The</w:t>
      </w:r>
    </w:p>
    <w:p>
      <w:pPr>
        <w:sectPr>
          <w:pgSz w:w="11900" w:h="16838" w:orient="portrait"/>
          <w:cols w:equalWidth="0" w:num="1">
            <w:col w:w="10139"/>
          </w:cols>
          <w:pgMar w:left="32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79"/>
        <w:spacing w:after="0" w:line="248" w:lineRule="auto"/>
        <w:rPr>
          <w:sz w:val="20"/>
          <w:szCs w:val="20"/>
          <w:color w:val="auto"/>
        </w:rPr>
      </w:pPr>
      <w:r>
        <w:rPr>
          <w:rFonts w:ascii="Arial" w:cs="Arial" w:eastAsia="Arial" w:hAnsi="Arial"/>
          <w:sz w:val="18"/>
          <w:szCs w:val="18"/>
          <w:color w:val="auto"/>
        </w:rPr>
        <w:t>provisions of our charter regarding restrictions on transfer and ownership of our stock will not apply if our board of directors determines that it is no longer in our best interests to attempt to qualify, or to continue to qualify, as a REIT.</w:t>
      </w:r>
    </w:p>
    <w:p>
      <w:pPr>
        <w:spacing w:after="0" w:line="101" w:lineRule="exact"/>
        <w:rPr>
          <w:sz w:val="20"/>
          <w:szCs w:val="20"/>
          <w:color w:val="auto"/>
        </w:rPr>
      </w:pPr>
    </w:p>
    <w:p>
      <w:pPr>
        <w:ind w:left="1260" w:right="739" w:firstLine="360"/>
        <w:spacing w:after="0" w:line="237" w:lineRule="auto"/>
        <w:rPr>
          <w:sz w:val="20"/>
          <w:szCs w:val="20"/>
          <w:color w:val="auto"/>
        </w:rPr>
      </w:pPr>
      <w:r>
        <w:rPr>
          <w:rFonts w:ascii="Arial" w:cs="Arial" w:eastAsia="Arial" w:hAnsi="Arial"/>
          <w:sz w:val="18"/>
          <w:szCs w:val="18"/>
          <w:color w:val="auto"/>
        </w:rPr>
        <w:t>Any attempted transfer of our stock which, if effective, would result in our stock being beneficially owned by fewer than 100 persons will be null and void and the proposed transferee will acquire no rights in such shares of our stock. Any attempted transfer of our stock which, if effective, would violate any of the other restrictions described above will cause the number of shares causing the violation (rounded up to the nearest whole share) to be automatically transferred to a trust for the exclusive benefit of one or more charitable beneficiaries, and the proposed transferee will not acquire any rights in the shares. The trustee of the trust will be appointed by us and will be unaffiliated with us and any proposed transferee of the shares. The automatic transfer will be effective as of the close of business on the business day prior to the date of the violative transfer or other event that results in a transfer to the trust. If the transfer to the trust as described above is not automatically effective, for any reason, to prevent violation of the applicable restrictions on transfer and ownership of our stock, then the transfer of the shares will be null and void and the proposed transferee will acquire no rights in such shares.</w:t>
      </w:r>
    </w:p>
    <w:p>
      <w:pPr>
        <w:spacing w:after="0" w:line="126"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7"/>
          <w:szCs w:val="17"/>
          <w:color w:val="auto"/>
        </w:rPr>
        <w:t>Shares of our stock held in trust will be issued and outstanding shares. The proposed transferee will not benefit economically from ownership of any shares of our stock held in the trust, will have no rights to dividends and no rights to vote or other rights attributable to the shares of stock held in the trust. The trustee of the trust will exercise all voting rights and receive all dividends and other distributions with respect to shares held in the trust for the exclusive benefit of the charitable beneficiary of the trust. Any dividend or other distribution paid prior to our discovery that shares have been transferred to a trust as described above must be repaid by the recipient to the trustee upon demand. Subject to Maryland law, effective as of the date that the shares have been transferred to the trust, the trustee will have the authority, at the trustee’s sole discretion, to rescind as void any vote cast by a proposed transferee prior to our discovery that the shares have been transferred to the trust and to recast the vote in accordance with the desires of the trustee acting for the benefit of the charitable beneficiary of the trust. However, if we have already taken irreversible corporate action, then the trustee may not rescind and recast the vote.</w:t>
      </w:r>
    </w:p>
    <w:p>
      <w:pPr>
        <w:spacing w:after="0" w:line="116"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If our board of directors or a committee thereof determines in good faith that a proposed transfer or other event has taken place that violates the restrictions on transfer and ownership of our stock set forth in our charter, our board of directors or such committee may take such action as it deems advisable to refuse to give effect to or to prevent such transfer, including, but not limited to, causing us to redeem shares of stock, refusing to give effect to the transfer on our books or instituting proceedings to enjoin the transfer; provided that any transfer or other event in violation of the above restrictions shall automatically result in the transfer to the trust described above, and, where applicable, such transfer or other event shall be null and void as provided above irrespective of any action or non-action by our board of directors or any committee or designee thereof.</w:t>
      </w:r>
    </w:p>
    <w:p>
      <w:pPr>
        <w:spacing w:after="0" w:line="110" w:lineRule="exact"/>
        <w:rPr>
          <w:sz w:val="20"/>
          <w:szCs w:val="20"/>
          <w:color w:val="auto"/>
        </w:rPr>
      </w:pPr>
    </w:p>
    <w:p>
      <w:pPr>
        <w:ind w:left="1260" w:right="679" w:firstLine="360"/>
        <w:spacing w:after="0" w:line="252" w:lineRule="auto"/>
        <w:rPr>
          <w:sz w:val="20"/>
          <w:szCs w:val="20"/>
          <w:color w:val="auto"/>
        </w:rPr>
      </w:pPr>
      <w:r>
        <w:rPr>
          <w:rFonts w:ascii="Arial" w:cs="Arial" w:eastAsia="Arial" w:hAnsi="Arial"/>
          <w:sz w:val="17"/>
          <w:szCs w:val="17"/>
          <w:color w:val="auto"/>
        </w:rPr>
        <w:t>Shares of stock transferred to the trustee will be deemed offered for sale to us, or our designee, at a price per share equal to the lesser of (1) the price paid per share in the transaction that resulted in such transfer to the charitable trust (or, in the case of a devise or gift, the market price of such stock at the time of such devise or gift) and (2) the market price of such stock on the date we, or our designee, accept such offer. We may reduce the amount so payable to the trustee by the amount of any dividend or other distribution that we made to the proposed transferee before we discovered that the shares had been automatically transferred to the trust and that are then owed by the proposed transferee to the trustee as described above, and we may pay the amount of any such reduction to the trustee for distribution to the charitable beneficiary. We will have the right to accept such offer until the trustee has sold the shares held in the charitable trust, as discussed below. Upon a sale to us, the interest of the charitable beneficiary in the shares sold will terminate and the trustee will be required to distribute the net proceeds of the sale to the proposed transferee, and any distributions held by the trustee with respect to such shares to the charitable beneficiary.</w:t>
      </w:r>
    </w:p>
    <w:p>
      <w:pPr>
        <w:spacing w:after="0" w:line="116"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7"/>
          <w:szCs w:val="17"/>
          <w:color w:val="auto"/>
        </w:rPr>
        <w:t>If we do not buy the shares, the trustee will be required, within 20 days of receiving notice from us of a transfer of shares to the trust, to sell the shares to a person or entity designated by the trustee who could own the shares without violating the ownership limits, or the other restrictions on transfer and ownership of our stock. After selling the shares, the interest of the charitable beneficiary in the shares transferred to the trust will terminate and the trustee will be required to distribute to the proposed transferee an amount equal</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color w:val="auto"/>
        </w:rPr>
        <w:t>to the lesser of (1) the price paid by the proposed transferee for the shares or, if the proposed transferee did not give value for the shares in connection with the event causing the shares to be held by the trust (e.g., in the case of a gift, devise or other such transaction), the market price of such stock on the day of the event causing the shares to be held by the trust and (2) the sales proceeds (net of any commissions and other expenses of sale) received by the trustee from the sale or other disposition of the shares. The trustee may reduce the amount payable to the proposed transferee by the amount of any dividends or other distributions that we paid to the proposed transferee before we discovered that the shares had been automatically transferred to the trust and that are then owed by the proposed transferee to the trustee as described above. Any net sales proceeds in excess of the amount payable to the proposed transferee will be paid immediately to the charitable beneficiary, together with any distributions thereon. If the proposed transferee sells such shares prior to the discovery that such shares have been transferred to the trustee, then (a) such shares shall be deemed to have been sold on behalf of the trust and (b) to the extent that the proposed transferee received an amount for such shares that exceeds the amount that such proposed transferee would have received if such shares had been sold by the trustee, such excess shall be paid to the trustee upon demand. The proposed transferee will have no rights in the shares held by the trustee.</w:t>
      </w:r>
    </w:p>
    <w:p>
      <w:pPr>
        <w:spacing w:after="0" w:line="106" w:lineRule="exact"/>
        <w:rPr>
          <w:sz w:val="20"/>
          <w:szCs w:val="20"/>
          <w:color w:val="auto"/>
        </w:rPr>
      </w:pPr>
    </w:p>
    <w:p>
      <w:pPr>
        <w:ind w:left="1260" w:right="1159" w:firstLine="360"/>
        <w:spacing w:after="0" w:line="261" w:lineRule="auto"/>
        <w:rPr>
          <w:sz w:val="20"/>
          <w:szCs w:val="20"/>
          <w:color w:val="auto"/>
        </w:rPr>
      </w:pPr>
      <w:r>
        <w:rPr>
          <w:rFonts w:ascii="Arial" w:cs="Arial" w:eastAsia="Arial" w:hAnsi="Arial"/>
          <w:sz w:val="18"/>
          <w:szCs w:val="18"/>
          <w:color w:val="auto"/>
        </w:rPr>
        <w:t>Any certificates representing shares of our stock will bear a legend referring to the restrictions on transfer and ownership described above.</w:t>
      </w:r>
    </w:p>
    <w:p>
      <w:pPr>
        <w:spacing w:after="0" w:line="103" w:lineRule="exact"/>
        <w:rPr>
          <w:sz w:val="20"/>
          <w:szCs w:val="20"/>
          <w:color w:val="auto"/>
        </w:rPr>
      </w:pPr>
    </w:p>
    <w:p>
      <w:pPr>
        <w:ind w:left="1260" w:right="759" w:firstLine="360"/>
        <w:spacing w:after="0" w:line="237" w:lineRule="auto"/>
        <w:rPr>
          <w:sz w:val="20"/>
          <w:szCs w:val="20"/>
          <w:color w:val="auto"/>
        </w:rPr>
      </w:pPr>
      <w:r>
        <w:rPr>
          <w:rFonts w:ascii="Arial" w:cs="Arial" w:eastAsia="Arial" w:hAnsi="Arial"/>
          <w:sz w:val="18"/>
          <w:szCs w:val="18"/>
          <w:color w:val="auto"/>
        </w:rPr>
        <w:t>Every owner of 5% or more (or such lower percentage as required by the Code or the regulations promulgated thereunder) of our stock, within 30 days after the end of each taxable year, will be required to give us written notice stating the person’s name and address, the number of shares of each class and series of our stock that the person beneficially owns, a description of the manner in which the shares are held and any additional information that we request in order to determine the effect, if any, of the person’s beneficial ownership on our status as a REIT and to ensure compliance with the ownership limits. In addition, any beneficial owner or constructive owner of shares of our stock and any person or entity (including the stockholder of record) who holds shares of our stock for a beneficial owner or constructive owner will be required to, on request, disclose to us in writing such information as we may request in order to determine the effect, if any, of the stockholder’s beneficial and constructive ownership of our stock on our status as a REIT and to comply, or determine our compliance with, the requirements of any governmental or taxing authority.</w:t>
      </w:r>
    </w:p>
    <w:p>
      <w:pPr>
        <w:spacing w:after="0" w:line="126" w:lineRule="exact"/>
        <w:rPr>
          <w:sz w:val="20"/>
          <w:szCs w:val="20"/>
          <w:color w:val="auto"/>
        </w:rPr>
      </w:pPr>
    </w:p>
    <w:p>
      <w:pPr>
        <w:jc w:val="both"/>
        <w:ind w:left="1260" w:right="739" w:firstLine="360"/>
        <w:spacing w:after="0" w:line="248" w:lineRule="auto"/>
        <w:rPr>
          <w:sz w:val="20"/>
          <w:szCs w:val="20"/>
          <w:color w:val="auto"/>
        </w:rPr>
      </w:pPr>
      <w:r>
        <w:rPr>
          <w:rFonts w:ascii="Arial" w:cs="Arial" w:eastAsia="Arial" w:hAnsi="Arial"/>
          <w:sz w:val="18"/>
          <w:szCs w:val="18"/>
          <w:color w:val="auto"/>
        </w:rPr>
        <w:t>The restrictions on transfer and ownership described above could have the effect of delaying, deferring or preventing a change of control in which holders of shares of our stock might receive a premium for their shares over the then prevailing price.</w:t>
      </w:r>
    </w:p>
    <w:p>
      <w:pPr>
        <w:spacing w:after="0" w:line="17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CERTAIN PROVISIONS OF MARYLAND LAW AND OF OUR CHARTER AND BYLAWS</w:t>
      </w:r>
    </w:p>
    <w:p>
      <w:pPr>
        <w:spacing w:after="0" w:line="148" w:lineRule="exact"/>
        <w:rPr>
          <w:sz w:val="20"/>
          <w:szCs w:val="20"/>
          <w:color w:val="auto"/>
        </w:rPr>
      </w:pPr>
    </w:p>
    <w:p>
      <w:pPr>
        <w:ind w:left="1260" w:right="799" w:firstLine="360"/>
        <w:spacing w:after="0" w:line="243" w:lineRule="auto"/>
        <w:rPr>
          <w:sz w:val="20"/>
          <w:szCs w:val="20"/>
          <w:color w:val="auto"/>
        </w:rPr>
      </w:pPr>
      <w:r>
        <w:rPr>
          <w:rFonts w:ascii="Arial" w:cs="Arial" w:eastAsia="Arial" w:hAnsi="Arial"/>
          <w:sz w:val="18"/>
          <w:szCs w:val="18"/>
          <w:color w:val="auto"/>
        </w:rPr>
        <w:t>The following summary of certain provisions of Maryland law and of our charter and bylaws does not purport to be complete and is subject to and qualified in its entirety by reference to our charter and bylaws, copies of which are incorporated by reference as exhibits to the registration statement of which this prospectus is a part, and to the MGCL. See “Where You Can Find More Information.”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Amendments to Our Charter and Bylaws and Approval of Extraordinary Actions</w:t>
      </w:r>
    </w:p>
    <w:p>
      <w:pPr>
        <w:spacing w:after="0" w:line="162"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color w:val="auto"/>
        </w:rPr>
        <w:t>Under Maryland law, a Maryland corporation generally cannot amend its charter, merge, consolidate, sell all or substantially all of its assets, engage in a statutory share exchange or dissolve unless the action is advised by the board of directors and approved by the affirmative vote of stockholders entitled to cast at least two-thirds of the votes entitled to be cast on the matter. However, a Maryland corporation may provide in its charter for approval of these actions by a lesser percentage, but not less than a majority of all of the votes entitled to be cast on the matter. Our charter provides that the affirmative vote of the holders of at least a majority in voting power of our outstanding stock is required to approve all charter amendments or extraordinary actions. However, Maryland law permits a Maryland corporation to transfer all or substantially all of its assets without the approval of the stockholders of the corporation to one or more persons if all of the equity interests of the person or persons are owned, directly or indirectly, by the corporation.</w:t>
      </w:r>
    </w:p>
    <w:p>
      <w:pPr>
        <w:spacing w:after="0" w:line="128" w:lineRule="exact"/>
        <w:rPr>
          <w:sz w:val="20"/>
          <w:szCs w:val="20"/>
          <w:color w:val="auto"/>
        </w:rPr>
      </w:pPr>
    </w:p>
    <w:p>
      <w:pPr>
        <w:ind w:left="1260" w:right="959" w:firstLine="360"/>
        <w:spacing w:after="0" w:line="291" w:lineRule="auto"/>
        <w:rPr>
          <w:sz w:val="20"/>
          <w:szCs w:val="20"/>
          <w:color w:val="auto"/>
        </w:rPr>
      </w:pPr>
      <w:r>
        <w:rPr>
          <w:rFonts w:ascii="Arial" w:cs="Arial" w:eastAsia="Arial" w:hAnsi="Arial"/>
          <w:sz w:val="17"/>
          <w:szCs w:val="17"/>
          <w:color w:val="auto"/>
        </w:rPr>
        <w:t>Our charter also requires the affirmative vote of the holders of at least a majority in voting power of our outstanding stock to amend the provisions of the charter relating to the restrictions on transfer and</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939"/>
        <w:spacing w:after="0" w:line="235" w:lineRule="auto"/>
        <w:rPr>
          <w:sz w:val="20"/>
          <w:szCs w:val="20"/>
          <w:color w:val="auto"/>
        </w:rPr>
      </w:pPr>
      <w:r>
        <w:rPr>
          <w:rFonts w:ascii="Arial" w:cs="Arial" w:eastAsia="Arial" w:hAnsi="Arial"/>
          <w:sz w:val="18"/>
          <w:szCs w:val="18"/>
          <w:color w:val="auto"/>
        </w:rPr>
        <w:t>ownership of our stock, amendment of our bylaws, limitation of liability and indemnification of directors and officers, stockholder action and the inability of stockholders to act by written consent, and the amendment of the provision of our charter regarding amendments.</w:t>
      </w:r>
    </w:p>
    <w:p>
      <w:pPr>
        <w:spacing w:after="0" w:line="94" w:lineRule="exact"/>
        <w:rPr>
          <w:sz w:val="20"/>
          <w:szCs w:val="20"/>
          <w:color w:val="auto"/>
        </w:rPr>
      </w:pPr>
    </w:p>
    <w:p>
      <w:pPr>
        <w:ind w:left="1260" w:right="859" w:firstLine="360"/>
        <w:spacing w:after="0" w:line="235" w:lineRule="auto"/>
        <w:rPr>
          <w:sz w:val="20"/>
          <w:szCs w:val="20"/>
          <w:color w:val="auto"/>
        </w:rPr>
      </w:pPr>
      <w:r>
        <w:rPr>
          <w:rFonts w:ascii="Arial" w:cs="Arial" w:eastAsia="Arial" w:hAnsi="Arial"/>
          <w:sz w:val="18"/>
          <w:szCs w:val="18"/>
          <w:color w:val="auto"/>
        </w:rPr>
        <w:t>Our board of directors has the authority, without any action by our stockholders, to amend Uniti’s charter from time to time to increase or decrease the aggregate number of shares of stock or the number of shares of stock of any class or series that Uniti has authority to issue.</w:t>
      </w:r>
    </w:p>
    <w:p>
      <w:pPr>
        <w:spacing w:after="0" w:line="107" w:lineRule="exact"/>
        <w:rPr>
          <w:sz w:val="20"/>
          <w:szCs w:val="20"/>
          <w:color w:val="auto"/>
        </w:rPr>
      </w:pPr>
    </w:p>
    <w:p>
      <w:pPr>
        <w:jc w:val="both"/>
        <w:ind w:left="1260" w:right="779" w:firstLine="360"/>
        <w:spacing w:after="0" w:line="253" w:lineRule="auto"/>
        <w:rPr>
          <w:sz w:val="20"/>
          <w:szCs w:val="20"/>
          <w:color w:val="auto"/>
        </w:rPr>
      </w:pPr>
      <w:r>
        <w:rPr>
          <w:rFonts w:ascii="Arial" w:cs="Arial" w:eastAsia="Arial" w:hAnsi="Arial"/>
          <w:sz w:val="16"/>
          <w:szCs w:val="16"/>
          <w:color w:val="auto"/>
        </w:rPr>
        <w:t>Any and all provisions of the bylaws may be repealed, altered, amended, or rescinded and new bylaws may be adopted (a) by the stockholders at any annual meeting of the stockholders or at any special meeting called for that purpose (provided that notice of such proposal is included in the notice of such meeting) and</w:t>
      </w:r>
    </w:p>
    <w:p>
      <w:pPr>
        <w:spacing w:after="0" w:line="1" w:lineRule="exact"/>
        <w:rPr>
          <w:sz w:val="20"/>
          <w:szCs w:val="20"/>
          <w:color w:val="auto"/>
        </w:rPr>
      </w:pPr>
    </w:p>
    <w:p>
      <w:pPr>
        <w:ind w:left="1260" w:right="799" w:firstLine="2"/>
        <w:spacing w:after="0" w:line="255" w:lineRule="auto"/>
        <w:tabs>
          <w:tab w:leader="none" w:pos="1529" w:val="left"/>
        </w:tabs>
        <w:numPr>
          <w:ilvl w:val="0"/>
          <w:numId w:val="32"/>
        </w:numPr>
        <w:rPr>
          <w:rFonts w:ascii="Arial" w:cs="Arial" w:eastAsia="Arial" w:hAnsi="Arial"/>
          <w:sz w:val="17"/>
          <w:szCs w:val="17"/>
          <w:color w:val="auto"/>
        </w:rPr>
      </w:pPr>
      <w:r>
        <w:rPr>
          <w:rFonts w:ascii="Arial" w:cs="Arial" w:eastAsia="Arial" w:hAnsi="Arial"/>
          <w:sz w:val="17"/>
          <w:szCs w:val="17"/>
          <w:color w:val="auto"/>
        </w:rPr>
        <w:t>by the board of directors at any regular or special meeting of the board of directors; provided, however, the board of directors does not have the power to alter or repeal any bylaw made by the stockholders.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Combinations</w:t>
      </w:r>
    </w:p>
    <w:p>
      <w:pPr>
        <w:spacing w:after="0" w:line="148" w:lineRule="exact"/>
        <w:rPr>
          <w:sz w:val="20"/>
          <w:szCs w:val="20"/>
          <w:color w:val="auto"/>
        </w:rPr>
      </w:pPr>
    </w:p>
    <w:p>
      <w:pPr>
        <w:ind w:left="1260" w:right="719" w:firstLine="360"/>
        <w:spacing w:after="0" w:line="225" w:lineRule="auto"/>
        <w:rPr>
          <w:sz w:val="20"/>
          <w:szCs w:val="20"/>
          <w:color w:val="auto"/>
        </w:rPr>
      </w:pPr>
      <w:r>
        <w:rPr>
          <w:rFonts w:ascii="Arial" w:cs="Arial" w:eastAsia="Arial" w:hAnsi="Arial"/>
          <w:sz w:val="18"/>
          <w:szCs w:val="18"/>
          <w:color w:val="auto"/>
        </w:rPr>
        <w:t>Uniti has elected not to be governed by the Maryland Business Combination Act. If it were not for this election (which is stated in our charter and can be amended only with the approval of the holders of at least a majority in voting power of our outstanding stock), under the MGCL, certain “business combinations” between us and any interested stockholder or affiliate of an interested stockholder would be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8" w:lineRule="exact"/>
        <w:rPr>
          <w:sz w:val="20"/>
          <w:szCs w:val="20"/>
          <w:color w:val="auto"/>
        </w:rPr>
      </w:pPr>
    </w:p>
    <w:p>
      <w:pPr>
        <w:ind w:left="1800" w:right="1039" w:hanging="178"/>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outstanding voting stock; or</w:t>
      </w:r>
    </w:p>
    <w:p>
      <w:pPr>
        <w:spacing w:after="0" w:line="48" w:lineRule="exact"/>
        <w:rPr>
          <w:rFonts w:ascii="Arial" w:cs="Arial" w:eastAsia="Arial" w:hAnsi="Arial"/>
          <w:sz w:val="18"/>
          <w:szCs w:val="18"/>
          <w:color w:val="auto"/>
        </w:rPr>
      </w:pPr>
    </w:p>
    <w:p>
      <w:pPr>
        <w:ind w:left="1800" w:right="939" w:hanging="178"/>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03" w:lineRule="exact"/>
        <w:rPr>
          <w:sz w:val="20"/>
          <w:szCs w:val="20"/>
          <w:color w:val="auto"/>
        </w:rPr>
      </w:pPr>
    </w:p>
    <w:p>
      <w:pPr>
        <w:ind w:left="1260" w:right="699" w:firstLine="360"/>
        <w:spacing w:after="0" w:line="246" w:lineRule="auto"/>
        <w:rPr>
          <w:sz w:val="20"/>
          <w:szCs w:val="20"/>
          <w:color w:val="auto"/>
        </w:rPr>
      </w:pPr>
      <w:r>
        <w:rPr>
          <w:rFonts w:ascii="Arial" w:cs="Arial" w:eastAsia="Arial" w:hAnsi="Arial"/>
          <w:sz w:val="17"/>
          <w:szCs w:val="17"/>
          <w:color w:val="auto"/>
        </w:rPr>
        <w:t>A person is not an interested stockholder under the statute if the board of directors approved in advance the transaction by which such person otherwise would have become an interested stockholder. However, in approving a transaction, a board of directors may provide that its approval is subject to compliance, at or after the time of approval, with any terms and conditions determined by the board of directors.</w:t>
      </w:r>
    </w:p>
    <w:p>
      <w:pPr>
        <w:spacing w:after="0" w:line="103" w:lineRule="exact"/>
        <w:rPr>
          <w:sz w:val="20"/>
          <w:szCs w:val="20"/>
          <w:color w:val="auto"/>
        </w:rPr>
      </w:pPr>
    </w:p>
    <w:p>
      <w:pPr>
        <w:ind w:left="1260" w:right="999" w:firstLine="360"/>
        <w:spacing w:after="0" w:line="248"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74" w:lineRule="exact"/>
        <w:rPr>
          <w:sz w:val="20"/>
          <w:szCs w:val="20"/>
          <w:color w:val="auto"/>
        </w:rPr>
      </w:pPr>
    </w:p>
    <w:p>
      <w:pPr>
        <w:ind w:left="1800" w:right="1519" w:hanging="178"/>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48" w:lineRule="exact"/>
        <w:rPr>
          <w:rFonts w:ascii="Arial" w:cs="Arial" w:eastAsia="Arial" w:hAnsi="Arial"/>
          <w:sz w:val="18"/>
          <w:szCs w:val="18"/>
          <w:color w:val="auto"/>
        </w:rPr>
      </w:pPr>
    </w:p>
    <w:p>
      <w:pPr>
        <w:ind w:left="1800" w:right="779" w:hanging="178"/>
        <w:spacing w:after="0" w:line="259"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voting together as a single class.</w:t>
      </w:r>
    </w:p>
    <w:p>
      <w:pPr>
        <w:spacing w:after="0" w:line="119"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 The statute permits various exemptions from its provisions, including business combinations that are exempted by the board of directors before the time that the interested stockholder becomes an interested stockholder. In light of the election in our charter, however, the five-year prohibition and the supermajority vote requirements will not apply to business combinations between us and any interested stockholder of ours.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 Share Acquisitions</w:t>
      </w:r>
    </w:p>
    <w:p>
      <w:pPr>
        <w:spacing w:after="0" w:line="148" w:lineRule="exact"/>
        <w:rPr>
          <w:sz w:val="20"/>
          <w:szCs w:val="20"/>
          <w:color w:val="auto"/>
        </w:rPr>
      </w:pPr>
    </w:p>
    <w:p>
      <w:pPr>
        <w:ind w:left="1260" w:right="979" w:firstLine="360"/>
        <w:spacing w:after="0" w:line="291" w:lineRule="auto"/>
        <w:rPr>
          <w:sz w:val="20"/>
          <w:szCs w:val="20"/>
          <w:color w:val="auto"/>
        </w:rPr>
      </w:pPr>
      <w:r>
        <w:rPr>
          <w:rFonts w:ascii="Arial" w:cs="Arial" w:eastAsia="Arial" w:hAnsi="Arial"/>
          <w:sz w:val="17"/>
          <w:szCs w:val="17"/>
          <w:color w:val="auto"/>
        </w:rPr>
        <w:t>Uniti has exempted all of its shares from the application of the Maryland Control Share Acquisition Act. If it were not for this exemption, Maryland law would provide that issued and outstanding shares of</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5" w:lineRule="auto"/>
        <w:rPr>
          <w:sz w:val="20"/>
          <w:szCs w:val="20"/>
          <w:color w:val="auto"/>
        </w:rPr>
      </w:pPr>
      <w:r>
        <w:rPr>
          <w:rFonts w:ascii="Arial" w:cs="Arial" w:eastAsia="Arial" w:hAnsi="Arial"/>
          <w:sz w:val="17"/>
          <w:szCs w:val="17"/>
          <w:color w:val="auto"/>
        </w:rPr>
        <w:t>our stock acquired in a control share acquisition have no voting rights except to the extent approved by a vote of two-thirds of the votes entitled to be cast on the matter. Shares owned by the acquiror, by officers or by employees who are directors of the corporation are excluded from shares entitled to vote on the matter. Control shares are voting shares of stock that, if aggregated with all other shares of stock owned by the acquiror or in respect of which the acquiror is able to exercise or direct the exercise of voting power (except solely by virtue of a revocable proxy), would entitle the acquiror to, directly or indirectly, exercise voting power in electing directors within one of the following ranges of voting power:</w:t>
      </w:r>
    </w:p>
    <w:p>
      <w:pPr>
        <w:spacing w:after="0" w:line="58" w:lineRule="exact"/>
        <w:rPr>
          <w:sz w:val="20"/>
          <w:szCs w:val="20"/>
          <w:color w:val="auto"/>
        </w:rPr>
      </w:pPr>
    </w:p>
    <w:p>
      <w:pPr>
        <w:ind w:left="1800" w:hanging="178"/>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more than 50%.</w:t>
      </w:r>
    </w:p>
    <w:p>
      <w:pPr>
        <w:spacing w:after="0" w:line="158" w:lineRule="exact"/>
        <w:rPr>
          <w:sz w:val="20"/>
          <w:szCs w:val="20"/>
          <w:color w:val="auto"/>
        </w:rPr>
      </w:pPr>
    </w:p>
    <w:p>
      <w:pPr>
        <w:ind w:left="1260" w:right="1139" w:firstLine="360"/>
        <w:spacing w:after="0" w:line="248" w:lineRule="auto"/>
        <w:rPr>
          <w:sz w:val="20"/>
          <w:szCs w:val="20"/>
          <w:color w:val="auto"/>
        </w:rPr>
      </w:pPr>
      <w:r>
        <w:rPr>
          <w:rFonts w:ascii="Arial" w:cs="Arial" w:eastAsia="Arial" w:hAnsi="Arial"/>
          <w:sz w:val="18"/>
          <w:szCs w:val="18"/>
          <w:color w:val="auto"/>
        </w:rPr>
        <w:t>Control shares do not include shares the acquiror is then entitled to vote as a result of having previously obtained stockholder approval. A control share acquisition means the acquisition of control shares, subject to certain exceptions.</w:t>
      </w:r>
    </w:p>
    <w:p>
      <w:pPr>
        <w:spacing w:after="0" w:line="114"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or waiver of certain conditions, including an undertaking to pay the expenses of the special meeting. If no request for a special meeting is made, the corporation may itself present the question at any stockholder meeting.</w:t>
      </w:r>
    </w:p>
    <w:p>
      <w:pPr>
        <w:spacing w:after="0" w:line="108"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If voting rights are not approved at the special meeting or if the acquiror does not deliver an acquiring person statement as required by the statute, then the corporation may, subject to certain conditions and limitations, redeem for fair value any or all of the control shares, except those for which voting rights have previously been approved.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21"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The control share acquisition statute does not apply (1) to shares acquired in a merger, consolidation or share exchange if the corporation is a party to the transaction, or (2) to acquisitions approved or exempted by the charter or bylaws of the corporation.</w:t>
      </w:r>
    </w:p>
    <w:p>
      <w:pPr>
        <w:spacing w:after="0" w:line="114"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Our charter contains a provision that exempts from the control share acquisition statute any and all acquisitions by any person of any shares of our stock. This charter provision can be amended only with the approval of the holders of at least a majority in voting power of our outstanding stock.</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Subtitle 8</w:t>
      </w:r>
    </w:p>
    <w:p>
      <w:pPr>
        <w:spacing w:after="0" w:line="148"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color w:val="auto"/>
        </w:rPr>
        <w:t>Uniti is prohibited by its charter from electing to be subject to the “unsolicited takeover” provisions of Subtitle 8 of Title 3 of the MGCL which permit a Maryland corporation with a class of equity securities registered under the Exchange Act and at least three independent directors to elect to be subject, by provision in its charter or bylaws or by a resolution of its board of directors and notwithstanding any contrary provision in the charter or bylaws, to any or all of five provisions:</w:t>
      </w:r>
    </w:p>
    <w:p>
      <w:pPr>
        <w:spacing w:after="0" w:line="81" w:lineRule="exact"/>
        <w:rPr>
          <w:sz w:val="20"/>
          <w:szCs w:val="20"/>
          <w:color w:val="auto"/>
        </w:rPr>
      </w:pPr>
    </w:p>
    <w:p>
      <w:pPr>
        <w:ind w:left="1800" w:hanging="178"/>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103" w:lineRule="exact"/>
        <w:rPr>
          <w:rFonts w:ascii="Arial" w:cs="Arial" w:eastAsia="Arial" w:hAnsi="Arial"/>
          <w:sz w:val="18"/>
          <w:szCs w:val="18"/>
          <w:color w:val="auto"/>
        </w:rPr>
      </w:pPr>
    </w:p>
    <w:p>
      <w:pPr>
        <w:ind w:left="1800" w:right="799" w:hanging="178"/>
        <w:spacing w:after="0" w:line="259"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the affirmative vote of a majority of the remaining directors in office and such director shall hold office for the remainder of the full term of the class of directors in which the vacancy occurred and until a successor is elected and qualified; and</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 majority requirement for the calling of a special meeting of stockholders.</w:t>
      </w:r>
    </w:p>
    <w:p>
      <w:pPr>
        <w:spacing w:after="0" w:line="144"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This prohibition may be rescinded or amended only with the approval of at least a majority in voting power of our outstanding stock.</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Meetings of the Stockholders; Stockholder Action by Written Consent</w:t>
      </w:r>
    </w:p>
    <w:p>
      <w:pPr>
        <w:spacing w:after="0" w:line="162" w:lineRule="exact"/>
        <w:rPr>
          <w:sz w:val="20"/>
          <w:szCs w:val="20"/>
          <w:color w:val="auto"/>
        </w:rPr>
      </w:pPr>
    </w:p>
    <w:p>
      <w:pPr>
        <w:ind w:left="1260" w:right="799" w:firstLine="360"/>
        <w:spacing w:after="0" w:line="262" w:lineRule="auto"/>
        <w:rPr>
          <w:sz w:val="20"/>
          <w:szCs w:val="20"/>
          <w:color w:val="auto"/>
        </w:rPr>
      </w:pPr>
      <w:r>
        <w:rPr>
          <w:rFonts w:ascii="Arial" w:cs="Arial" w:eastAsia="Arial" w:hAnsi="Arial"/>
          <w:sz w:val="17"/>
          <w:szCs w:val="17"/>
          <w:color w:val="auto"/>
        </w:rPr>
        <w:t>Our charter provides that special meetings of the stockholders may be called at any time by our board of directors or upon the written request of the holders of not less than 20% in voting power of our outstanding stock. Our charter prohibits stockholders from taking any action by written consent in lieu of a meeting for so long as any security of the Company is registered under Section 12 of the Exchange Act.</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Outside the Ordinary Course of Business</w:t>
      </w:r>
    </w:p>
    <w:p>
      <w:pPr>
        <w:spacing w:after="0" w:line="162" w:lineRule="exact"/>
        <w:rPr>
          <w:sz w:val="20"/>
          <w:szCs w:val="20"/>
          <w:color w:val="auto"/>
        </w:rPr>
      </w:pPr>
    </w:p>
    <w:p>
      <w:pPr>
        <w:ind w:left="1260" w:right="839" w:firstLine="360"/>
        <w:spacing w:after="0" w:line="239" w:lineRule="auto"/>
        <w:rPr>
          <w:sz w:val="20"/>
          <w:szCs w:val="20"/>
          <w:color w:val="auto"/>
        </w:rPr>
      </w:pPr>
      <w:r>
        <w:rPr>
          <w:rFonts w:ascii="Arial" w:cs="Arial" w:eastAsia="Arial" w:hAnsi="Arial"/>
          <w:sz w:val="18"/>
          <w:szCs w:val="18"/>
          <w:color w:val="auto"/>
        </w:rPr>
        <w:t>Under the MGCL, a Maryland corporation generally may not dissolve, merge or consolidate with another entity, sell all or substantially all of its assets or engage in a statutory share exchange unless the action is declared advisable by the board of directors and approved by the affirmative vote of stockholders entitled to cast at least two-thirds of the votes entitled to be cast on the matter, unless a lesser percentage (but not less than a majority of all of the votes entitled to be cast on the matter) is specified in the corporation’s charter. Our charter provides that these actions must be approved by a majority in voting power of our outstanding stock.</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Advance Notice of Director Nomination and New Business</w:t>
      </w:r>
    </w:p>
    <w:p>
      <w:pPr>
        <w:spacing w:after="0" w:line="148" w:lineRule="exact"/>
        <w:rPr>
          <w:sz w:val="20"/>
          <w:szCs w:val="20"/>
          <w:color w:val="auto"/>
        </w:rPr>
      </w:pPr>
    </w:p>
    <w:p>
      <w:pPr>
        <w:ind w:left="1260" w:right="699" w:firstLine="360"/>
        <w:spacing w:after="0" w:line="258" w:lineRule="auto"/>
        <w:rPr>
          <w:sz w:val="20"/>
          <w:szCs w:val="20"/>
          <w:color w:val="auto"/>
        </w:rPr>
      </w:pPr>
      <w:r>
        <w:rPr>
          <w:rFonts w:ascii="Arial" w:cs="Arial" w:eastAsia="Arial" w:hAnsi="Arial"/>
          <w:sz w:val="17"/>
          <w:szCs w:val="17"/>
          <w:color w:val="auto"/>
        </w:rPr>
        <w:t>Our bylaws provide that, at any annual meeting of stockholders, nominations of individuals for election to the board of directors and proposals of business to be considered by stockholders may be made only</w:t>
      </w:r>
    </w:p>
    <w:p>
      <w:pPr>
        <w:spacing w:after="0" w:line="1" w:lineRule="exact"/>
        <w:rPr>
          <w:sz w:val="20"/>
          <w:szCs w:val="20"/>
          <w:color w:val="auto"/>
        </w:rPr>
      </w:pPr>
    </w:p>
    <w:p>
      <w:pPr>
        <w:ind w:left="1260" w:right="699" w:firstLine="2"/>
        <w:spacing w:after="0" w:line="236" w:lineRule="auto"/>
        <w:tabs>
          <w:tab w:leader="none" w:pos="15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our notice of the meeting, (2) by or at the direction of the board of directors or (3) by a stockholder who was a stockholder of record at the time of provision of notice and at the time of the meeting, is entitled to vote at the meeting in the election of directors or on such other proposed business and who has complied with the advance notice procedures of our bylaws. The stockholder generally must provide notice to the secretary not less than 120 days nor more than 150 days prior to the first anniversary of the date of preceding year’s annual meeting. Only the business specified in our notice of meeting may be brought before any special meeting of stockholders.</w:t>
      </w:r>
    </w:p>
    <w:p>
      <w:pPr>
        <w:spacing w:after="0" w:line="125"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7"/>
          <w:szCs w:val="17"/>
          <w:color w:val="auto"/>
        </w:rPr>
        <w:t>Our bylaws provide that nominations of individuals for election to our board of directors at a meeting of stockholders may be made only (1) by or at the direction of the board of directors or (2) by any stockholder of record at the time of provision of the notice and at the time of the meeting, who is entitled to vote at the meeting in the election of each individual so nominated and who has complied with the advance notice provisions set forth in our bylaws. Such stockholder will be entitled to nominate one or more individuals, as the case may be, for election as a director if the stockholder’s notice, containing the information required by our bylaws, is delivered to the secretary (i) in the case of an annual meeting, not less than 120 days nor more than 150 days prior to the anniversary of our preceding year’s annual meeting; provided that if the date of the annual meeting is changed by more than 30 days from such anniversary date, notice must be received not later than the close of business on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following the day on which public announcement of the date of such meeting is first made, or (ii) in the case of a special meeting, not earlier than 120 days prior to such special meeting and not later than the later of 90 days prior to such special meeting or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following the day on which public announcement is first made of the date of the special meeting and of the nominees proposed by the board of directors to be elected at such meeting.</w:t>
      </w:r>
    </w:p>
    <w:p>
      <w:pPr>
        <w:spacing w:after="0" w:line="126"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7"/>
          <w:szCs w:val="17"/>
          <w:color w:val="auto"/>
        </w:rPr>
        <w:t>The purpose of requiring stockholders to give advance notice of nominations and other proposals is to afford our board of directors the opportunity to consider the qualifications of the proposed nominees or the advisability of the other proposals and, to the extent considered necessary by our board of directors, to inform stockholders and make recommendations regarding the nominations or other proposals. The advance notice procedures will also permit a more orderly procedure for conducting stockholder meetings.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Certain Provisions of Maryland Law and of Our Charter and Bylaws</w:t>
      </w:r>
    </w:p>
    <w:p>
      <w:pPr>
        <w:spacing w:after="0" w:line="148" w:lineRule="exact"/>
        <w:rPr>
          <w:sz w:val="20"/>
          <w:szCs w:val="20"/>
          <w:color w:val="auto"/>
        </w:rPr>
      </w:pPr>
    </w:p>
    <w:p>
      <w:pPr>
        <w:ind w:left="1260" w:right="919" w:firstLine="360"/>
        <w:spacing w:after="0" w:line="291" w:lineRule="auto"/>
        <w:rPr>
          <w:sz w:val="20"/>
          <w:szCs w:val="20"/>
          <w:color w:val="auto"/>
        </w:rPr>
      </w:pPr>
      <w:r>
        <w:rPr>
          <w:rFonts w:ascii="Arial" w:cs="Arial" w:eastAsia="Arial" w:hAnsi="Arial"/>
          <w:sz w:val="17"/>
          <w:szCs w:val="17"/>
          <w:color w:val="auto"/>
        </w:rPr>
        <w:t>The restrictions on transfer and ownership of our stock will prohibit any person from acquiring more than 9.8% in value or in number, whichever is more restrictive, of the outstanding shares of our common</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43" w:lineRule="auto"/>
        <w:rPr>
          <w:sz w:val="20"/>
          <w:szCs w:val="20"/>
          <w:color w:val="auto"/>
        </w:rPr>
      </w:pPr>
      <w:r>
        <w:rPr>
          <w:rFonts w:ascii="Arial" w:cs="Arial" w:eastAsia="Arial" w:hAnsi="Arial"/>
          <w:sz w:val="18"/>
          <w:szCs w:val="18"/>
          <w:color w:val="auto"/>
        </w:rPr>
        <w:t>stock or more than 9.8% in value of the aggregate of the outstanding shares of all classes and series of our stock, without the prior consent of our board of directors. Because our board of directors will be able to approve exceptions to the ownership limits, the ownership limits will not interfere with a merger or other business combination approved by our board of directors.</w:t>
      </w:r>
    </w:p>
    <w:p>
      <w:pPr>
        <w:spacing w:after="0" w:line="107" w:lineRule="exact"/>
        <w:rPr>
          <w:sz w:val="20"/>
          <w:szCs w:val="20"/>
          <w:color w:val="auto"/>
        </w:rPr>
      </w:pPr>
    </w:p>
    <w:p>
      <w:pPr>
        <w:ind w:left="1260" w:right="759" w:firstLine="360"/>
        <w:spacing w:after="0" w:line="239" w:lineRule="auto"/>
        <w:rPr>
          <w:sz w:val="20"/>
          <w:szCs w:val="20"/>
          <w:color w:val="auto"/>
        </w:rPr>
      </w:pPr>
      <w:r>
        <w:rPr>
          <w:rFonts w:ascii="Arial" w:cs="Arial" w:eastAsia="Arial" w:hAnsi="Arial"/>
          <w:sz w:val="18"/>
          <w:szCs w:val="18"/>
          <w:color w:val="auto"/>
        </w:rPr>
        <w:t>The provisions described above, along with other provisions of the MGCL and our charter and bylaws discussed above, including provisions relating to the removal of directors and the filling of vacancies, the advance notice provisions and the procedures that stockholders will be required to follow to request a special meeting, alone or in combination, could have the effect of delaying, deferring or preventing a proxy contest, tender offer, merger or other change in control of us that might involve a premium price for shares of our common stockholders or otherwise be in the best interest of our stockholders, and could increase the difficulty of consummating any offer.</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62"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Our bylaws designate the Circuit Court for Baltimore City, Maryland (and, in some circumstances, other federal and state courts in Maryland) as the exclusive forum for resolving:</w:t>
      </w:r>
    </w:p>
    <w:p>
      <w:pPr>
        <w:spacing w:after="0" w:line="63" w:lineRule="exact"/>
        <w:rPr>
          <w:sz w:val="20"/>
          <w:szCs w:val="20"/>
          <w:color w:val="auto"/>
        </w:rPr>
      </w:pPr>
    </w:p>
    <w:p>
      <w:pPr>
        <w:ind w:left="1800" w:hanging="178"/>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Uniti;</w:t>
      </w:r>
    </w:p>
    <w:p>
      <w:pPr>
        <w:spacing w:after="0" w:line="117"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for breach of fiduciary duty owed by any director, officer, stockholder, employee or agent of Uniti to Uniti or its stockholders;</w:t>
      </w:r>
    </w:p>
    <w:p>
      <w:pPr>
        <w:spacing w:after="0" w:line="62" w:lineRule="exact"/>
        <w:rPr>
          <w:rFonts w:ascii="Arial" w:cs="Arial" w:eastAsia="Arial" w:hAnsi="Arial"/>
          <w:sz w:val="18"/>
          <w:szCs w:val="18"/>
          <w:color w:val="auto"/>
        </w:rPr>
      </w:pPr>
    </w:p>
    <w:p>
      <w:pPr>
        <w:ind w:left="1800" w:right="819" w:hanging="178"/>
        <w:spacing w:after="0" w:line="308" w:lineRule="auto"/>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action asserting a claim against Uniti or any director, officer, stockholder, employee or agent of Uniti arising out of or relating to any provision of the MGCL, our charter or our bylaws; or</w:t>
      </w:r>
    </w:p>
    <w:p>
      <w:pPr>
        <w:spacing w:after="0" w:line="24" w:lineRule="exact"/>
        <w:rPr>
          <w:rFonts w:ascii="Arial" w:cs="Arial" w:eastAsia="Arial" w:hAnsi="Arial"/>
          <w:sz w:val="17"/>
          <w:szCs w:val="17"/>
          <w:color w:val="auto"/>
        </w:rPr>
      </w:pPr>
    </w:p>
    <w:p>
      <w:pPr>
        <w:ind w:left="1800" w:right="819" w:hanging="178"/>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against Uniti or any director, officer, stockholder, employee or agent of Uniti governed by the internal affairs doctrine of the State of Maryland.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of Liability and Indemnification of Directors and Executive Officers</w:t>
      </w:r>
    </w:p>
    <w:p>
      <w:pPr>
        <w:spacing w:after="0" w:line="162"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7"/>
          <w:szCs w:val="17"/>
          <w:color w:val="auto"/>
        </w:rPr>
        <w:t>Maryland law permits a Maryland corporation to include in its charter a provision that limits the liability of its directors and officers to the corporation and its stockholders for money damages, except for liability resulting from (1) actual receipt of an improper benefit or profit in money, property or services or</w:t>
      </w:r>
    </w:p>
    <w:p>
      <w:pPr>
        <w:ind w:left="1260" w:right="739" w:firstLine="2"/>
        <w:spacing w:after="0" w:line="239" w:lineRule="auto"/>
        <w:tabs>
          <w:tab w:leader="none" w:pos="152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active or deliberate dishonesty that is established by a final judgment and that is material to the cause of action. Our charter contains a provision that limits, to the maximum extent permitted by Maryland law, the liability of our directors and officers to us and our stockholders for money damages.</w:t>
      </w:r>
    </w:p>
    <w:p>
      <w:pPr>
        <w:spacing w:after="0" w:line="122"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7"/>
          <w:szCs w:val="17"/>
          <w:color w:val="auto"/>
        </w:rPr>
        <w:t>Maryland law requires a Maryland corporation (unless otherwise provided in its charter, which our charter does not) to indemnify a director or officer who has been successful, on the merits or otherwise, in the defense of any proceeding to which he or she is made or threatened to be made a party by reason of his or her service in that capacity. Maryland law permits a Maryland corporation (which our charter provides for, to the maximum extent permitted by Maryland law)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that capacity unless it is established that:</w:t>
      </w:r>
    </w:p>
    <w:p>
      <w:pPr>
        <w:spacing w:after="0" w:line="73" w:lineRule="exact"/>
        <w:rPr>
          <w:sz w:val="20"/>
          <w:szCs w:val="20"/>
          <w:color w:val="auto"/>
        </w:rPr>
      </w:pPr>
    </w:p>
    <w:p>
      <w:pPr>
        <w:ind w:left="1800" w:right="799" w:hanging="178"/>
        <w:spacing w:after="0" w:line="308"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act or omission of the director or officer was material to the matter giving rise to the proceeding and (1) was committed in bad faith or (2) was the result of active and deliberate dishonesty;</w:t>
      </w:r>
    </w:p>
    <w:p>
      <w:pPr>
        <w:spacing w:after="0" w:line="24" w:lineRule="exact"/>
        <w:rPr>
          <w:rFonts w:ascii="Arial" w:cs="Arial" w:eastAsia="Arial" w:hAnsi="Arial"/>
          <w:sz w:val="17"/>
          <w:szCs w:val="17"/>
          <w:color w:val="auto"/>
        </w:rPr>
      </w:pPr>
    </w:p>
    <w:p>
      <w:pPr>
        <w:ind w:left="1800" w:right="779" w:hanging="178"/>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62" w:lineRule="exact"/>
        <w:rPr>
          <w:rFonts w:ascii="Arial" w:cs="Arial" w:eastAsia="Arial" w:hAnsi="Arial"/>
          <w:sz w:val="18"/>
          <w:szCs w:val="18"/>
          <w:color w:val="auto"/>
        </w:rPr>
      </w:pPr>
    </w:p>
    <w:p>
      <w:pPr>
        <w:ind w:left="1800" w:right="699" w:hanging="178"/>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103"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7"/>
          <w:szCs w:val="17"/>
          <w:color w:val="auto"/>
        </w:rPr>
        <w:t>Under the MGCL, we may not indemnify a director or officer in a suit by us or in our right in which the director or officer was adjudged liable to us or in a suit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48" w:lineRule="auto"/>
        <w:rPr>
          <w:sz w:val="20"/>
          <w:szCs w:val="20"/>
          <w:color w:val="auto"/>
        </w:rPr>
      </w:pPr>
      <w:r>
        <w:rPr>
          <w:rFonts w:ascii="Arial" w:cs="Arial" w:eastAsia="Arial" w:hAnsi="Arial"/>
          <w:sz w:val="18"/>
          <w:szCs w:val="18"/>
          <w:color w:val="auto"/>
        </w:rPr>
        <w:t>personal benefit was improperly received. However, indemnification for an adverse judgment in a suit by the corporation or in its right, or for a judgment of liability on the basis that personal benefit was improperly received, will be limited to expenses.</w:t>
      </w:r>
    </w:p>
    <w:p>
      <w:pPr>
        <w:spacing w:after="0" w:line="101"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In addition, Maryland law permits a Maryland corporation (which our charter provides for, to the maximum extent permitted by Maryland law) to advance reasonable expenses to a director or officer upon receipt of (1) a written affirmation by the director or officer of his or her good faith belief that he or she has met the standard of conduct necessary for indemnification and (2) a written undertaking by him or her, or on his or her behalf, to repay the amount paid or reimbursed if it is ultimately determined that the standard of conduct was not met.</w:t>
      </w:r>
    </w:p>
    <w:p>
      <w:pPr>
        <w:spacing w:after="0" w:line="122"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color w:val="auto"/>
        </w:rPr>
        <w:t>Our charter requires, to the maximum extent permitted by Maryland law, that we indemnify and pay or reimburse the reasonable expenses in advance of the final disposition of a proceeding of (1) any present or former director or officer who is a party to a proceeding (or threatened to be made a party) by reason of his or her service in that capacity, and (2) any individual who, while a director or officer and, at our request, serves or has served as a director, officer, partner, member, manager or trustee of another corporation, REIT, partnership, limited liability company, joint venture, trust, employee benefit plan or other enterprise from and against any claim or liability to which he or she may become subject or which he or she may incur by reason of his or her service in any of the foregoing capacities.</w:t>
      </w:r>
    </w:p>
    <w:p>
      <w:pPr>
        <w:spacing w:after="0" w:line="113" w:lineRule="exact"/>
        <w:rPr>
          <w:sz w:val="20"/>
          <w:szCs w:val="20"/>
          <w:color w:val="auto"/>
        </w:rPr>
      </w:pPr>
    </w:p>
    <w:p>
      <w:pPr>
        <w:jc w:val="both"/>
        <w:ind w:left="1260" w:right="1019" w:firstLine="360"/>
        <w:spacing w:after="0" w:line="270" w:lineRule="auto"/>
        <w:rPr>
          <w:sz w:val="20"/>
          <w:szCs w:val="20"/>
          <w:color w:val="auto"/>
        </w:rPr>
      </w:pPr>
      <w:r>
        <w:rPr>
          <w:rFonts w:ascii="Arial" w:cs="Arial" w:eastAsia="Arial" w:hAnsi="Arial"/>
          <w:sz w:val="17"/>
          <w:szCs w:val="17"/>
          <w:color w:val="auto"/>
        </w:rPr>
        <w:t>In respect to our obligations to provide indemnification to directors and officers for liability arising under the Securities Act, we have been informed that, in the opinion of the SEC, this indemnification is against public policy as expressed in the Securities Act and it is therefore unenforceable.</w:t>
      </w:r>
    </w:p>
    <w:p>
      <w:pPr>
        <w:spacing w:after="0" w:line="83" w:lineRule="exact"/>
        <w:rPr>
          <w:sz w:val="20"/>
          <w:szCs w:val="20"/>
          <w:color w:val="auto"/>
        </w:rPr>
      </w:pPr>
    </w:p>
    <w:p>
      <w:pPr>
        <w:ind w:left="1260" w:right="819" w:firstLine="360"/>
        <w:spacing w:after="0" w:line="241" w:lineRule="auto"/>
        <w:rPr>
          <w:sz w:val="20"/>
          <w:szCs w:val="20"/>
          <w:color w:val="auto"/>
        </w:rPr>
      </w:pPr>
      <w:r>
        <w:rPr>
          <w:rFonts w:ascii="Arial" w:cs="Arial" w:eastAsia="Arial" w:hAnsi="Arial"/>
          <w:sz w:val="18"/>
          <w:szCs w:val="18"/>
          <w:color w:val="auto"/>
        </w:rPr>
        <w:t>We have entered into an indemnification agreement with each of our directors and executive officers that provide for indemnification of, and advancement of expenses to, each such person in connection with claims, suits or proceedings arising as a result of such person’s service as an officer or director of ours. We also maintain insurance on behalf of our directors and officers, insuring them against liabilities that they may incur in such capacities or arising from this status.</w:t>
      </w:r>
    </w:p>
    <w:p>
      <w:pPr>
        <w:spacing w:after="0" w:line="18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62" w:lineRule="exact"/>
        <w:rPr>
          <w:sz w:val="20"/>
          <w:szCs w:val="20"/>
          <w:color w:val="auto"/>
        </w:rPr>
      </w:pPr>
    </w:p>
    <w:p>
      <w:pPr>
        <w:ind w:left="1260" w:right="759" w:firstLine="360"/>
        <w:spacing w:after="0" w:line="250" w:lineRule="auto"/>
        <w:rPr>
          <w:sz w:val="20"/>
          <w:szCs w:val="20"/>
          <w:color w:val="auto"/>
        </w:rPr>
      </w:pPr>
      <w:r>
        <w:rPr>
          <w:rFonts w:ascii="Arial" w:cs="Arial" w:eastAsia="Arial" w:hAnsi="Arial"/>
          <w:sz w:val="17"/>
          <w:szCs w:val="17"/>
          <w:color w:val="auto"/>
        </w:rPr>
        <w:t>The following is a summary of the material U.S. federal income tax consequences of an investment in our common stock. Supplemental U.S. federal income tax considerations relevant to beneficial owners of the securities offered by this prospectus (including disclosure as to the material U.S. federal income tax consequences of investing in our preferred stock, depositary shares, debt securities, units or warrants to purchase our common stock, preferred stock, depositary shares or debt securities) may be provided in the prospectus supplement that relates to those securities. For purposes of this section, references to “Uniti,” “we,” “our” and “us” generally mean only Uniti Group Inc. and not its subsidiaries or other lower tier entities, except as otherwise indicated. This summary is based on the Code, the regulations promulgated by the Treasury, rulings and other administrative pronouncements issued by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 the assumption that we and our subsidiaries and affiliated entities will operate in accordance with our and their applicable organizational documents. It does not discuss any other U.S. federal tax consequences (e.g., estate or gift tax considerations), state, local or non -U.S. tax consequences relevant to us or an investment in our common stock, and it does not purport to discuss all aspects of U.S. federal income taxation that may be relevant to you in light of your particular circumstances, including alternative minimum tax consequences, consequences to you if you are subject to special tax accounting rules as a result of any item of gross income with respect to our common stock being taken into account in an applicable financial statement (as defined in Section 451 of the Code), or tax consequences applicable to investors subject to special rules, such as:</w:t>
      </w:r>
    </w:p>
    <w:p>
      <w:pPr>
        <w:spacing w:after="0" w:line="85" w:lineRule="exact"/>
        <w:rPr>
          <w:sz w:val="20"/>
          <w:szCs w:val="20"/>
          <w:color w:val="auto"/>
        </w:rPr>
      </w:pPr>
    </w:p>
    <w:p>
      <w:pPr>
        <w:ind w:left="1800" w:hanging="178"/>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partnerships or other pass-through entities;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persons who receive our stock as compensation;</w:t>
      </w:r>
    </w:p>
    <w:p>
      <w:pPr>
        <w:spacing w:after="0" w:line="117" w:lineRule="exact"/>
        <w:rPr>
          <w:rFonts w:ascii="Arial" w:cs="Arial" w:eastAsia="Arial" w:hAnsi="Arial"/>
          <w:sz w:val="18"/>
          <w:szCs w:val="18"/>
          <w:color w:val="auto"/>
        </w:rPr>
      </w:pPr>
    </w:p>
    <w:p>
      <w:pPr>
        <w:ind w:left="1800" w:right="1159" w:hanging="178"/>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persons holding our stock as part of a “straddle,” “hedge,” “conversion transaction,” “synthetic security” or other integrated investment;</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tax-exempt organizations (except to the extent discussed below);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4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This summary assumes that investors will hold their common stock as a capital asset, which generally means property held for investment.</w:t>
      </w:r>
    </w:p>
    <w:p>
      <w:pPr>
        <w:spacing w:after="0" w:line="103"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The U.S. federal income tax treatment of Uniti and an investment in our common stock depends, in some instances, on determinations of fact and interpretations of complex provisions of U.S. federal income tax law for which no clear precedent or authority may be available. In addition, the tax consequences to any particular stockholder of holding our common stock will depend on the stockholder’s particular tax circumstances. You are urged to consult with your tax advisor as to the U.S. federal, state, local, and non-U.S. income and other tax consequences to you in light of your particular investment or tax circumstances of acquiring, holding, exchanging, or otherwise disposing of our common stock.</w:t>
      </w:r>
    </w:p>
    <w:p>
      <w:pPr>
        <w:spacing w:after="0" w:line="173"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TAXATION OF UNITI</w:t>
      </w:r>
    </w:p>
    <w:p>
      <w:pPr>
        <w:spacing w:after="0" w:line="162"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We made an election to be taxable as a REIT for U.S. federal income tax purposes commencing with our taxable year ending December 31, 2015. We have been organized and operated in a manner such that we believe that we have met the requirements for taxation as a REIT for the 2015 taxable year and all subsequent years through our 2019 taxable year, and currently intend to continue to be organized and operated in a manner such that we believe we will meet the requirements for taxation as a REIT for the current taxable year and subsequent years. In connection with the filing of this registration statement, we expect to receive an opinion of Davis Polk &amp; Wardwell LLP, our special tax counsel, with respect to our qualification to be taxed as a REIT (the “Tax Opinion”).</w:t>
      </w:r>
    </w:p>
    <w:p>
      <w:pPr>
        <w:spacing w:after="0" w:line="111"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Investors should be aware, however, that an opinion of counsel is not binding on the IRS or any court. The Tax Opinion represents only the view of our tax counsel, based on its review and analysis of existing law and on certain representations as to factual matters and covenants made by us, including representations relating to the values of our assets and the sources of our income. The Tax Opinion is expressed as of the date issued. Tax counsel will have no obligation to advise us or the holders of our common stock of any subsequent change in the matters stated, represented or assumed or of any subsequent change in applicable law. Furthermore, both the validity of the Tax Opinion and our qualification as a REIT will depend on our satisfaction of certain asset, income, organizational, distribution, stockholder ownership and other requirements on a continuing basis, the results of which will not be monitored by tax counsel. Our ability to satisfy the asset requirements depends upon our analysis of the characterization and fair market values of our assets, some of which are not susceptible to a precise determination, and for which we will not obtain independent appraisals.</w:t>
      </w:r>
    </w:p>
    <w:p>
      <w:pPr>
        <w:spacing w:after="0" w:line="111"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In connection with the spin-off, Windstream received a private letter ruling from the IRS (the “IRS Ruling”), which addressed certain issues relevant to our qualification as a REIT, including the character of certain of our assets and income. Although we may generally rely upon the IRS Ruling, no assurance can be given that the IRS will not challenge our qualification as a REIT on the basis of other issues or facts outside the scope of the IRS Ruling.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TAXATION OF REITS IN GENERAL</w:t>
      </w:r>
    </w:p>
    <w:p>
      <w:pPr>
        <w:spacing w:after="0" w:line="14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7"/>
          <w:szCs w:val="17"/>
          <w:color w:val="auto"/>
        </w:rPr>
        <w:t>As indicated above, our qualification and taxation as a REIT depend upon our ability to meet, on a continuing basis, various qualification requirements imposed upon REITs by the Code. The material qualification requirements are summarized below under “— Requirements for Qualification — General.” While we have been organized and operated in a manner such that we believe that we have met the requirements for taxation of a REIT for the 2015 taxable year and all subsequent years through our 2019 taxable year, and currently intend to continue to be organized and operated so that we qualify as a REIT, no assurance can be given that the IRS will not challenge our qualification or that we will be able to operate in accordance with the requirements for taxation as a REIT in the future. See “— Failure to Qualify.”</w:t>
      </w:r>
    </w:p>
    <w:p>
      <w:pPr>
        <w:spacing w:after="0" w:line="113"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If we qualify as a REIT, we will generally be entitled to a deduction for dividends that we pay and therefore will not be subject to U.S. federal corporate income tax on our net REIT taxable income that is currently distributed to our stockholders. This treatment substantially eliminates double taxation at the corporate and stockholder levels that typically results from an investment in the stock of a corporation. With limited exceptions, the income that we generate is taxed only at the stockholder level upon a distribution of dividends to our stockholders.</w:t>
      </w:r>
    </w:p>
    <w:p>
      <w:pPr>
        <w:spacing w:after="0" w:line="122"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Most U.S. stockholders that are individuals, trusts or estates are taxed on corporate dividends at a maximum U.S. federal income tax rate of 20% (the same as the rate that applies to long-term capital gains). With limited exceptions, however, dividends from us or from other entities that are taxed as REITs are generally not eligible for this rate and are taxed at rates applicable to ordinary income. The highest marginal non-corporate U.S. federal income tax rate applicable to ordinary income is 37%. See “— Taxation of Stockholders — Taxation of Taxable U.S. Stockholders — Distributions.”</w:t>
      </w:r>
    </w:p>
    <w:p>
      <w:pPr>
        <w:spacing w:after="0" w:line="108" w:lineRule="exact"/>
        <w:rPr>
          <w:sz w:val="20"/>
          <w:szCs w:val="20"/>
          <w:color w:val="auto"/>
        </w:rPr>
      </w:pPr>
    </w:p>
    <w:p>
      <w:pPr>
        <w:ind w:left="1260" w:right="799" w:firstLine="360"/>
        <w:spacing w:after="0" w:line="270" w:lineRule="auto"/>
        <w:rPr>
          <w:sz w:val="20"/>
          <w:szCs w:val="20"/>
          <w:color w:val="auto"/>
        </w:rPr>
      </w:pPr>
      <w:r>
        <w:rPr>
          <w:rFonts w:ascii="Arial" w:cs="Arial" w:eastAsia="Arial" w:hAnsi="Arial"/>
          <w:sz w:val="17"/>
          <w:szCs w:val="17"/>
          <w:color w:val="auto"/>
        </w:rPr>
        <w:t>Any net operating losses, foreign tax credits and other tax attributes that we generate will not pass through to our common stockholders, subject to special rules for certain items such as capital gains that we recognize. See “— Taxation of Stockholders — Taxation of Taxable U.S. Stockholders — Distributions.”</w:t>
      </w:r>
    </w:p>
    <w:p>
      <w:pPr>
        <w:spacing w:after="0" w:line="96" w:lineRule="exact"/>
        <w:rPr>
          <w:sz w:val="20"/>
          <w:szCs w:val="20"/>
          <w:color w:val="auto"/>
        </w:rPr>
      </w:pPr>
    </w:p>
    <w:p>
      <w:pPr>
        <w:ind w:left="1260" w:right="1679" w:firstLine="360"/>
        <w:spacing w:after="0" w:line="277" w:lineRule="auto"/>
        <w:rPr>
          <w:sz w:val="20"/>
          <w:szCs w:val="20"/>
          <w:color w:val="auto"/>
        </w:rPr>
      </w:pPr>
      <w:r>
        <w:rPr>
          <w:rFonts w:ascii="Arial" w:cs="Arial" w:eastAsia="Arial" w:hAnsi="Arial"/>
          <w:sz w:val="18"/>
          <w:szCs w:val="18"/>
          <w:color w:val="auto"/>
        </w:rPr>
        <w:t>If we qualify as a REIT, we will nonetheless be subject to U.S. federal tax in the following circumstances:</w:t>
      </w:r>
    </w:p>
    <w:p>
      <w:pPr>
        <w:spacing w:after="0" w:line="62" w:lineRule="exact"/>
        <w:rPr>
          <w:sz w:val="20"/>
          <w:szCs w:val="20"/>
          <w:color w:val="auto"/>
        </w:rPr>
      </w:pPr>
    </w:p>
    <w:p>
      <w:pPr>
        <w:ind w:left="1800" w:right="759" w:hanging="178"/>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be taxed at the regular corporate rate (currently 21%) on any undistributed net REIT taxable income, including undistributed net capital gains.</w:t>
      </w:r>
    </w:p>
    <w:p>
      <w:pPr>
        <w:spacing w:after="0" w:line="48" w:lineRule="exact"/>
        <w:rPr>
          <w:rFonts w:ascii="Arial" w:cs="Arial" w:eastAsia="Arial" w:hAnsi="Arial"/>
          <w:sz w:val="18"/>
          <w:szCs w:val="18"/>
          <w:color w:val="auto"/>
        </w:rPr>
      </w:pPr>
    </w:p>
    <w:p>
      <w:pPr>
        <w:ind w:left="1800" w:right="679" w:hanging="178"/>
        <w:spacing w:after="0" w:line="259"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have net income from prohibited transactions, which are, in general, sales or other dispositions of inventory or property held primarily for sale to customers in the ordinary course of business (other than foreclosure property as described below), such income will be subject to a 100% tax. See “— Prohibited Transactions” and “— Foreclosure Property.”</w:t>
      </w:r>
    </w:p>
    <w:p>
      <w:pPr>
        <w:spacing w:after="0" w:line="78" w:lineRule="exact"/>
        <w:rPr>
          <w:rFonts w:ascii="Arial" w:cs="Arial" w:eastAsia="Arial" w:hAnsi="Arial"/>
          <w:sz w:val="18"/>
          <w:szCs w:val="18"/>
          <w:color w:val="auto"/>
        </w:rPr>
      </w:pPr>
    </w:p>
    <w:p>
      <w:pPr>
        <w:ind w:left="1800" w:right="679" w:hanging="178"/>
        <w:spacing w:after="0" w:line="25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elect to treat property that we acquire in connection with a foreclosure of a mortgage loan or certain leasehold terminations as “foreclosure property,” we may thereby avoid the 100% tax on gain from a resale of that property (if the sale would otherwise constitute a prohibited transaction), but the income from the sale or operation of the property may be subject to corporate income tax at the regular corporate rate.</w:t>
      </w:r>
    </w:p>
    <w:p>
      <w:pPr>
        <w:spacing w:after="0" w:line="79" w:lineRule="exact"/>
        <w:rPr>
          <w:rFonts w:ascii="Arial" w:cs="Arial" w:eastAsia="Arial" w:hAnsi="Arial"/>
          <w:sz w:val="18"/>
          <w:szCs w:val="18"/>
          <w:color w:val="auto"/>
        </w:rPr>
      </w:pPr>
    </w:p>
    <w:p>
      <w:pPr>
        <w:ind w:left="1800" w:right="699" w:hanging="178"/>
        <w:spacing w:after="0" w:line="279"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we fail to satisfy the 75% gross income test or the 95% gross income test, each of which is described below, but nonetheless maintain our qualification to be taxed as a REIT because we satisfy certain other requirements, we will be subject to a 100% tax on an amount based on the magnitude of the failure, as adjusted to reflect the profit margin associated with our gross income.</w:t>
      </w:r>
    </w:p>
    <w:p>
      <w:pPr>
        <w:spacing w:after="0" w:line="63" w:lineRule="exact"/>
        <w:rPr>
          <w:rFonts w:ascii="Arial" w:cs="Arial" w:eastAsia="Arial" w:hAnsi="Arial"/>
          <w:sz w:val="17"/>
          <w:szCs w:val="17"/>
          <w:color w:val="auto"/>
        </w:rPr>
      </w:pPr>
    </w:p>
    <w:p>
      <w:pPr>
        <w:ind w:left="1800" w:right="839" w:hanging="178"/>
        <w:spacing w:after="0" w:line="272"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we fail to satisfy one or more of the asset tests (other than certain de minimis violations) or other requirements applicable to REITs, each of which is described below, and yet maintain our qualification to be taxed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non-qualifying assets in question multiplied by the regular corporate tax rate if that amount exceeds $50,000 per failure.</w:t>
      </w:r>
    </w:p>
    <w:p>
      <w:pPr>
        <w:spacing w:after="0" w:line="55" w:lineRule="exact"/>
        <w:rPr>
          <w:rFonts w:ascii="Arial" w:cs="Arial" w:eastAsia="Arial" w:hAnsi="Arial"/>
          <w:sz w:val="17"/>
          <w:szCs w:val="17"/>
          <w:color w:val="auto"/>
        </w:rPr>
      </w:pPr>
    </w:p>
    <w:p>
      <w:pPr>
        <w:ind w:left="1800" w:right="679" w:hanging="178"/>
        <w:spacing w:after="0" w:line="286"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we fail to distribute to our stockholders during each calendar year an amount equal to or greater than the sum of (1) 85% of our ordinary income for such year, (2) 95% of our capital gain net income for such year and (3) any undistributed net taxable income from prior periods, we will be subject to</w:t>
      </w:r>
    </w:p>
    <w:p>
      <w:pPr>
        <w:sectPr>
          <w:pgSz w:w="11900" w:h="16838" w:orient="portrait"/>
          <w:cols w:equalWidth="0" w:num="1">
            <w:col w:w="10139"/>
          </w:cols>
          <w:pgMar w:left="32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139"/>
        <w:spacing w:after="0" w:line="248" w:lineRule="auto"/>
        <w:rPr>
          <w:sz w:val="20"/>
          <w:szCs w:val="20"/>
          <w:color w:val="auto"/>
        </w:rPr>
      </w:pPr>
      <w:r>
        <w:rPr>
          <w:rFonts w:ascii="Arial" w:cs="Arial" w:eastAsia="Arial" w:hAnsi="Arial"/>
          <w:sz w:val="18"/>
          <w:szCs w:val="18"/>
          <w:color w:val="auto"/>
        </w:rPr>
        <w:t>a nondeductible 4% excise tax on the excess of the required distribution over the sum of (a) the amounts that we actually distributed and (b) the amounts we retained and upon which we paid income tax at the corporate level.</w:t>
      </w:r>
    </w:p>
    <w:p>
      <w:pPr>
        <w:spacing w:after="0" w:line="60" w:lineRule="exact"/>
        <w:rPr>
          <w:sz w:val="20"/>
          <w:szCs w:val="20"/>
          <w:color w:val="auto"/>
        </w:rPr>
      </w:pPr>
    </w:p>
    <w:p>
      <w:pPr>
        <w:ind w:left="1800" w:right="759" w:hanging="178"/>
        <w:spacing w:after="0" w:line="271" w:lineRule="auto"/>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be required to pay monetary penalties to the IRS in certain circumstances, including if we fail to meet record-keeping requirements intended to monitor our compliance with rules relating to the composition of a REIT’s stockholders, as described below in “— Requirements for Qualification</w:t>
      </w:r>
    </w:p>
    <w:p>
      <w:pPr>
        <w:ind w:left="1800"/>
        <w:spacing w:after="0"/>
        <w:rPr>
          <w:rFonts w:ascii="Arial" w:cs="Arial" w:eastAsia="Arial" w:hAnsi="Arial"/>
          <w:sz w:val="17"/>
          <w:szCs w:val="17"/>
          <w:color w:val="auto"/>
        </w:rPr>
      </w:pPr>
      <w:r>
        <w:rPr>
          <w:rFonts w:ascii="Arial" w:cs="Arial" w:eastAsia="Arial" w:hAnsi="Arial"/>
          <w:sz w:val="18"/>
          <w:szCs w:val="18"/>
          <w:color w:val="auto"/>
        </w:rPr>
        <w:t>— General.”</w:t>
      </w:r>
    </w:p>
    <w:p>
      <w:pPr>
        <w:spacing w:after="0" w:line="102" w:lineRule="exact"/>
        <w:rPr>
          <w:rFonts w:ascii="Arial" w:cs="Arial" w:eastAsia="Arial" w:hAnsi="Arial"/>
          <w:sz w:val="17"/>
          <w:szCs w:val="17"/>
          <w:color w:val="auto"/>
        </w:rPr>
      </w:pPr>
    </w:p>
    <w:p>
      <w:pPr>
        <w:ind w:left="1800" w:right="93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a TRS (as defined below) that do not reflect arm’s-length terms.</w:t>
      </w:r>
    </w:p>
    <w:p>
      <w:pPr>
        <w:spacing w:after="0" w:line="62" w:lineRule="exact"/>
        <w:rPr>
          <w:rFonts w:ascii="Arial" w:cs="Arial" w:eastAsia="Arial" w:hAnsi="Arial"/>
          <w:sz w:val="18"/>
          <w:szCs w:val="18"/>
          <w:color w:val="auto"/>
        </w:rPr>
      </w:pPr>
    </w:p>
    <w:p>
      <w:pPr>
        <w:ind w:left="1800" w:right="679" w:hanging="178"/>
        <w:spacing w:after="0" w:line="25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recognize gain on the disposition of any asset that was held by us on April 25, 2015 (when our REIT election became effective) during a specified period (generally, five years) thereafter, we will owe tax at the regular corporate tax rate on the lesser of (1) the excess of the fair market value of the asset on the effective date of our election to be taxed as REIT over our basis in the asset at such time, and (2) the gain recognized upon the disposition of such asset.</w:t>
      </w:r>
    </w:p>
    <w:p>
      <w:pPr>
        <w:spacing w:after="0" w:line="79" w:lineRule="exact"/>
        <w:rPr>
          <w:rFonts w:ascii="Arial" w:cs="Arial" w:eastAsia="Arial" w:hAnsi="Arial"/>
          <w:sz w:val="18"/>
          <w:szCs w:val="18"/>
          <w:color w:val="auto"/>
        </w:rPr>
      </w:pPr>
    </w:p>
    <w:p>
      <w:pPr>
        <w:ind w:left="1800" w:right="699" w:hanging="178"/>
        <w:spacing w:after="0" w:line="255"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Code) in a transaction in which the adjusted tax basis of the assets in our hands is determined by reference to the adjusted tax basis of the assets in the hands of the subchapter C corporation, we may be subject to tax on such appreciation at the regular corporate rate if we subsequently recognize gain on a disposition of any such assets during the five-year period following its acquisition from the subchapter C corporation.</w:t>
      </w:r>
    </w:p>
    <w:p>
      <w:pPr>
        <w:spacing w:after="0" w:line="70"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earnings of our TRSs will generally be subject to U.S. federal corporate income tax.</w:t>
      </w:r>
    </w:p>
    <w:p>
      <w:pPr>
        <w:spacing w:after="0" w:line="158" w:lineRule="exact"/>
        <w:rPr>
          <w:sz w:val="20"/>
          <w:szCs w:val="20"/>
          <w:color w:val="auto"/>
        </w:rPr>
      </w:pPr>
    </w:p>
    <w:p>
      <w:pPr>
        <w:jc w:val="both"/>
        <w:ind w:left="1260" w:right="939" w:firstLine="360"/>
        <w:spacing w:after="0" w:line="270" w:lineRule="auto"/>
        <w:rPr>
          <w:sz w:val="20"/>
          <w:szCs w:val="20"/>
          <w:color w:val="auto"/>
        </w:rPr>
      </w:pPr>
      <w:r>
        <w:rPr>
          <w:rFonts w:ascii="Arial" w:cs="Arial" w:eastAsia="Arial" w:hAnsi="Arial"/>
          <w:sz w:val="17"/>
          <w:szCs w:val="17"/>
          <w:color w:val="auto"/>
        </w:rPr>
        <w:t>In addition, we and our subsidiaries may be subject to a variety of taxes, including payroll taxes and state, local, and foreign income, property, gross receipts and other taxes on our assets and operations. We could also be subject to tax in situations and on transactions not presently contemplated.</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Requirements for Qualification — General</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144" w:lineRule="exact"/>
        <w:rPr>
          <w:sz w:val="20"/>
          <w:szCs w:val="20"/>
          <w:color w:val="auto"/>
        </w:rPr>
      </w:pPr>
    </w:p>
    <w:p>
      <w:pPr>
        <w:ind w:left="1980" w:hanging="358"/>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144" w:lineRule="exact"/>
        <w:rPr>
          <w:rFonts w:ascii="Arial" w:cs="Arial" w:eastAsia="Arial" w:hAnsi="Arial"/>
          <w:sz w:val="18"/>
          <w:szCs w:val="18"/>
          <w:color w:val="auto"/>
        </w:rPr>
      </w:pPr>
    </w:p>
    <w:p>
      <w:pPr>
        <w:ind w:left="1980" w:right="1479" w:hanging="358"/>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102" w:lineRule="exact"/>
        <w:rPr>
          <w:rFonts w:ascii="Arial" w:cs="Arial" w:eastAsia="Arial" w:hAnsi="Arial"/>
          <w:sz w:val="18"/>
          <w:szCs w:val="18"/>
          <w:color w:val="auto"/>
        </w:rPr>
      </w:pPr>
    </w:p>
    <w:p>
      <w:pPr>
        <w:ind w:left="1980" w:hanging="358"/>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taxed as a REIT;</w:t>
      </w:r>
    </w:p>
    <w:p>
      <w:pPr>
        <w:spacing w:after="0" w:line="144" w:lineRule="exact"/>
        <w:rPr>
          <w:rFonts w:ascii="Arial" w:cs="Arial" w:eastAsia="Arial" w:hAnsi="Arial"/>
          <w:sz w:val="18"/>
          <w:szCs w:val="18"/>
          <w:color w:val="auto"/>
        </w:rPr>
      </w:pPr>
    </w:p>
    <w:p>
      <w:pPr>
        <w:ind w:left="1980" w:right="699" w:hanging="358"/>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Code;</w:t>
      </w:r>
    </w:p>
    <w:p>
      <w:pPr>
        <w:spacing w:after="0" w:line="102" w:lineRule="exact"/>
        <w:rPr>
          <w:rFonts w:ascii="Arial" w:cs="Arial" w:eastAsia="Arial" w:hAnsi="Arial"/>
          <w:sz w:val="18"/>
          <w:szCs w:val="18"/>
          <w:color w:val="auto"/>
        </w:rPr>
      </w:pPr>
    </w:p>
    <w:p>
      <w:pPr>
        <w:ind w:left="1980" w:hanging="358"/>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144" w:lineRule="exact"/>
        <w:rPr>
          <w:rFonts w:ascii="Arial" w:cs="Arial" w:eastAsia="Arial" w:hAnsi="Arial"/>
          <w:sz w:val="18"/>
          <w:szCs w:val="18"/>
          <w:color w:val="auto"/>
        </w:rPr>
      </w:pPr>
    </w:p>
    <w:p>
      <w:pPr>
        <w:ind w:left="1980" w:right="839" w:hanging="358"/>
        <w:spacing w:after="0" w:line="263"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Code to include specified tax-exempt entities); and</w:t>
      </w:r>
    </w:p>
    <w:p>
      <w:pPr>
        <w:spacing w:after="0" w:line="102" w:lineRule="exact"/>
        <w:rPr>
          <w:rFonts w:ascii="Arial" w:cs="Arial" w:eastAsia="Arial" w:hAnsi="Arial"/>
          <w:sz w:val="18"/>
          <w:szCs w:val="18"/>
          <w:color w:val="auto"/>
        </w:rPr>
      </w:pPr>
    </w:p>
    <w:p>
      <w:pPr>
        <w:ind w:left="1980" w:right="1179" w:hanging="358"/>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meets other tests described below, including with respect to the nature of its income and assets.</w:t>
      </w:r>
    </w:p>
    <w:p>
      <w:pPr>
        <w:spacing w:after="0" w:line="103" w:lineRule="exact"/>
        <w:rPr>
          <w:sz w:val="20"/>
          <w:szCs w:val="20"/>
          <w:color w:val="auto"/>
        </w:rPr>
      </w:pPr>
    </w:p>
    <w:p>
      <w:pPr>
        <w:ind w:left="1260" w:right="819" w:firstLine="360"/>
        <w:spacing w:after="0" w:line="238" w:lineRule="auto"/>
        <w:rPr>
          <w:sz w:val="20"/>
          <w:szCs w:val="20"/>
          <w:color w:val="auto"/>
        </w:rPr>
      </w:pPr>
      <w:r>
        <w:rPr>
          <w:rFonts w:ascii="Arial" w:cs="Arial" w:eastAsia="Arial" w:hAnsi="Arial"/>
          <w:sz w:val="18"/>
          <w:szCs w:val="18"/>
          <w:color w:val="auto"/>
        </w:rPr>
        <w:t>The Code provides that conditions (1) through (4) must be met during the entire taxable year, and that condition (5) must be met during at least 335 days of a taxable year of twelve months, or during a proportionate part of a shorter taxable year. Conditions (5) and (6) need not be met during a corporation’s initial tax year as a REIT (which, in our case, was 2015). Our charter provides restrictions regarding the ownership and transfers of shares of our stock, which are intended to assist us in satisfying the stock ownership requirements described in conditions (5) and (6) above, among other purposes. These restrictions, however, may not ensure that we will, in all cases, be able to satisfy the share ownership requirements described in conditions (5) and (6) above. If we fail to satisfy these share ownership requirements, except as</w:t>
      </w:r>
    </w:p>
    <w:p>
      <w:pPr>
        <w:sectPr>
          <w:pgSz w:w="11900" w:h="16838" w:orient="portrait"/>
          <w:cols w:equalWidth="0" w:num="1">
            <w:col w:w="10139"/>
          </w:cols>
          <w:pgMar w:left="32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62" w:lineRule="auto"/>
        <w:rPr>
          <w:sz w:val="20"/>
          <w:szCs w:val="20"/>
          <w:color w:val="auto"/>
        </w:rPr>
      </w:pPr>
      <w:r>
        <w:rPr>
          <w:rFonts w:ascii="Arial" w:cs="Arial" w:eastAsia="Arial" w:hAnsi="Arial"/>
          <w:sz w:val="17"/>
          <w:szCs w:val="17"/>
          <w:color w:val="auto"/>
        </w:rPr>
        <w:t>provided in the next sentence, our status as a REIT will terminate. If, however, we comply with the rules contained in applicable Treasury regulations that require us to ascertain the actual ownership of our stock and we do not know, or would not have known through the exercise of reasonable diligence, that we failed to meet the requirement described in condition (6) above, we will be treated as having met this requirement.</w:t>
      </w:r>
    </w:p>
    <w:p>
      <w:pPr>
        <w:spacing w:after="0" w:line="91"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such record holder fails or refuses to comply with the demands, such record holder will be required by Treasury regulations to submit a statement with such record holder’s tax return disclosing such record holder’s actual ownership of our stock and other information.</w:t>
      </w:r>
    </w:p>
    <w:p>
      <w:pPr>
        <w:spacing w:after="0" w:line="116" w:lineRule="exact"/>
        <w:rPr>
          <w:sz w:val="20"/>
          <w:szCs w:val="20"/>
          <w:color w:val="auto"/>
        </w:rPr>
      </w:pPr>
    </w:p>
    <w:p>
      <w:pPr>
        <w:ind w:left="1260" w:right="939" w:firstLine="360"/>
        <w:spacing w:after="0" w:line="291" w:lineRule="auto"/>
        <w:rPr>
          <w:sz w:val="20"/>
          <w:szCs w:val="20"/>
          <w:color w:val="auto"/>
        </w:rPr>
      </w:pPr>
      <w:r>
        <w:rPr>
          <w:rFonts w:ascii="Arial" w:cs="Arial" w:eastAsia="Arial" w:hAnsi="Arial"/>
          <w:sz w:val="17"/>
          <w:szCs w:val="17"/>
          <w:color w:val="auto"/>
        </w:rPr>
        <w:t>In addition, a corporation generally may not elect to be taxed as a REIT unless its taxable year is the calendar year. We have adopted December 31 as our year end, and thereby satisfy this requirement.</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of Certain Subsidiary Entities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Disregarded Subsidiaries</w:t>
      </w:r>
    </w:p>
    <w:p>
      <w:pPr>
        <w:spacing w:after="0" w:line="15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If we own a corporate subsidiary that is a “qualified REIT subsidiary,” that subsidiary is generally disregarded as a separate entity for U.S. federal income tax purposes, and all of the subsidiary’s assets, liabilities and items of income, deduction and credit are treated as our assets, liabilities and items of income, deduction and credit, including for purposes of the gross income and asset tests applicable to REITs. A qualified REIT subsidiary is any corporation, other than a TRS, that is directly or indirectly wholly owned by a REIT. Other entities that are wholly owned by us, including single member limited liability companies that have not elected to be taxed as corporations for U.S. federal income tax purposes, are also generally disregarded as separate entities for U.S. federal income tax purposes, including for purposes of the REIT income and asset tests. Disregarded subsidiaries, along with any partnerships in which we hold an equity interest, are sometimes referred to herein as “pass-through subsidiaries.”</w:t>
      </w:r>
    </w:p>
    <w:p>
      <w:pPr>
        <w:spacing w:after="0" w:line="99"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In the event that a disregarded subsidiary of ours ceases to be wholly owned — for example, if any equity interest in the subsidiary is acquired by a person other than us or another disregarded subsidiary of ours — 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See “— Asset Tests” and “— Income Tests.”</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Taxable REIT Subsidiaries</w:t>
      </w:r>
    </w:p>
    <w:p>
      <w:pPr>
        <w:spacing w:after="0" w:line="158" w:lineRule="exact"/>
        <w:rPr>
          <w:sz w:val="20"/>
          <w:szCs w:val="20"/>
          <w:color w:val="auto"/>
        </w:rPr>
      </w:pPr>
    </w:p>
    <w:p>
      <w:pPr>
        <w:ind w:left="1260" w:right="799" w:firstLine="360"/>
        <w:spacing w:after="0" w:line="238" w:lineRule="auto"/>
        <w:rPr>
          <w:sz w:val="20"/>
          <w:szCs w:val="20"/>
          <w:color w:val="auto"/>
        </w:rPr>
      </w:pPr>
      <w:r>
        <w:rPr>
          <w:rFonts w:ascii="Arial" w:cs="Arial" w:eastAsia="Arial" w:hAnsi="Arial"/>
          <w:sz w:val="18"/>
          <w:szCs w:val="18"/>
          <w:color w:val="auto"/>
        </w:rPr>
        <w:t>In general, we may jointly elect with a subsidiary corporation that is not itself a REIT, whether or not wholly owned, to treat such subsidiary corporation as a TRS. We generally may not own more than 10% of the securities of a taxable corporation, as measured by voting power or value, unless we and such corporation elect to treat such corporation as a TRS. The separate existence of a TRS or other taxable corporation is not ignored for U.S. federal income tax purposes. Accordingly, a TRS or other taxable subsidiary corporation generally is subject to corporate income tax on its earnings, which may reduce the cash flow that we and our subsidiaries generate in the aggregate, and may reduce our ability to make distributions to our common stockholders.</w:t>
      </w:r>
    </w:p>
    <w:p>
      <w:pPr>
        <w:spacing w:after="0" w:line="126"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7"/>
          <w:szCs w:val="17"/>
          <w:color w:val="auto"/>
        </w:rPr>
        <w:t>We are not treated as holding the assets of a TRS or other taxable subsidiary corporation or as receiving any income that the subsidiary earns. Rather, the stock issued by a taxable subsidiary corporation to us is an asset in our hands, and we treat the dividends paid to us from such taxable subsidiary corporation, if any, as income. This treatment can affect our gross income and asset test calculations, as described below. Because we do not include the assets and income of TRSs or other taxable subsidiary</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57" w:lineRule="auto"/>
        <w:rPr>
          <w:sz w:val="20"/>
          <w:szCs w:val="20"/>
          <w:color w:val="auto"/>
        </w:rPr>
      </w:pPr>
      <w:r>
        <w:rPr>
          <w:rFonts w:ascii="Arial" w:cs="Arial" w:eastAsia="Arial" w:hAnsi="Arial"/>
          <w:sz w:val="17"/>
          <w:szCs w:val="17"/>
          <w:color w:val="auto"/>
        </w:rPr>
        <w:t>corporations on a look-through basis in determining our compliance with the REIT requirements, we may use such entities to undertake indirectly activities that the REIT rules might otherwise preclude us from engaging in directly or through pass-through subsidiaries. For example, we may use TRSs or other taxable subsidiary corporations to perform services or conduct activities that give rise to certain categories of income that would not generate qualifying income for purposes of the REIT gross income tests, or to conduct activities that, if conducted by us directly, would be treated in our hands as prohibited transactions.</w:t>
      </w:r>
    </w:p>
    <w:p>
      <w:pPr>
        <w:spacing w:after="0" w:line="94"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The TRS rules impose a 100% excise tax on transactions between a TRS and its parent REIT or the REIT’s tenants that are not conducted on an arm’s- length basis. We believe that all of our transactions with our TRSs have been conducted on an arm’s-length basis and we intend to continue to operate such that all of our transactions with our TRSs are conducted on an arm’s-length basis.</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Ownership of Partnership Interests</w:t>
      </w:r>
    </w:p>
    <w:p>
      <w:pPr>
        <w:spacing w:after="0" w:line="15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If we are a partner in an entity that is treated as a partnership for U.S. federal income tax purposes, Treasury regulations provide that we are deemed to own our proportionate share of the partnership’s assets, and to earn our proportionate share of the partnership’s gross income, for purposes of the asset and gross income tests applicable to REITs. Our proportionate share of a partnership’s assets and gross income is based on our capital interest in the partnership (except that for purposes of the 10% value test, described below, our proportionate share of the partnership’s assets is based on our proportionate interest in the equity and certain debt securities issued by the partnership). In addition, the assets and gross income of the partnership are deemed to retain the same character in our hands. Thus, our proportionate share of the assets and items of gross income of any of our subsidiary partnerships will be treated as our assets and items of gross income for purposes of applying the REIT requirements.</w:t>
      </w:r>
    </w:p>
    <w:p>
      <w:pPr>
        <w:spacing w:after="0" w:line="113"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7"/>
          <w:szCs w:val="17"/>
          <w:color w:val="auto"/>
        </w:rPr>
        <w:t>If we become a limited partner or non-managing member in any partnership or limited liability company and such entity takes or expects to take actions that could jeopardize our status as a REIT or require us to pay tax, we may be forced to dispose of our interest in such entity to preserve our status as a REIT. In addition, it is possible that a partnership or limited liability company could take an action which could cause us to fail a gross income or asset test, and that we would not become aware of such action in time to dispose of our interest in the partnership or limited liability company or take other corrective action on a timely basis. In that case, we could fail to qualify as a REIT unless we were entitled to relief, as described below under “— Income Tests — Failure to Satisfy the Gross Income Tests” and “— Asset Tests.”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Tests</w:t>
      </w:r>
    </w:p>
    <w:p>
      <w:pPr>
        <w:spacing w:after="0" w:line="148" w:lineRule="exact"/>
        <w:rPr>
          <w:sz w:val="20"/>
          <w:szCs w:val="20"/>
          <w:color w:val="auto"/>
        </w:rPr>
      </w:pPr>
    </w:p>
    <w:p>
      <w:pPr>
        <w:ind w:left="1260" w:right="739" w:firstLine="360"/>
        <w:spacing w:after="0" w:line="252" w:lineRule="auto"/>
        <w:rPr>
          <w:sz w:val="20"/>
          <w:szCs w:val="20"/>
          <w:color w:val="auto"/>
        </w:rPr>
      </w:pPr>
      <w:r>
        <w:rPr>
          <w:rFonts w:ascii="Arial" w:cs="Arial" w:eastAsia="Arial" w:hAnsi="Arial"/>
          <w:sz w:val="17"/>
          <w:szCs w:val="17"/>
          <w:color w:val="auto"/>
        </w:rPr>
        <w:t>In order to qualify 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“rents from real property,” gains from the sale of real estate assets, interest income derived from mortgage loans secured by real property or interests in real property (including certain types of mortgage-backed securities), dividends received from other REITs and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Rents from Real Property</w:t>
      </w:r>
    </w:p>
    <w:p>
      <w:pPr>
        <w:spacing w:after="0" w:line="158" w:lineRule="exact"/>
        <w:rPr>
          <w:sz w:val="20"/>
          <w:szCs w:val="20"/>
          <w:color w:val="auto"/>
        </w:rPr>
      </w:pPr>
    </w:p>
    <w:p>
      <w:pPr>
        <w:jc w:val="both"/>
        <w:ind w:left="1260" w:right="779" w:firstLine="360"/>
        <w:spacing w:after="0" w:line="248" w:lineRule="auto"/>
        <w:rPr>
          <w:sz w:val="20"/>
          <w:szCs w:val="20"/>
          <w:color w:val="auto"/>
        </w:rPr>
      </w:pPr>
      <w:r>
        <w:rPr>
          <w:rFonts w:ascii="Arial" w:cs="Arial" w:eastAsia="Arial" w:hAnsi="Arial"/>
          <w:sz w:val="18"/>
          <w:szCs w:val="18"/>
          <w:color w:val="auto"/>
        </w:rPr>
        <w:t>Rents we receive from a tenant will qualify as “rents from real property” for the purpose of satisfying the gross income requirements for a REIT described above only if all of the conditions described below are met.</w:t>
      </w:r>
    </w:p>
    <w:p>
      <w:pPr>
        <w:spacing w:after="0" w:line="74" w:lineRule="exact"/>
        <w:rPr>
          <w:sz w:val="20"/>
          <w:szCs w:val="20"/>
          <w:color w:val="auto"/>
        </w:rPr>
      </w:pPr>
    </w:p>
    <w:p>
      <w:pPr>
        <w:ind w:left="1800" w:right="739" w:hanging="178"/>
        <w:spacing w:after="0" w:line="286" w:lineRule="auto"/>
        <w:tabs>
          <w:tab w:leader="none" w:pos="1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amount of rent is not based in whole or in part on the income or profits of any person. However, an amount we receive or accrue will generally not be excluded from the term “rents from real property” solely because it is based on a fixed-percentage or percentages of gross receipts or sales.</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99" w:hanging="178"/>
        <w:spacing w:after="0" w:line="268" w:lineRule="auto"/>
        <w:tabs>
          <w:tab w:leader="none" w:pos="1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Neither we nor a beneficial or constructive owner of 10% or more of our stock beneficially or constructively owns 10% or more of the interests in the assets or net profits of a non-corporate tenant, or, if the tenant is a corporation (but excluding any TRS), 10% or more of the total combined voting power of all classes of stock entitled to vote or 10% or more of the total value of all classes of stock of the tenant. Rents we receive from such a tenant that is a TRS of ours, however, will not be excluded from the definition of “rents from real property” as a result of this condition if at least 90% of the space at the property to which the rents relate is leased to third parties, and the rents paid by the TRS are substantially comparable to rents paid by our other tenants for comparable space. Whether rents paid by a TRS are substantially comparable to rents paid by other tenants is determined at the time the lease with the TRS is entered into, extended, and modified, if such modification increases the rents due under such lease. Notwithstanding the foregoing, however, if a lease with a “controlled TRS” is modified and such modification results in an increase in the rents payable by such TRS, any such increase will not qualify as “rents from real property.” For purposes of this rule, a “controlled TRS” is a TRS in which the parent REIT owns stock possessing more than 50% of the voting power or more than 50% of the total value of the outstanding stock of such TRS.</w:t>
      </w:r>
    </w:p>
    <w:p>
      <w:pPr>
        <w:spacing w:after="0" w:line="73" w:lineRule="exact"/>
        <w:rPr>
          <w:rFonts w:ascii="Arial" w:cs="Arial" w:eastAsia="Arial" w:hAnsi="Arial"/>
          <w:sz w:val="17"/>
          <w:szCs w:val="17"/>
          <w:color w:val="auto"/>
        </w:rPr>
      </w:pPr>
    </w:p>
    <w:p>
      <w:pPr>
        <w:ind w:left="1800" w:right="779" w:hanging="178"/>
        <w:spacing w:after="0" w:line="286" w:lineRule="auto"/>
        <w:tabs>
          <w:tab w:leader="none" w:pos="1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Rent attributable to personal property that is leased in connection with a lease of real property is not greater than 15% of the total rent received under the lease. If this condition is not met, then the portion of the rent attributable to personal property will not qualify as “rents from real property.”</w:t>
      </w:r>
    </w:p>
    <w:p>
      <w:pPr>
        <w:spacing w:after="0" w:line="57" w:lineRule="exact"/>
        <w:rPr>
          <w:rFonts w:ascii="Arial" w:cs="Arial" w:eastAsia="Arial" w:hAnsi="Arial"/>
          <w:sz w:val="17"/>
          <w:szCs w:val="17"/>
          <w:color w:val="auto"/>
        </w:rPr>
      </w:pPr>
    </w:p>
    <w:p>
      <w:pPr>
        <w:ind w:left="1800" w:right="899" w:hanging="178"/>
        <w:spacing w:after="0" w:line="270" w:lineRule="auto"/>
        <w:tabs>
          <w:tab w:leader="none" w:pos="1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generally do not operate or manage the property or furnish or render services to our tenants, subject to a 1% de minimis threshold and except as provided below. We are permitted, however, to perform directly certain services that are “usually or customarily rendered” in connection with the rental of space for occupancy only and are not otherwise considered “rendered to the occupant” of the property. Examples of these permitted services include the provision of light, heat or other utilities, trash removal and general maintenance of common areas. In addition, we are permitted to employ an independent contractor from whom we derive no revenues, or a TRS, which may be wholly or partially owned by us, to provide non-customary services to our tenants without causing the rent that we receive from those tenants to fail to qualify as “rents from real property.”</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44"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7"/>
          <w:szCs w:val="17"/>
          <w:color w:val="auto"/>
        </w:rPr>
        <w:t>Interest income constitutes qualifying mortgage interest for purposes of the 75% gross income test (as described above) to the extent that the obligation upon which such interest is paid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acquired or originated the mortgage loan, the interest income will be apportioned between the real property and the other collateral, and our income from the arrangement will qualify for purposes of the 75% gross income test only to the extent that the interest is allocable to the real property. However, if the fair market value of the other property does not exceed 15% of the fair market value of the total property securing the obligation, then the loan will be treated as secured solely by real property. Even if a loan is not secured by real property, or is undersecured, the income that it generates may nonetheless qualify for purposes of the 95% gross income test in certain circumstances. For these purposes, the term “interest” generally does not include any amount received or accrued, directly or indirectly, if the determination of all or some of the amount depends in any way on the income or profits of any person. However, an amount received or accrued will generally not be excluded from the term “interest” solely by reason of being based on a fixed percentage or percentages of gross receipts or sales.</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Dividend Income</w:t>
      </w:r>
    </w:p>
    <w:p>
      <w:pPr>
        <w:spacing w:after="0" w:line="158"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another REIT, however, will be qualifying income for purposes of both the 95% and 75% gross income tests.</w:t>
      </w:r>
    </w:p>
    <w:p>
      <w:pPr>
        <w:sectPr>
          <w:pgSz w:w="11900" w:h="16838" w:orient="portrait"/>
          <w:cols w:equalWidth="0" w:num="1">
            <w:col w:w="10139"/>
          </w:cols>
          <w:pgMar w:left="320" w:top="132"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Fee Income</w:t>
      </w:r>
    </w:p>
    <w:p>
      <w:pPr>
        <w:spacing w:after="0" w:line="144" w:lineRule="exact"/>
        <w:rPr>
          <w:sz w:val="20"/>
          <w:szCs w:val="20"/>
          <w:color w:val="auto"/>
        </w:rPr>
      </w:pPr>
    </w:p>
    <w:p>
      <w:pPr>
        <w:jc w:val="both"/>
        <w:ind w:left="1260" w:right="1199" w:firstLine="360"/>
        <w:spacing w:after="0" w:line="248" w:lineRule="auto"/>
        <w:rPr>
          <w:sz w:val="20"/>
          <w:szCs w:val="20"/>
          <w:color w:val="auto"/>
        </w:rPr>
      </w:pPr>
      <w:r>
        <w:rPr>
          <w:rFonts w:ascii="Arial" w:cs="Arial" w:eastAsia="Arial" w:hAnsi="Arial"/>
          <w:sz w:val="18"/>
          <w:szCs w:val="18"/>
          <w:color w:val="auto"/>
        </w:rPr>
        <w:t>Any fee income that we earn will generally not be qualifying income for purposes of either gross income test. Any fee income earned by a TRS, however, will not be included in our gross income for purposes of our gross income tests.</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Hedging Transactions</w:t>
      </w:r>
    </w:p>
    <w:p>
      <w:pPr>
        <w:spacing w:after="0" w:line="15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Any income or gain that we or our pass-through subsidiaries derive from instruments that hedge certain risks, such as the risk of changes in interest rates, will be excluded from gross income for purposes of both the 75% and 95% gross income tests, provided that specified requirements are met, including the requirement that the instrument is entered into during the ordinary course of our business, the instrument hedges risks associated with indebtedness issued by us or our pass-through subsidiary that is incurred or to be incurred to acquire or carry “real estate assets” (as described below under “— Asset Tests”), and the instrument is properly identified as a hedge along with the risk that it hedges within prescribed time periods. Income and gain from all other hedging transactions is unlikely to be qualifying income for either the 95% or 75% gross income test.</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Failure to Satisfy the Gross Income Tests</w:t>
      </w:r>
    </w:p>
    <w:p>
      <w:pPr>
        <w:spacing w:after="0" w:line="158"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If we fail to satisfy one or both of the 75% or 95% gross income tests for any taxable year, including as a result of rents received by us from Windstream failing to qualify as “rents from real property,” we may still qualify as a REIT for such year if we are entitled to relief under applicable provisions of the Code. These relief provisions will be generally available if (1) our failure to meet these tests was due to reasonable cause and not due to willful neglect and (2)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which have not yet been issued. It is not possible to state whether we would be entitled to the benefit of these relief provisions in all circumstances. If these relief provisions are inapplicable to a particular set of circumstances, we will not qualify as a REIT for the relevant taxable year, with the consequences described below under “— Failure to Qualify”). Even if these relief provisions apply, and we retain our status as a REIT, the Code imposes a tax based upon the amount by which we fail to satisfy the particular gross income test.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Asset Tests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At the close of each calendar quarter, we must also satisfy six tests relating to the nature of our assets.</w:t>
      </w:r>
    </w:p>
    <w:p>
      <w:pPr>
        <w:spacing w:after="0" w:line="129" w:lineRule="exact"/>
        <w:rPr>
          <w:sz w:val="20"/>
          <w:szCs w:val="20"/>
          <w:color w:val="auto"/>
        </w:rPr>
      </w:pPr>
    </w:p>
    <w:p>
      <w:pPr>
        <w:ind w:left="1800" w:right="719" w:hanging="178"/>
        <w:spacing w:after="0" w:line="25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stock of other REITs, debt instruments of publicly offered REITs, as well as some kinds of mortgage-backed securities and mortgage loans.</w:t>
      </w:r>
    </w:p>
    <w:p>
      <w:pPr>
        <w:spacing w:after="0" w:line="79" w:lineRule="exact"/>
        <w:rPr>
          <w:rFonts w:ascii="Arial" w:cs="Arial" w:eastAsia="Arial" w:hAnsi="Arial"/>
          <w:sz w:val="18"/>
          <w:szCs w:val="18"/>
          <w:color w:val="auto"/>
        </w:rPr>
      </w:pPr>
    </w:p>
    <w:p>
      <w:pPr>
        <w:ind w:left="1800" w:right="779" w:hanging="178"/>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more than 25% of the value of our assets may be represented by securities (other than securities that are taken into account favorably for purposes of the 75% asset test).</w:t>
      </w:r>
    </w:p>
    <w:p>
      <w:pPr>
        <w:spacing w:after="0" w:line="48" w:lineRule="exact"/>
        <w:rPr>
          <w:rFonts w:ascii="Arial" w:cs="Arial" w:eastAsia="Arial" w:hAnsi="Arial"/>
          <w:sz w:val="18"/>
          <w:szCs w:val="18"/>
          <w:color w:val="auto"/>
        </w:rPr>
      </w:pPr>
    </w:p>
    <w:p>
      <w:pPr>
        <w:ind w:left="1800" w:right="779" w:hanging="178"/>
        <w:spacing w:after="0" w:line="308" w:lineRule="auto"/>
        <w:tabs>
          <w:tab w:leader="none" w:pos="1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aggregate value of all securities of TRSs that we hold may not, in the aggregate, exceed 20% of the value of our total assets (25% in taxable years beginning before December 31, 2017).</w:t>
      </w:r>
    </w:p>
    <w:p>
      <w:pPr>
        <w:spacing w:after="0" w:line="38" w:lineRule="exact"/>
        <w:rPr>
          <w:rFonts w:ascii="Arial" w:cs="Arial" w:eastAsia="Arial" w:hAnsi="Arial"/>
          <w:sz w:val="17"/>
          <w:szCs w:val="17"/>
          <w:color w:val="auto"/>
        </w:rPr>
      </w:pPr>
    </w:p>
    <w:p>
      <w:pPr>
        <w:ind w:left="1800" w:right="939" w:hanging="178"/>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more than 25% of the value of our total assets may be represented by certain debt instruments issued by publicly offered REITs.</w:t>
      </w:r>
    </w:p>
    <w:p>
      <w:pPr>
        <w:spacing w:after="0" w:line="62" w:lineRule="exact"/>
        <w:rPr>
          <w:rFonts w:ascii="Arial" w:cs="Arial" w:eastAsia="Arial" w:hAnsi="Arial"/>
          <w:sz w:val="18"/>
          <w:szCs w:val="18"/>
          <w:color w:val="auto"/>
        </w:rPr>
      </w:pPr>
    </w:p>
    <w:p>
      <w:pPr>
        <w:ind w:left="1800" w:right="1039" w:hanging="178"/>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value of any one issuer’s securities that we own may not exceed 5% of the value of our total assets.</w:t>
      </w:r>
    </w:p>
    <w:p>
      <w:pPr>
        <w:spacing w:after="0" w:line="62" w:lineRule="exact"/>
        <w:rPr>
          <w:rFonts w:ascii="Arial" w:cs="Arial" w:eastAsia="Arial" w:hAnsi="Arial"/>
          <w:sz w:val="18"/>
          <w:szCs w:val="18"/>
          <w:color w:val="auto"/>
        </w:rPr>
      </w:pPr>
    </w:p>
    <w:p>
      <w:pPr>
        <w:ind w:left="1800" w:right="979" w:hanging="178"/>
        <w:spacing w:after="0" w:line="27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own more than 10% of any one issuer’s outstanding securities, as measured by either voting power or value.</w:t>
      </w:r>
    </w:p>
    <w:p>
      <w:pPr>
        <w:spacing w:after="0" w:line="89" w:lineRule="exact"/>
        <w:rPr>
          <w:sz w:val="20"/>
          <w:szCs w:val="20"/>
          <w:color w:val="auto"/>
        </w:rPr>
      </w:pPr>
    </w:p>
    <w:p>
      <w:pPr>
        <w:ind w:left="1260" w:right="1259" w:firstLine="360"/>
        <w:spacing w:after="0" w:line="324" w:lineRule="auto"/>
        <w:rPr>
          <w:sz w:val="20"/>
          <w:szCs w:val="20"/>
          <w:color w:val="auto"/>
        </w:rPr>
      </w:pPr>
      <w:r>
        <w:rPr>
          <w:rFonts w:ascii="Arial" w:cs="Arial" w:eastAsia="Arial" w:hAnsi="Arial"/>
          <w:sz w:val="16"/>
          <w:szCs w:val="16"/>
          <w:color w:val="auto"/>
        </w:rPr>
        <w:t>The 5% and 10% asset tests do not apply to securities of TRSs, qualified REIT subsidiaries or securities that are “real estate assets,” and the 10% asset test does not apply to “straight debt” having</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2" w:lineRule="auto"/>
        <w:rPr>
          <w:sz w:val="20"/>
          <w:szCs w:val="20"/>
          <w:color w:val="auto"/>
        </w:rPr>
      </w:pPr>
      <w:r>
        <w:rPr>
          <w:rFonts w:ascii="Arial" w:cs="Arial" w:eastAsia="Arial" w:hAnsi="Arial"/>
          <w:sz w:val="17"/>
          <w:szCs w:val="17"/>
          <w:color w:val="auto"/>
        </w:rPr>
        <w:t>specified characteristics and to certain other securities described below.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w:t>
      </w:r>
    </w:p>
    <w:p>
      <w:pPr>
        <w:spacing w:after="0" w:line="91" w:lineRule="exact"/>
        <w:rPr>
          <w:sz w:val="20"/>
          <w:szCs w:val="20"/>
          <w:color w:val="auto"/>
        </w:rPr>
      </w:pPr>
    </w:p>
    <w:p>
      <w:pPr>
        <w:jc w:val="both"/>
        <w:ind w:left="1260" w:right="699" w:firstLine="360"/>
        <w:spacing w:after="0" w:line="269" w:lineRule="auto"/>
        <w:rPr>
          <w:sz w:val="20"/>
          <w:szCs w:val="20"/>
          <w:color w:val="auto"/>
        </w:rPr>
      </w:pPr>
      <w:r>
        <w:rPr>
          <w:rFonts w:ascii="Arial" w:cs="Arial" w:eastAsia="Arial" w:hAnsi="Arial"/>
          <w:sz w:val="16"/>
          <w:szCs w:val="16"/>
          <w:color w:val="auto"/>
        </w:rPr>
        <w:t>Notwithstanding the general rule, as noted above, that for purposes of the REIT gross income and asset tests we are treated as owning our proportionate share of the underlying assets of a subsidiary partnership, if we hold indebtedness issued by a partnership, the indebtedness will be subject to, and may cause a violation of, the asset tests unless the indebtedness is a qualifying mortgage asset or other conditions are met.</w:t>
      </w:r>
    </w:p>
    <w:p>
      <w:pPr>
        <w:spacing w:after="0" w:line="1" w:lineRule="exact"/>
        <w:rPr>
          <w:sz w:val="20"/>
          <w:szCs w:val="20"/>
          <w:color w:val="auto"/>
        </w:rPr>
      </w:pPr>
    </w:p>
    <w:p>
      <w:pPr>
        <w:ind w:left="1260" w:right="1199"/>
        <w:spacing w:after="0" w:line="238" w:lineRule="auto"/>
        <w:rPr>
          <w:sz w:val="20"/>
          <w:szCs w:val="20"/>
          <w:color w:val="auto"/>
        </w:rPr>
      </w:pPr>
      <w:r>
        <w:rPr>
          <w:rFonts w:ascii="Arial" w:cs="Arial" w:eastAsia="Arial" w:hAnsi="Arial"/>
          <w:sz w:val="18"/>
          <w:szCs w:val="18"/>
          <w:color w:val="auto"/>
        </w:rPr>
        <w:t>Similarly, although stock of another REIT and debt instruments issued by a publicly offered REIT are qualifying assets for purposes of the REIT asset tests, any non -mortgage debt that is issued by a non-publicly offered REIT may not so qualify (although such debt will not be treated as “securities” for purposes of the 10% asset test, as explained below).</w:t>
      </w:r>
    </w:p>
    <w:p>
      <w:pPr>
        <w:spacing w:after="0" w:line="121" w:lineRule="exact"/>
        <w:rPr>
          <w:sz w:val="20"/>
          <w:szCs w:val="20"/>
          <w:color w:val="auto"/>
        </w:rPr>
      </w:pPr>
    </w:p>
    <w:p>
      <w:pPr>
        <w:ind w:left="1260" w:right="719" w:firstLine="360"/>
        <w:spacing w:after="0" w:line="251" w:lineRule="auto"/>
        <w:rPr>
          <w:sz w:val="20"/>
          <w:szCs w:val="20"/>
          <w:color w:val="auto"/>
        </w:rPr>
      </w:pPr>
      <w:r>
        <w:rPr>
          <w:rFonts w:ascii="Arial" w:cs="Arial" w:eastAsia="Arial" w:hAnsi="Arial"/>
          <w:sz w:val="17"/>
          <w:szCs w:val="17"/>
          <w:color w:val="auto"/>
        </w:rPr>
        <w:t>Certain securities will not cause a violation of the 10% asset test described above. Such securities include instruments that constitute “straight debt,” which term generally excludes, among other things, securities having certain contingent terms.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Code provides that certain other securities will not violate the 10% asset test. Such securities include (1) any loan made to an individual or an estate,</w:t>
      </w:r>
    </w:p>
    <w:p>
      <w:pPr>
        <w:spacing w:after="0" w:line="2" w:lineRule="exact"/>
        <w:rPr>
          <w:sz w:val="20"/>
          <w:szCs w:val="20"/>
          <w:color w:val="auto"/>
        </w:rPr>
      </w:pPr>
    </w:p>
    <w:p>
      <w:pPr>
        <w:ind w:left="1260" w:right="919" w:firstLine="2"/>
        <w:spacing w:after="0" w:line="264" w:lineRule="auto"/>
        <w:tabs>
          <w:tab w:leader="none" w:pos="1529" w:val="left"/>
        </w:tabs>
        <w:numPr>
          <w:ilvl w:val="0"/>
          <w:numId w:val="49"/>
        </w:numPr>
        <w:rPr>
          <w:rFonts w:ascii="Arial" w:cs="Arial" w:eastAsia="Arial" w:hAnsi="Arial"/>
          <w:sz w:val="16"/>
          <w:szCs w:val="16"/>
          <w:color w:val="auto"/>
        </w:rPr>
      </w:pPr>
      <w:r>
        <w:rPr>
          <w:rFonts w:ascii="Arial" w:cs="Arial" w:eastAsia="Arial" w:hAnsi="Arial"/>
          <w:sz w:val="16"/>
          <w:szCs w:val="16"/>
          <w:color w:val="auto"/>
        </w:rPr>
        <w:t>certain rental agreements pursuant to which one or more payments are to be made in subsequent years (other than agreements between a REIT and certain persons related to the REIT under attribution rules),</w:t>
      </w:r>
    </w:p>
    <w:p>
      <w:pPr>
        <w:ind w:left="1260" w:right="759" w:firstLine="2"/>
        <w:spacing w:after="0" w:line="236" w:lineRule="auto"/>
        <w:tabs>
          <w:tab w:leader="none" w:pos="152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obligation to pay rents from real property, (4) securities issued by governmental entities that are not dependent in whole or in part on the profits of (or payments made by) a nongovernmental entity, (5) any security (including debt securities) issued by another REIT and (6) any debt instrument issued by a partnership if the partnership’s income is of a nature that it would satisfy the 75% gross income test described above under “— Income Tests.” In applying the 10% asset test, a debt security issued by a partnership is not taken into account to the extent, if any, of the REIT’s proportionate interest in the equity and certain debt securities issued by that partnership.</w:t>
      </w:r>
    </w:p>
    <w:p>
      <w:pPr>
        <w:spacing w:after="0" w:line="125"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We may not regularly obtain independent appraisals to support our conclusions as to the value of our total assets or the value of any particular security or securities. Moreover, the values of some assets may not be susceptible to a precise determination, and values are subject to change in the future. Furthermore, the proper classification of an instrument as debt or equity for U.S. federal income tax purposes may be uncertain in some circumstances (particularly when the debt instrument is between related parties), which could affect the application of the REIT asset requirements. Accordingly, there can be no assurance that the IRS will not contend that our interests in our subsidiaries or in the securities of other issuers will not cause a violation of the REIT asset tests.</w:t>
      </w:r>
    </w:p>
    <w:p>
      <w:pPr>
        <w:spacing w:after="0" w:line="113"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However, certain relief provisions are available to allow REITs to satisfy the asset requirements or to maintain REIT qualification notwithstanding certain violations of the asset and other requirements. For example, if we should fail to satisfy the asset tests at the end of a calendar quarter, such a failure would not cause us to lose our REIT qualification if (a) we satisfied the asset tests at the close of the preceding calendar quarter and (b) the discrepancy between the value of our assets and the asset requirements was not wholly or partly caused by an acquisition of non-qualifying assets, but instead arose from changes in the relative market values of our assets. If the condition described in (b) were not satisfied, we still could avoid disqualification by eliminating any discrepancy within 30 days after the close of the calendar quarter in which it arose.</w:t>
      </w:r>
    </w:p>
    <w:p>
      <w:pPr>
        <w:spacing w:after="0" w:line="124"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In the case of de minimis violations of the 10% and 5% asset tests, a REIT may maintain its qualification despite a violation of such requirements if (i) the value of the assets causing the violation does not exceed the lesser of 1% of the REIT’s total assets and $10,000,000 and (ii) the REIT either disposes of the assets causing the failure within six months after the last day of the quarter in which it identifies the failure, or the relevant tests are otherwise satisfied within that time frame.</w:t>
      </w:r>
    </w:p>
    <w:p>
      <w:pPr>
        <w:spacing w:after="0" w:line="122"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Even if we did not qualify for the foregoing relief provisions, a REIT that fails one or more of the asset requirements is permitted to nevertheless maintain its REIT qualification if (1) the REIT provides the IRS</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59"/>
        <w:spacing w:after="0" w:line="255" w:lineRule="auto"/>
        <w:rPr>
          <w:sz w:val="20"/>
          <w:szCs w:val="20"/>
          <w:color w:val="auto"/>
        </w:rPr>
      </w:pPr>
      <w:r>
        <w:rPr>
          <w:rFonts w:ascii="Arial" w:cs="Arial" w:eastAsia="Arial" w:hAnsi="Arial"/>
          <w:sz w:val="17"/>
          <w:szCs w:val="17"/>
          <w:color w:val="auto"/>
        </w:rPr>
        <w:t>with a description of each asset causing the failure, (2) the failure is due to reasonable cause and not willful neglect, (3) the REIT pays a tax equal to the greater of (a) $50,000 per failure and (b) the product of the net income generated by the assets that caused the failure multiplied by the regular corporate tax rate and</w:t>
      </w:r>
    </w:p>
    <w:p>
      <w:pPr>
        <w:ind w:left="1260" w:right="699" w:firstLine="2"/>
        <w:spacing w:after="0" w:line="271" w:lineRule="auto"/>
        <w:tabs>
          <w:tab w:leader="none" w:pos="152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REIT either disposes of the assets causing the failure within six months after the last day of the quarter in which it identifies the failure, or otherwise satisfies the relevant asset tests within that time frame.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Distribution Requirements</w:t>
      </w:r>
    </w:p>
    <w:p>
      <w:pPr>
        <w:spacing w:after="0" w:line="148" w:lineRule="exact"/>
        <w:rPr>
          <w:sz w:val="20"/>
          <w:szCs w:val="20"/>
          <w:color w:val="auto"/>
        </w:rPr>
      </w:pPr>
    </w:p>
    <w:p>
      <w:pPr>
        <w:ind w:left="1260" w:right="1299" w:firstLine="360"/>
        <w:spacing w:after="0" w:line="248" w:lineRule="auto"/>
        <w:rPr>
          <w:sz w:val="20"/>
          <w:szCs w:val="20"/>
          <w:color w:val="auto"/>
        </w:rPr>
      </w:pPr>
      <w:r>
        <w:rPr>
          <w:rFonts w:ascii="Arial" w:cs="Arial" w:eastAsia="Arial" w:hAnsi="Arial"/>
          <w:sz w:val="18"/>
          <w:szCs w:val="18"/>
          <w:color w:val="auto"/>
        </w:rPr>
        <w:t>In order to qualify for the rules that apply to the taxation of a REIT, including the deduction for dividends paid, we are required to distribute dividends, other than capital gain dividends, to our stockholders in an amount at least equal to:</w:t>
      </w:r>
    </w:p>
    <w:p>
      <w:pPr>
        <w:spacing w:after="0" w:line="114" w:lineRule="exact"/>
        <w:rPr>
          <w:sz w:val="20"/>
          <w:szCs w:val="20"/>
          <w:color w:val="auto"/>
        </w:rPr>
      </w:pPr>
    </w:p>
    <w:p>
      <w:pPr>
        <w:ind w:left="1980" w:hanging="358"/>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44" w:lineRule="exact"/>
        <w:rPr>
          <w:rFonts w:ascii="Arial" w:cs="Arial" w:eastAsia="Arial" w:hAnsi="Arial"/>
          <w:sz w:val="18"/>
          <w:szCs w:val="18"/>
          <w:color w:val="auto"/>
        </w:rPr>
      </w:pPr>
    </w:p>
    <w:p>
      <w:pPr>
        <w:ind w:left="2340" w:right="939" w:hanging="358"/>
        <w:spacing w:after="0" w:line="277" w:lineRule="auto"/>
        <w:tabs>
          <w:tab w:leader="none" w:pos="2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90% of our REIT taxable income, computed without regard to our net capital gains and the deduction for dividends paid; and</w:t>
      </w:r>
    </w:p>
    <w:p>
      <w:pPr>
        <w:spacing w:after="0" w:line="102" w:lineRule="exact"/>
        <w:rPr>
          <w:rFonts w:ascii="Arial" w:cs="Arial" w:eastAsia="Arial" w:hAnsi="Arial"/>
          <w:sz w:val="18"/>
          <w:szCs w:val="18"/>
          <w:color w:val="auto"/>
        </w:rPr>
      </w:pPr>
    </w:p>
    <w:p>
      <w:pPr>
        <w:ind w:left="2340" w:right="1179" w:hanging="358"/>
        <w:spacing w:after="0" w:line="277" w:lineRule="auto"/>
        <w:tabs>
          <w:tab w:leader="none" w:pos="2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90% of our after tax net income, if any, from foreclosure property (as described below); minus</w:t>
      </w:r>
    </w:p>
    <w:p>
      <w:pPr>
        <w:spacing w:after="0" w:line="89" w:lineRule="exact"/>
        <w:rPr>
          <w:rFonts w:ascii="Arial" w:cs="Arial" w:eastAsia="Arial" w:hAnsi="Arial"/>
          <w:sz w:val="18"/>
          <w:szCs w:val="18"/>
          <w:color w:val="auto"/>
        </w:rPr>
      </w:pPr>
    </w:p>
    <w:p>
      <w:pPr>
        <w:ind w:left="1980" w:right="799" w:hanging="358"/>
        <w:spacing w:after="0" w:line="308" w:lineRule="auto"/>
        <w:tabs>
          <w:tab w:leader="none" w:pos="1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excess of the sum of specified items of noncash income over 5% of our REIT taxable income, computed without regard to our net capital gain and the deduction for dividends paid.</w:t>
      </w:r>
    </w:p>
    <w:p>
      <w:pPr>
        <w:spacing w:after="0" w:line="79" w:lineRule="exact"/>
        <w:rPr>
          <w:sz w:val="20"/>
          <w:szCs w:val="20"/>
          <w:color w:val="auto"/>
        </w:rPr>
      </w:pPr>
    </w:p>
    <w:p>
      <w:pPr>
        <w:ind w:left="1260" w:right="699" w:firstLine="360"/>
        <w:spacing w:after="0" w:line="238" w:lineRule="auto"/>
        <w:rPr>
          <w:sz w:val="20"/>
          <w:szCs w:val="20"/>
          <w:color w:val="auto"/>
        </w:rPr>
      </w:pPr>
      <w:r>
        <w:rPr>
          <w:rFonts w:ascii="Arial" w:cs="Arial" w:eastAsia="Arial" w:hAnsi="Arial"/>
          <w:sz w:val="18"/>
          <w:szCs w:val="18"/>
          <w:color w:val="auto"/>
        </w:rPr>
        <w:t>We generally must make these distributions in the taxable year to which they relate, or in the following taxable year if declared before we timely file our tax return for the taxable year and if paid with or before the first regular dividend payment after such declaration. These distributions will be treated as received by our stockholders in the taxable year in which paid. In order for distributions to be counted as satisfying the annual distribution requirements for REITs, and to provide us with a REIT-level tax deduction, the distributions must not be “preferential dividends” unless we are a publicly offered REIT. A dividend is not a preferential dividend if the distribution is (i) pro rata among all outstanding shares of stock within a particular class and (ii) in accordance with any preferences among different classes of stock as set forth in our organizational documents. We believe that we are, and expect we will continue to be, a publicly offered REIT.</w:t>
      </w:r>
    </w:p>
    <w:p>
      <w:pPr>
        <w:spacing w:after="0" w:line="121"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To the extent that we distribute at least 90%, but less than 100%, of our REIT taxable income, as adjusted, we will be subject to tax at ordinary corporate tax rates on the retained portion. We may elect to retain, rather than distribute, some or all of our net long-term capital gains and pay tax on such gains. In this case, we could elect for our stockholders to include their proportionate shares of such undistributed long-term capital gains in income, and to receive a corresponding credit for their share of the tax that we paid. Our stockholders would then increase the adjusted basis of their stock by the difference between (1) the amounts of capital gain dividends that we designated and that they include in their taxable income, minus (2) the tax that we paid on their behalf with respect to that income.</w:t>
      </w:r>
    </w:p>
    <w:p>
      <w:pPr>
        <w:spacing w:after="0" w:line="111"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To the extent that in the future we may have available net operating losses carried forward from prior tax years, such losses may reduce the amount of distributions that we must make in order to comply with the REIT distribution requirements. Such losses, however, will generally not affect the tax treatment to our stockholders of any distributions that are actually made. See “— Taxation of Stockholders — Taxation of Taxable U.S. Stockholders — Distributions.”</w:t>
      </w:r>
    </w:p>
    <w:p>
      <w:pPr>
        <w:spacing w:after="0" w:line="120"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If we fail to distribute during each calendar year at least the sum of (1) 85% of our ordinary income for such year, (2) 95% of our capital gain net income for such year and (3) any undistributed net taxable income from prior periods, we will be subject to a nondeductible 4% excise tax on the excess of such required distribution over the sum of (a) the amounts actually distributed, plus (b) the amounts of income we retained and on which we have paid corporate income tax.</w:t>
      </w:r>
    </w:p>
    <w:p>
      <w:pPr>
        <w:spacing w:after="0" w:line="120"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We expect that our REIT taxable income will be less than our cash flow because of depreciation and other noncash charges included in computing REIT taxable income. Accordingly, we anticipate that we will generally have sufficient cash or liquid assets to enable us to satisfy the distribution requirements described above. However, from time to time, we may not have sufficient cash or other liquid assets to meet these</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9" w:lineRule="auto"/>
        <w:rPr>
          <w:sz w:val="20"/>
          <w:szCs w:val="20"/>
          <w:color w:val="auto"/>
        </w:rPr>
      </w:pPr>
      <w:r>
        <w:rPr>
          <w:rFonts w:ascii="Arial" w:cs="Arial" w:eastAsia="Arial" w:hAnsi="Arial"/>
          <w:sz w:val="17"/>
          <w:szCs w:val="17"/>
          <w:color w:val="auto"/>
        </w:rPr>
        <w:t>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acquire assets, or for other reasons. If these timing differences occur, we may borrow funds to pay dividends or pay dividends through the distribution of other property (including shares of our common stock) in order to meet the distribution requirements, while preserving our cash. Alternatively, we may declare a taxable dividend payable in cash or stock at the election of each stockholder, where the aggregate amount of cash to be distributed in such dividend is subject to limitation. In such case, for U.S. federal income tax purposes, taxable stockholders receiving such dividends will be required to include the full amount of the dividend as ordinary income to the extent of our current and accumulated earnings and profits.</w:t>
      </w:r>
    </w:p>
    <w:p>
      <w:pPr>
        <w:spacing w:after="0" w:line="104"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If our taxable income for a particular year is subsequently determined to have been understated, we may be able to rectify a resultant failure to meet the distribution requirements for a year by paying “deficiency dividends” to stockholders in a later year, which may be included in our deduction for dividends paid for the earlier year. In this case, we may be able to avoid losing REIT qualification or being taxed on amounts distributed as deficiency dividends, subject to the 4% excise tax described above. We will be required to pay interest based on the amount of any deduction taken for deficiency dividends.</w:t>
      </w:r>
    </w:p>
    <w:p>
      <w:pPr>
        <w:spacing w:after="0" w:line="110"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For purposes of the 90% distribution requirement and excise tax described above, any dividend that we declare in October, November or December of any year and that is payable to a stockholder of record on a specified date in any such month will be treated as both paid by us and received by the stockholder on December 31 of such year, provided that we actually pay the dividend before January 31 of the following calendar year.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Earnings and Profits Distribution Requirement</w:t>
      </w:r>
    </w:p>
    <w:p>
      <w:pPr>
        <w:spacing w:after="0" w:line="162"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In connection with the spin-off, Windstream allocated its earnings and profits (as determined for U.S. federal income tax purposes) for periods prior to the consummation of the spin-off between Windstream and us in accordance with provisions of the Code. A REIT is not permitted to have accumulated earnings and profits attributable to non-REIT years. A REIT has until the close of its first taxable year in which it has non-REIT earnings and profits to distribute all such earnings and profits (a “purging distribution”).</w:t>
      </w:r>
    </w:p>
    <w:p>
      <w:pPr>
        <w:spacing w:after="0" w:line="95"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We do not believe that we have any such accumulated earnings and profits and, accordingly, did not make a purging distribution. If it is subsequently determined that we had non-REIT earnings and profits, we could fail to qualify as a REIT. So long as our failure to distribute non-REIT earnings and profits is not due to fraud with intent to evade tax, we generally may cure such failure by paying an interest charge on 50% of the amount of undistributed non-REIT earnings and profits and by making a special distribution to the extent that the undistributed non-REIT earnings and profits exceeds the interest charge. The amount of any such interest charge could be substantial.</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Prohibited Transactions</w:t>
      </w:r>
    </w:p>
    <w:p>
      <w:pPr>
        <w:spacing w:after="0" w:line="162" w:lineRule="exact"/>
        <w:rPr>
          <w:sz w:val="20"/>
          <w:szCs w:val="20"/>
          <w:color w:val="auto"/>
        </w:rPr>
      </w:pPr>
    </w:p>
    <w:p>
      <w:pPr>
        <w:ind w:left="1260" w:right="699" w:firstLine="360"/>
        <w:spacing w:after="0" w:line="252" w:lineRule="auto"/>
        <w:rPr>
          <w:sz w:val="20"/>
          <w:szCs w:val="20"/>
          <w:color w:val="auto"/>
        </w:rPr>
      </w:pPr>
      <w:r>
        <w:rPr>
          <w:rFonts w:ascii="Arial" w:cs="Arial" w:eastAsia="Arial" w:hAnsi="Arial"/>
          <w:sz w:val="18"/>
          <w:szCs w:val="18"/>
          <w:color w:val="auto"/>
        </w:rPr>
        <w:t>Net income that a REIT derives from a prohibited transaction is subject to a 100% tax. The term “prohibited transaction” generally includes a sale or other disposition of property (other than foreclosure property, as discussed below) that is held as inventory or primarily for sale to customers in the ordinary course of a trade or business. We believe that we have conducted our operations and intend to continue to conduct our operations so that no asset that we own (or are treated as owning) will be treated as, or as having been, held as inventory or for sale to customers, and that a sale of any such asset will not be treated as having been in the ordinary course of our business. Whether property is held as inventory or “primarily for sale to customers in the ordinary course of a trade or business” depends on the particular facts and circumstances. No assurance can be given that any property that we sell will not be treated as inventory or property held for sale to customers, or that we can comply with certain safe-harbor provisions of the Code that would prevent such treatment. The 100% tax does not apply to gains from the sale of property that is held through a TRS or other taxable corporation, although such income will be subject to tax in the hands of the corporation at the regular corporate rate. We believe that we have structured, and we intend to continue to structure, our activities to avoid characterization of any of our sales or dispositions of property as prohibited transactions.</w:t>
      </w:r>
    </w:p>
    <w:p>
      <w:pPr>
        <w:sectPr>
          <w:pgSz w:w="11900" w:h="16838" w:orient="portrait"/>
          <w:cols w:equalWidth="0" w:num="1">
            <w:col w:w="10139"/>
          </w:cols>
          <w:pgMar w:left="32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Like-Kind Exchanges</w:t>
      </w:r>
    </w:p>
    <w:p>
      <w:pPr>
        <w:spacing w:after="0" w:line="148" w:lineRule="exact"/>
        <w:rPr>
          <w:sz w:val="20"/>
          <w:szCs w:val="20"/>
          <w:color w:val="auto"/>
        </w:rPr>
      </w:pPr>
    </w:p>
    <w:p>
      <w:pPr>
        <w:ind w:left="1260" w:right="1019" w:firstLine="360"/>
        <w:spacing w:after="0" w:line="241" w:lineRule="auto"/>
        <w:rPr>
          <w:sz w:val="20"/>
          <w:szCs w:val="20"/>
          <w:color w:val="auto"/>
        </w:rPr>
      </w:pPr>
      <w:r>
        <w:rPr>
          <w:rFonts w:ascii="Arial" w:cs="Arial" w:eastAsia="Arial" w:hAnsi="Arial"/>
          <w:sz w:val="18"/>
          <w:szCs w:val="18"/>
          <w:color w:val="auto"/>
        </w:rPr>
        <w:t>We may dispose of properties in transactions intended to qualify as like-kind exchanges under the Code. Such like-kind exchanges are intended to result in the deferral of gain for U.S.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Derivatives and Hedging Transactions</w:t>
      </w:r>
    </w:p>
    <w:p>
      <w:pPr>
        <w:spacing w:after="0" w:line="162"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We may enter into hedging transactions, including with respect to foreign currency exchange rate and interest rate exposure on one or more of our assets or liabilities. Any such hedging transactions could take a variety of forms, including the use of derivative instruments such as swap contracts, cap or floor contracts, futures or forward contracts and options. Except to the extent provided by Treasury regulations, in general, any gross income from a hedging transaction (including gain from the sale or disposition of a position in such a transaction) we enter into (1) in the normal course of our business primarily to manage risk of interest rate changes or currency fluctuations with respect to borrowings made or to be made, or ordinary obligations incurred or to be incurred, to acquire or carry real estate assets, which is clearly identified as specified in Treasury regulations before the close of the day on which it was acquired, originated, or entered into, and (2) primarily to manage risk of currency fluctuations with respect to any item of income or gain that would be qualifying income under the 75% or 95% income tests, which is clearly identified as such before the close of the day on which it was acquired, originated, or entered into, will not constitute gross income for purposes of the 75% or 95% gross income test. To the extent that we enter into other types of hedging transactions, the gross income from those transactions is likely to be treated as non-qualifying gross income for purposes of both the 75% and 95% gross income tests. Moreover, to the extent that a position in a hedging transaction has positive value at any particular point in time, it may be treated as an asset that does not qualify for purposes of the REIT asset tests. We believe we have structured, and we intend to continue to structure, any hedging transactions in a manner that does not jeopardize our qualification to be taxed as a REIT. We may conduct some or all of our hedging activities (including hedging activities relating to currency risk) through a TRS or other taxable corporation, the income from which may be subject to regular corporate tax, rather than by participating in the arrangements directly or through pass- through subsidiaries. No assurance can be given, however, that our hedging activities will not give rise to gross income or assets that do not qualify for purposes of the REIT tests, or that our hedging activities will not adversely affect our ability to satisfy the REIT qualification requirements.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Foreclosure Property</w:t>
      </w:r>
    </w:p>
    <w:p>
      <w:pPr>
        <w:spacing w:after="0" w:line="162" w:lineRule="exact"/>
        <w:rPr>
          <w:sz w:val="20"/>
          <w:szCs w:val="20"/>
          <w:color w:val="auto"/>
        </w:rPr>
      </w:pPr>
    </w:p>
    <w:p>
      <w:pPr>
        <w:ind w:left="1260" w:right="819" w:firstLine="360"/>
        <w:spacing w:after="0" w:line="257" w:lineRule="auto"/>
        <w:rPr>
          <w:sz w:val="20"/>
          <w:szCs w:val="20"/>
          <w:color w:val="auto"/>
        </w:rPr>
      </w:pPr>
      <w:r>
        <w:rPr>
          <w:rFonts w:ascii="Arial" w:cs="Arial" w:eastAsia="Arial" w:hAnsi="Arial"/>
          <w:sz w:val="17"/>
          <w:szCs w:val="17"/>
          <w:color w:val="auto"/>
        </w:rPr>
        <w:t>Foreclosure property is real property and any personal property incident to such real property (1)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(2) for which we acquired the related loan or lease at a time when default was not imminent or anticipated and (3) with respect to which we made a proper election to treat the property as foreclosure property.</w:t>
      </w:r>
    </w:p>
    <w:p>
      <w:pPr>
        <w:spacing w:after="0" w:line="94"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color w:val="auto"/>
        </w:rPr>
        <w:t>We will generally be subject to tax at the regular corporate tax rate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We do not anticipate receiving any income from foreclosure property that does not qualify for purposes of the 75% gross income test.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Penalty Tax</w:t>
      </w:r>
    </w:p>
    <w:p>
      <w:pPr>
        <w:spacing w:after="0" w:line="162" w:lineRule="exact"/>
        <w:rPr>
          <w:sz w:val="20"/>
          <w:szCs w:val="20"/>
          <w:color w:val="auto"/>
        </w:rPr>
      </w:pPr>
    </w:p>
    <w:p>
      <w:pPr>
        <w:ind w:left="1260" w:right="759" w:firstLine="360"/>
        <w:spacing w:after="0" w:line="241" w:lineRule="auto"/>
        <w:rPr>
          <w:sz w:val="20"/>
          <w:szCs w:val="20"/>
          <w:color w:val="auto"/>
        </w:rPr>
      </w:pPr>
      <w:r>
        <w:rPr>
          <w:rFonts w:ascii="Arial" w:cs="Arial" w:eastAsia="Arial" w:hAnsi="Arial"/>
          <w:sz w:val="18"/>
          <w:szCs w:val="18"/>
          <w:color w:val="auto"/>
        </w:rPr>
        <w:t>Any redetermined rents, redetermined TRS service income, redetermined deductions or excess interest we generate will be subject to a 100% penalty tax. In general, redetermined rents are rents from real property that are overstated as a result of any services furnished to any of our tenants by a TRS, and redetermined deductions and excess interest represent any amounts that are deducted by a TRS for amounts paid to us that</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39" w:lineRule="auto"/>
        <w:rPr>
          <w:sz w:val="20"/>
          <w:szCs w:val="20"/>
          <w:color w:val="auto"/>
        </w:rPr>
      </w:pPr>
      <w:r>
        <w:rPr>
          <w:rFonts w:ascii="Arial" w:cs="Arial" w:eastAsia="Arial" w:hAnsi="Arial"/>
          <w:sz w:val="18"/>
          <w:szCs w:val="18"/>
          <w:color w:val="auto"/>
        </w:rPr>
        <w:t>are in excess of the amounts that would have been deducted based on arm’s-length negotiations or if the interest payments were at a commercially reasonable rate. Redetermined TRS service income is income of a TRS that is understated as a result of services provided to us or on our behalf. Rents that we receive will not constitute redetermined rents if they qualify for certain safe harbor provisions contained in the Code. We scrutinize all of our transactions with our TRSs and believe that we have conducted, and intend to conduct, such transactions on an arm’s-length basis. However, we cannot assure you that we will be successful in avoiding this excise tax.</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Failure to Qualify</w:t>
      </w:r>
    </w:p>
    <w:p>
      <w:pPr>
        <w:spacing w:after="0" w:line="148" w:lineRule="exact"/>
        <w:rPr>
          <w:sz w:val="20"/>
          <w:szCs w:val="20"/>
          <w:color w:val="auto"/>
        </w:rPr>
      </w:pPr>
    </w:p>
    <w:p>
      <w:pPr>
        <w:ind w:left="1260" w:right="739" w:firstLine="360"/>
        <w:spacing w:after="0" w:line="241" w:lineRule="auto"/>
        <w:rPr>
          <w:sz w:val="20"/>
          <w:szCs w:val="20"/>
          <w:color w:val="auto"/>
        </w:rPr>
      </w:pPr>
      <w:r>
        <w:rPr>
          <w:rFonts w:ascii="Arial" w:cs="Arial" w:eastAsia="Arial" w:hAnsi="Arial"/>
          <w:sz w:val="18"/>
          <w:szCs w:val="18"/>
          <w:color w:val="auto"/>
        </w:rPr>
        <w:t>If we fail to satisfy one or more requirements for REIT qualification other than the gross income or asset tests, we could avoid disqualification as a REIT if our failure is due to reasonable cause and not to willful neglect and we pay a penalty of $ 50,000 for each such failure. Relief provisions are also available for failures of the gross income tests and asset tests, as described above in “— Income Tests” and “— Asset Tests.”</w:t>
      </w:r>
    </w:p>
    <w:p>
      <w:pPr>
        <w:spacing w:after="0" w:line="122"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7"/>
          <w:szCs w:val="17"/>
          <w:color w:val="auto"/>
        </w:rPr>
        <w:t>If we fail to qualify for taxation as a REIT in any taxable year, and the relief provisions described above do not apply, we will be subject to tax on our taxable income at the regular corporate rate. We cannot deduct distributions to stockholders in any year in which we are not a REIT, nor would we be required to make distributions in such a year. In this situation, to the extent of our current or accumulated earnings and profits (as determined for U.S. federal income tax purposes), distributions to stockholders will be taxable as regular corporate dividends. Such dividends paid to U.S. stockholders that are individuals, trusts and estates may be taxable at the preferential income tax rates (i.e., the 20% maximum U.S. federal rate) for qualified dividends. In addition, subject to the limitations of the Code, corporate distributees may be eligible for the dividends received deduction. Unless we are entitled to relief under specific statutory provisions, we will also be disqualified from re-electing to be taxed as a REIT for the four taxable years following the year during which we cease to qualify as a REIT. It is not possible to state whether, in all circumstances, we will be entitled to this statutory relief.</w:t>
      </w:r>
    </w:p>
    <w:p>
      <w:pPr>
        <w:spacing w:after="0" w:line="17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TAXATION OF STOCKHOLDERS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Taxation of Taxable U.S. Stockholders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“U.S. stockholder” is any holder of our common stock that is, for U.S. federal income tax purposes:</w:t>
      </w:r>
    </w:p>
    <w:p>
      <w:pPr>
        <w:spacing w:after="0" w:line="115" w:lineRule="exact"/>
        <w:rPr>
          <w:sz w:val="20"/>
          <w:szCs w:val="20"/>
          <w:color w:val="auto"/>
        </w:rPr>
      </w:pPr>
    </w:p>
    <w:p>
      <w:pPr>
        <w:ind w:left="1800" w:hanging="178"/>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879" w:hanging="178"/>
        <w:spacing w:after="0" w:line="263"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1800" w:right="999" w:hanging="178"/>
        <w:spacing w:after="0" w:line="277"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ind w:left="1800" w:right="679" w:hanging="178"/>
        <w:spacing w:after="0" w:line="308" w:lineRule="auto"/>
        <w:tabs>
          <w:tab w:leader="none" w:pos="1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trust if a U.S. court is able to exercise primary supervision over the administration of such trust and one or more U.S. fiduciaries have the authority to control all substantial decisions of the trust.</w:t>
      </w:r>
    </w:p>
    <w:p>
      <w:pPr>
        <w:spacing w:after="0" w:line="65"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7"/>
          <w:szCs w:val="17"/>
          <w:color w:val="auto"/>
        </w:rPr>
        <w:t>If a partnership, including for this purpose any entity that is treated as a partnership for U.S. federal income tax purposes, holds our common stock, the tax treatment of a partner in the partnership will generally depend upon the status of the partner and the activities of the partnership. An investor that is a partnership and the partners in such partnership are urged to consult their tax advisors about the U.S. federal income tax consequences of the acquisition, ownership and disposition of our common stock.</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Distributions</w:t>
      </w:r>
    </w:p>
    <w:p>
      <w:pPr>
        <w:spacing w:after="0" w:line="15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7"/>
          <w:szCs w:val="17"/>
          <w:color w:val="auto"/>
        </w:rPr>
        <w:t>For such time as we qualify as a REIT, the distributions that we make on our common stock out of current or accumulated earnings and profits (as determined for U.S. federal income tax purposes) that we do not designate as capital gain dividends will generally be taken into account by you as ordinary income (taxed for U.S. federal income tax purposes at maximum rates of 37% for individuals and 21% for corporations) and will not be eligible for the dividends received deduction for corporations. A U.S. stockholder that is not a corporation for U.S. federal income tax purposes may be eligible for a deduction</w:t>
      </w:r>
    </w:p>
    <w:p>
      <w:pPr>
        <w:sectPr>
          <w:pgSz w:w="11900" w:h="16838" w:orient="portrait"/>
          <w:cols w:equalWidth="0" w:num="1">
            <w:col w:w="10139"/>
          </w:cols>
          <w:pgMar w:left="320" w:top="132"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43" w:lineRule="auto"/>
        <w:rPr>
          <w:sz w:val="20"/>
          <w:szCs w:val="20"/>
          <w:color w:val="auto"/>
        </w:rPr>
      </w:pPr>
      <w:r>
        <w:rPr>
          <w:rFonts w:ascii="Arial" w:cs="Arial" w:eastAsia="Arial" w:hAnsi="Arial"/>
          <w:sz w:val="18"/>
          <w:szCs w:val="18"/>
          <w:color w:val="auto"/>
        </w:rPr>
        <w:t>equal to 20% of ordinary dividend distributions received from REITs. With limited exceptions, dividends we pay are not eligible for taxation at the preferential income tax rates applicable to “qualified dividend income.” The preferential tax rate for qualified dividend income will apply, however, to dividends designated by and received from us to the extent that the dividends are attributable to:</w:t>
      </w:r>
    </w:p>
    <w:p>
      <w:pPr>
        <w:spacing w:after="0" w:line="66" w:lineRule="exact"/>
        <w:rPr>
          <w:sz w:val="20"/>
          <w:szCs w:val="20"/>
          <w:color w:val="auto"/>
        </w:rPr>
      </w:pPr>
    </w:p>
    <w:p>
      <w:pPr>
        <w:ind w:left="1800" w:hanging="178"/>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dividends we received from TRSs or other taxable corporations; or</w:t>
      </w:r>
    </w:p>
    <w:p>
      <w:pPr>
        <w:spacing w:after="0" w:line="117" w:lineRule="exact"/>
        <w:rPr>
          <w:rFonts w:ascii="Arial" w:cs="Arial" w:eastAsia="Arial" w:hAnsi="Arial"/>
          <w:sz w:val="18"/>
          <w:szCs w:val="18"/>
          <w:color w:val="auto"/>
        </w:rPr>
      </w:pPr>
    </w:p>
    <w:p>
      <w:pPr>
        <w:ind w:left="1800" w:right="1179" w:hanging="178"/>
        <w:spacing w:after="0" w:line="308" w:lineRule="auto"/>
        <w:tabs>
          <w:tab w:leader="none" w:pos="1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income in the prior taxable year from sales of “built-in gain” property acquired by us from corporations in carryover basis transactions (less the amount of corporate tax on such income).</w:t>
      </w:r>
    </w:p>
    <w:p>
      <w:pPr>
        <w:spacing w:after="0" w:line="79" w:lineRule="exact"/>
        <w:rPr>
          <w:sz w:val="20"/>
          <w:szCs w:val="20"/>
          <w:color w:val="auto"/>
        </w:rPr>
      </w:pPr>
    </w:p>
    <w:p>
      <w:pPr>
        <w:ind w:left="1260" w:right="739" w:firstLine="360"/>
        <w:spacing w:after="0" w:line="251" w:lineRule="auto"/>
        <w:rPr>
          <w:sz w:val="20"/>
          <w:szCs w:val="20"/>
          <w:color w:val="auto"/>
        </w:rPr>
      </w:pPr>
      <w:r>
        <w:rPr>
          <w:rFonts w:ascii="Arial" w:cs="Arial" w:eastAsia="Arial" w:hAnsi="Arial"/>
          <w:sz w:val="17"/>
          <w:szCs w:val="17"/>
          <w:color w:val="auto"/>
        </w:rPr>
        <w:t>Distributions that we designate as capital gain dividends will generally be taxed to you as long-term capital gains, to the extent that such distributions do not exceed our actual net capital gain for the taxable year, without regard to the period for which you have held your common stock. The distributions we designate as capital gain dividends may not exceed our dividends paid for the taxable year, including dividends paid the following year that are treated as paid in the current year. We may elect to retain and pay taxes on some or all of our net long-term capital gains, in which case we may elect to apply provisions of the Code that treat you as having received, solely for tax purposes, our undistributed capital gains, and as receiving a corresponding credit for taxes that we paid on such undistributed capital gains. See “Taxation of Uniti — Taxation of REITs in General — Annual Distribution Requirements.” Corporate U.S. stockholders may be required to treat up to 20% of some capital gain dividends as ordinary income. Long-term capital gains are generally taxable at maximum U.S. federal rates of 20% in the case of U.S. stockholders that are individuals, trusts and estates, and 21% in the case of U.S. stockholders that are corporations. Capital gains attributable to the sale of depreciable real property held for more than twelve months are subject to a 25% maximum U.S. federal income tax rate for taxpayers who are taxed as individuals, to the extent of previously claimed depreciation deductions.</w:t>
      </w:r>
    </w:p>
    <w:p>
      <w:pPr>
        <w:spacing w:after="0" w:line="106"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Distributions in excess of our current and accumulated earnings and profits (as determined for U.S. federal income tax purposes) will generally represent a return of capital and will not be taxable to you to the extent that the amount of such distributions does not exceed the adjusted basis of your common shares in respect of which the distributions were made. Rather, the distribution will reduce the adjusted basis of your common shares. To the extent that such distributions exceed the adjusted basis of your shares, you generally must include such distributions in income as long -term capital gain if you have held your common shares for more than one year, or short-term capital gain if you have held your common shares for one year or less. In addition, any dividend that we declare in October, November or December of any year and that is payable to a stockholder of record on a specified date in any such month will be treated as both paid by us and received by the stockholder on December 31 of such year, provided that we actually pay the dividend during January of the following calendar year.</w:t>
      </w:r>
    </w:p>
    <w:p>
      <w:pPr>
        <w:spacing w:after="0" w:line="128"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Earnings and profits are allocated to distributions with respect to preferred stock before they are allocated to distributions with respect to common stock. Therefore, depending on our earnings and profits and to the extent we have preferred shares outstanding, distributions with respect to our preferred shares (as compared to distributions with respect to our common shares) are more likely to be treated as dividends than as a return of capital or a distribution in excess of basis. In addition, the IRS requires a REIT that has two or more classes of shares outstanding to designate to each such class proportionate amounts of each type of its income, such as net capital gains, for each tax year based upon the percentage of total dividends distributed to each class for such year.</w:t>
      </w:r>
    </w:p>
    <w:p>
      <w:pPr>
        <w:spacing w:after="0" w:line="113"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color w:val="auto"/>
        </w:rPr>
        <w:t>To the extent that we have available net operating losses and capital losses carried forward from prior tax years, such losses may reduce the amount of distributions that we must make in order to comply with the REIT distribution requirements. See “— Taxation of REITs in General — Annual Distribution Requirements.” Such losses, however, are not passed through to you and do not offset your income from other sources, nor would such losses affect the character of any distributions that we make, which are generally subject to tax in your hands to the extent that we have current or accumulated earnings and profits.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Dispositions of Our Common Stock</w:t>
      </w:r>
    </w:p>
    <w:p>
      <w:pPr>
        <w:spacing w:after="0" w:line="158" w:lineRule="exact"/>
        <w:rPr>
          <w:sz w:val="20"/>
          <w:szCs w:val="20"/>
          <w:color w:val="auto"/>
        </w:rPr>
      </w:pPr>
    </w:p>
    <w:p>
      <w:pPr>
        <w:ind w:left="1260" w:right="739" w:firstLine="360"/>
        <w:spacing w:after="0" w:line="243" w:lineRule="auto"/>
        <w:rPr>
          <w:sz w:val="20"/>
          <w:szCs w:val="20"/>
          <w:color w:val="auto"/>
        </w:rPr>
      </w:pPr>
      <w:r>
        <w:rPr>
          <w:rFonts w:ascii="Arial" w:cs="Arial" w:eastAsia="Arial" w:hAnsi="Arial"/>
          <w:sz w:val="18"/>
          <w:szCs w:val="18"/>
          <w:color w:val="auto"/>
        </w:rPr>
        <w:t>If you sell or dispose of shares of our common stock, you will generally recognize gain or loss for U.S. federal income tax purposes in an amount equal to the difference between the amount of cash and the fair market value of any property received on the sale or other disposition and your adjusted tax basis in the shares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2" w:lineRule="auto"/>
        <w:rPr>
          <w:sz w:val="20"/>
          <w:szCs w:val="20"/>
          <w:color w:val="auto"/>
        </w:rPr>
      </w:pPr>
      <w:r>
        <w:rPr>
          <w:rFonts w:ascii="Arial" w:cs="Arial" w:eastAsia="Arial" w:hAnsi="Arial"/>
          <w:sz w:val="17"/>
          <w:szCs w:val="17"/>
          <w:color w:val="auto"/>
        </w:rPr>
        <w:t>of common stock. In general, capital gains recognized by individuals, trusts or estates upon the sale or disposition of our common stock will be subject to a maximum U.S. federal income tax rate of 20% if the stock is held for more than one year, and will be taxed at ordinary income rates (of up to 37%) if the stock is held for one year or less. Gains recognized by stockholders that are corporations are subject to U.S. federal income tax at a maximum rate of 21%, whether or not such gains are classified as long-term capital gains. Capital losses recognized by a U.S. stockholder upon the disposition of our common stock that was held for more than one year at the time of disposition will be considered long-term capital losses, and are generally available only to offset capital gain income but not ordinary income (except in the case of individuals, who may also offset up to $3,000 of ordinary income each year). In addition, any loss you recognize upon a sale or exchange of shares of our common stock held for six months or less, after applying holding period rules, will be treated as a long-term capital loss to the extent of actual or deemed distributions that we make that are required to be treated by you as long-term capital gain.</w:t>
      </w:r>
    </w:p>
    <w:p>
      <w:pPr>
        <w:spacing w:after="0" w:line="102"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If you recognize a loss upon a disposition of our common stock or other securities in an amount that exceeds a prescribed threshold, it is possible that the provisions of Treasury regulations involving “reportable transactions” could apply, with a resulting requirement to separately disclose the loss-generating transaction to the IRS. These regulations, though directed towards “tax shelters,” are broadly written and apply to transactions that would not typically be considered tax shelters. The Code imposes significant penalties for failure to comply with these requirements. You are urged to consult with your tax advisor concerning any possible disclosure obligation with respect to the receipt or disposition of our common stock or securities or transactions that we might undertake directly or indirectly. Moreover, you should be aware that we and other participants in the transactions in which we are involved (including their advisors) might be subject to disclosure or other requirements pursuant to these regulations.</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Passive Activity Losses and Investment Interest Limitations</w:t>
      </w:r>
    </w:p>
    <w:p>
      <w:pPr>
        <w:spacing w:after="0" w:line="158" w:lineRule="exact"/>
        <w:rPr>
          <w:sz w:val="20"/>
          <w:szCs w:val="20"/>
          <w:color w:val="auto"/>
        </w:rPr>
      </w:pPr>
    </w:p>
    <w:p>
      <w:pPr>
        <w:ind w:left="1260" w:right="859" w:firstLine="360"/>
        <w:spacing w:after="0" w:line="241" w:lineRule="auto"/>
        <w:rPr>
          <w:sz w:val="20"/>
          <w:szCs w:val="20"/>
          <w:color w:val="auto"/>
        </w:rPr>
      </w:pPr>
      <w:r>
        <w:rPr>
          <w:rFonts w:ascii="Arial" w:cs="Arial" w:eastAsia="Arial" w:hAnsi="Arial"/>
          <w:sz w:val="18"/>
          <w:szCs w:val="18"/>
          <w:color w:val="auto"/>
        </w:rPr>
        <w:t>Distributions that we make and gains arising from the sale or exchange by a U.S. stockholder of our common stock will not be treated as passive activity income. As a result, you will not be able to apply any “passive losses” against income or gain relating to our common stock. To the extent that distributions we make do not constitute a return of capital, they will be treated as investment income for purposes of computing the investment interest limitation.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Taxation of Non-U.S. Stockholders</w:t>
      </w:r>
    </w:p>
    <w:p>
      <w:pPr>
        <w:spacing w:after="0" w:line="162" w:lineRule="exact"/>
        <w:rPr>
          <w:sz w:val="20"/>
          <w:szCs w:val="20"/>
          <w:color w:val="auto"/>
        </w:rPr>
      </w:pPr>
    </w:p>
    <w:p>
      <w:pPr>
        <w:jc w:val="both"/>
        <w:ind w:left="1260" w:right="1439" w:firstLine="360"/>
        <w:spacing w:after="0" w:line="270" w:lineRule="auto"/>
        <w:rPr>
          <w:sz w:val="20"/>
          <w:szCs w:val="20"/>
          <w:color w:val="auto"/>
        </w:rPr>
      </w:pPr>
      <w:r>
        <w:rPr>
          <w:rFonts w:ascii="Arial" w:cs="Arial" w:eastAsia="Arial" w:hAnsi="Arial"/>
          <w:sz w:val="17"/>
          <w:szCs w:val="17"/>
          <w:color w:val="auto"/>
        </w:rPr>
        <w:t>The following is a summary of certain U.S. federal income and estate tax consequences of the ownership and disposition of our common stock applicable to non-U.S. stockholders. A “non-U.S. stockholder” is any holder of our common stock other than a partnership or U.S. stockholder.</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Distributions</w:t>
      </w:r>
    </w:p>
    <w:p>
      <w:pPr>
        <w:spacing w:after="0" w:line="144"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color w:val="auto"/>
        </w:rPr>
        <w:t>The portion of a distribution that we make to you out of current or accumulated earnings and profits (as determined for U.S. federal income tax purposes) that is not (1) attributable to capital gains that we recognize or (2) effectively connected with your conduct of a U.S. trade or business, will be subject to U.S. withholding tax at the rate of 30%, unless reduced or eliminated by an applicable tax treaty.</w:t>
      </w:r>
    </w:p>
    <w:p>
      <w:pPr>
        <w:spacing w:after="0" w:line="105" w:lineRule="exact"/>
        <w:rPr>
          <w:sz w:val="20"/>
          <w:szCs w:val="20"/>
          <w:color w:val="auto"/>
        </w:rPr>
      </w:pPr>
    </w:p>
    <w:p>
      <w:pPr>
        <w:ind w:left="1260" w:right="759" w:firstLine="360"/>
        <w:spacing w:after="0" w:line="238" w:lineRule="auto"/>
        <w:rPr>
          <w:sz w:val="20"/>
          <w:szCs w:val="20"/>
          <w:color w:val="auto"/>
        </w:rPr>
      </w:pPr>
      <w:r>
        <w:rPr>
          <w:rFonts w:ascii="Arial" w:cs="Arial" w:eastAsia="Arial" w:hAnsi="Arial"/>
          <w:sz w:val="18"/>
          <w:szCs w:val="18"/>
          <w:color w:val="auto"/>
        </w:rPr>
        <w:t>In general, except as discussed below, you will not be considered to be engaged in a U.S. trade or business solely as a result of your ownership of our common stock. If the dividend income from your investment in our common stock is, or is treated as, effectively connected with your conduct of a U.S. trade or business, you will generally be subject to U.S. federal income tax at graduated rates, in the same manner as U.S. stockholders are taxed with respect to those dividends. This effectively connected income must generally be reported on a U.S. income tax return filed by you or on your behalf. The income may also be subject to a branch profits tax at the rate of 30% (unless reduced or eliminated by treaty) if you are a corporation.</w:t>
      </w:r>
    </w:p>
    <w:p>
      <w:pPr>
        <w:spacing w:after="0" w:line="126" w:lineRule="exact"/>
        <w:rPr>
          <w:sz w:val="20"/>
          <w:szCs w:val="20"/>
          <w:color w:val="auto"/>
        </w:rPr>
      </w:pPr>
    </w:p>
    <w:p>
      <w:pPr>
        <w:ind w:left="1260" w:right="719" w:firstLine="360"/>
        <w:spacing w:after="0" w:line="262" w:lineRule="auto"/>
        <w:rPr>
          <w:sz w:val="20"/>
          <w:szCs w:val="20"/>
          <w:color w:val="auto"/>
        </w:rPr>
      </w:pPr>
      <w:r>
        <w:rPr>
          <w:rFonts w:ascii="Arial" w:cs="Arial" w:eastAsia="Arial" w:hAnsi="Arial"/>
          <w:sz w:val="17"/>
          <w:szCs w:val="17"/>
          <w:color w:val="auto"/>
        </w:rPr>
        <w:t>Unless our common stock constitutes a U.S. real property interest (“USRPI”), distributions in excess of our current and accumulated earnings and profits (as determined for U.S. federal income tax purposes) will not be subject to U.S. income tax. If we cannot determine at the time a distribution is made whether or not the distribution will exceed our current and accumulated earnings and profits, the distribution will be</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52" w:lineRule="auto"/>
        <w:rPr>
          <w:sz w:val="20"/>
          <w:szCs w:val="20"/>
          <w:color w:val="auto"/>
        </w:rPr>
      </w:pPr>
      <w:r>
        <w:rPr>
          <w:rFonts w:ascii="Arial" w:cs="Arial" w:eastAsia="Arial" w:hAnsi="Arial"/>
          <w:sz w:val="17"/>
          <w:szCs w:val="17"/>
          <w:color w:val="auto"/>
        </w:rPr>
        <w:t>subject to withholding at the rate applicable to dividends. You may seek a refund from the IRS of any amounts withheld if it is subsequently determined that the distribution was, in fact, in excess of our current and accumulated earnings and profits. If our common stock constitutes a USRPI, as described below, distributions that we make in excess of the sum of (1) your proportionate share of our current and accumulated earnings and profits, plus (2) your basis in your stock, will be taxed under the Foreign Investment in Real Property Tax Act of 1980 (“FIRPTA”) at the rate of tax, including any applicable capital gains rates, that would apply to a U.S. stockholder of the same type (i.e., an individual or a corporation, as the case may be), and the collection of the tax will be enforced by a withholding at a rate of 15% of the amount by which the distribution exceeds your share of our earnings and profits, unless you are a “qualified foreign pension fund” (or wholly owned by one or more qualified foreign pension funds) or a “qualified collective investment vehicle,” each as defined in the Code.</w:t>
      </w:r>
    </w:p>
    <w:p>
      <w:pPr>
        <w:spacing w:after="0" w:line="105"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You are urged to consult your tax advisor as to your qualification as a “qualified foreign pension fund” or a “qualified collective investment vehicle.”</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Capital Gain Dividends</w:t>
      </w:r>
    </w:p>
    <w:p>
      <w:pPr>
        <w:spacing w:after="0" w:line="158" w:lineRule="exact"/>
        <w:rPr>
          <w:sz w:val="20"/>
          <w:szCs w:val="20"/>
          <w:color w:val="auto"/>
        </w:rPr>
      </w:pPr>
    </w:p>
    <w:p>
      <w:pPr>
        <w:ind w:left="1260" w:right="679" w:firstLine="360"/>
        <w:spacing w:after="0" w:line="250" w:lineRule="auto"/>
        <w:rPr>
          <w:sz w:val="20"/>
          <w:szCs w:val="20"/>
          <w:color w:val="auto"/>
        </w:rPr>
      </w:pPr>
      <w:r>
        <w:rPr>
          <w:rFonts w:ascii="Arial" w:cs="Arial" w:eastAsia="Arial" w:hAnsi="Arial"/>
          <w:sz w:val="17"/>
          <w:szCs w:val="17"/>
          <w:color w:val="auto"/>
        </w:rPr>
        <w:t>Under FIRPTA, unless you are a qualified foreign pension fund or a qualified collective investment vehicle, to the extent attributable to gains from dispositions of USRPIs that we held directly or through pass-through subsidiaries, or USRPI capital gains, a distribution that we make to you will, except as described below, be considered effectively connected with a U.S. trade or business conducted by you and will be subject to U.S. income tax at the rates applicable to U.S. individuals or corporations, without regard to whether we designate the distribution as a capital gain dividend. See “— Distributions” for a discussion of the consequences of income that is effectively connected with a U.S. trade or business. In addition, we will be required to withhold tax equal to 21% of the maximum amount that could have been designated as USRPI capital gain dividends. Distributions subject to FIRPTA may also be subject to a branch profits tax at the rate of 30% (unless reduced or eliminated by treaty) if you are a corporation (other than a qualified foreign pension fund or a qualified collective investment vehicle). A distribution is not attributable to USRPI capital gain if we held an interest in the underlying asset solely as a creditor. Capital gain dividends received by you that are attributable to dispositions of our assets other than USRPIs are not subject to U.S. federal income or withholding tax, unless (1) the gain is effectively connected with your conduct of a U.S. trade or business, in which case you will be subject to the same treatment as U.S. stockholders with respect to that gain, except that if you are a corporation, you may also be subject to a branch profits tax at the rate of 30% (unless reduced or eliminated by treaty) or (2) you are a nonresident alien individual who was present in the United States for 183 days or more during the taxable year and has a “tax home” in the United States, in which case you will incur a 30% tax on his capital gains. We expect that a significant portion of our assets will be USRPIs.</w:t>
      </w:r>
    </w:p>
    <w:p>
      <w:pPr>
        <w:spacing w:after="0" w:line="126"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A capital gain dividend that would otherwise have been treated as a USRPI capital gain dividend will not be so treated or be subject to FIRPTA, and will generally not be treated as income that is effectively connected with a U.S. trade or business, but instead will be treated in the same manner as an ordinary dividend (see “— Ordinary Dividends”), if (1) the capital gain dividend is received with respect to a class of stock that is regularly traded on an established securities market located in the United States and (2) you do not own more than 10% of that class of stock at any time during the year ending on the date on which the capital gain dividend is received. We believe our common stock currently qualifies as “regularly traded,” and expect that our common stock will continue to be regularly traded on an established securities market.</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Dispositions of Our Common Stock</w:t>
      </w:r>
    </w:p>
    <w:p>
      <w:pPr>
        <w:spacing w:after="0" w:line="144"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Unless our common stock constitutes a USRPI, a sale of our common stock by you will generally not be subject to U.S. taxation under FIRPTA. Subject to certain exceptions discussed below, our common stock will be treated as a USRPI if 50% or more of our assets throughout a prescribed testing period consist of USRPIs. We expect that 50% or more of our assets will consist of USRPIs. Nevertheless, our common stock will not constitute a USRPI if (1) we are a “domestically controlled qualified investment entity” as discussed below, or (2) our common stock is “regularly traded” (as defined in applicable Treasury regulations) on an established securities market, and you have not owned more than 10% of the total fair market value of our common stock at any time during the five-year period ending on the date of the disposition (or its holding</w:t>
      </w:r>
    </w:p>
    <w:p>
      <w:pPr>
        <w:sectPr>
          <w:pgSz w:w="11900" w:h="16838" w:orient="portrait"/>
          <w:cols w:equalWidth="0" w:num="1">
            <w:col w:w="10139"/>
          </w:cols>
          <w:pgMar w:left="320" w:top="132"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91" w:lineRule="auto"/>
        <w:rPr>
          <w:sz w:val="20"/>
          <w:szCs w:val="20"/>
          <w:color w:val="auto"/>
        </w:rPr>
      </w:pPr>
      <w:r>
        <w:rPr>
          <w:rFonts w:ascii="Arial" w:cs="Arial" w:eastAsia="Arial" w:hAnsi="Arial"/>
          <w:sz w:val="17"/>
          <w:szCs w:val="17"/>
          <w:color w:val="auto"/>
        </w:rPr>
        <w:t>period, if shorter). As noted above, we believe our common stock currently qualifies as “regularly traded” and expect that our common stock will continue to be “regularly traded” on an established securities market.</w:t>
      </w:r>
    </w:p>
    <w:p>
      <w:pPr>
        <w:spacing w:after="0" w:line="66"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7"/>
          <w:szCs w:val="17"/>
          <w:color w:val="auto"/>
        </w:rPr>
        <w:t>A REIT is a “domestically controlled qualified investment entity” if less than 50% of value of its stock is held, directly or indirectly, by non-U.S. persons at all times during a specified testing period (generally the lesser of the five-year period ending on the date of the relevant disposition or the period of its existence), after applying certain presumptions regarding the ownership of its stock. Our charter contains restrictions designed to protect our status as a domestically controlled qualified investment entity, and we believe that we are, and will remain, a domestically controlled qualified investment entity, and that a sale of our common stock should not be subject to taxation under FIRPTA. However, no assurance can be given that we are or will remain a domestically controlled qualified investment entity.</w:t>
      </w:r>
    </w:p>
    <w:p>
      <w:pPr>
        <w:spacing w:after="0" w:line="113" w:lineRule="exact"/>
        <w:rPr>
          <w:sz w:val="20"/>
          <w:szCs w:val="20"/>
          <w:color w:val="auto"/>
        </w:rPr>
      </w:pPr>
    </w:p>
    <w:p>
      <w:pPr>
        <w:ind w:left="1260" w:right="779" w:firstLine="360"/>
        <w:spacing w:after="0" w:line="239" w:lineRule="auto"/>
        <w:rPr>
          <w:sz w:val="20"/>
          <w:szCs w:val="20"/>
          <w:color w:val="auto"/>
        </w:rPr>
      </w:pPr>
      <w:r>
        <w:rPr>
          <w:rFonts w:ascii="Arial" w:cs="Arial" w:eastAsia="Arial" w:hAnsi="Arial"/>
          <w:sz w:val="18"/>
          <w:szCs w:val="18"/>
          <w:color w:val="auto"/>
        </w:rPr>
        <w:t>If gain on the sale of our common stock were subject to taxation under FIRPTA, then unless you are a qualified foreign pension fund or a qualified collective investment vehicle, you would be required to file a U.S. federal income tax return and would be subject to the same treatment as a U.S. stockholder with respect to that gain, subject to applicable alternative minimum tax and a special alternative minimum tax in the case of nonresident alien individuals. Moreover, in order to enforce the collection of the tax, the purchaser of the common stock could be required to withhold 15% of the purchase price and remit that amount to the IRS.</w:t>
      </w:r>
    </w:p>
    <w:p>
      <w:pPr>
        <w:spacing w:after="0" w:line="123"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If you are a qualified foreign pension fund or a qualified collective investment vehicle, gain recognized by you generally will not be subject to FIRPTA.</w:t>
      </w:r>
    </w:p>
    <w:p>
      <w:pPr>
        <w:spacing w:after="0" w:line="90" w:lineRule="exact"/>
        <w:rPr>
          <w:sz w:val="20"/>
          <w:szCs w:val="20"/>
          <w:color w:val="auto"/>
        </w:rPr>
      </w:pPr>
    </w:p>
    <w:p>
      <w:pPr>
        <w:ind w:left="1260" w:right="719" w:firstLine="360"/>
        <w:spacing w:after="0" w:line="250" w:lineRule="auto"/>
        <w:rPr>
          <w:sz w:val="20"/>
          <w:szCs w:val="20"/>
          <w:color w:val="auto"/>
        </w:rPr>
      </w:pPr>
      <w:r>
        <w:rPr>
          <w:rFonts w:ascii="Arial" w:cs="Arial" w:eastAsia="Arial" w:hAnsi="Arial"/>
          <w:sz w:val="17"/>
          <w:szCs w:val="17"/>
          <w:color w:val="auto"/>
        </w:rPr>
        <w:t>Gain from a sale by you of our common stock that would not otherwise be subject to FIRPTA will nonetheless be taxable in the United States two cases: (1) if your investment in our common stock is effectively connected with your conduct of a U.S. trade or business, in which case you will be subject to the same treatment as a U.S. stockholder with respect to that gain, except that if you are a corporation you may also be subject to a branch profits tax at a rate of 30% (unless reduced or eliminated by treaty) or (2) if you are a nonresident alien individual who was present in the United States for 183 days or more during the taxable year and has a “tax home” in the United States, in which case you will be subject to a 30% tax on your capital gain. In addition, even if we are a domestically-controlled qualified investment entity, upon disposition of our common stock (subject to the 10% exception applicable to “regularly traded” stock described above), you may be treated as having gain from the sale or exchange of a USRPI if you</w:t>
      </w:r>
    </w:p>
    <w:p>
      <w:pPr>
        <w:spacing w:after="0" w:line="5" w:lineRule="exact"/>
        <w:rPr>
          <w:sz w:val="20"/>
          <w:szCs w:val="20"/>
          <w:color w:val="auto"/>
        </w:rPr>
      </w:pPr>
    </w:p>
    <w:p>
      <w:pPr>
        <w:ind w:left="1520" w:hanging="258"/>
        <w:spacing w:after="0"/>
        <w:tabs>
          <w:tab w:leader="none" w:pos="1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dispose of our common stock within a 30-day period preceding the ex-dividend date of a distribution,</w:t>
      </w:r>
    </w:p>
    <w:p>
      <w:pPr>
        <w:spacing w:after="0" w:line="7" w:lineRule="exact"/>
        <w:rPr>
          <w:rFonts w:ascii="Arial" w:cs="Arial" w:eastAsia="Arial" w:hAnsi="Arial"/>
          <w:sz w:val="17"/>
          <w:szCs w:val="17"/>
          <w:color w:val="auto"/>
        </w:rPr>
      </w:pPr>
    </w:p>
    <w:p>
      <w:pPr>
        <w:ind w:left="1260" w:right="699"/>
        <w:spacing w:after="0" w:line="239" w:lineRule="auto"/>
        <w:rPr>
          <w:rFonts w:ascii="Arial" w:cs="Arial" w:eastAsia="Arial" w:hAnsi="Arial"/>
          <w:sz w:val="17"/>
          <w:szCs w:val="17"/>
          <w:color w:val="auto"/>
        </w:rPr>
      </w:pPr>
      <w:r>
        <w:rPr>
          <w:rFonts w:ascii="Arial" w:cs="Arial" w:eastAsia="Arial" w:hAnsi="Arial"/>
          <w:sz w:val="18"/>
          <w:szCs w:val="18"/>
          <w:color w:val="auto"/>
        </w:rPr>
        <w:t>any portion of which, but for the disposition, would have been treated as gain from the sale or exchange of a USRPI and (b) acquire, or enter into a contract or option to acquire, other shares of our common stock within 30 days after that ex-dividend date.</w:t>
      </w:r>
    </w:p>
    <w:p>
      <w:pPr>
        <w:spacing w:after="0" w:line="122"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You are urged to consult your tax advisor regarding the U.S. federal, state, local and foreign income and other tax consequences of owning our common stock.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Taxation of Tax-Exempt Stockholders</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Tax-exempt entities, including qualified employee pension and profit sharing trusts and individual retirement accounts, generally are exempt from U.S. federal income taxation. However, they may be subject to taxation on their unrelated business taxable income (“UBTI”). While some investments in real estate may generate UBTI, the IRS has ruled that dividend distributions from a REIT to a tax-exempt entity do not constitute UBTI unless the REIT is a “pension-held REIT,” as defined below. Based on that ruling, and provided that (1) a tax-exempt stockholder has not held our stock as “debt financed property” within the meaning of the Code (i.e., where the acquisition or holding of the property is financed through a borrowing by the tax-exempt stockholder) and (2) our stock is not otherwise used in an unrelated trade or business, distributions that we make and income from the sale of our stock generally should not give rise to UBTI to a tax-exempt stockholder.</w:t>
      </w:r>
    </w:p>
    <w:p>
      <w:pPr>
        <w:spacing w:after="0" w:line="113"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Tax-exempt stockholders that are social clubs, voluntary employee benefit associations, or supplemental unemployment compensation benefit trusts exempt from U.S. federal income taxation under sections 501(c)(7), (c)(9), or (c)(17) of the Code, respectively, are subject to different UBTI rules, which generally require such stockholders to characterize distributions that we make as UBTI.</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In certain circumstances, a pension trust that owns more than 10% of our stock could be required to treat a percentage of any dividends received from us as UBTI if we are a “pension-held REIT.” We will not be a pension-held REIT unless (1) we are required to “look through” one or more of our pension trust stockholders in order to satisfy the REIT “closely held” test and (2) either (a) one pension trust owns more than 25% of the value of our stock or (b) one or more pension trusts, each individually holding more than 10% of the value of our stock, collectively own more than 50% of the value of our stock. Certain restrictions on ownership and transfer of shares of our stock generally should prevent a tax-exempt entity from owning more than 10% of the value of our stock and generally should prevent us from becoming a pension-held REIT.</w:t>
      </w:r>
    </w:p>
    <w:p>
      <w:pPr>
        <w:spacing w:after="0" w:line="110"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Tax-exempt stockholders are urged to consult their tax advisors regarding the U.S. federal, state, local and foreign income and other tax consequences of owning our stock.</w:t>
      </w:r>
    </w:p>
    <w:p>
      <w:pPr>
        <w:spacing w:after="0" w:line="16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OTHER TAX CONSIDERATIONS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Legislative or Other Actions Affecting REITs</w:t>
      </w:r>
    </w:p>
    <w:p>
      <w:pPr>
        <w:spacing w:after="0" w:line="162"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7"/>
          <w:szCs w:val="17"/>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review may result in statutory changes as well as revisions to regulations and interpretations. Changes to the U.S. federal tax laws and interpretations thereof could adversely affect an investment in our common stock.</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Medicare 3.8% Tax on Investment Income</w:t>
      </w:r>
    </w:p>
    <w:p>
      <w:pPr>
        <w:spacing w:after="0" w:line="162" w:lineRule="exact"/>
        <w:rPr>
          <w:sz w:val="20"/>
          <w:szCs w:val="20"/>
          <w:color w:val="auto"/>
        </w:rPr>
      </w:pPr>
    </w:p>
    <w:p>
      <w:pPr>
        <w:ind w:left="1260" w:right="879" w:firstLine="360"/>
        <w:spacing w:after="0" w:line="248" w:lineRule="auto"/>
        <w:rPr>
          <w:sz w:val="20"/>
          <w:szCs w:val="20"/>
          <w:color w:val="auto"/>
        </w:rPr>
      </w:pPr>
      <w:r>
        <w:rPr>
          <w:rFonts w:ascii="Arial" w:cs="Arial" w:eastAsia="Arial" w:hAnsi="Arial"/>
          <w:sz w:val="18"/>
          <w:szCs w:val="18"/>
          <w:color w:val="auto"/>
        </w:rPr>
        <w:t>Certain U.S. stockholders who are individuals, estates or trusts and whose income exceeds certain thresholds will be required to pay a 3.8% Medicare tax on dividends and certain other investment income, including capital gains from the sale or other disposition of our common stock.</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U.S. stockholders</w:t>
      </w:r>
    </w:p>
    <w:p>
      <w:pPr>
        <w:spacing w:after="0" w:line="144"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Information returns will generally be filed with the IRS in connection with payments of dividends on our stock and proceeds from a sale or other disposition of our stock, unless you are an exempt recipient such as a corporation. You may also be subject to backup withholding on these payments unless you provide your taxpayer identification number and comply with certain certification procedures or otherwise establish an exemption from backup withholding. The amount of any backup withholding will be allowed as a credit against your U.S. federal income tax liability and may entitle you to a refund, provided that the required information is timely furnished to the IRS.</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Non-U.S. stockholders</w:t>
      </w:r>
    </w:p>
    <w:p>
      <w:pPr>
        <w:spacing w:after="0" w:line="158"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7"/>
          <w:szCs w:val="17"/>
          <w:color w:val="auto"/>
        </w:rPr>
        <w:t>Information returns will be filed with the IRS in connection with payments on our stock and, unless you comply with certification procedures to establish that you are not a United States person, may be filed with the IRS in connection with the proceeds from a sale or other disposition of our stock. You may be subject to backup withholding on payments on our stock or on the proceeds from a sale or other disposition of our stock unless you comply with certification procedures to establish that you are not a United States person or otherwise establish an exemption. Your provision of a properly executed applicable IRS Form W-8 certifying your non-U.S. status will permit you to avoid backup withholding. The amount of any backup withholding from a payment to you will be allowed as a credit against your U.S. federal income tax liability and may entitle you to a refund, provided that the required information is timely furnished to the IRS.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w:t>
      </w:r>
    </w:p>
    <w:p>
      <w:pPr>
        <w:spacing w:after="0" w:line="162" w:lineRule="exact"/>
        <w:rPr>
          <w:sz w:val="20"/>
          <w:szCs w:val="20"/>
          <w:color w:val="auto"/>
        </w:rPr>
      </w:pPr>
    </w:p>
    <w:p>
      <w:pPr>
        <w:jc w:val="both"/>
        <w:ind w:left="1260" w:right="759" w:firstLine="360"/>
        <w:spacing w:after="0" w:line="270" w:lineRule="auto"/>
        <w:rPr>
          <w:sz w:val="20"/>
          <w:szCs w:val="20"/>
          <w:color w:val="auto"/>
        </w:rPr>
      </w:pPr>
      <w:r>
        <w:rPr>
          <w:rFonts w:ascii="Arial" w:cs="Arial" w:eastAsia="Arial" w:hAnsi="Arial"/>
          <w:sz w:val="17"/>
          <w:szCs w:val="17"/>
          <w:color w:val="auto"/>
        </w:rPr>
        <w:t>Provisions of the Code commonly referred to as “FATCA” generally impose withholding at a rate of 30% on payments to foreign entities of dividends on common stock of a U.S. corporation, unless various U.S. information reporting and due diligence requirements (generally relating to ownership by U.S. persons</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59" w:lineRule="auto"/>
        <w:rPr>
          <w:sz w:val="20"/>
          <w:szCs w:val="20"/>
          <w:color w:val="auto"/>
        </w:rPr>
      </w:pPr>
      <w:r>
        <w:rPr>
          <w:rFonts w:ascii="Arial" w:cs="Arial" w:eastAsia="Arial" w:hAnsi="Arial"/>
          <w:sz w:val="17"/>
          <w:szCs w:val="17"/>
          <w:color w:val="auto"/>
        </w:rPr>
        <w:t>of interests in or accounts with those entities) have been satisfied or an exemption applies. If FATCA withholding is imposed, a beneficial owner that is not a foreign financial institution (as specifically defined for this purpose) generally will be entitled to a refund of amounts withheld by filing a U.S. federal income tax return (which may entail significant administrative burden). Prospective investors should consult their tax advisers regarding the possible implications of these rules on their investment in our stock.</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 Local and Non-U.S. Taxes</w:t>
      </w:r>
    </w:p>
    <w:p>
      <w:pPr>
        <w:spacing w:after="0" w:line="148"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color w:val="auto"/>
        </w:rPr>
        <w:t>We and our subsidiaries and stockholders may be subject to state, local or foreign taxation in various jurisdictions including those in which we or they transact business, own property or reside. Our state, local or foreign tax treatment and that of our stockholders may not conform to the U.S. federal income tax treatment discussed above. Any foreign taxes that we incur do not pass through to stockholders as a credit against their U.S. federal income tax liability. Prospective investors are urged to consult their tax advisors regarding the application and effect of state, local and non-U.S. income and other tax laws on an investment in our stock.</w:t>
      </w:r>
    </w:p>
    <w:p>
      <w:pPr>
        <w:spacing w:after="0" w:line="18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SELLING SECURITY HOLDERS</w:t>
      </w:r>
    </w:p>
    <w:p>
      <w:pPr>
        <w:spacing w:after="0" w:line="162" w:lineRule="exact"/>
        <w:rPr>
          <w:sz w:val="20"/>
          <w:szCs w:val="20"/>
          <w:color w:val="auto"/>
        </w:rPr>
      </w:pPr>
    </w:p>
    <w:p>
      <w:pPr>
        <w:ind w:left="1260" w:right="1019" w:firstLine="360"/>
        <w:spacing w:after="0" w:line="248" w:lineRule="auto"/>
        <w:rPr>
          <w:sz w:val="20"/>
          <w:szCs w:val="20"/>
          <w:color w:val="auto"/>
        </w:rPr>
      </w:pPr>
      <w:r>
        <w:rPr>
          <w:rFonts w:ascii="Arial" w:cs="Arial" w:eastAsia="Arial" w:hAnsi="Arial"/>
          <w:sz w:val="18"/>
          <w:szCs w:val="18"/>
          <w:color w:val="auto"/>
        </w:rPr>
        <w:t>Information about selling security holders, where applicable, will be set forth in a prospectus supplement, in a post-effective amendment, or in filings we make with the SEC under the Exchange Act which are incorporated by reference.</w:t>
      </w:r>
    </w:p>
    <w:p>
      <w:pPr>
        <w:spacing w:after="0" w:line="17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We or any of the selling security holders may sell the securities offered by this prospectus from time to time in one or more transactions, including without limitation:</w:t>
      </w:r>
    </w:p>
    <w:p>
      <w:pPr>
        <w:spacing w:after="0" w:line="49" w:lineRule="exact"/>
        <w:rPr>
          <w:sz w:val="20"/>
          <w:szCs w:val="20"/>
          <w:color w:val="auto"/>
        </w:rPr>
      </w:pPr>
    </w:p>
    <w:p>
      <w:pPr>
        <w:ind w:left="1800" w:hanging="178"/>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or through underwriters, brokers or dealers; or</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158" w:lineRule="exact"/>
        <w:rPr>
          <w:sz w:val="20"/>
          <w:szCs w:val="20"/>
          <w:color w:val="auto"/>
        </w:rPr>
      </w:pPr>
    </w:p>
    <w:p>
      <w:pPr>
        <w:jc w:val="both"/>
        <w:ind w:left="1260" w:right="739" w:firstLine="360"/>
        <w:spacing w:after="0" w:line="248" w:lineRule="auto"/>
        <w:rPr>
          <w:sz w:val="20"/>
          <w:szCs w:val="20"/>
          <w:color w:val="auto"/>
        </w:rPr>
      </w:pPr>
      <w:r>
        <w:rPr>
          <w:rFonts w:ascii="Arial" w:cs="Arial" w:eastAsia="Arial" w:hAnsi="Arial"/>
          <w:sz w:val="18"/>
          <w:szCs w:val="18"/>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101"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In addition, the manner in which we or any of the selling security holders may sell some or all of the securities covered by this prospectus includes, without limitation, through:</w:t>
      </w:r>
    </w:p>
    <w:p>
      <w:pPr>
        <w:spacing w:after="0" w:line="63" w:lineRule="exact"/>
        <w:rPr>
          <w:sz w:val="20"/>
          <w:szCs w:val="20"/>
          <w:color w:val="auto"/>
        </w:rPr>
      </w:pPr>
    </w:p>
    <w:p>
      <w:pPr>
        <w:ind w:left="1800" w:right="1179" w:hanging="178"/>
        <w:spacing w:after="0" w:line="277"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44"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We or any of the selling security holders may also enter into hedging transactions. For example, we or any of the selling security holders may:</w:t>
      </w:r>
    </w:p>
    <w:p>
      <w:pPr>
        <w:spacing w:after="0" w:line="63" w:lineRule="exact"/>
        <w:rPr>
          <w:sz w:val="20"/>
          <w:szCs w:val="20"/>
          <w:color w:val="auto"/>
        </w:rPr>
      </w:pPr>
    </w:p>
    <w:p>
      <w:pPr>
        <w:ind w:left="1800" w:right="719" w:hanging="178"/>
        <w:spacing w:after="0" w:line="259"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the common stock pursuant to this prospectus, in which case such broker-dealer or affiliate may use shares of common stock received from us to close out its short positions;</w:t>
      </w:r>
    </w:p>
    <w:p>
      <w:pPr>
        <w:spacing w:after="0" w:line="65" w:lineRule="exact"/>
        <w:rPr>
          <w:rFonts w:ascii="Arial" w:cs="Arial" w:eastAsia="Arial" w:hAnsi="Arial"/>
          <w:sz w:val="18"/>
          <w:szCs w:val="18"/>
          <w:color w:val="auto"/>
        </w:rPr>
      </w:pPr>
    </w:p>
    <w:p>
      <w:pPr>
        <w:ind w:left="1800" w:hanging="178"/>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sell securities short and redeliver such shares to close out our short positions;</w:t>
      </w:r>
    </w:p>
    <w:p>
      <w:pPr>
        <w:spacing w:after="0" w:line="103" w:lineRule="exact"/>
        <w:rPr>
          <w:rFonts w:ascii="Arial" w:cs="Arial" w:eastAsia="Arial" w:hAnsi="Arial"/>
          <w:sz w:val="18"/>
          <w:szCs w:val="18"/>
          <w:color w:val="auto"/>
        </w:rPr>
      </w:pPr>
    </w:p>
    <w:p>
      <w:pPr>
        <w:ind w:left="1800" w:right="879" w:hanging="178"/>
        <w:spacing w:after="0" w:line="263"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stock to a broker-dealer or an affiliate thereof, who will then resell or transfer the common stock under this prospectus; or</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59" w:hanging="178"/>
        <w:spacing w:after="0" w:line="263"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 affiliate thereof, who may sell the loaned shares or, in an event of default in the case of a pledge, sell the pledged shares pursuant to this prospectus.</w:t>
      </w:r>
    </w:p>
    <w:p>
      <w:pPr>
        <w:spacing w:after="0" w:line="103"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In addition, we or any of the selling security holders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any of the selling security holders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127"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A prospectus supplement with respect to each offering of securities will state the terms of the offering of the securities, including:</w:t>
      </w:r>
    </w:p>
    <w:p>
      <w:pPr>
        <w:spacing w:after="0" w:line="62" w:lineRule="exact"/>
        <w:rPr>
          <w:sz w:val="20"/>
          <w:szCs w:val="20"/>
          <w:color w:val="auto"/>
        </w:rPr>
      </w:pPr>
    </w:p>
    <w:p>
      <w:pPr>
        <w:ind w:left="1800" w:right="1199" w:hanging="178"/>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 or names of any underwriters or agents and the amounts of securities underwritten or purchased by each of them, if any;</w:t>
      </w:r>
    </w:p>
    <w:p>
      <w:pPr>
        <w:spacing w:after="0" w:line="62"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public offering price or purchase price of the securities and the net proceeds to be received by us from the sale;</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17" w:lineRule="exact"/>
        <w:rPr>
          <w:rFonts w:ascii="Arial" w:cs="Arial" w:eastAsia="Arial" w:hAnsi="Arial"/>
          <w:sz w:val="18"/>
          <w:szCs w:val="18"/>
          <w:color w:val="auto"/>
        </w:rPr>
      </w:pPr>
    </w:p>
    <w:p>
      <w:pPr>
        <w:ind w:left="1800" w:right="1139" w:hanging="178"/>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62" w:lineRule="exact"/>
        <w:rPr>
          <w:rFonts w:ascii="Arial" w:cs="Arial" w:eastAsia="Arial" w:hAnsi="Arial"/>
          <w:sz w:val="18"/>
          <w:szCs w:val="18"/>
          <w:color w:val="auto"/>
        </w:rPr>
      </w:pPr>
    </w:p>
    <w:p>
      <w:pPr>
        <w:ind w:left="1800" w:hanging="178"/>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securities exchange or markets on which the securities may be listed.</w:t>
      </w:r>
    </w:p>
    <w:p>
      <w:pPr>
        <w:spacing w:after="0" w:line="158" w:lineRule="exact"/>
        <w:rPr>
          <w:sz w:val="20"/>
          <w:szCs w:val="20"/>
          <w:color w:val="auto"/>
        </w:rPr>
      </w:pPr>
    </w:p>
    <w:p>
      <w:pPr>
        <w:ind w:left="1260" w:right="939" w:firstLine="360"/>
        <w:spacing w:after="0" w:line="263" w:lineRule="auto"/>
        <w:rPr>
          <w:sz w:val="20"/>
          <w:szCs w:val="20"/>
          <w:color w:val="auto"/>
        </w:rPr>
      </w:pPr>
      <w:r>
        <w:rPr>
          <w:rFonts w:ascii="Arial" w:cs="Arial" w:eastAsia="Arial" w:hAnsi="Arial"/>
          <w:sz w:val="18"/>
          <w:szCs w:val="18"/>
          <w:color w:val="auto"/>
        </w:rPr>
        <w:t>The offer and sale of the securities described in this prospectus by us, any of the selling security holders, the underwriters or the third parties described above may be effected from time to time in one or more transactions, including privately negotiated transactions, either:</w:t>
      </w:r>
    </w:p>
    <w:p>
      <w:pPr>
        <w:spacing w:after="0" w:line="76" w:lineRule="exact"/>
        <w:rPr>
          <w:sz w:val="20"/>
          <w:szCs w:val="20"/>
          <w:color w:val="auto"/>
        </w:rPr>
      </w:pPr>
    </w:p>
    <w:p>
      <w:pPr>
        <w:ind w:left="1800" w:hanging="178"/>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Underwriters and Agents</w:t>
      </w:r>
    </w:p>
    <w:p>
      <w:pPr>
        <w:spacing w:after="0" w:line="16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If underwriters are used in a sale, they will acquire the offered securities for their own account. We may offer the securities to the public through an underwriting syndicate or through a single underwriter. The underwriters in any particular offering will be mentioned in the applicable prospectus supplement or pricing supplement, as the case may be.</w:t>
      </w:r>
    </w:p>
    <w:p>
      <w:pPr>
        <w:sectPr>
          <w:pgSz w:w="11900" w:h="16838" w:orient="portrait"/>
          <w:cols w:equalWidth="0" w:num="1">
            <w:col w:w="10139"/>
          </w:cols>
          <w:pgMar w:left="32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firstLine="360"/>
        <w:spacing w:after="0" w:line="239" w:lineRule="auto"/>
        <w:rPr>
          <w:sz w:val="20"/>
          <w:szCs w:val="20"/>
          <w:color w:val="auto"/>
        </w:rPr>
      </w:pPr>
      <w:r>
        <w:rPr>
          <w:rFonts w:ascii="Arial" w:cs="Arial" w:eastAsia="Arial" w:hAnsi="Arial"/>
          <w:sz w:val="18"/>
          <w:szCs w:val="18"/>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110"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7"/>
          <w:szCs w:val="17"/>
          <w:color w:val="auto"/>
        </w:rPr>
        <w:t>We may designate agents to sell the offered securities. Unless otherwise specified in connection with any particular offering of securities, the agents will agree to use their best efforts to solicit purchasers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spacing w:after="0" w:line="112"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7"/>
          <w:szCs w:val="17"/>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Dealers</w:t>
      </w:r>
    </w:p>
    <w:p>
      <w:pPr>
        <w:spacing w:after="0" w:line="162" w:lineRule="exact"/>
        <w:rPr>
          <w:sz w:val="20"/>
          <w:szCs w:val="20"/>
          <w:color w:val="auto"/>
        </w:rPr>
      </w:pPr>
    </w:p>
    <w:p>
      <w:pPr>
        <w:ind w:left="1260" w:right="719" w:firstLine="360"/>
        <w:spacing w:after="0" w:line="262" w:lineRule="auto"/>
        <w:rPr>
          <w:sz w:val="20"/>
          <w:szCs w:val="20"/>
          <w:color w:val="auto"/>
        </w:rPr>
      </w:pPr>
      <w:r>
        <w:rPr>
          <w:rFonts w:ascii="Arial" w:cs="Arial" w:eastAsia="Arial" w:hAnsi="Arial"/>
          <w:sz w:val="17"/>
          <w:szCs w:val="17"/>
          <w:color w:val="auto"/>
        </w:rPr>
        <w:t>We may sell the offered securities to dealers as principals. We may negotiate and pay commissions, discounts, or concessions to dealers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 Sales</w:t>
      </w:r>
    </w:p>
    <w:p>
      <w:pPr>
        <w:spacing w:after="0" w:line="148"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We may choose to sell the offered securities directly. In this case, no underwriters or agents would be involved.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Institutional Purchasers</w:t>
      </w:r>
    </w:p>
    <w:p>
      <w:pPr>
        <w:spacing w:after="0" w:line="162"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122" w:lineRule="exact"/>
        <w:rPr>
          <w:sz w:val="20"/>
          <w:szCs w:val="20"/>
          <w:color w:val="auto"/>
        </w:rPr>
      </w:pPr>
    </w:p>
    <w:p>
      <w:pPr>
        <w:jc w:val="both"/>
        <w:ind w:left="1260" w:right="979" w:firstLine="360"/>
        <w:spacing w:after="0" w:line="248" w:lineRule="auto"/>
        <w:rPr>
          <w:sz w:val="20"/>
          <w:szCs w:val="20"/>
          <w:color w:val="auto"/>
        </w:rPr>
      </w:pPr>
      <w:r>
        <w:rPr>
          <w:rFonts w:ascii="Arial" w:cs="Arial" w:eastAsia="Arial" w:hAnsi="Arial"/>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Other Relationships</w:t>
      </w:r>
    </w:p>
    <w:p>
      <w:pPr>
        <w:spacing w:after="0" w:line="148" w:lineRule="exact"/>
        <w:rPr>
          <w:sz w:val="20"/>
          <w:szCs w:val="20"/>
          <w:color w:val="auto"/>
        </w:rPr>
      </w:pPr>
    </w:p>
    <w:p>
      <w:pPr>
        <w:jc w:val="both"/>
        <w:ind w:left="1260" w:right="839" w:firstLine="360"/>
        <w:spacing w:after="0" w:line="262" w:lineRule="auto"/>
        <w:rPr>
          <w:sz w:val="20"/>
          <w:szCs w:val="20"/>
          <w:color w:val="auto"/>
        </w:rPr>
      </w:pPr>
      <w:r>
        <w:rPr>
          <w:rFonts w:ascii="Arial" w:cs="Arial" w:eastAsia="Arial" w:hAnsi="Arial"/>
          <w:sz w:val="17"/>
          <w:szCs w:val="17"/>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Market-Making, Stabilization and Other Transactions</w:t>
      </w:r>
    </w:p>
    <w:p>
      <w:pPr>
        <w:spacing w:after="0" w:line="162" w:lineRule="exact"/>
        <w:rPr>
          <w:sz w:val="20"/>
          <w:szCs w:val="20"/>
          <w:color w:val="auto"/>
        </w:rPr>
      </w:pPr>
    </w:p>
    <w:p>
      <w:pPr>
        <w:jc w:val="both"/>
        <w:ind w:left="1260" w:right="959" w:firstLine="360"/>
        <w:spacing w:after="0" w:line="270" w:lineRule="auto"/>
        <w:rPr>
          <w:sz w:val="20"/>
          <w:szCs w:val="20"/>
          <w:color w:val="auto"/>
        </w:rPr>
      </w:pPr>
      <w:r>
        <w:rPr>
          <w:rFonts w:ascii="Arial" w:cs="Arial" w:eastAsia="Arial" w:hAnsi="Arial"/>
          <w:sz w:val="17"/>
          <w:szCs w:val="17"/>
          <w:color w:val="auto"/>
        </w:rPr>
        <w:t>There is currently no market for any of the offered securities, other than our common stock which is listed on the NASDAQ. If the offered securities are traded after their initial issuance, they may trade at a discount from their initial offering price, depending upon prevailing interest rates, the market for similar</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4" w:lineRule="auto"/>
        <w:rPr>
          <w:sz w:val="20"/>
          <w:szCs w:val="20"/>
          <w:color w:val="auto"/>
        </w:rPr>
      </w:pPr>
      <w:r>
        <w:rPr>
          <w:rFonts w:ascii="Arial" w:cs="Arial" w:eastAsia="Arial" w:hAnsi="Arial"/>
          <w:sz w:val="18"/>
          <w:szCs w:val="18"/>
          <w:color w:val="auto"/>
        </w:rPr>
        <w:t>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securities, other than our common stock, on any securities exchange or on an automated quotation system; any such listing with respect to any particular securities will be described in the applicable prospectus supplement or pricing supplement, as the case may be.</w:t>
      </w:r>
    </w:p>
    <w:p>
      <w:pPr>
        <w:spacing w:after="0" w:line="114" w:lineRule="exact"/>
        <w:rPr>
          <w:sz w:val="20"/>
          <w:szCs w:val="20"/>
          <w:color w:val="auto"/>
        </w:rPr>
      </w:pPr>
    </w:p>
    <w:p>
      <w:pPr>
        <w:ind w:left="1260" w:right="979" w:firstLine="360"/>
        <w:spacing w:after="0" w:line="259" w:lineRule="auto"/>
        <w:rPr>
          <w:sz w:val="20"/>
          <w:szCs w:val="20"/>
          <w:color w:val="auto"/>
        </w:rPr>
      </w:pPr>
      <w:r>
        <w:rPr>
          <w:rFonts w:ascii="Arial" w:cs="Arial" w:eastAsia="Arial" w:hAnsi="Arial"/>
          <w:sz w:val="18"/>
          <w:szCs w:val="18"/>
          <w:color w:val="auto"/>
        </w:rPr>
        <w:t>In connection with any offering of common stock, the underwriters may purchase and sell shares of common stock in the open market. These transactions may include short sales, syndicate covering transactions and stabilizing transactions. The nature of these transactions, if any, will be described in the applicable prospectus supplement.</w:t>
      </w:r>
    </w:p>
    <w:p>
      <w:pPr>
        <w:spacing w:after="0" w:line="119"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8"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validity of the offered securities will be passed upon by Kutak Rock LLP. Davis Polk &amp; Wardwell LLP will pass upon certain tax matters related to Uniti’s qualification as a REIT. Any selling stockholders, underwriters, dealers or agents will be advised about legal matters by their own counsel, which counsel will be named in the applicable prospectus supplement.</w:t>
      </w:r>
    </w:p>
    <w:p>
      <w:pPr>
        <w:spacing w:after="0" w:line="183"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1260" w:right="699" w:firstLine="360"/>
        <w:spacing w:after="0" w:line="271" w:lineRule="auto"/>
        <w:rPr>
          <w:rFonts w:ascii="Arial" w:cs="Arial" w:eastAsia="Arial" w:hAnsi="Arial"/>
          <w:sz w:val="17"/>
          <w:szCs w:val="17"/>
          <w:color w:val="0000EE"/>
        </w:rPr>
      </w:pPr>
      <w:r>
        <w:rPr>
          <w:rFonts w:ascii="Arial" w:cs="Arial" w:eastAsia="Arial" w:hAnsi="Arial"/>
          <w:sz w:val="17"/>
          <w:szCs w:val="17"/>
          <w:color w:val="auto"/>
        </w:rPr>
        <w:t xml:space="preserve">The financial statements and management’s assessment of the effectiveness of internal control over financial reporting (which is included in Management’s Annual Report on Internal Control over Financial </w:t>
      </w:r>
      <w:hyperlink r:id="rId19">
        <w:r>
          <w:rPr>
            <w:rFonts w:ascii="Arial" w:cs="Arial" w:eastAsia="Arial" w:hAnsi="Arial"/>
            <w:sz w:val="17"/>
            <w:szCs w:val="17"/>
            <w:color w:val="auto"/>
          </w:rPr>
          <w:t xml:space="preserve">Reporting) incorporated in this Prospectus by reference to the </w:t>
        </w:r>
        <w:r>
          <w:rPr>
            <w:rFonts w:ascii="Arial" w:cs="Arial" w:eastAsia="Arial" w:hAnsi="Arial"/>
            <w:sz w:val="17"/>
            <w:szCs w:val="17"/>
            <w:u w:val="single" w:color="auto"/>
            <w:color w:val="0000EE"/>
          </w:rPr>
          <w:t>Annual Report on Form 10-K for the year</w:t>
        </w:r>
      </w:hyperlink>
      <w:r>
        <w:rPr>
          <w:rFonts w:ascii="Arial" w:cs="Arial" w:eastAsia="Arial" w:hAnsi="Arial"/>
          <w:sz w:val="17"/>
          <w:szCs w:val="17"/>
          <w:color w:val="auto"/>
        </w:rPr>
        <w:t xml:space="preserve"> </w:t>
      </w:r>
      <w:hyperlink r:id="rId19">
        <w:r>
          <w:rPr>
            <w:rFonts w:ascii="Arial" w:cs="Arial" w:eastAsia="Arial" w:hAnsi="Arial"/>
            <w:sz w:val="17"/>
            <w:szCs w:val="17"/>
            <w:u w:val="single" w:color="auto"/>
            <w:color w:val="0000EE"/>
          </w:rPr>
          <w:t>ended December 31, 2019</w:t>
        </w:r>
        <w:r>
          <w:rPr>
            <w:rFonts w:ascii="Arial" w:cs="Arial" w:eastAsia="Arial" w:hAnsi="Arial"/>
            <w:sz w:val="17"/>
            <w:szCs w:val="17"/>
            <w:color w:val="0000EE"/>
          </w:rPr>
          <w:t xml:space="preserve"> </w:t>
        </w:r>
        <w:r>
          <w:rPr>
            <w:rFonts w:ascii="Arial" w:cs="Arial" w:eastAsia="Arial" w:hAnsi="Arial"/>
            <w:sz w:val="17"/>
            <w:szCs w:val="17"/>
            <w:color w:val="000000"/>
          </w:rPr>
          <w:t>have been so incorporated in reliance on the report (which contains an</w:t>
        </w:r>
      </w:hyperlink>
      <w:r>
        <w:rPr>
          <w:rFonts w:ascii="Arial" w:cs="Arial" w:eastAsia="Arial" w:hAnsi="Arial"/>
          <w:sz w:val="17"/>
          <w:szCs w:val="17"/>
          <w:color w:val="0000EE"/>
        </w:rPr>
        <w:t xml:space="preserve"> </w:t>
      </w:r>
      <w:r>
        <w:rPr>
          <w:rFonts w:ascii="Arial" w:cs="Arial" w:eastAsia="Arial" w:hAnsi="Arial"/>
          <w:sz w:val="17"/>
          <w:szCs w:val="17"/>
          <w:color w:val="000000"/>
        </w:rPr>
        <w:t>explanatory paragraph relating to the Company’s ability to continue as a going concern as described in Note 2 to the consolidated financial statements and an adverse opinion on the effectiveness of internal control over financial reporting)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365760</wp:posOffset>
            </wp:positionV>
            <wp:extent cx="5212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40"/>
        <w:spacing w:after="0"/>
        <w:rPr>
          <w:sz w:val="20"/>
          <w:szCs w:val="20"/>
          <w:color w:val="auto"/>
        </w:rPr>
      </w:pPr>
      <w:r>
        <w:rPr>
          <w:rFonts w:ascii="Arial" w:cs="Arial" w:eastAsia="Arial" w:hAnsi="Arial"/>
          <w:sz w:val="25"/>
          <w:szCs w:val="25"/>
          <w:b w:val="1"/>
          <w:bCs w:val="1"/>
          <w:color w:val="auto"/>
        </w:rPr>
        <w:t>18,157,731 Shares</w:t>
      </w:r>
    </w:p>
    <w:p>
      <w:pPr>
        <w:spacing w:after="0" w:line="200" w:lineRule="exact"/>
        <w:rPr>
          <w:sz w:val="20"/>
          <w:szCs w:val="20"/>
          <w:color w:val="auto"/>
        </w:rPr>
      </w:pPr>
    </w:p>
    <w:p>
      <w:pPr>
        <w:spacing w:after="0" w:line="210" w:lineRule="exact"/>
        <w:rPr>
          <w:sz w:val="20"/>
          <w:szCs w:val="20"/>
          <w:color w:val="auto"/>
        </w:rPr>
      </w:pPr>
    </w:p>
    <w:p>
      <w:pPr>
        <w:ind w:left="4260"/>
        <w:spacing w:after="0"/>
        <w:rPr>
          <w:sz w:val="20"/>
          <w:szCs w:val="20"/>
          <w:color w:val="auto"/>
        </w:rPr>
      </w:pPr>
      <w:r>
        <w:rPr>
          <w:rFonts w:ascii="Arial" w:cs="Arial" w:eastAsia="Arial" w:hAnsi="Arial"/>
          <w:sz w:val="32"/>
          <w:szCs w:val="32"/>
          <w:b w:val="1"/>
          <w:bCs w:val="1"/>
          <w:color w:val="auto"/>
        </w:rPr>
        <w:t>Uniti Group Inc.</w:t>
      </w:r>
    </w:p>
    <w:p>
      <w:pPr>
        <w:spacing w:after="0" w:line="200" w:lineRule="exact"/>
        <w:rPr>
          <w:sz w:val="20"/>
          <w:szCs w:val="20"/>
          <w:color w:val="auto"/>
        </w:rPr>
      </w:pPr>
    </w:p>
    <w:p>
      <w:pPr>
        <w:spacing w:after="0" w:line="233" w:lineRule="exact"/>
        <w:rPr>
          <w:sz w:val="20"/>
          <w:szCs w:val="20"/>
          <w:color w:val="auto"/>
        </w:rPr>
      </w:pPr>
    </w:p>
    <w:p>
      <w:pPr>
        <w:ind w:left="456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1126490</wp:posOffset>
            </wp:positionV>
            <wp:extent cx="2486025" cy="7200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2486025" cy="7200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2738120</wp:posOffset>
            </wp:positionV>
            <wp:extent cx="12344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233680</wp:posOffset>
            </wp:positionV>
            <wp:extent cx="12344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October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597535</wp:posOffset>
            </wp:positionV>
            <wp:extent cx="5212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640715</wp:posOffset>
            </wp:positionV>
            <wp:extent cx="52120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915035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10139"/>
      </w:cols>
      <w:pgMar w:left="32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3"/>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lowerRoman"/>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lowerLetter"/>
      <w:start w:val="2"/>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2"/>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decimal"/>
      <w:start w:val="2"/>
    </w:lvl>
  </w:abstractNum>
  <w:abstractNum w:abstractNumId="49">
    <w:nsid w:val="23F9C13C"/>
    <w:multiLevelType w:val="hybridMultilevel"/>
    <w:lvl w:ilvl="0">
      <w:lvlJc w:val="left"/>
      <w:lvlText w:val="(%1)"/>
      <w:numFmt w:val="decimal"/>
      <w:start w:val="4"/>
    </w:lvl>
  </w:abstractNum>
  <w:abstractNum w:abstractNumId="50">
    <w:nsid w:val="649BB77C"/>
    <w:multiLevelType w:val="hybridMultilevel"/>
    <w:lvl w:ilvl="0">
      <w:lvlJc w:val="left"/>
      <w:lvlText w:val="(%1)"/>
      <w:numFmt w:val="decimal"/>
      <w:start w:val="1"/>
    </w:lvl>
    <w:lvl w:ilvl="1">
      <w:lvlJc w:val="left"/>
      <w:lvlText w:val="%2."/>
      <w:numFmt w:val="lowerLetter"/>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jpe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2"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jpe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9" Type="http://schemas.openxmlformats.org/officeDocument/2006/relationships/hyperlink" Target="http://www.sec.gov/ix?doc=/Archives/edgar/data/1620280/000156459020010520/unit-10k_20191231.htm" TargetMode="External"/><Relationship Id="rId20" Type="http://schemas.openxmlformats.org/officeDocument/2006/relationships/hyperlink" Target="http://www.sec.gov/ix?doc=/Archives/edgar/data/1620280/000156459020039012/unit-10q_20200630.htm" TargetMode="External"/><Relationship Id="rId21" Type="http://schemas.openxmlformats.org/officeDocument/2006/relationships/hyperlink" Target="http://www.sec.gov/Archives/edgar/data/1620280/000104746920001999/a2241189zdef14a.htm" TargetMode="External"/><Relationship Id="rId22" Type="http://schemas.openxmlformats.org/officeDocument/2006/relationships/hyperlink" Target="http://www.sec.gov/ix?doc=/Archives/edgar/data/1620280/000095010320002229/dp120878_8k.htm" TargetMode="External"/><Relationship Id="rId23" Type="http://schemas.openxmlformats.org/officeDocument/2006/relationships/hyperlink" Target="http://www.sec.gov/ix?doc=/Archives/edgar/data/1620280/000156459020025840/unit-8k_20200512.htm" TargetMode="External"/><Relationship Id="rId24" Type="http://schemas.openxmlformats.org/officeDocument/2006/relationships/hyperlink" Target="http://www.sec.gov/ix?doc=/Archives/edgar/data/1620280/000156459020025847/unit-8k_20200514.htm" TargetMode="External"/><Relationship Id="rId25" Type="http://schemas.openxmlformats.org/officeDocument/2006/relationships/hyperlink" Target="http://www.sec.gov/ix?doc=/Archives/edgar/data/1620280/000110465920075659/tm2022240-3_8k.htm" TargetMode="External"/><Relationship Id="rId26" Type="http://schemas.openxmlformats.org/officeDocument/2006/relationships/hyperlink" Target="http://www.sec.gov/ix?doc=/Archives/edgar/data/1620280/000095010320018057/dp136699_8k.htm" TargetMode="External"/><Relationship Id="rId27" Type="http://schemas.openxmlformats.org/officeDocument/2006/relationships/hyperlink" Target="http://www.sec.gov/ix?doc=/Archives/edgar/data/1620280/000095010320018401/dp137029_8k.htm" TargetMode="External"/><Relationship Id="rId28" Type="http://schemas.openxmlformats.org/officeDocument/2006/relationships/hyperlink" Target="http://www.sec.gov/ix?doc=/Archives/edgar/data/1620280/000110465920021922/tm208071d1_8ka.htm" TargetMode="External"/><Relationship Id="rId51" Type="http://schemas.openxmlformats.org/officeDocument/2006/relationships/hyperlink" Target="http://www.sec.gov/Archives/edgar/data/1620280/000156459020010520/unit-10k_20191231.htm" TargetMode="External"/><Relationship Id="rId53" Type="http://schemas.openxmlformats.org/officeDocument/2006/relationships/hyperlink" Target="http://www.sec.gov/Archives/edgar/data/1620280/000095010320002229/dp120878_8k.htm" TargetMode="External"/><Relationship Id="rId54" Type="http://schemas.openxmlformats.org/officeDocument/2006/relationships/hyperlink" Target="http://www.sec.gov/Archives/edgar/data/1620280/000095010320002586/dp121198_8k.htm" TargetMode="External"/><Relationship Id="rId55" Type="http://schemas.openxmlformats.org/officeDocument/2006/relationships/hyperlink" Target="https://www.sec.gov/Archives/edgar/data/1620280/000110465920021922/tm208071d1_8ka.htm" TargetMode="External"/><Relationship Id="rId56" Type="http://schemas.openxmlformats.org/officeDocument/2006/relationships/hyperlink" Target="https://www.sec.gov/Archives/edgar/data/1620280/000095010320003921/dp122645_8k.htm" TargetMode="External"/><Relationship Id="rId57" Type="http://schemas.openxmlformats.org/officeDocument/2006/relationships/hyperlink" Target="https://www.sec.gov/ix?doc=/Archives/edgar/data/1620280/000156459020009789/unit-8k_20200304.htm" TargetMode="External"/><Relationship Id="rId58" Type="http://schemas.openxmlformats.org/officeDocument/2006/relationships/hyperlink" Target="http://www.sec.gov/Archives/edgar/data/1620280/000119312515106562/d895819dex991.htm" TargetMode="External"/><Relationship Id="rId59" Type="http://schemas.openxmlformats.org/officeDocument/2006/relationships/hyperlink" Target="http://www.sec.gov/Archives/edgar/data/1620280/000156459020010520/unit-ex422_1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2020-10-09T16:03:42Z</dcterms:created>
  <dcterms:modified xsi:type="dcterms:W3CDTF">2020-10-09T16:03:42Z</dcterms:modified>
</cp:coreProperties>
</file>