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Uniti Group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001-42779</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(Commission</w:t>
      </w:r>
    </w:p>
    <w:p>
      <w:pPr>
        <w:spacing w:after="0" w:line="2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85-2262564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380" w:space="720"/>
            <w:col w:w="2920" w:space="720"/>
            <w:col w:w="2500"/>
          </w:cols>
          <w:pgMar w:left="320" w:top="736"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2101 Riverfront Drive, Suite A</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Little Rock, Arkansas</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72202</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3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(501) 850-0820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11"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480" w:type="dxa"/>
            <w:vAlign w:val="bottom"/>
            <w:tcBorders>
              <w:bottom w:val="single" w:sz="8" w:color="auto"/>
              <w:right w:val="single" w:sz="8" w:color="auto"/>
            </w:tcBorders>
          </w:tcPr>
          <w:p>
            <w:pPr>
              <w:spacing w:after="0" w:line="20" w:lineRule="exact"/>
              <w:rPr>
                <w:sz w:val="1"/>
                <w:szCs w:val="1"/>
                <w:color w:val="auto"/>
              </w:rPr>
            </w:pPr>
          </w:p>
        </w:tc>
      </w:tr>
      <w:tr>
        <w:trPr>
          <w:trHeight w:val="236"/>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type w:val="continuous"/>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noted in Item 5.07 below, at the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of Uniti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Company’s stockholders approved an increase in the number of shares available for issuance under the Uniti Group Inc. 2025 Equity Incentive Plan (the “</w:t>
      </w:r>
      <w:r>
        <w:rPr>
          <w:rFonts w:ascii="Times New Roman" w:cs="Times New Roman" w:eastAsia="Times New Roman" w:hAnsi="Times New Roman"/>
          <w:sz w:val="18"/>
          <w:szCs w:val="18"/>
          <w:u w:val="single" w:color="auto"/>
          <w:color w:val="auto"/>
        </w:rPr>
        <w:t>Long-Term Incentive Plan</w:t>
      </w:r>
      <w:r>
        <w:rPr>
          <w:rFonts w:ascii="Times New Roman" w:cs="Times New Roman" w:eastAsia="Times New Roman" w:hAnsi="Times New Roman"/>
          <w:sz w:val="18"/>
          <w:szCs w:val="18"/>
          <w:color w:val="auto"/>
        </w:rPr>
        <w:t>”). A summary of the material terms of the Long-Term Incentive Plan is set forth on pages 22 through 26 of the Company’s Definitive Proxy Statement on Schedule 14A for the Annual Meeting, which was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April 21, 2026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The summary and the foregoing description of the Long-Term Incentive Plan are qualified in their entirety by reference to the text of the Long-Term Incentive Plan, a copy of which is attached hereto as Exhibit 10.1 and incorporated herein by reference.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7"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Annual Meeting was held virtually on May 21, 2026 at 8:00 a.m. (Eastern time) at </w:t>
      </w:r>
      <w:r>
        <w:rPr>
          <w:rFonts w:ascii="Times New Roman" w:cs="Times New Roman" w:eastAsia="Times New Roman" w:hAnsi="Times New Roman"/>
          <w:sz w:val="18"/>
          <w:szCs w:val="18"/>
          <w:i w:val="1"/>
          <w:iCs w:val="1"/>
          <w:color w:val="auto"/>
        </w:rPr>
        <w:t>www.virtualshareholdermeeting.com/UNIT2026</w:t>
      </w:r>
      <w:r>
        <w:rPr>
          <w:rFonts w:ascii="Times New Roman" w:cs="Times New Roman" w:eastAsia="Times New Roman" w:hAnsi="Times New Roman"/>
          <w:sz w:val="18"/>
          <w:szCs w:val="18"/>
          <w:color w:val="auto"/>
        </w:rPr>
        <w:t>. During the Annual Meeting, the Company’s stockholders voted on five proposals. The proposals are described in the Company’s Proxy Statement. The voting results for each of the proposals are as follows.</w:t>
      </w:r>
    </w:p>
    <w:p>
      <w:pPr>
        <w:spacing w:after="0" w:line="173" w:lineRule="exact"/>
        <w:rPr>
          <w:sz w:val="20"/>
          <w:szCs w:val="20"/>
          <w:color w:val="auto"/>
        </w:rPr>
      </w:pPr>
    </w:p>
    <w:p>
      <w:pPr>
        <w:ind w:left="340" w:right="20" w:hanging="332"/>
        <w:spacing w:after="0" w:line="284"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The nine director nominees named in the Proxy Statement were elected to the Company’s Board of Directors by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Jarrett Appleby</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169,974,662</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352,503</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136,685</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19,123,961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 Bruce</w:t>
            </w:r>
          </w:p>
        </w:tc>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169,336,722</w:t>
            </w:r>
          </w:p>
        </w:tc>
        <w:tc>
          <w:tcPr>
            <w:tcW w:w="24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991,480</w:t>
            </w:r>
          </w:p>
        </w:tc>
        <w:tc>
          <w:tcPr>
            <w:tcW w:w="20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135,648</w:t>
            </w:r>
          </w:p>
        </w:tc>
        <w:tc>
          <w:tcPr>
            <w:tcW w:w="20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19,123,961</w:t>
            </w: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Francis X. (“Skip”) Frantz</w:t>
            </w:r>
          </w:p>
        </w:tc>
        <w:tc>
          <w:tcPr>
            <w:tcW w:w="1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168,698,026</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1,630,738</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135,086</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19,123,961</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A. Gunderman</w:t>
            </w:r>
          </w:p>
        </w:tc>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169,730,179</w:t>
            </w:r>
          </w:p>
        </w:tc>
        <w:tc>
          <w:tcPr>
            <w:tcW w:w="24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602,551</w:t>
            </w:r>
          </w:p>
        </w:tc>
        <w:tc>
          <w:tcPr>
            <w:tcW w:w="20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131,120</w:t>
            </w:r>
          </w:p>
        </w:tc>
        <w:tc>
          <w:tcPr>
            <w:tcW w:w="20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19,123,961</w:t>
            </w: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McLaughlin</w:t>
            </w:r>
          </w:p>
        </w:tc>
        <w:tc>
          <w:tcPr>
            <w:tcW w:w="1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169,177,408</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1,150,320</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136,122</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19,123,961</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Natale</w:t>
            </w:r>
          </w:p>
        </w:tc>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169,954,699</w:t>
            </w:r>
          </w:p>
        </w:tc>
        <w:tc>
          <w:tcPr>
            <w:tcW w:w="24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373,015</w:t>
            </w:r>
          </w:p>
        </w:tc>
        <w:tc>
          <w:tcPr>
            <w:tcW w:w="20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136,136</w:t>
            </w:r>
          </w:p>
        </w:tc>
        <w:tc>
          <w:tcPr>
            <w:tcW w:w="20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19,123,961</w:t>
            </w: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Carmen Perez-Carlton</w:t>
            </w:r>
          </w:p>
        </w:tc>
        <w:tc>
          <w:tcPr>
            <w:tcW w:w="1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170,018,475</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310,350</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135,025</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19,123,961</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Johannes Weber</w:t>
            </w:r>
          </w:p>
        </w:tc>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169,924,886</w:t>
            </w:r>
          </w:p>
        </w:tc>
        <w:tc>
          <w:tcPr>
            <w:tcW w:w="24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401,318</w:t>
            </w:r>
          </w:p>
        </w:tc>
        <w:tc>
          <w:tcPr>
            <w:tcW w:w="20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137,646</w:t>
            </w:r>
          </w:p>
        </w:tc>
        <w:tc>
          <w:tcPr>
            <w:tcW w:w="20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19,123,961</w:t>
            </w: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Zeitz</w:t>
            </w:r>
          </w:p>
        </w:tc>
        <w:tc>
          <w:tcPr>
            <w:tcW w:w="1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169,954,777</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369,396</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139,677</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19,123,961</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Approval of an Increase in the Number of Shares Available for Issuance Under the Long-Term Incentive Plan. </w:t>
      </w:r>
      <w:r>
        <w:rPr>
          <w:rFonts w:ascii="Times New Roman" w:cs="Times New Roman" w:eastAsia="Times New Roman" w:hAnsi="Times New Roman"/>
          <w:sz w:val="18"/>
          <w:szCs w:val="18"/>
          <w:color w:val="auto"/>
        </w:rPr>
        <w:t>The stockholders approved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16,750,000 shares in the number of shares available for issuance under the Long-Term Incentive Plan by the following votes: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166,790,041</w:t>
            </w:r>
          </w:p>
        </w:tc>
        <w:tc>
          <w:tcPr>
            <w:tcW w:w="2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3,448,249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225,560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19,123,961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Advisory Vote to Approve Executive Compensation</w:t>
      </w:r>
      <w:r>
        <w:rPr>
          <w:rFonts w:ascii="Times New Roman" w:cs="Times New Roman" w:eastAsia="Times New Roman" w:hAnsi="Times New Roman"/>
          <w:sz w:val="18"/>
          <w:szCs w:val="18"/>
          <w:color w:val="auto"/>
        </w:rPr>
        <w:t>. The stockholders approved an advisory non-binding resolution approving the compensation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named executive officers by the following votes: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167,544,279</w:t>
            </w:r>
          </w:p>
        </w:tc>
        <w:tc>
          <w:tcPr>
            <w:tcW w:w="2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2,688,459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231,112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19,123,961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Advisory Vote on the Frequency of Future Advisory Votes to Approve Executive Compensation. </w:t>
      </w:r>
      <w:r>
        <w:rPr>
          <w:rFonts w:ascii="Times New Roman" w:cs="Times New Roman" w:eastAsia="Times New Roman" w:hAnsi="Times New Roman"/>
          <w:sz w:val="18"/>
          <w:szCs w:val="18"/>
          <w:color w:val="auto"/>
        </w:rPr>
        <w:t>The stockholders recommended, on an advisory non-binding basis, that the Company hold future advisory votes on executive compensation every year by the following votes: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Every Year</w:t>
            </w:r>
          </w:p>
        </w:tc>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Every Two Years</w:t>
            </w:r>
          </w:p>
        </w:tc>
        <w:tc>
          <w:tcPr>
            <w:tcW w:w="22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Every Three Years</w:t>
            </w:r>
          </w:p>
        </w:tc>
        <w:tc>
          <w:tcPr>
            <w:tcW w:w="22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21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1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169,336,131</w:t>
            </w: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79,986</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855,009</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192,724</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19,123,961</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Consistent with the stockholders’ advisory vote, the Company’s Board of Directors has determined that the Company will hold advisory votes to approve the compensation of the Company’s named executive officers on an annual basis. These annual advisory votes will continue each year until the next required advisory vote on the frequency of stockholder votes on executive compensation, which will occur no later than the Company’s annual meeting of stockholders in 2032.</w:t>
      </w:r>
    </w:p>
    <w:p>
      <w:pPr>
        <w:spacing w:after="0" w:line="178" w:lineRule="exact"/>
        <w:rPr>
          <w:sz w:val="20"/>
          <w:szCs w:val="20"/>
          <w:color w:val="auto"/>
        </w:rPr>
      </w:pPr>
    </w:p>
    <w:p>
      <w:pPr>
        <w:ind w:left="340" w:right="120" w:hanging="332"/>
        <w:spacing w:after="0" w:line="28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Ratification of PricewaterhouseCoopers LLP as the Company’s Independent Registered Public Accountant</w:t>
      </w:r>
      <w:r>
        <w:rPr>
          <w:rFonts w:ascii="Times New Roman" w:cs="Times New Roman" w:eastAsia="Times New Roman" w:hAnsi="Times New Roman"/>
          <w:sz w:val="18"/>
          <w:szCs w:val="18"/>
          <w:color w:val="auto"/>
        </w:rPr>
        <w:t>. The stockholders ratified the appointment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PricewaterhouseCoopers LLP as the Company’s independent registered public accountant for 2026 by the following votes: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06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Votes Abstained</w:t>
            </w:r>
          </w:p>
        </w:tc>
      </w:tr>
      <w:tr>
        <w:trPr>
          <w:trHeight w:val="209"/>
        </w:trPr>
        <w:tc>
          <w:tcPr>
            <w:tcW w:w="29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189,013,191</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391,995</w:t>
            </w:r>
          </w:p>
        </w:tc>
        <w:tc>
          <w:tcPr>
            <w:tcW w:w="18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182,625</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disclosed in the Proxy Statement, in addition to receiving non-employee director compensation from the Company, Elliott Investment Management L.P. (“</w:t>
      </w:r>
      <w:r>
        <w:rPr>
          <w:rFonts w:ascii="Times New Roman" w:cs="Times New Roman" w:eastAsia="Times New Roman" w:hAnsi="Times New Roman"/>
          <w:sz w:val="18"/>
          <w:szCs w:val="18"/>
          <w:u w:val="single" w:color="auto"/>
          <w:color w:val="auto"/>
        </w:rPr>
        <w:t>Elliott</w:t>
      </w:r>
      <w:r>
        <w:rPr>
          <w:rFonts w:ascii="Times New Roman" w:cs="Times New Roman" w:eastAsia="Times New Roman" w:hAnsi="Times New Roman"/>
          <w:sz w:val="18"/>
          <w:szCs w:val="18"/>
          <w:color w:val="auto"/>
        </w:rPr>
        <w:t>”) and Johannes Weber have entered into a consulting arrangement whereby Mr. Weber is eligible to receive additional compensation from Elliott in connection with his service on the Company’s Board of Directors. Mr. Weber’s compensation under the consulting agreement is based upon, among other things, returns realized by Elliott from their investment in the Company. Mr. Weber’s compensation will be equal to 0.45% of returns realized by Elliott if the Company does not enter into a strategic transaction or 0.90% if it does, subject to a number of conditions in the consulting agreement that could result in a lower payout.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64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10"/>
        </w:trPr>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4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8"/>
        </w:trPr>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00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Uniti Group Inc. 2025 Equity Incentive Plan, as amended and restated February 26, 2026</w:t>
            </w:r>
          </w:p>
        </w:tc>
      </w:tr>
      <w:tr>
        <w:trPr>
          <w:trHeight w:val="453"/>
        </w:trPr>
        <w:tc>
          <w:tcPr>
            <w:tcW w:w="420" w:type="dxa"/>
            <w:vAlign w:val="bottom"/>
          </w:tcPr>
          <w:p>
            <w:pPr>
              <w:spacing w:after="0"/>
              <w:rPr>
                <w:sz w:val="24"/>
                <w:szCs w:val="24"/>
                <w:color w:val="auto"/>
              </w:rPr>
            </w:pPr>
          </w:p>
        </w:tc>
        <w:tc>
          <w:tcPr>
            <w:tcW w:w="3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2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580" w:type="dxa"/>
            <w:vAlign w:val="bottom"/>
          </w:tcPr>
          <w:p>
            <w:pPr>
              <w:spacing w:after="0"/>
              <w:rPr>
                <w:sz w:val="24"/>
                <w:szCs w:val="24"/>
                <w:color w:val="auto"/>
              </w:rPr>
            </w:pPr>
          </w:p>
        </w:tc>
      </w:tr>
      <w:tr>
        <w:trPr>
          <w:trHeight w:val="675"/>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L. Heard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L. Heard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 Vice President – General Counsel and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203" w:lineRule="exact"/>
        <w:rPr>
          <w:sz w:val="20"/>
          <w:szCs w:val="20"/>
          <w:color w:val="auto"/>
        </w:rPr>
      </w:pPr>
    </w:p>
    <w:p>
      <w:pPr>
        <w:jc w:val="both"/>
        <w:ind w:firstLine="656"/>
        <w:spacing w:after="0" w:line="268" w:lineRule="auto"/>
        <w:tabs>
          <w:tab w:leader="none" w:pos="82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Plan</w:t>
      </w:r>
      <w:r>
        <w:rPr>
          <w:rFonts w:ascii="Times New Roman" w:cs="Times New Roman" w:eastAsia="Times New Roman" w:hAnsi="Times New Roman"/>
          <w:sz w:val="18"/>
          <w:szCs w:val="18"/>
          <w:color w:val="auto"/>
        </w:rPr>
        <w:t>. The purpose of this 2025 Equity Incentive Plan (this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attract, retain and motivate the officers, key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and directors of Uniti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Affiliates, and to provide to such persons incentives and rewards for superior performance and contribution.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is hereby amended and restated as of February 26, 2026.</w:t>
      </w:r>
    </w:p>
    <w:p>
      <w:pPr>
        <w:spacing w:after="0" w:line="221" w:lineRule="exact"/>
        <w:rPr>
          <w:sz w:val="20"/>
          <w:szCs w:val="20"/>
          <w:color w:val="auto"/>
        </w:rPr>
      </w:pPr>
    </w:p>
    <w:p>
      <w:pPr>
        <w:ind w:left="840" w:hanging="184"/>
        <w:spacing w:after="0"/>
        <w:tabs>
          <w:tab w:leader="none" w:pos="8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herein have the meanings assigned to such terms in this Section 2.</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corporation that is a Subsidiary of the Company and, for purposes other than the grant of Incentive Stock Options, any limited liability company, partnership, corporation, joint venture, or any other entity in which the Company or any such Subsidiary owns an equity interest.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requirements relating to the administration of equity-based compensation plans under U.S. state corporate laws, U.S. federal and state securities laws, the Code, any stock exchange or quotation system on which the Common Shares are listed or quoted and the applicable laws of any other country or jurisdiction where Awards are granted under this Plan, in each case as applicable to an Award made hereunder.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Appreciation Right</w:t>
      </w:r>
      <w:r>
        <w:rPr>
          <w:rFonts w:ascii="Times New Roman" w:cs="Times New Roman" w:eastAsia="Times New Roman" w:hAnsi="Times New Roman"/>
          <w:sz w:val="18"/>
          <w:szCs w:val="18"/>
          <w:color w:val="auto"/>
        </w:rPr>
        <w:t>” means a right granted pursuant to Section 5 of this Plan, and shall include both Tandem Appreciation Rights and Free-Standing Appreciation Rights.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award of Option Rights, Appreciation Rights, Performance Units, Performance Shares, Restricted Shares, Restricted Stock Units, or other awards granted under Section 10 of this Plan.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Price</w:t>
      </w:r>
      <w:r>
        <w:rPr>
          <w:rFonts w:ascii="Times New Roman" w:cs="Times New Roman" w:eastAsia="Times New Roman" w:hAnsi="Times New Roman"/>
          <w:sz w:val="18"/>
          <w:szCs w:val="18"/>
          <w:color w:val="auto"/>
        </w:rPr>
        <w:t>” means the price to be used as the basis for determining the Spread upon the exercise of a Free-Standing Appreciation Right or a Tandem Appreciation Right.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except as otherwise provided in an Evidence of Award: (a) the Participant’s willful failure to substantially perform his or her duties (other than any such failure due to the Participant’s Disability) or Participant’s insubordination with respect to a specific lawful directive of his/her direct report (if the Participant reports directly to an officer) or the Board (if Participant reports directly to the Board) to which the Participant reports directly or indirectly that continues after written notice from the Company; (b) Participant’s gross negligence or willful misconduct in the performance of his or her duties hereunder, or engaging in willful misconduct, which in the case of any such gross negligence, has caused or is reasonably expected to result in direct or indirect material injury to the Company or any Affiliate; (c) breach by Participant of any material provision of any written agreement, including, without limitation, this Plan, with the Company or any Affiliate that is not cured (if capable of cure) within fifteen (15) days of written notice from the Company (provided that any breach of a breach of any non-competition or non-solicitation obligation shall not be capable of cure), or violation of any Company policy applicable to Participant that caused or is reasonably expected to result in direct or indirect material injury to the Company; or</w:t>
      </w:r>
    </w:p>
    <w:p>
      <w:pPr>
        <w:spacing w:after="0" w:line="6" w:lineRule="exact"/>
        <w:rPr>
          <w:sz w:val="20"/>
          <w:szCs w:val="20"/>
          <w:color w:val="auto"/>
        </w:rPr>
      </w:pPr>
    </w:p>
    <w:p>
      <w:pPr>
        <w:jc w:val="both"/>
        <w:ind w:firstLine="8"/>
        <w:spacing w:after="0" w:line="253"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commission of a crime that constitutes a felony. No act or omission on the Participant’s part shall be considered “willful” unless it is done or omitted in bad faith or without the Participant’s reasonable belief that the action or omission was in the best interests of the Company. If, within sixty (60) days following the Participant’s termination of employment hereunder for other than Cause, the Company in good faith determines that the Participant’s employment could have been terminated for Cause hereunder, Participant’s employment shall, at the election of the Company, be deemed to have been terminated for Cause retroactively to the date the events giving rise to Cause occurred.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except as otherwise provided in an Evidence of Award, the occurrence after the Effective Date (as defined below) of any of the following: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any sale, lease, exchange or other transfer (in one transaction or a series of related transactions) of all or substantially all of the assets of the Company to any Person or group of related Persons for purposes of Section 13(d) of the Exchange Act (a “Group”), together with any affiliates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commencement of the liquidation or dissolution of the Company that occurs following the approval by the holders of capital stock of the Company of any plan or proposal for such liquidation or dissolution of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any Person or Group becomes the beneficial owner (within the meaning of Section 13(d) of the Exchange Act), directly or indirectly, of shares representing more than 50% of the aggregate voting power of the issued and outstanding stock entitled to vote in the election of directors, managers or trustees of the Company and such Person or Group actually has the power to vote such shares in any such election;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 were nominated for election by a majority of the directors who were members of such Board at the beginning of such period; or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a merger or consolidation of the Company with another entity in which holders of the Common Shares immediately prior to the consummation of the transaction hold, directly or indirectly, immediately following the consummation of the transaction, 50% or less of the common equity interest in the surviving corporation in such transaction.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an event described above shall be considered a Change in Control hereunder only if it also constitutes a “change in control event” under Section 409A of the Code, to the extent necessary to avoid the adverse tax consequences thereunder with respect to any Award subject to Section 409A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and the rules and regulations promulgated thereunder, as such law, rules and regulations may be amended, supplemented or replaced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of directors appointed by the Board to administer this Plan. In the absence of a specific appointment, “Committee” means the Compensation Committee of the Board.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means shares of common stock, par value $0.0001, of the Company or any security into which such Common Shares may be changed by reason of any transaction or event of the type referred to in Section 13 of this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Gran</w:t>
      </w:r>
      <w:r>
        <w:rPr>
          <w:rFonts w:ascii="Times New Roman" w:cs="Times New Roman" w:eastAsia="Times New Roman" w:hAnsi="Times New Roman"/>
          <w:sz w:val="18"/>
          <w:szCs w:val="18"/>
          <w:color w:val="auto"/>
        </w:rPr>
        <w:t>t” means the date specified by the Committee on which a grant of an Award shall become effective (which date will not be earlier than the date on which the Committee takes action with respect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except as otherwise provided in an Evidence of Award, that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provided, however, for purposes of determining the term of an Incentive Stock Option,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Evidence of Award</w:t>
      </w:r>
      <w:r>
        <w:rPr>
          <w:rFonts w:ascii="Times New Roman" w:cs="Times New Roman" w:eastAsia="Times New Roman" w:hAnsi="Times New Roman"/>
          <w:sz w:val="18"/>
          <w:szCs w:val="18"/>
          <w:color w:val="auto"/>
        </w:rPr>
        <w:t>” means an agreement, certificate, resolution or other type or form of writing or other evidence approved by the Committee which sets forth the terms and conditions of an Award. An Evidence of Award may be in an electronic medium, may be limited to a notation on the books and records of the Company and, with the approval of the Committee, need not be signed by a representative of the Company or a Participant.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and the rules and regulations promulgated thereunder, as such law, rules and regulations may be amended, supplemented or replaced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Free-Standing Appreciation Righ</w:t>
      </w:r>
      <w:r>
        <w:rPr>
          <w:rFonts w:ascii="Times New Roman" w:cs="Times New Roman" w:eastAsia="Times New Roman" w:hAnsi="Times New Roman"/>
          <w:sz w:val="18"/>
          <w:szCs w:val="18"/>
          <w:color w:val="auto"/>
        </w:rPr>
        <w:t>t” means an Appreciation Right granted pursuant to Section 5 of this Plan that is not granted in tandem with an Option Right.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any one of the following: (a) a diminution in Participant’s base compensation; (b) a reduction in the Participant’s aggregate base compensation and target short-term incentive opportunity, unless such compensation is changed by the Company as part of a change in the Company’s executive compensation program in a manner applied equally to similarly situated Participants; (c) a material diminution in authority, duties, or responsibilities of Participant; (d) a material diminution in the budget over which Participant retains authority; (e) a material change in the geographic location (i.e., to a location more than 35 miles from the Participant’s primary work location prior to such change) at which Participant is required to perform services; (f) any failure by the Company to require a successor to this Plan; and (g) any other action or inaction that constitutes a material breach of the Participant’s employment agreement, if any, with the Company or any Affiliate; provided, however, that for the Participant to be able to resign for “Good Reason,” the Participant must give the Company and the applicable Affiliate, if any, notice of the above conditions within 90 days after the condition first exists, the Company and/or Affiliate must not have remedied the condition within 30 days after receiving written notice, and the Participant must resign within 60 days after the Participant’s and/or Affiliate’s failure to remedy.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means Option Rights that are intended to qualify as “incentive stock options” under Section 422 of the Code or any successor provision.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Objectives</w:t>
      </w:r>
      <w:r>
        <w:rPr>
          <w:rFonts w:ascii="Times New Roman" w:cs="Times New Roman" w:eastAsia="Times New Roman" w:hAnsi="Times New Roman"/>
          <w:sz w:val="18"/>
          <w:szCs w:val="18"/>
          <w:color w:val="auto"/>
        </w:rPr>
        <w:t>” means the measurable performance objective or objectives established pursuant to this Plan for Participants who have received grants of Performance Units or Performance Shares or, when so determined by the Committee, Option Rights, Appreciation Rights, Restricted Shares and Restricted Stock Units pursuant to this Plan. Management Objectives may be described in terms of Company-wide objectives or objectives that are related to the performance of the individual Participant or of the Affiliate, Subsidiary, division, department, region or function within the Company, Affiliate or Subsidiary in which the Participant is employed and may be made relative to the performance of other companies. If the Committee determines that a change in the business, operations, corporate structure or capital structure of the Company, or the manner in which it conducts its business, or other events or circumstances (including those events and circumstances described in Section 13 of this Plan) render the Management Objectives unsuitable, the Committee may, at its discretion, modify such Management Objectives or the related minimum acceptable level of achievement, in whole or in part, as the Committee deems appropriate and equitable.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Value per Share</w:t>
      </w:r>
      <w:r>
        <w:rPr>
          <w:rFonts w:ascii="Times New Roman" w:cs="Times New Roman" w:eastAsia="Times New Roman" w:hAnsi="Times New Roman"/>
          <w:sz w:val="18"/>
          <w:szCs w:val="18"/>
          <w:color w:val="auto"/>
        </w:rPr>
        <w:t>” means, as of any particular date, (i) the closing sale price per Common Share as reported on the principal exchange on which Common Shares are then trading, or if there are no sales on such day, on the next preceding trading day during which a sale occurred, or (ii) if the Common Shares are not then-currently traded on an exchange, the fair market value of a Common Share as determined by the Committee in discretion.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a “non-employee director” within the meaning of Rule 16b-3 under the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 means the optionee named in an agreement evidencing an outstanding Option Right.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means the purchase price payable on exercise of an Option Right.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Right</w:t>
      </w:r>
      <w:r>
        <w:rPr>
          <w:rFonts w:ascii="Times New Roman" w:cs="Times New Roman" w:eastAsia="Times New Roman" w:hAnsi="Times New Roman"/>
          <w:sz w:val="18"/>
          <w:szCs w:val="18"/>
          <w:color w:val="auto"/>
        </w:rPr>
        <w:t>” means the right to purchase Common Shares upon exercise of an option granted pursuant to Section 4 of this Plan.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w:t>
      </w:r>
      <w:r>
        <w:rPr>
          <w:rFonts w:ascii="Times New Roman" w:cs="Times New Roman" w:eastAsia="Times New Roman" w:hAnsi="Times New Roman"/>
          <w:sz w:val="18"/>
          <w:szCs w:val="18"/>
          <w:color w:val="auto"/>
        </w:rPr>
        <w:t>t” means a person who is selected by the Committee to receive benefits under this Plan and who is at the time an officer, consultant or other key employee of the Company or any Affiliate and also includes each Non-Employee Director who receives an Award under this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in respect of a Performance Unit or Performance Share, a period of time established pursuant to Section 6 of this Plan within which the Management Objectives relating to such Performance Share or Performance Unit are to be achieved.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 bookkeeping entry that records the equivalent of one Common Share awarded pursuant to Section 6 of this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w:t>
      </w:r>
      <w:r>
        <w:rPr>
          <w:rFonts w:ascii="Times New Roman" w:cs="Times New Roman" w:eastAsia="Times New Roman" w:hAnsi="Times New Roman"/>
          <w:sz w:val="18"/>
          <w:szCs w:val="18"/>
          <w:color w:val="auto"/>
        </w:rPr>
        <w:t>t” means a bookkeeping entry that records a unit equivalent to $1.00 awarded pursuant to Section 6 of this Plan.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unincorporated organization, trust or joint venture, or a governmental agency or political subdivision thereof.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means Common Shares granted or sold pursuant to Section 7 of this Plan as to which neither the substantial risk of forfeiture nor the prohibition on transfers referred to in such Section 7 has expired.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means an Award made pursuant to Section 8 of this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means the period of time during which Restricted Stock Units are subject to transfer limitations under Section 8 of this Plan.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Spread</w:t>
      </w:r>
      <w:r>
        <w:rPr>
          <w:rFonts w:ascii="Times New Roman" w:cs="Times New Roman" w:eastAsia="Times New Roman" w:hAnsi="Times New Roman"/>
          <w:sz w:val="18"/>
          <w:szCs w:val="18"/>
          <w:color w:val="auto"/>
        </w:rPr>
        <w:t>” means the excess of the Market Value of a Share on the date when an Appreciation Right is exercised, or on the date when Option Rights are surrendered in payment of the Option Price of other Option Rights, over the per share Option Price or per share Base Price provided for in the related Option Right or Free-Standing Appreciation Right,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as that term is defined in Section 424(f) of the Code, or any successor provision.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Tandem Appreciation Right</w:t>
      </w:r>
      <w:r>
        <w:rPr>
          <w:rFonts w:ascii="Times New Roman" w:cs="Times New Roman" w:eastAsia="Times New Roman" w:hAnsi="Times New Roman"/>
          <w:sz w:val="18"/>
          <w:szCs w:val="18"/>
          <w:color w:val="auto"/>
        </w:rPr>
        <w:t>” means an Appreciation Right granted pursuant to Section 5 of this Plan that is granted in tandem with an Option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b w:val="1"/>
          <w:bCs w:val="1"/>
          <w:color w:val="auto"/>
        </w:rPr>
        <w:t>3. Shares Available Under the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Subject to adjustment as provided in Section 13 of this Plan, the number of Common Shares (the “</w:t>
      </w:r>
      <w:r>
        <w:rPr>
          <w:rFonts w:ascii="Times New Roman" w:cs="Times New Roman" w:eastAsia="Times New Roman" w:hAnsi="Times New Roman"/>
          <w:sz w:val="18"/>
          <w:szCs w:val="18"/>
          <w:u w:val="single" w:color="auto"/>
          <w:color w:val="auto"/>
        </w:rPr>
        <w:t>Aggregate Plan Limit</w:t>
      </w:r>
      <w:r>
        <w:rPr>
          <w:rFonts w:ascii="Times New Roman" w:cs="Times New Roman" w:eastAsia="Times New Roman" w:hAnsi="Times New Roman"/>
          <w:sz w:val="18"/>
          <w:szCs w:val="18"/>
          <w:color w:val="auto"/>
        </w:rPr>
        <w:t>”) that may be issued or transferred (i) upon the exercise of Option Rights or Appreciation Rights, (ii) as Restricted Shares, (iii) in payment of Restricted Stock Units, (iv) in payment of Performance Units or Performance Shares that have been earned, (v) as Awards to Non-Employee Directors, (vi) in payment of Awards granted under Section 10 of this Plan, or (vii) in payment of dividend equivalents paid with respect to Awards made under the Plan, shall not exceed in the aggregate (x) 6,000,000 Common Shares, plus (y) any Common Shares subject to awards granted under the Uniti Group Inc. Amended and Restated 2015 Equity Incentive Plan or this Plan that are canceled, terminated, lapsed, expired, forfeited, become unexercisable for any reason, or are settled in cash (in whole or in part) after the closing of the transaction contemplated by that certain Agreement and Plan of Merger dated as of May 3, 2024 between Uniti Group Inc., a Maryland Corporation and Windstream Holdings II, LLC, a Delaware limited liability company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provided, however, that the Aggregate Plan Limit shall be increased to 22,750,000, subject to approval of the Company’s stockholders within one year of February 26, 2026. Notwithstanding anything to the contrary contained herein: (A) Common Shares tendered in payment of the Option Price of an Option Right shall not be added to the Aggregate Plan Limit; (B) Common Shares withheld by the Company to satisfy the tax withholding obligation shall not be added to Aggregate Plan Limit; (C) Common Shares that are repurchased by the Company with Option Right proceeds shall not be added to the Aggregate Plan Limit; and</w:t>
      </w:r>
    </w:p>
    <w:p>
      <w:pPr>
        <w:spacing w:after="0" w:line="2" w:lineRule="exact"/>
        <w:rPr>
          <w:sz w:val="20"/>
          <w:szCs w:val="20"/>
          <w:color w:val="auto"/>
        </w:rPr>
      </w:pPr>
    </w:p>
    <w:p>
      <w:pPr>
        <w:jc w:val="both"/>
        <w:ind w:firstLine="8"/>
        <w:spacing w:after="0" w:line="255" w:lineRule="auto"/>
        <w:tabs>
          <w:tab w:leader="none" w:pos="3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Shares covered by an Appreciation Right, to the extent that it is exercised and settled in Common Shares, and whether or not Common Shares are actually issued to the Participant upon exercise of the right, shall be considered issued or transferred pursuant to the Plan. Such Common Shares may be shares of original issuance or treasury shares or a combination of the foregoing.</w:t>
      </w:r>
    </w:p>
    <w:p>
      <w:pPr>
        <w:spacing w:after="0" w:line="185" w:lineRule="exact"/>
        <w:rPr>
          <w:rFonts w:ascii="Times New Roman" w:cs="Times New Roman" w:eastAsia="Times New Roman" w:hAnsi="Times New Roman"/>
          <w:sz w:val="18"/>
          <w:szCs w:val="18"/>
          <w:color w:val="auto"/>
        </w:rPr>
      </w:pPr>
    </w:p>
    <w:p>
      <w:pPr>
        <w:ind w:firstLine="656"/>
        <w:spacing w:after="0" w:line="282" w:lineRule="auto"/>
        <w:tabs>
          <w:tab w:leader="none" w:pos="83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under this Plan, a Participant has elected to give up the right to receive compensation in exchange for Common Shares based on fair market value, such Common Shares will not count against the number of shares available in Section 3(a) above.</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2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3, or elsewhere in this Plan, to the contrary and subject to adjustment as provided in Section 13 of this Plan, the aggregate number of Common Shares actually issued or transferred by the Company upon the exercise of Incentive Stock Options shall not exceed 6,000,000 Common Shares.</w:t>
      </w:r>
    </w:p>
    <w:p>
      <w:pPr>
        <w:spacing w:after="0" w:line="172" w:lineRule="exact"/>
        <w:rPr>
          <w:sz w:val="20"/>
          <w:szCs w:val="20"/>
          <w:color w:val="auto"/>
        </w:rPr>
      </w:pPr>
    </w:p>
    <w:p>
      <w:pPr>
        <w:jc w:val="both"/>
        <w:ind w:firstLine="656"/>
        <w:spacing w:after="0" w:line="268" w:lineRule="auto"/>
        <w:tabs>
          <w:tab w:leader="none" w:pos="84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Rights</w:t>
      </w:r>
      <w:r>
        <w:rPr>
          <w:rFonts w:ascii="Times New Roman" w:cs="Times New Roman" w:eastAsia="Times New Roman" w:hAnsi="Times New Roman"/>
          <w:sz w:val="18"/>
          <w:szCs w:val="18"/>
          <w:color w:val="auto"/>
        </w:rPr>
        <w:t>. The Committee may, from time to time and upon such terms and conditions as it may determine, authorize the granting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of Option Rights. Each such grant may utilize any or all of the authorizations, and shall be subject to all of the limitations, contained in the following provisions: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Each grant shall specify the number of Common Shares to which it pertains.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Each grant shall specify an Option Price per share, which may not be less than the Market Value per Share on the Date of Grant.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Each grant shall specify whether the Option Price shall be payable (i) in cash or by check acceptable to the Company, (ii) by the actual or constructive transfer to the Company of nonforfeitable, unrestricted Common Shares owned by the Optionee having a value at the time of exercise equal to the total Option Price, on such basis as the Committee may determine, (iii) in any other legal consideration that the Committee may deem appropriate, on such basis as the Committee may determine, or (iv) by a combination of such methods of payment.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To the extent permitted by law, any grant may provide for (i) deferred payment of the Option Price from the proceeds of sale through a bank or broker on a date satisfactory to the Company of some or all of the shares to which such exercise relates; (ii) payment of the Option Price, at the election of the Optionee, in installments or using a promissory note, upon terms determined by the Committee in its discretion; or (iii) any combination of such methods.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Successive grants may be made to the same Participant whether or not any Option Rights previously granted to such Participant remain unexercised.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Each grant shall specify the period or periods of continuous service by the Optionee with the Company or any Affiliate that is necessary before the Option Rights or installments thereof will become exercisable and may provide for accelerated vesting of such Option Rights in the event of a Change in Control, retirement, death or Disability of the Optionee or other similar transaction or event as approved by the Committee.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Any grant of Option Rights may specify Management Objectives that must be achieved as a condition to the exercise of such rights.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Option Rights granted under this Plan may be (i) Incentive Stock Options, that are intended to qualify under Section 422 of the Code (or any successor to such section), (ii) “nonqualified stock options” that are not intended to so qualify, or (iii) a combination of the foregoing. Incentive Stock Options may only be granted to Participants who meet the definition of “employees” under Section 3401(c) of the Code on the Date of Grant.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The exercise of an Option Right shall result in the cancellation on a share-for-share basis of any Tandem Appreciation Right authorized under Section 5 of this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No Option Right shall be exercisable more than 10 years from the Date of Grant.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To the extent an Option Right is not previously exercised as to all of the Common Shares subject thereto, and, if the Market Value per Share is greater than the exercise price then in effect, then the Option Right shall be deemed automatically exercised immediately before its expiration.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Each grant of Option Rights shall be evidenced by an Evidence of Award which shall contain such terms and provisions, consistent with this Plan and applicable sections of the Code, as the Committee may approve.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 Appreciation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The Committee may authorize the granting (i) to any Optionee, of Tandem Appreciation Rights in respect of Option Rights granted hereunder, and (ii) to any Participant, of Free-Standing Appreciation Rights. A Tandem Appreciation Right shall be a right of the Optionee, exercisable by surrender of the related Option Right, to receive from the Company an amount determined by the Committee, which shall be expressed as a percentage of the Spread (not exceeding 100 percent) at the time of exercise. Tandem Appreciation Rights may be granted at any time prior to the exercise or termination of the related Option Rights; provided, however, that a Tandem Appreciation Right awarded in relation to an Incentive Stock Option must be granted concurrently with such Incentive Stock Option. A Free-Standing Appreciation Right shall be a right of the Participant to receive from the Company an amount determined by the Committee, which shall be expressed as a percentage of the Spread (not exceeding 100 percent) at the time of exercise.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Each grant of Appreciation Rights may utilize any or all of the authorizations, and shall be subject to all of the requirements, contained in the following provisions:</w:t>
      </w:r>
    </w:p>
    <w:p>
      <w:pPr>
        <w:spacing w:after="0" w:line="162" w:lineRule="exact"/>
        <w:rPr>
          <w:sz w:val="20"/>
          <w:szCs w:val="20"/>
          <w:color w:val="auto"/>
        </w:rPr>
      </w:pPr>
    </w:p>
    <w:p>
      <w:pPr>
        <w:ind w:firstLine="656"/>
        <w:spacing w:after="0" w:line="282" w:lineRule="auto"/>
        <w:tabs>
          <w:tab w:leader="none" w:pos="8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may specify that the amount payable on exercise of an Appreciation Right may be paid by the Company in cash, in Common Shares or in any combination thereof and may either grant to the Participant or retain in the Committee the right to elect among those alternatives.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may specify that the amount payable on exercise of an Appreciation Right may not exceed a maximum specified by the Committee at the Date of Grant.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shall specify the period or periods of continuous service by the Participant with the Company or any Affiliate that is necessary before the Appreciation Right or installments thereof will become exercisable and may provide for accelerated vesting of such Appreciation Rights in the event of a Change in Control, retirement, death or Disability of the Participant or other similar transaction or event as approved by the Committee.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56"/>
        <w:spacing w:after="0" w:line="266" w:lineRule="auto"/>
        <w:tabs>
          <w:tab w:leader="none" w:pos="9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an Appreciation Right shall be evidenced by an Evidence of Award, which shall describe such Appreciation Right, identify any related Option Right, state that such Appreciation Right is subject to all the terms and conditions of this Plan, and contain such other terms and provisions, consistent with this Plan and applicable sections of the Code, as the Committee may approve.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 Any grant of Tandem Appreciation Rights shall provide that such Rights may be exercised only at a time when the related Option Right is also exercisable and at a time when the Spread is positive, and by surrender of the related Option Right for cancellation.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Regarding Free-Standing Appreciation Rights only:</w:t>
      </w:r>
    </w:p>
    <w:p>
      <w:pPr>
        <w:spacing w:after="0" w:line="225" w:lineRule="exact"/>
        <w:rPr>
          <w:sz w:val="20"/>
          <w:szCs w:val="20"/>
          <w:color w:val="auto"/>
        </w:rPr>
      </w:pPr>
    </w:p>
    <w:p>
      <w:pPr>
        <w:ind w:firstLine="656"/>
        <w:spacing w:after="0" w:line="282" w:lineRule="auto"/>
        <w:tabs>
          <w:tab w:leader="none" w:pos="8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shall specify in respect of each Free-Standing Appreciation Right a Base Price, which shall not be less than the Market Value per Share on the Date of Grant;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grants may be made to the same Participant regardless of whether any Free-Standing Appreciation Rights previously granted to the Participant remain unexercised;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Free-Standing Appreciation Right granted under this Plan may be exercised more than 10 years from the Date of Grant.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To the extent an Appreciation Right is not previously exercised as to all of the Common Shares subject thereto, and, if the Market Value per Share is greater than the exercise price then in effect, then the Appreciation Right shall be deemed automatically exercised immediately before its expiration.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Any grant of Appreciation Rights may specify Management Objectives that must be achieved as a condition to exercise such rights.</w:t>
      </w:r>
    </w:p>
    <w:p>
      <w:pPr>
        <w:spacing w:after="0" w:line="221" w:lineRule="exact"/>
        <w:rPr>
          <w:sz w:val="20"/>
          <w:szCs w:val="20"/>
          <w:color w:val="auto"/>
        </w:rPr>
      </w:pPr>
    </w:p>
    <w:p>
      <w:pPr>
        <w:jc w:val="both"/>
        <w:ind w:firstLine="656"/>
        <w:spacing w:after="0" w:line="268" w:lineRule="auto"/>
        <w:tabs>
          <w:tab w:leader="none" w:pos="8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Units and Performance Shares</w:t>
      </w:r>
      <w:r>
        <w:rPr>
          <w:rFonts w:ascii="Times New Roman" w:cs="Times New Roman" w:eastAsia="Times New Roman" w:hAnsi="Times New Roman"/>
          <w:sz w:val="18"/>
          <w:szCs w:val="18"/>
          <w:color w:val="auto"/>
        </w:rPr>
        <w:t>. The Committee may also authorize the granting to Participants of Performance Units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Shares that will become payable to a Participant upon achievement of specified Management Objectives. Each such grant may utilize any or all of the authorizations, and shall be subject to all of the limitations, contained in the following provisions: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Each grant shall specify the number of Performance Units or Performance Shares to which it pertains, which number may be subject to adjustment to reflect changes in compensation or other factors.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Performance Period with respect to each Performance Unit or Performance Share shall be such period of time commencing with the Date of Grant as shall be determined by the Committee at the time of grant. Each grant may provide for the earlier lapse or other modification of such Performance Period in the event of a Change in Control, retirement, or death or Disability of the Participant or other similar transaction or event as approved by the Committee.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Each grant shall specify the time and manner of payment of Performance Units or Performance Shares that have been earned. Any grant may specify that the amount payable with respect thereto may be paid by the Company to the Participant in cash, in Common Shares or in any combination thereof, and may either grant to the Participant or retain in the Committee the right to elect among those alternatives.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Any grant of Performance Units may specify that the amount payable or the number of Common Shares issued with respect thereto may not exceed maximums specified by the Committee at the Date of Grant. Any grant of Performance Shares may specify that the amount payable with respect thereto may not exceed a maximum specified by the Committee at the Date of Grant.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Each grant of Performance Units or Performance Shares shall be evidenced by an Evidence of Award, which shall contain such terms and provisions, consistent with this Plan and applicable sections of the Code, as the Committee may approve.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The Committee may, at the Date of Grant of Performance Shares, provide for the payment of dividend equivalents to the holder thereof on either a current or deferred or contingent basis, either in cash or in additional Common Shares. Notwithstanding the foregoing, in no event shall dividend equivalents be paid prior to the vesting or settlement of the underlying Award.</w:t>
      </w:r>
    </w:p>
    <w:p>
      <w:pPr>
        <w:spacing w:after="0" w:line="172" w:lineRule="exact"/>
        <w:rPr>
          <w:sz w:val="20"/>
          <w:szCs w:val="20"/>
          <w:color w:val="auto"/>
        </w:rPr>
      </w:pPr>
    </w:p>
    <w:p>
      <w:pPr>
        <w:ind w:firstLine="656"/>
        <w:spacing w:after="0" w:line="286" w:lineRule="auto"/>
        <w:tabs>
          <w:tab w:leader="none" w:pos="82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The Committee may also authorize the grant or sale of Restricted Shares to Participants. Each such grant or sale may utilize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or all of the authorizations, and shall be subject to all of the limitations, contained in the following provisions: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such grant or sale shall constitute an immediate transfer of the ownership of Common Shares to the Participant in consideration of the performance of services, entitling such Participant to voting, dividend and other ownership rights (unless otherwise determined by the Committee), but subject to the substantial risk of forfeiture and restrictions on transfer hereinafter referred 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Each such grant or sale may be made without additional consideration or in consideration of a payment by such Participant that is less than Market Value per Share at the Date of Grant.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Each such grant or sale shall provide that the Restricted Shares covered by such grant or sale shall be subject to a “substantial risk of forfeiture” within the meaning of Section 83 of the Code for a period to be determined by the Committee at the Date of Grant and may provide for the earlier lapse of such substantial risk of forfeiture in the event of a Change in Control, retirement, or death or Disability of the Participant or other similar transaction or event as approved by the Committee.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Each such grant or sale shall provide that during the period for which such substantial risk of forfeiture is to continue, the transferability of the Restricted Shares shall be prohibited or restricted in the manner and to the extent prescribed by the Committee at the Date of Grant (which restrictions may include, without limitation, rights of repurchase or first refusal in the Company or provisions subjecting the Restricted Shares to a continuing substantial risk of forfeiture in the hands of any transferee).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Any grant of Restricted Shares may specify Management Objectives that, if achieved, will result in termination or early termination of the restrictions applicable to such shares.</w:t>
      </w:r>
    </w:p>
    <w:p>
      <w:pPr>
        <w:spacing w:after="0" w:line="162"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f. Any such grant or sale of Restricted Shares may require that any or all dividends or other distributions paid thereon during the period of such restrictions be automatically deferred and reinvested in additional Restricted Shares, which may be subject to the same restrictions as the underlying Award.</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Each grant or sale of Restricted Shares shall be evidenced by an Evidence of Award, which shall contain such terms and provisions, consistent with this Plan and applicable sections of the Code, as the Committee may approve. Unless otherwise directed by the Committee, all certificates representing Restricted Shares shall be held in custody by the Company until all restrictions thereon shall have lapsed, together with a stock power or powers executed by the Participant in whose name such certificates are registered, endorsed in blank and covering such Shares.</w:t>
      </w:r>
    </w:p>
    <w:p>
      <w:pPr>
        <w:spacing w:after="0" w:line="176" w:lineRule="exact"/>
        <w:rPr>
          <w:sz w:val="20"/>
          <w:szCs w:val="20"/>
          <w:color w:val="auto"/>
        </w:rPr>
      </w:pPr>
    </w:p>
    <w:p>
      <w:pPr>
        <w:ind w:right="20" w:firstLine="656"/>
        <w:spacing w:after="0" w:line="286" w:lineRule="auto"/>
        <w:tabs>
          <w:tab w:leader="none" w:pos="83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The Committee may also authorize the grant or sale of Restricted Stock Units to Participants. Each such grant or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utilize any or all of the authorizations, and shall be subject to all of the requirements contained in the following provisions: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such grant or sale shall constitute the agreement by the Company to deliver Common Shares, pay an amount in cash, or pay a combination of Common Shares and cash to the Participant in the future in consideration of the performance of services, but subject to the fulfillment of such conditions during the Restriction Period as the Committee may specify.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Each such grant or sale may be made without additional consideration or in consideration of a payment by such Participant that is less than the Market Value per Share at the Date of Grant.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Each such grant or sale shall be subject to a Restriction Period as determined by the Committee at the Date of Grant, and may provide for the earlier lapse or other modification of such Restriction Period in the event of a Change in Control, retirement, or death or Disability of the Participant or other similar transaction or event as approved by the Committee.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Any grant of Restricted Stock Units may specify Management Objectives that, if achieved, will result in termination or early termination of the Restriction Period applicable to such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During the Restriction Period, the Participant shall have no right to transfer any rights under his or her Award and shall have no rights of ownership in the Restricted Stock Units and shall have no right to vote them, but the Committee may, at the Date of Grant, authorize the payment of dividend equivalents on such Restricted Stock Units on either a current or deferred or contingent basis, either in cash or in additional Common Shares. Notwithstanding the foregoing, in no event shall dividend equivalents be paid prior to the vesting of the underlying Award.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Each grant or sale of Restricted Stock Units shall be evidenced by an Evidence of Award, which shall contain such terms and provisions, consistent with this Plan and applicable sections of the Code, as the Committee may approve.</w:t>
      </w:r>
    </w:p>
    <w:p>
      <w:pPr>
        <w:spacing w:after="0" w:line="158" w:lineRule="exact"/>
        <w:rPr>
          <w:sz w:val="20"/>
          <w:szCs w:val="20"/>
          <w:color w:val="auto"/>
        </w:rPr>
      </w:pPr>
    </w:p>
    <w:p>
      <w:pPr>
        <w:jc w:val="both"/>
        <w:ind w:firstLine="656"/>
        <w:spacing w:after="0" w:line="257" w:lineRule="auto"/>
        <w:tabs>
          <w:tab w:leader="none" w:pos="82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 to Non-Employee Directors</w:t>
      </w:r>
      <w:r>
        <w:rPr>
          <w:rFonts w:ascii="Times New Roman" w:cs="Times New Roman" w:eastAsia="Times New Roman" w:hAnsi="Times New Roman"/>
          <w:sz w:val="18"/>
          <w:szCs w:val="18"/>
          <w:color w:val="auto"/>
        </w:rPr>
        <w:t>. The Board may, from time to time and upon such terms and conditions as it may determine, authorize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or sale of Restricted Shares under Section 7 of this Plan, Restricted Stock Units under Section 8 of this Plan or other Awards under Section 10 of this Plan, or any combination of the foregoing. For clarity, the authority to grant Awards to Non-Employee Directors pursuant to this Plan rests exclusively with the Board (and, for the avoidance of doubt, not with the Committee), except to the extent expressly delegated by the Board to a committee or person(s) pursuant to Section 10. The maximum number of Common Shares subject to Awards granted during a single calendar year to any Non-Employee Director shall not exceed a total value of $750,000 (based on the Market Value per Share on the Date of Grant).</w:t>
      </w:r>
    </w:p>
    <w:p>
      <w:pPr>
        <w:spacing w:after="0" w:line="182"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The Committee is authorized, subject to limitations under applicable law, to grant to any Participant such other awards that may be denominated or payable in, valued in whole or in part by reference to, or otherwise based on, or related to, Common Shares or factors that may influence the value of Common Shares, including, without limitation, convertible or exchangeable debt securities, other rights convertible or exchangeable into Common Shares, purchase rights for Common Shares, awards with value and payment contingent upon performance of the Company or business units thereof or any other factors designated by the Committee, and awards valued by reference to the book value of Common Shares or the value of securities of, or the performance of specified Subsidiaries or Affiliates or other business units of, the Company. The Committee shall determine the terms and conditions of such awards. Common Shares delivered pursuant to an award in the nature of a purchase right granted under this Section 10 shall be purchased for such consideration, paid for at such times, by such methods, and in such forms, including, without limitation, cash, Common Shares, other awards, notes or other property, as the Committee shall determine.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Cash awards, as an element of or supplement to any other Award granted under this Plan, may also be granted pursuant to this Section 10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 The Committee is authorized to grant Common Shares as a bonus, or to grant Common Shares or other awards in lieu of obligations of the Company or an Affiliate to pay cash or deliver other property under the Plan or under other plans or compensatory arrangements, subject to such terms as shall be determined by the Committee.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56"/>
        <w:spacing w:after="0" w:line="257" w:lineRule="auto"/>
        <w:tabs>
          <w:tab w:leader="none" w:pos="921"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Minimum Vesting</w:t>
      </w:r>
      <w:r>
        <w:rPr>
          <w:rFonts w:ascii="Times New Roman" w:cs="Times New Roman" w:eastAsia="Times New Roman" w:hAnsi="Times New Roman"/>
          <w:sz w:val="18"/>
          <w:szCs w:val="18"/>
          <w:color w:val="auto"/>
        </w:rPr>
        <w:t>. Notwithstanding anything to the contrary herein, no portion of any Award shall vest in less than one year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grant. For the avoidance of doubt, such minimum vesting requirements shall not apply in the event of (i) the Participant’s death or Disability, (ii) a termination of the Participant’s employment or service by the Company without Cause or by the Participant for Good Reason, (iii) a Change in Control (subject to the requirements under the Plan and Section 3(d)) and (iv) the Committee granting Awards that are not subject to such minimum vesting requirements with respect to five (5) percent or less of the Common Shares available for issuance under the Plan (as set forth in Section 3(a)), as may be adjusted pursuant to Section 13.</w:t>
      </w:r>
    </w:p>
    <w:p>
      <w:pPr>
        <w:spacing w:after="0" w:line="182"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Except as otherwise determined by the Committee, no Option Right, Appreciation Right or other derivative security granted under the Plan shall be transferable by a Participant other than by will or the laws of descent and distribution. Except as otherwise determined by the Committee, Option Rights and Appreciation Rights shall be exercisable during the Optionee’s lifetime only by him or her or by his or her guardian or legal representative.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Committee may specify at the Date of Grant that part or all of the Common Shares that are (i) to be issued or transferred by the Company upon the exercise of Option Rights or Appreciation Rights, upon the termination of the Restriction Period applicable to Restricted Stock Units or upon payment under any grant of Performance Units or Performance Shares or (ii) no longer subject to the substantial risk of forfeiture and restrictions on transfer referred to in Section 7 of this Plan, shall be subject to further restrictions on transfer.</w:t>
      </w:r>
    </w:p>
    <w:p>
      <w:pPr>
        <w:spacing w:after="0" w:line="176" w:lineRule="exact"/>
        <w:rPr>
          <w:sz w:val="20"/>
          <w:szCs w:val="20"/>
          <w:color w:val="auto"/>
        </w:rPr>
      </w:pPr>
    </w:p>
    <w:p>
      <w:pPr>
        <w:jc w:val="both"/>
        <w:ind w:firstLine="656"/>
        <w:spacing w:after="0" w:line="254" w:lineRule="auto"/>
        <w:tabs>
          <w:tab w:leader="none" w:pos="918"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The Committee shall make or provide for such adjustments in the numbers of Common Shares covered by outstanding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Appreciation Rights, Performance Shares, Restricted Stock Units and share-based awards described in Section 10 of this Plan granted hereunder, in the Option Price and Base Price provided in outstanding Option Rights and Appreciation Rights, and in the kind of shares covered thereby, as the Committee, in its discretion, exercised in good faith, may determine is equitably required to prevent dilution or enlargement of the rights of Participants or Optionees that otherwise would result from (a) any stock dividend, stock split, combination of shares, recapitalization or other change in the capital structure of the Company, or (b) any merger, consolidation, spin-off, split-off, spin-out, split-up, reorganization, partial or complete liquidation or other distribution of assets (including, without limitation, a special or large non-recurring dividend), issuance of rights or warrants to purchase securities, or</w:t>
      </w:r>
    </w:p>
    <w:p>
      <w:pPr>
        <w:jc w:val="both"/>
        <w:ind w:firstLine="8"/>
        <w:spacing w:after="0" w:line="251" w:lineRule="auto"/>
        <w:tabs>
          <w:tab w:leader="none" w:pos="2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corporate transaction or event having an effect similar to any of the foregoing. Moreover, in the event of any such transaction or event, the Committee, in its discretion, may provide in substitution for any or all outstanding Awards under this Plan such alternative consideration (including cash) as it, in good faith, may determine to be equitable in the circumstances and may require in connection therewith the surrender of all Awards so replaced. The Committee may also make or provide for such adjustments in the numbers of shares specified in Section 3 of this Plan as the Committee, in its discretion, exercised in good faith, may determine is appropriate to reflect any transaction or event described in this Section 13; provided, however, that any such adjustment to the number specified in Section 3(c) shall be made only if and to the extent that such adjustment would not cause any Option intended to qualify as an Incentive Stock Option to fail so to qualify. In no event shall any adjustment be required under this Section 13 if the Committee determines that such action could cause an Award to fail to satisfy the conditions of an applicable exception from the requirements of Section 409A of the Code or otherwise could subject a Participant to the additional tax imposed under Section 409A in respect of an outstanding Award.</w:t>
      </w:r>
    </w:p>
    <w:p>
      <w:pPr>
        <w:spacing w:after="0" w:line="189" w:lineRule="exact"/>
        <w:rPr>
          <w:rFonts w:ascii="Times New Roman" w:cs="Times New Roman" w:eastAsia="Times New Roman" w:hAnsi="Times New Roman"/>
          <w:sz w:val="18"/>
          <w:szCs w:val="18"/>
          <w:color w:val="auto"/>
        </w:rPr>
      </w:pPr>
    </w:p>
    <w:p>
      <w:pPr>
        <w:ind w:firstLine="656"/>
        <w:spacing w:after="0" w:line="286" w:lineRule="auto"/>
        <w:tabs>
          <w:tab w:leader="none" w:pos="931"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Fractional Shares</w:t>
      </w:r>
      <w:r>
        <w:rPr>
          <w:rFonts w:ascii="Times New Roman" w:cs="Times New Roman" w:eastAsia="Times New Roman" w:hAnsi="Times New Roman"/>
          <w:sz w:val="18"/>
          <w:szCs w:val="18"/>
          <w:color w:val="auto"/>
        </w:rPr>
        <w:t>. The Company shall not be required to issue any fractional Common Shares pursuant to this Plan.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the elimination of fractions or for the settlement of fractions in cash.</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656"/>
        <w:spacing w:after="0" w:line="256" w:lineRule="auto"/>
        <w:tabs>
          <w:tab w:leader="none" w:pos="91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The Company shall have the right to deduct from any payment or benefit realized under this Plan an amount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local, foreign and other taxes which in the opinion of the Company are required to be withheld by it with respect to such payment or benefit. To the extent that the amounts available to the Company for such withholding are insufficient, it shall be a condition to the receipt of such payment or the realization of such benefit that the Participant or other recipient make arrangements satisfactory to the Company for payment of the balance of such taxes required to be withheld. At the discretion of the Committee, such arrangements may include relinquishment of a portion of such benefit pursuant to procedures adopted by the Committee from time to time. The Company and a Participant or such other recipient may also make similar arrangements with respect to the payment of any taxes with respect to which withholding is not required.</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2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Employees</w:t>
      </w:r>
      <w:r>
        <w:rPr>
          <w:rFonts w:ascii="Times New Roman" w:cs="Times New Roman" w:eastAsia="Times New Roman" w:hAnsi="Times New Roman"/>
          <w:sz w:val="18"/>
          <w:szCs w:val="18"/>
          <w:color w:val="auto"/>
        </w:rPr>
        <w:t>. In order to facilitate the making of any grant or combination of grants under this Plan, the Committee may provide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special terms for Awards to Participants who are foreign nationals or who are employed by the Company or any Affiliate outside of the United States of America as the Committee may consider necessary or appropriate to accommodate differences in local law, tax policy or custom. Moreover, the Committee may approve such supplements to or amendments, restatements or alternative versions of this Plan as it may consider necessary or appropriate for such purposes, without thereby affecting the terms of this Plan as in effect for any other purpose, and the Corporate Secretary or other appropriate officer of the Company may certify any such document as having been approved and adopted in the same manner as this Plan. No such special terms, supplements, amendments or restatements, however, shall include any provisions that are inconsistent with the terms of this Plan as then in effect unless this Plan could have been amended to eliminate such inconsistency without further approval by the stockholders of the Company.</w:t>
      </w:r>
    </w:p>
    <w:p>
      <w:pPr>
        <w:spacing w:after="0" w:line="184"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Committee shall administer this Plan or delegate its authority to do so as provided in Section 17(c) hereof or, in the Board’s sole discretion or in the absence of the Committee, the Board shall administer this Plan; provided that the authority to grant Awards to Non-Employee Directors pursuant to this Plan rests exclusively with the Board (and, for the avoidance of doubt, not with the Committee), and each reference in this Plan to the Committee shall be deemed, when used in the context of any Award(s) made or to be made to a Non-Employee Director, a reference to the Board. The Committee, or if no Committee has been appointed, the Board, may delegate administration of the Plan to a committee or committees of one or more members of the Board, and the term “Committee” shall apply to any such committee, person(s) to whom such authority has been delegated. The Committee shall have the power to delegate to a subcommittee any of the administrative powers the Committee is authorized to exercise (and references in this Plan to the Committee shall thereafter be to the committee or subcommittee), subject, however, to such resolutions, not inconsistent with the provisions of the Plan, as may be adopted from time to time by the Board. The Board may abolish, suspend or supersede the Committee at any time and revest in the Board the administration of the Plan.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Subject to the express provisions of the Plan, the Committee shall have plenary authority, in its discretion, to determine the individuals to whom, and the time or times at which, Awards shall be granted and the number of shares, if applicable, to be subject to each Award. In making such determinations, the Committee may take into account the nature of services rendered by the respective individuals, their present and potential contributions to the Company’s success and such other factors as the Committee deems relevant. Subject to the express provisions of the Plan, the Committee shall also have plenary discretionary authority to interpret the Plan, to prescribe, amend and rescind rules and regulations relating to it, to determine the terms and provisions of the respective Evidence of Award (which need not be identical) and to make all other determinations necessary or advisable for the administration of the Plan. The interpretation and construction by the Committee of any provision of this Plan or of any Evidence of Award and any determination by the Board pursuant to any provision of this Plan or of any such Evidence of Award shall be final, conclusive and binding on the Company and the Participants, unless such decisions are determined by a court having jurisdiction to be arbitrary and capricious. No member of the Board or the Committee shall be liable for any such action or determination made in good faith.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To the extent permitted by applicable law, the Committee may delegate to one or more of its members or to one or more officers of the Company, or to one or more agents or advisors, such administrative duties or powers as it may deem advisable, and the Committee, or any person(s) or committee to whom duties or powers have been delegated as aforesaid, may employ one or more persons to render advice with respect to any responsibility the Committee or such person or committee may have under the Plan. To the extent permitted by applicable law, the Committee may, by resolution, authorize one or more officers of the Company to do one or both of the following on the same basis as the Committee: (i) designate employees to be recipients of Awards under this Plan; (ii) determine the size of any such Awards; provided, however, that (A) the Committee shall not delegate such responsibilities to any such officer for Awards granted to an employee who is an officer, Director, or more than 10% beneficial owner of any class of the Company’s equity securities that is registered pursuant to Section 12 of the Exchange Act, as determined by the Committee in accordance with Section 16 of the Exchange Act; (B) the resolution providing for such authorization sets forth the total number of Common Shares such officer(s) may grant; and</w:t>
      </w:r>
    </w:p>
    <w:p>
      <w:pPr>
        <w:spacing w:after="0" w:line="6" w:lineRule="exact"/>
        <w:rPr>
          <w:sz w:val="20"/>
          <w:szCs w:val="20"/>
          <w:color w:val="auto"/>
        </w:rPr>
      </w:pPr>
    </w:p>
    <w:p>
      <w:pPr>
        <w:ind w:firstLine="8"/>
        <w:spacing w:after="0" w:line="260" w:lineRule="auto"/>
        <w:tabs>
          <w:tab w:leader="none" w:pos="3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shall report periodically to the Committee, as the case may be, regarding the nature and scope of the Awards granted pursuant to the authority delegated.</w:t>
      </w:r>
    </w:p>
    <w:p>
      <w:pPr>
        <w:spacing w:after="0" w:line="181" w:lineRule="exact"/>
        <w:rPr>
          <w:rFonts w:ascii="Times New Roman" w:cs="Times New Roman" w:eastAsia="Times New Roman" w:hAnsi="Times New Roman"/>
          <w:sz w:val="18"/>
          <w:szCs w:val="18"/>
          <w:color w:val="auto"/>
        </w:rPr>
      </w:pPr>
    </w:p>
    <w:p>
      <w:pPr>
        <w:jc w:val="both"/>
        <w:ind w:firstLine="656"/>
        <w:spacing w:after="0" w:line="261" w:lineRule="auto"/>
        <w:tabs>
          <w:tab w:leader="none" w:pos="85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authority granted to the Committee may also be exercised by the Board or another committee of the Board duly appointed for such purpose. To the extent that any permitted action taken by the Board conflicts with action taken by the Committee, the Board action shall control. Without limiting the generality of the foregoing, to the extent the Board has delegated any authority under this Plan to another committee of the Board, such authority shall not be exercised by the Committee unless expressly permitted by the Board in connection with such delegation.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discretion to determine whether or not it intends to comply with the exemption requirements of Rule 16b-3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18. Amendments and Other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The Board may at any time and from time to time amend the Plan in whole or in part; provided, however, that any amendment which must be approved by the stockholders of the Company in order to comply with applicable law or the rules of the NASDAQ Global Stock Market shall not be effective unless and until such approval has been obtained. Presentation of this Plan or any amendment thereof for stockholder approval shall not be construed to limit the Company’s authority to offer similar or dissimilar benefits under other plans or otherwise with or without stockholder approval. Without limiting the generality of the foregoing, the Board may amend this Plan to eliminate provisions which are no longer necessary as a result in changes in tax or securities laws or regulations, or in the interpretation thereof.</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Neither the Board nor the Committee shall, without the further approval of the stockholders of the Company, authorize the amendment of any outstanding Option Right or Appreciation Right to reduce the Option Price or Base Price. Furthermore, without further approval of the stockholders of the Company, (i) no Option Right or Appreciation Right shall be cancelled and replaced with an Award having a lower Option Price or Base Price, (ii) no Option Right or Appreciation Right shall be cancelled in exchange for cash if the per share Option Price or per share Base Price exceeds the Market Value per Share on the date of such cancellation, and (iii) there shall be no cancellation of “underwater” Option Rights in exchange for other Awards under this Plan. This Section 18(b) is intended to prohibit the repricing of “underwater” Option Rights and Appreciation Rights and shall not be construed to prohibit the adjustments provided for in Section 13 of this Plan.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To the extent consistent with Section 409A of the Code, the Committee also may permit Participants to elect to defer the issuance of Common Shares or the settlement of Awards in cash under the Plan pursuant to such rules, procedures or programs as it may establish for purposes of this Plan. The Committee also may provide that deferred issuances and settlements include the payment or crediting of dividend equivalents or interest on the deferral amounts.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If permitted by Section 409A of the Code, in case of termination of employment by reason of death, Disability or normal or early retirement, or in the case of hardship or other special circumstances, of a Participant who holds an Option Right or Appreciation Right not immediately exercisable in full, or any Restricted Shares as to which the substantial risk of forfeiture or the prohibition or restriction on transfer has not lapsed, or any Restricted Stock Units as to which the Restriction Period has not been completed, or any Performance Shares or Performance Units which have not been fully earned, or any other Awards made pursuant to Section 10 subject to any vesting schedule or transfer restriction, or who holds Common Shares subject to any transfer restriction imposed pursuant to Section 12(b) of this Plan, the Committee may, at its discretion, accelerate the time at which such Option Right, Appreciation Right or other Award may be exercised or the time at which such substantial risk of forfeiture or prohibition or restriction on transfer will lapse or the time when such Restriction Period will end or the time at which such Performance Shares or Performance Units will be deemed to have been fully earned or the time when such transfer restriction will terminate or may waive any other limitation or requirement under any such Award.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This Plan shall not confer upon any Participant any right with respect to continuance of employment or other service with the Company or any Affiliate, nor shall it interfere in any way with any right the Company or any Affiliate would otherwise have to terminate such Participant’s employment or other service at any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To the extent that any provision of this Plan would prevent any Option Right that was intended to qualify as an Incentive Stock Option from qualifying as such, that provision shall be null and void with respect to such Option Right. Such provision, however, shall remain in effect for other Option Rights and there shall be no further effect on any provision of this Plan.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Subject to Section 21, this Plan shall continue in effect until the date on which all Common Shares available for issuance or transfer under this Plan have been issued or transferred and the Company has no further obligation 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 Neither a Participant nor any other person shall, by reason of participation in the Plan, acquire any right or title to any assets, funds or property of the Company or any Affiliate, including without limitation, any specific funds, assets or other property which the Company or any Affiliate may set aside in anticipation of any liability under the Plan. A Participant shall have only a contractual right to an Award or the amounts, if any, payable under the Plan, unsecured by any assets of the Company or any Affiliate, and nothing contained in the Plan shall constitute a guarantee that the assets of the Company or any Affiliate shall be sufficient to pay any benefits to any person.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This Plan and each Evidence of Award shall be governed by the laws of the State of Delaware, excluding any conflicts or choice of law rule or principle that might otherwise refer construction or interpretation of the Plan to the substantive law of another jurisdiction.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j.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(“Clawback Policy”). In addition, a Participant may be required to repay to the Company previously paid compensation, whether provided pursuant to the Plan or an Evidence of Award,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In the event any provision of this Plan shall be held illegal or invalid for any reason, the illegality or invalidity shall not affect the remaining parts of this Plan, and this Plan shall be construed and enforced as if the illegal or invalid provision had not been included.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56"/>
        <w:spacing w:after="0" w:line="253" w:lineRule="auto"/>
        <w:tabs>
          <w:tab w:leader="none" w:pos="92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Section 409A of the Code</w:t>
      </w:r>
      <w:r>
        <w:rPr>
          <w:rFonts w:ascii="Times New Roman" w:cs="Times New Roman" w:eastAsia="Times New Roman" w:hAnsi="Times New Roman"/>
          <w:sz w:val="18"/>
          <w:szCs w:val="18"/>
          <w:color w:val="auto"/>
        </w:rPr>
        <w:t>. Awards granted under this Plan shall be designed and administered in such a manner that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either exempt from the application of, or comply with, the requirements of Section 409A of the Code. To the extent that the Committee determines that any Award granted under the Plan is subject to Section 409A of the Code, the Evidence of Award shall incorporate the terms and conditions necessary to avoid the imposition of an additional tax under Section 409A of the Code upon a Participant. Notwithstanding any other provision of the Plan or any Evidence of Award (unless the Evidence of Award provides otherwise with specific reference to this Section), an Award shall not be granted, deferred, accelerated, extended, paid out, settled, substituted or modified under this Plan in a manner that would result in the imposition of an additional tax under Section 409A of the Code upon a Participant.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Neither the Company, its Affiliates, nor their respective directors, officers, employees or advisers shall be liable to any Participant (or any other individual claiming a benefit through the Participant) for any tax, interest, or penalties the Participant might owe as a result of the grant, holding, vesting, exercise, or payment of any Award under the Plan. Any reference in this Plan to Section 409A of the Code will also include the applicable proposed, temporary or final regulations, or any other guidance, issued with respect to such Section by the U.S. Department of the Treasury or the Internal Revenue Service.</w:t>
      </w:r>
    </w:p>
    <w:p>
      <w:pPr>
        <w:spacing w:after="0" w:line="187"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To the extent that federal laws do not otherwise control, this Plan and all determinations made and actions taken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shall be governed by the laws of Delaware, without giving effect to principles of conflicts of laws, and construed accordingly.</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4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r>
        <w:rPr>
          <w:rFonts w:ascii="Times New Roman" w:cs="Times New Roman" w:eastAsia="Times New Roman" w:hAnsi="Times New Roman"/>
          <w:sz w:val="18"/>
          <w:szCs w:val="18"/>
          <w:color w:val="auto"/>
        </w:rPr>
        <w:t>. This Plan shall terminate 10 years after the Effective Date, and no award(s) shall be made hereunder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such 10 year period. Awards outstanding at the termination of the Plan will continue in accordance with their terms and will not be affected by such termination.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3"/>
    </w:lvl>
  </w:abstractNum>
  <w:abstractNum w:abstractNumId="4">
    <w:nsid w:val="7FDCC233"/>
    <w:multiLevelType w:val="hybridMultilevel"/>
    <w:lvl w:ilvl="0">
      <w:lvlJc w:val="left"/>
      <w:lvlText w:val="%1."/>
      <w:numFmt w:val="decimal"/>
      <w:start w:val="4"/>
    </w:lvl>
  </w:abstractNum>
  <w:abstractNum w:abstractNumId="5">
    <w:nsid w:val="1BEFD79F"/>
    <w:multiLevelType w:val="hybridMultilevel"/>
    <w:lvl w:ilvl="0">
      <w:lvlJc w:val="left"/>
      <w:lvlText w:val="%1."/>
      <w:numFmt w:val="decimal"/>
      <w:start w:val="5"/>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2"/>
    </w:lvl>
  </w:abstractNum>
  <w:abstractNum w:abstractNumId="8">
    <w:nsid w:val="4E6AFB66"/>
    <w:multiLevelType w:val="hybridMultilevel"/>
    <w:lvl w:ilvl="0">
      <w:lvlJc w:val="left"/>
      <w:lvlText w:val="(%1)"/>
      <w:numFmt w:val="lowerLetter"/>
      <w:start w:val="4"/>
    </w:lvl>
  </w:abstractNum>
  <w:abstractNum w:abstractNumId="9">
    <w:nsid w:val="25E45D32"/>
    <w:multiLevelType w:val="hybridMultilevel"/>
    <w:lvl w:ilvl="0">
      <w:lvlJc w:val="left"/>
      <w:lvlText w:val="(%1)"/>
      <w:numFmt w:val="upperLetter"/>
      <w:start w:val="4"/>
    </w:lvl>
    <w:lvl w:ilvl="1">
      <w:lvlJc w:val="left"/>
      <w:lvlText w:val="%2."/>
      <w:numFmt w:val="lowerLetter"/>
      <w:start w:val="2"/>
    </w:lvl>
  </w:abstractNum>
  <w:abstractNum w:abstractNumId="10">
    <w:nsid w:val="519B500D"/>
    <w:multiLevelType w:val="hybridMultilevel"/>
    <w:lvl w:ilvl="0">
      <w:lvlJc w:val="left"/>
      <w:lvlText w:val="%1."/>
      <w:numFmt w:val="decimal"/>
      <w:start w:val="4"/>
    </w:lvl>
  </w:abstractNum>
  <w:abstractNum w:abstractNumId="11">
    <w:nsid w:val="431BD7B7"/>
    <w:multiLevelType w:val="hybridMultilevel"/>
    <w:lvl w:ilvl="0">
      <w:lvlJc w:val="left"/>
      <w:lvlText w:val="(%1)"/>
      <w:numFmt w:val="lowerRoman"/>
      <w:start w:val="1"/>
    </w:lvl>
  </w:abstractNum>
  <w:abstractNum w:abstractNumId="12">
    <w:nsid w:val="3F2DBA31"/>
    <w:multiLevelType w:val="hybridMultilevel"/>
    <w:lvl w:ilvl="0">
      <w:lvlJc w:val="left"/>
      <w:lvlText w:val="(%1)"/>
      <w:numFmt w:val="lowerRoman"/>
      <w:start w:val="4"/>
    </w:lvl>
  </w:abstractNum>
  <w:abstractNum w:abstractNumId="13">
    <w:nsid w:val="7C83E458"/>
    <w:multiLevelType w:val="hybridMultilevel"/>
    <w:lvl w:ilvl="0">
      <w:lvlJc w:val="left"/>
      <w:lvlText w:val="(%1)"/>
      <w:numFmt w:val="lowerRoman"/>
      <w:start w:val="1"/>
    </w:lvl>
  </w:abstractNum>
  <w:abstractNum w:abstractNumId="14">
    <w:nsid w:val="257130A3"/>
    <w:multiLevelType w:val="hybridMultilevel"/>
    <w:lvl w:ilvl="0">
      <w:lvlJc w:val="left"/>
      <w:lvlText w:val="%1."/>
      <w:numFmt w:val="decimal"/>
      <w:start w:val="6"/>
    </w:lvl>
  </w:abstractNum>
  <w:abstractNum w:abstractNumId="15">
    <w:nsid w:val="62BBD95A"/>
    <w:multiLevelType w:val="hybridMultilevel"/>
    <w:lvl w:ilvl="0">
      <w:lvlJc w:val="left"/>
      <w:lvlText w:val="%1."/>
      <w:numFmt w:val="decimal"/>
      <w:start w:val="7"/>
    </w:lvl>
  </w:abstractNum>
  <w:abstractNum w:abstractNumId="16">
    <w:nsid w:val="436C6125"/>
    <w:multiLevelType w:val="hybridMultilevel"/>
    <w:lvl w:ilvl="0">
      <w:lvlJc w:val="left"/>
      <w:lvlText w:val="%1."/>
      <w:numFmt w:val="decimal"/>
      <w:start w:val="8"/>
    </w:lvl>
  </w:abstractNum>
  <w:abstractNum w:abstractNumId="17">
    <w:nsid w:val="628C895D"/>
    <w:multiLevelType w:val="hybridMultilevel"/>
    <w:lvl w:ilvl="0">
      <w:lvlJc w:val="left"/>
      <w:lvlText w:val="%1."/>
      <w:numFmt w:val="decimal"/>
      <w:start w:val="9"/>
    </w:lvl>
  </w:abstractNum>
  <w:abstractNum w:abstractNumId="18">
    <w:nsid w:val="333AB105"/>
    <w:multiLevelType w:val="hybridMultilevel"/>
    <w:lvl w:ilvl="0">
      <w:lvlJc w:val="left"/>
      <w:lvlText w:val="%1."/>
      <w:numFmt w:val="decimal"/>
      <w:start w:val="11"/>
    </w:lvl>
  </w:abstractNum>
  <w:abstractNum w:abstractNumId="19">
    <w:nsid w:val="721DA317"/>
    <w:multiLevelType w:val="hybridMultilevel"/>
    <w:lvl w:ilvl="0">
      <w:lvlJc w:val="left"/>
      <w:lvlText w:val="%1"/>
      <w:numFmt w:val="lowerLetter"/>
      <w:start w:val="1"/>
    </w:lvl>
    <w:lvl w:ilvl="1">
      <w:lvlJc w:val="left"/>
      <w:lvlText w:val="%2."/>
      <w:numFmt w:val="decimal"/>
      <w:start w:val="13"/>
    </w:lvl>
  </w:abstractNum>
  <w:abstractNum w:abstractNumId="20">
    <w:nsid w:val="2443A858"/>
    <w:multiLevelType w:val="hybridMultilevel"/>
    <w:lvl w:ilvl="0">
      <w:lvlJc w:val="left"/>
      <w:lvlText w:val="(%1)"/>
      <w:numFmt w:val="lowerLetter"/>
      <w:start w:val="3"/>
    </w:lvl>
    <w:lvl w:ilvl="1">
      <w:lvlJc w:val="left"/>
      <w:lvlText w:val="%2."/>
      <w:numFmt w:val="decimal"/>
      <w:start w:val="14"/>
    </w:lvl>
  </w:abstractNum>
  <w:abstractNum w:abstractNumId="21">
    <w:nsid w:val="2D1D5AE9"/>
    <w:multiLevelType w:val="hybridMultilevel"/>
    <w:lvl w:ilvl="0">
      <w:lvlJc w:val="left"/>
      <w:lvlText w:val="%1."/>
      <w:numFmt w:val="decimal"/>
      <w:start w:val="15"/>
    </w:lvl>
  </w:abstractNum>
  <w:abstractNum w:abstractNumId="22">
    <w:nsid w:val="6763845E"/>
    <w:multiLevelType w:val="hybridMultilevel"/>
    <w:lvl w:ilvl="0">
      <w:lvlJc w:val="left"/>
      <w:lvlText w:val="(%1)"/>
      <w:numFmt w:val="lowerRoman"/>
      <w:start w:val="3"/>
    </w:lvl>
    <w:lvl w:ilvl="1">
      <w:lvlJc w:val="left"/>
      <w:lvlText w:val="%2."/>
      <w:numFmt w:val="lowerLetter"/>
      <w:start w:val="4"/>
    </w:lvl>
  </w:abstractNum>
  <w:abstractNum w:abstractNumId="23">
    <w:nsid w:val="75A2A8D4"/>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2026-05-22T15:17:23Z</dcterms:created>
  <dcterms:modified xsi:type="dcterms:W3CDTF">2026-05-22T15:17:23Z</dcterms:modified>
</cp:coreProperties>
</file>